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rFonts w:eastAsia="SimSun" w:cs="Times New Roman"/>
          <w:b/>
          <w:color w:val="000000" w:themeColor="text1"/>
          <w:szCs w:val="24"/>
          <w:lang w:val="en-US"/>
        </w:rPr>
        <w:id w:val="1656109879"/>
        <w:docPartObj>
          <w:docPartGallery w:val="Cover Pages"/>
          <w:docPartUnique/>
        </w:docPartObj>
      </w:sdtPr>
      <w:sdtContent>
        <w:sdt>
          <w:sdtPr>
            <w:rPr>
              <w:rFonts w:cs="Times New Roman"/>
              <w:color w:val="000000" w:themeColor="text1"/>
              <w:szCs w:val="24"/>
            </w:rPr>
            <w:id w:val="692734823"/>
            <w:docPartObj>
              <w:docPartGallery w:val="Cover Pages"/>
              <w:docPartUnique/>
            </w:docPartObj>
          </w:sdtPr>
          <w:sdtContent>
            <w:p w14:paraId="076B429C" w14:textId="77777777" w:rsidR="00FB3E6E" w:rsidRPr="00895D0B" w:rsidRDefault="00FB3E6E" w:rsidP="006B68B5">
              <w:pPr>
                <w:spacing w:line="360" w:lineRule="auto"/>
                <w:jc w:val="center"/>
                <w:rPr>
                  <w:rFonts w:cs="Times New Roman"/>
                  <w:bCs/>
                  <w:color w:val="000000" w:themeColor="text1"/>
                  <w:szCs w:val="24"/>
                </w:rPr>
              </w:pPr>
              <w:r w:rsidRPr="00895D0B">
                <w:rPr>
                  <w:rFonts w:cs="Times New Roman"/>
                  <w:bCs/>
                  <w:color w:val="000000" w:themeColor="text1"/>
                  <w:szCs w:val="24"/>
                </w:rPr>
                <w:t>SIMON DIEDONG DOMBO UNIVERSITY OF BUSINESS AND INTEGRATED DEVELOPMENT STUDIES, WA- GHANA</w:t>
              </w:r>
            </w:p>
            <w:p w14:paraId="38E70F6C" w14:textId="77777777" w:rsidR="00FB3E6E" w:rsidRPr="00895D0B" w:rsidRDefault="00FB3E6E" w:rsidP="00FB3E6E">
              <w:pPr>
                <w:spacing w:line="360" w:lineRule="auto"/>
                <w:jc w:val="center"/>
                <w:rPr>
                  <w:rFonts w:cs="Times New Roman"/>
                  <w:color w:val="000000" w:themeColor="text1"/>
                  <w:szCs w:val="24"/>
                </w:rPr>
              </w:pPr>
            </w:p>
            <w:p w14:paraId="13477748" w14:textId="77777777" w:rsidR="00FB3E6E" w:rsidRPr="00895D0B" w:rsidRDefault="00FB3E6E" w:rsidP="00FB3E6E">
              <w:pPr>
                <w:spacing w:line="360" w:lineRule="auto"/>
                <w:jc w:val="center"/>
                <w:rPr>
                  <w:rFonts w:cs="Times New Roman"/>
                  <w:color w:val="000000" w:themeColor="text1"/>
                  <w:szCs w:val="24"/>
                </w:rPr>
              </w:pPr>
            </w:p>
            <w:p w14:paraId="37B7BEDA" w14:textId="77777777" w:rsidR="00FB3E6E" w:rsidRPr="00895D0B" w:rsidRDefault="00FB3E6E" w:rsidP="00FB3E6E">
              <w:pPr>
                <w:spacing w:line="360" w:lineRule="auto"/>
                <w:jc w:val="center"/>
                <w:rPr>
                  <w:rFonts w:cs="Times New Roman"/>
                  <w:color w:val="000000" w:themeColor="text1"/>
                  <w:szCs w:val="24"/>
                </w:rPr>
              </w:pPr>
            </w:p>
            <w:p w14:paraId="1F2185CB" w14:textId="77777777" w:rsidR="00FB3E6E" w:rsidRPr="00895D0B" w:rsidRDefault="00FB3E6E" w:rsidP="00FB3E6E">
              <w:pPr>
                <w:spacing w:line="360" w:lineRule="auto"/>
                <w:jc w:val="center"/>
                <w:rPr>
                  <w:rFonts w:cs="Times New Roman"/>
                  <w:color w:val="000000" w:themeColor="text1"/>
                  <w:szCs w:val="24"/>
                </w:rPr>
              </w:pPr>
            </w:p>
            <w:p w14:paraId="641672FE" w14:textId="77777777" w:rsidR="00FB3E6E" w:rsidRPr="00895D0B" w:rsidRDefault="00FB3E6E" w:rsidP="00FB3E6E">
              <w:pPr>
                <w:spacing w:line="360" w:lineRule="auto"/>
                <w:jc w:val="center"/>
                <w:rPr>
                  <w:rFonts w:cs="Times New Roman"/>
                  <w:color w:val="000000" w:themeColor="text1"/>
                  <w:szCs w:val="24"/>
                </w:rPr>
              </w:pPr>
            </w:p>
            <w:p w14:paraId="4C466798" w14:textId="77777777" w:rsidR="00FB3E6E" w:rsidRPr="00895D0B" w:rsidRDefault="00FB3E6E" w:rsidP="00FB3E6E">
              <w:pPr>
                <w:spacing w:line="360" w:lineRule="auto"/>
                <w:jc w:val="center"/>
                <w:rPr>
                  <w:rFonts w:cs="Times New Roman"/>
                  <w:color w:val="000000" w:themeColor="text1"/>
                  <w:szCs w:val="24"/>
                </w:rPr>
              </w:pPr>
            </w:p>
            <w:p w14:paraId="44010C95" w14:textId="77777777" w:rsidR="00FB3E6E" w:rsidRPr="00895D0B" w:rsidRDefault="00FB3E6E" w:rsidP="00FB3E6E">
              <w:pPr>
                <w:spacing w:line="360" w:lineRule="auto"/>
                <w:jc w:val="center"/>
                <w:rPr>
                  <w:rFonts w:cs="Times New Roman"/>
                  <w:color w:val="000000" w:themeColor="text1"/>
                  <w:szCs w:val="24"/>
                </w:rPr>
              </w:pPr>
            </w:p>
            <w:p w14:paraId="774C8C36" w14:textId="77777777" w:rsidR="00FB3E6E" w:rsidRPr="00895D0B" w:rsidRDefault="00FB3E6E" w:rsidP="00FB3E6E">
              <w:pPr>
                <w:spacing w:line="360" w:lineRule="auto"/>
                <w:jc w:val="center"/>
                <w:rPr>
                  <w:rFonts w:cs="Times New Roman"/>
                  <w:color w:val="000000" w:themeColor="text1"/>
                  <w:szCs w:val="24"/>
                </w:rPr>
              </w:pPr>
            </w:p>
            <w:p w14:paraId="3E5F575F" w14:textId="77777777" w:rsidR="00097479" w:rsidRPr="00895D0B" w:rsidRDefault="00097479" w:rsidP="00097479">
              <w:pPr>
                <w:spacing w:line="360" w:lineRule="auto"/>
                <w:jc w:val="center"/>
                <w:rPr>
                  <w:rFonts w:cs="Times New Roman"/>
                  <w:color w:val="000000" w:themeColor="text1"/>
                  <w:szCs w:val="24"/>
                </w:rPr>
              </w:pPr>
              <w:r w:rsidRPr="00895D0B">
                <w:rPr>
                  <w:rFonts w:cs="Times New Roman"/>
                  <w:color w:val="000000" w:themeColor="text1"/>
                  <w:szCs w:val="24"/>
                </w:rPr>
                <w:t>SPATIAL DISTRIBUTION, URBAN AGRICULTURAL PRACTICES AND FARMERS’ ADAPTATION TO CLIMATE CHANGE AND VARIABILITY STRESSORS IN WA MUNICIPALITY, GHANA</w:t>
              </w:r>
            </w:p>
            <w:p w14:paraId="3CAC8619" w14:textId="77777777" w:rsidR="00FB3E6E" w:rsidRPr="00895D0B" w:rsidRDefault="00FB3E6E" w:rsidP="00097479">
              <w:pPr>
                <w:spacing w:line="360" w:lineRule="auto"/>
                <w:jc w:val="center"/>
                <w:rPr>
                  <w:rFonts w:cs="Times New Roman"/>
                  <w:color w:val="000000" w:themeColor="text1"/>
                  <w:szCs w:val="24"/>
                </w:rPr>
              </w:pPr>
            </w:p>
            <w:p w14:paraId="41A14A71" w14:textId="77777777" w:rsidR="00FB3E6E" w:rsidRPr="00895D0B" w:rsidRDefault="00FB3E6E" w:rsidP="00FB3E6E">
              <w:pPr>
                <w:spacing w:line="360" w:lineRule="auto"/>
                <w:jc w:val="center"/>
                <w:rPr>
                  <w:rFonts w:cs="Times New Roman"/>
                  <w:color w:val="000000" w:themeColor="text1"/>
                  <w:szCs w:val="24"/>
                </w:rPr>
              </w:pPr>
            </w:p>
            <w:p w14:paraId="63B1B753" w14:textId="6D18BB8B" w:rsidR="00FB3E6E" w:rsidRDefault="00FB3E6E" w:rsidP="00FB3E6E">
              <w:pPr>
                <w:spacing w:line="360" w:lineRule="auto"/>
                <w:jc w:val="center"/>
                <w:rPr>
                  <w:rFonts w:cs="Times New Roman"/>
                  <w:color w:val="000000" w:themeColor="text1"/>
                  <w:szCs w:val="24"/>
                </w:rPr>
              </w:pPr>
            </w:p>
            <w:p w14:paraId="68DFB53C" w14:textId="77777777" w:rsidR="00E914F2" w:rsidRPr="00895D0B" w:rsidRDefault="00E914F2" w:rsidP="00FB3E6E">
              <w:pPr>
                <w:spacing w:line="360" w:lineRule="auto"/>
                <w:jc w:val="center"/>
                <w:rPr>
                  <w:rFonts w:cs="Times New Roman"/>
                  <w:color w:val="000000" w:themeColor="text1"/>
                  <w:szCs w:val="24"/>
                </w:rPr>
              </w:pPr>
            </w:p>
            <w:p w14:paraId="33D2E908" w14:textId="77777777" w:rsidR="00FB3E6E" w:rsidRPr="00895D0B" w:rsidRDefault="00FB3E6E" w:rsidP="00FB3E6E">
              <w:pPr>
                <w:spacing w:line="360" w:lineRule="auto"/>
                <w:jc w:val="center"/>
                <w:rPr>
                  <w:rFonts w:cs="Times New Roman"/>
                  <w:color w:val="000000" w:themeColor="text1"/>
                  <w:szCs w:val="24"/>
                </w:rPr>
              </w:pPr>
            </w:p>
            <w:p w14:paraId="3D42B7BD" w14:textId="77777777" w:rsidR="00FB3E6E" w:rsidRPr="00895D0B" w:rsidRDefault="00FB3E6E" w:rsidP="00FB3E6E">
              <w:pPr>
                <w:spacing w:line="360" w:lineRule="auto"/>
                <w:jc w:val="center"/>
                <w:rPr>
                  <w:rFonts w:cs="Times New Roman"/>
                  <w:color w:val="000000" w:themeColor="text1"/>
                  <w:szCs w:val="24"/>
                </w:rPr>
              </w:pPr>
              <w:r w:rsidRPr="00895D0B">
                <w:rPr>
                  <w:rFonts w:cs="Times New Roman"/>
                  <w:bCs/>
                  <w:color w:val="000000" w:themeColor="text1"/>
                  <w:szCs w:val="24"/>
                </w:rPr>
                <w:t>GODWIN KUMPONG NAAZIE </w:t>
              </w:r>
            </w:p>
            <w:p w14:paraId="438FB3B6" w14:textId="77777777" w:rsidR="00FB3E6E" w:rsidRPr="00895D0B" w:rsidRDefault="00FB3E6E" w:rsidP="00FB3E6E">
              <w:pPr>
                <w:spacing w:line="360" w:lineRule="auto"/>
                <w:jc w:val="center"/>
                <w:rPr>
                  <w:rFonts w:cs="Times New Roman"/>
                  <w:color w:val="000000" w:themeColor="text1"/>
                  <w:szCs w:val="24"/>
                </w:rPr>
              </w:pPr>
            </w:p>
            <w:p w14:paraId="7AEE3617" w14:textId="77777777" w:rsidR="00FB3E6E" w:rsidRPr="00895D0B" w:rsidRDefault="00FB3E6E" w:rsidP="00FB3E6E">
              <w:pPr>
                <w:spacing w:line="360" w:lineRule="auto"/>
                <w:jc w:val="center"/>
                <w:rPr>
                  <w:rFonts w:cs="Times New Roman"/>
                  <w:color w:val="000000" w:themeColor="text1"/>
                  <w:szCs w:val="24"/>
                </w:rPr>
              </w:pPr>
            </w:p>
            <w:p w14:paraId="1F9DFC8E" w14:textId="77777777" w:rsidR="00FB3E6E" w:rsidRPr="00895D0B" w:rsidRDefault="00FB3E6E" w:rsidP="00FB3E6E">
              <w:pPr>
                <w:spacing w:line="360" w:lineRule="auto"/>
                <w:jc w:val="center"/>
                <w:rPr>
                  <w:rFonts w:cs="Times New Roman"/>
                  <w:color w:val="000000" w:themeColor="text1"/>
                  <w:szCs w:val="24"/>
                </w:rPr>
              </w:pPr>
            </w:p>
            <w:p w14:paraId="0AEE9228" w14:textId="77777777" w:rsidR="00FB3E6E" w:rsidRPr="00895D0B" w:rsidRDefault="00FB3E6E" w:rsidP="00FB3E6E">
              <w:pPr>
                <w:spacing w:line="360" w:lineRule="auto"/>
                <w:jc w:val="center"/>
                <w:rPr>
                  <w:rFonts w:cs="Times New Roman"/>
                  <w:color w:val="000000" w:themeColor="text1"/>
                  <w:szCs w:val="24"/>
                </w:rPr>
              </w:pPr>
            </w:p>
            <w:p w14:paraId="6F20D07E" w14:textId="52ADA2D9" w:rsidR="00E914F2" w:rsidRDefault="00E914F2" w:rsidP="00FB3E6E">
              <w:pPr>
                <w:spacing w:line="360" w:lineRule="auto"/>
                <w:jc w:val="center"/>
                <w:rPr>
                  <w:rFonts w:cs="Times New Roman"/>
                  <w:color w:val="000000" w:themeColor="text1"/>
                  <w:szCs w:val="24"/>
                </w:rPr>
              </w:pPr>
            </w:p>
            <w:p w14:paraId="5EFFD894" w14:textId="5ADBE645" w:rsidR="00E914F2" w:rsidRDefault="00E914F2" w:rsidP="00FB3E6E">
              <w:pPr>
                <w:spacing w:line="360" w:lineRule="auto"/>
                <w:jc w:val="center"/>
                <w:rPr>
                  <w:rFonts w:cs="Times New Roman"/>
                  <w:color w:val="000000" w:themeColor="text1"/>
                  <w:szCs w:val="24"/>
                </w:rPr>
              </w:pPr>
            </w:p>
            <w:p w14:paraId="411DC221" w14:textId="1391B8B7" w:rsidR="00E914F2" w:rsidRDefault="00E914F2" w:rsidP="00FB3E6E">
              <w:pPr>
                <w:spacing w:line="360" w:lineRule="auto"/>
                <w:jc w:val="center"/>
                <w:rPr>
                  <w:rFonts w:cs="Times New Roman"/>
                  <w:color w:val="000000" w:themeColor="text1"/>
                  <w:szCs w:val="24"/>
                </w:rPr>
              </w:pPr>
            </w:p>
            <w:p w14:paraId="5867FD80" w14:textId="77777777" w:rsidR="00E914F2" w:rsidRDefault="00E914F2" w:rsidP="00FB3E6E">
              <w:pPr>
                <w:spacing w:line="360" w:lineRule="auto"/>
                <w:jc w:val="center"/>
                <w:rPr>
                  <w:rFonts w:cs="Times New Roman"/>
                  <w:color w:val="000000" w:themeColor="text1"/>
                  <w:szCs w:val="24"/>
                </w:rPr>
              </w:pPr>
            </w:p>
            <w:p w14:paraId="24218B03" w14:textId="77777777" w:rsidR="0062634D" w:rsidRDefault="0062634D" w:rsidP="00FB3E6E">
              <w:pPr>
                <w:spacing w:line="360" w:lineRule="auto"/>
                <w:jc w:val="center"/>
                <w:rPr>
                  <w:rFonts w:cs="Times New Roman"/>
                  <w:color w:val="000000" w:themeColor="text1"/>
                  <w:szCs w:val="24"/>
                </w:rPr>
              </w:pPr>
            </w:p>
            <w:p w14:paraId="3BD86273" w14:textId="77777777" w:rsidR="0062634D" w:rsidRDefault="0062634D" w:rsidP="00FB3E6E">
              <w:pPr>
                <w:spacing w:line="360" w:lineRule="auto"/>
                <w:jc w:val="center"/>
                <w:rPr>
                  <w:rFonts w:cs="Times New Roman"/>
                  <w:color w:val="000000" w:themeColor="text1"/>
                  <w:szCs w:val="24"/>
                </w:rPr>
              </w:pPr>
            </w:p>
            <w:p w14:paraId="4563E99C" w14:textId="77777777" w:rsidR="0062634D" w:rsidRDefault="0062634D" w:rsidP="00FB3E6E">
              <w:pPr>
                <w:spacing w:line="360" w:lineRule="auto"/>
                <w:jc w:val="center"/>
                <w:rPr>
                  <w:rFonts w:cs="Times New Roman"/>
                  <w:color w:val="000000" w:themeColor="text1"/>
                  <w:szCs w:val="24"/>
                </w:rPr>
              </w:pPr>
            </w:p>
            <w:p w14:paraId="60A8BCFF" w14:textId="77777777" w:rsidR="00FB3E6E" w:rsidRPr="00895D0B" w:rsidRDefault="00FB3E6E" w:rsidP="00FB3E6E">
              <w:pPr>
                <w:spacing w:line="360" w:lineRule="auto"/>
                <w:jc w:val="center"/>
                <w:rPr>
                  <w:rFonts w:cs="Times New Roman"/>
                  <w:color w:val="000000" w:themeColor="text1"/>
                  <w:szCs w:val="24"/>
                </w:rPr>
              </w:pPr>
            </w:p>
            <w:p w14:paraId="4467653E" w14:textId="77777777" w:rsidR="00FB3E6E" w:rsidRPr="00895D0B" w:rsidRDefault="00FB3E6E" w:rsidP="00FB3E6E">
              <w:pPr>
                <w:rPr>
                  <w:rFonts w:cs="Times New Roman"/>
                  <w:color w:val="000000" w:themeColor="text1"/>
                  <w:szCs w:val="24"/>
                </w:rPr>
              </w:pPr>
            </w:p>
            <w:p w14:paraId="4DA3D6DC" w14:textId="5E999692" w:rsidR="00FB3E6E" w:rsidRPr="00895D0B" w:rsidRDefault="00FB3E6E" w:rsidP="00FB3E6E">
              <w:pPr>
                <w:jc w:val="center"/>
                <w:rPr>
                  <w:rFonts w:cs="Times New Roman"/>
                  <w:color w:val="000000" w:themeColor="text1"/>
                  <w:szCs w:val="24"/>
                </w:rPr>
              </w:pPr>
              <w:r w:rsidRPr="00895D0B">
                <w:rPr>
                  <w:rFonts w:cs="Times New Roman"/>
                  <w:color w:val="000000" w:themeColor="text1"/>
                  <w:szCs w:val="24"/>
                </w:rPr>
                <w:t>2024</w:t>
              </w:r>
            </w:p>
            <w:p w14:paraId="21769FDF" w14:textId="77777777" w:rsidR="00FB3E6E" w:rsidRPr="00895D0B" w:rsidRDefault="00FB3E6E" w:rsidP="00FB3E6E">
              <w:pPr>
                <w:spacing w:line="360" w:lineRule="auto"/>
                <w:jc w:val="center"/>
                <w:rPr>
                  <w:rFonts w:cs="Times New Roman"/>
                  <w:bCs/>
                  <w:color w:val="000000" w:themeColor="text1"/>
                  <w:szCs w:val="24"/>
                </w:rPr>
              </w:pPr>
              <w:r w:rsidRPr="00895D0B">
                <w:rPr>
                  <w:rFonts w:cs="Times New Roman"/>
                  <w:color w:val="000000" w:themeColor="text1"/>
                  <w:szCs w:val="24"/>
                </w:rPr>
                <w:br w:type="page"/>
              </w:r>
              <w:r w:rsidRPr="00895D0B">
                <w:rPr>
                  <w:rFonts w:cs="Times New Roman"/>
                  <w:bCs/>
                  <w:color w:val="000000" w:themeColor="text1"/>
                  <w:szCs w:val="24"/>
                </w:rPr>
                <w:lastRenderedPageBreak/>
                <w:t>SIMON DIEDONG DOMBO UNIVERSITY OF BUSINESS AND INTEGRATED DEVELOPMENT STUDIES, WA- GHANA</w:t>
              </w:r>
            </w:p>
            <w:p w14:paraId="5EE001B4" w14:textId="77777777" w:rsidR="00FB3E6E" w:rsidRPr="00895D0B" w:rsidRDefault="00FB3E6E" w:rsidP="00FB3E6E">
              <w:pPr>
                <w:spacing w:line="360" w:lineRule="auto"/>
                <w:jc w:val="center"/>
                <w:rPr>
                  <w:rFonts w:cs="Times New Roman"/>
                  <w:color w:val="000000" w:themeColor="text1"/>
                  <w:szCs w:val="24"/>
                </w:rPr>
              </w:pPr>
            </w:p>
            <w:p w14:paraId="52AE5279" w14:textId="77777777" w:rsidR="00FB3E6E" w:rsidRPr="00895D0B" w:rsidRDefault="00FB3E6E" w:rsidP="00FB3E6E">
              <w:pPr>
                <w:spacing w:line="360" w:lineRule="auto"/>
                <w:jc w:val="center"/>
                <w:rPr>
                  <w:rFonts w:cs="Times New Roman"/>
                  <w:color w:val="000000" w:themeColor="text1"/>
                  <w:szCs w:val="24"/>
                </w:rPr>
              </w:pPr>
            </w:p>
            <w:p w14:paraId="049EBE02" w14:textId="77777777" w:rsidR="00FB3E6E" w:rsidRPr="00895D0B" w:rsidRDefault="00FB3E6E" w:rsidP="00FB3E6E">
              <w:pPr>
                <w:spacing w:line="360" w:lineRule="auto"/>
                <w:jc w:val="center"/>
                <w:rPr>
                  <w:rFonts w:cs="Times New Roman"/>
                  <w:color w:val="000000" w:themeColor="text1"/>
                  <w:szCs w:val="24"/>
                </w:rPr>
              </w:pPr>
            </w:p>
            <w:p w14:paraId="0E3879BA" w14:textId="7DBC7886" w:rsidR="00097479" w:rsidRPr="00895D0B" w:rsidRDefault="00097479" w:rsidP="00097479">
              <w:pPr>
                <w:spacing w:line="360" w:lineRule="auto"/>
                <w:jc w:val="center"/>
                <w:rPr>
                  <w:rFonts w:cs="Times New Roman"/>
                  <w:color w:val="000000" w:themeColor="text1"/>
                  <w:szCs w:val="24"/>
                </w:rPr>
              </w:pPr>
              <w:r w:rsidRPr="00895D0B">
                <w:rPr>
                  <w:rFonts w:cs="Times New Roman"/>
                  <w:color w:val="000000" w:themeColor="text1"/>
                  <w:szCs w:val="24"/>
                </w:rPr>
                <w:t>SPATIAL DISTRIBUTION, URBAN AGRICULTURAL PRACTICES AND FARMERS’ ADAPTATION TO CLIMATE CHANGE AND VARIABILITY STRESSORS IN WA MUNICIPALITY, GHANA</w:t>
              </w:r>
            </w:p>
            <w:p w14:paraId="17D83F78" w14:textId="74E9BB25" w:rsidR="00097479" w:rsidRPr="00895D0B" w:rsidRDefault="00097479" w:rsidP="00FB3E6E">
              <w:pPr>
                <w:spacing w:line="360" w:lineRule="auto"/>
                <w:jc w:val="center"/>
                <w:rPr>
                  <w:rFonts w:cs="Times New Roman"/>
                  <w:color w:val="000000" w:themeColor="text1"/>
                  <w:szCs w:val="24"/>
                </w:rPr>
              </w:pPr>
            </w:p>
            <w:p w14:paraId="711E716A" w14:textId="77777777" w:rsidR="00FB3E6E" w:rsidRPr="00895D0B" w:rsidRDefault="00FB3E6E" w:rsidP="00FB3E6E">
              <w:pPr>
                <w:spacing w:line="360" w:lineRule="auto"/>
                <w:jc w:val="center"/>
                <w:rPr>
                  <w:rFonts w:cs="Times New Roman"/>
                  <w:color w:val="000000" w:themeColor="text1"/>
                  <w:szCs w:val="24"/>
                </w:rPr>
              </w:pPr>
            </w:p>
            <w:p w14:paraId="37F1E37F" w14:textId="77777777" w:rsidR="00FB3E6E" w:rsidRPr="00895D0B" w:rsidRDefault="00FB3E6E" w:rsidP="00FB3E6E">
              <w:pPr>
                <w:spacing w:line="360" w:lineRule="auto"/>
                <w:jc w:val="center"/>
                <w:rPr>
                  <w:rFonts w:cs="Times New Roman"/>
                  <w:color w:val="000000" w:themeColor="text1"/>
                  <w:szCs w:val="24"/>
                </w:rPr>
              </w:pPr>
            </w:p>
            <w:p w14:paraId="55B15FDE" w14:textId="77777777" w:rsidR="00FB3E6E" w:rsidRPr="00895D0B" w:rsidRDefault="00FB3E6E" w:rsidP="00FB3E6E">
              <w:pPr>
                <w:spacing w:line="360" w:lineRule="auto"/>
                <w:jc w:val="center"/>
                <w:rPr>
                  <w:rFonts w:cs="Times New Roman"/>
                  <w:color w:val="000000" w:themeColor="text1"/>
                  <w:szCs w:val="24"/>
                </w:rPr>
              </w:pPr>
              <w:r w:rsidRPr="00895D0B">
                <w:rPr>
                  <w:rFonts w:cs="Times New Roman"/>
                  <w:color w:val="000000" w:themeColor="text1"/>
                  <w:szCs w:val="24"/>
                </w:rPr>
                <w:t>BY:</w:t>
              </w:r>
            </w:p>
            <w:p w14:paraId="10B7B499" w14:textId="77777777" w:rsidR="00FB3E6E" w:rsidRPr="00895D0B" w:rsidRDefault="00FB3E6E" w:rsidP="00FB3E6E">
              <w:pPr>
                <w:spacing w:line="360" w:lineRule="auto"/>
                <w:jc w:val="center"/>
                <w:rPr>
                  <w:rFonts w:cs="Times New Roman"/>
                  <w:color w:val="000000" w:themeColor="text1"/>
                  <w:szCs w:val="24"/>
                </w:rPr>
              </w:pPr>
            </w:p>
            <w:p w14:paraId="7298091A" w14:textId="77777777" w:rsidR="00FB3E6E" w:rsidRPr="00895D0B" w:rsidRDefault="00FB3E6E" w:rsidP="00FB3E6E">
              <w:pPr>
                <w:spacing w:line="360" w:lineRule="auto"/>
                <w:jc w:val="center"/>
                <w:rPr>
                  <w:rFonts w:cs="Times New Roman"/>
                  <w:color w:val="000000" w:themeColor="text1"/>
                  <w:szCs w:val="24"/>
                </w:rPr>
              </w:pPr>
              <w:r w:rsidRPr="00895D0B">
                <w:rPr>
                  <w:rFonts w:cs="Times New Roman"/>
                  <w:bCs/>
                  <w:color w:val="000000" w:themeColor="text1"/>
                  <w:szCs w:val="24"/>
                </w:rPr>
                <w:t>GODWIN KUMPONG NAAZIE </w:t>
              </w:r>
            </w:p>
            <w:p w14:paraId="4DA21B23" w14:textId="77777777" w:rsidR="00FB3E6E" w:rsidRPr="00895D0B" w:rsidRDefault="00FB3E6E" w:rsidP="00FB3E6E">
              <w:pPr>
                <w:spacing w:line="360" w:lineRule="auto"/>
                <w:jc w:val="center"/>
                <w:rPr>
                  <w:rFonts w:cs="Times New Roman"/>
                  <w:color w:val="000000" w:themeColor="text1"/>
                  <w:szCs w:val="24"/>
                </w:rPr>
              </w:pPr>
              <w:r w:rsidRPr="00895D0B">
                <w:rPr>
                  <w:rFonts w:cs="Times New Roman"/>
                  <w:color w:val="000000" w:themeColor="text1"/>
                  <w:szCs w:val="24"/>
                </w:rPr>
                <w:t>(PG0004421)</w:t>
              </w:r>
            </w:p>
            <w:p w14:paraId="5EF7EEBF" w14:textId="77777777" w:rsidR="00FB3E6E" w:rsidRPr="00895D0B" w:rsidRDefault="00FB3E6E" w:rsidP="00FB3E6E">
              <w:pPr>
                <w:spacing w:line="360" w:lineRule="auto"/>
                <w:jc w:val="center"/>
                <w:rPr>
                  <w:rFonts w:cs="Times New Roman"/>
                  <w:color w:val="000000" w:themeColor="text1"/>
                  <w:szCs w:val="24"/>
                </w:rPr>
              </w:pPr>
            </w:p>
            <w:p w14:paraId="688EF7D7" w14:textId="77777777" w:rsidR="00FB3E6E" w:rsidRPr="00895D0B" w:rsidRDefault="00FB3E6E" w:rsidP="00FB3E6E">
              <w:pPr>
                <w:spacing w:line="360" w:lineRule="auto"/>
                <w:jc w:val="center"/>
                <w:rPr>
                  <w:rFonts w:cs="Times New Roman"/>
                  <w:color w:val="000000" w:themeColor="text1"/>
                  <w:szCs w:val="24"/>
                </w:rPr>
              </w:pPr>
            </w:p>
            <w:p w14:paraId="4FC6E6DE" w14:textId="77777777" w:rsidR="00FB3E6E" w:rsidRPr="00895D0B" w:rsidRDefault="00FB3E6E" w:rsidP="00FB3E6E">
              <w:pPr>
                <w:spacing w:line="360" w:lineRule="auto"/>
                <w:jc w:val="center"/>
                <w:rPr>
                  <w:rFonts w:cs="Times New Roman"/>
                  <w:color w:val="000000" w:themeColor="text1"/>
                  <w:szCs w:val="24"/>
                </w:rPr>
              </w:pPr>
            </w:p>
            <w:p w14:paraId="1C93C4D7" w14:textId="418E1CD6" w:rsidR="00FB3E6E" w:rsidRPr="00895D0B" w:rsidRDefault="00FB3E6E" w:rsidP="00FB3E6E">
              <w:pPr>
                <w:spacing w:line="360" w:lineRule="auto"/>
                <w:jc w:val="center"/>
                <w:rPr>
                  <w:rFonts w:cs="Times New Roman"/>
                  <w:bCs/>
                  <w:color w:val="000000" w:themeColor="text1"/>
                  <w:szCs w:val="24"/>
                </w:rPr>
              </w:pPr>
              <w:r w:rsidRPr="00895D0B">
                <w:rPr>
                  <w:rFonts w:cs="Times New Roman"/>
                  <w:color w:val="000000" w:themeColor="text1"/>
                  <w:szCs w:val="24"/>
                </w:rPr>
                <w:t xml:space="preserve">THESIS SUBMITTED TO THE </w:t>
              </w:r>
              <w:r w:rsidRPr="00895D0B">
                <w:rPr>
                  <w:rFonts w:cs="Times New Roman"/>
                  <w:bCs/>
                  <w:color w:val="000000" w:themeColor="text1"/>
                  <w:szCs w:val="24"/>
                </w:rPr>
                <w:t xml:space="preserve">DEPARTMENT OF ENVIRONMENT AND RESOURCE MANAGEMENT </w:t>
              </w:r>
              <w:r w:rsidRPr="00895D0B">
                <w:rPr>
                  <w:rFonts w:cs="Times New Roman"/>
                  <w:color w:val="000000" w:themeColor="text1"/>
                  <w:szCs w:val="24"/>
                </w:rPr>
                <w:t xml:space="preserve">FACULTY OF INTEGRATED DEVELOPMENT STUDIES, </w:t>
              </w:r>
              <w:r w:rsidRPr="00895D0B">
                <w:rPr>
                  <w:rFonts w:cs="Times New Roman"/>
                  <w:bCs/>
                  <w:color w:val="000000" w:themeColor="text1"/>
                  <w:szCs w:val="24"/>
                </w:rPr>
                <w:t xml:space="preserve">SIMON DIEDONG DOMBO UNIVERSITY OF BUSINESS AND INTEGRATED DEVELOPMENT STUDIES, WA- GHANA </w:t>
              </w:r>
              <w:r w:rsidRPr="00895D0B">
                <w:rPr>
                  <w:rFonts w:cs="Times New Roman"/>
                  <w:color w:val="000000" w:themeColor="text1"/>
                  <w:szCs w:val="24"/>
                </w:rPr>
                <w:t xml:space="preserve">IN PARTIAL FULFILLMENT OF THE REQUIREMENTS FOR THE AWARD OF </w:t>
              </w:r>
              <w:r w:rsidR="0062634D">
                <w:rPr>
                  <w:rFonts w:cs="Times New Roman"/>
                  <w:color w:val="000000" w:themeColor="text1"/>
                  <w:szCs w:val="24"/>
                </w:rPr>
                <w:t xml:space="preserve">                            </w:t>
              </w:r>
              <w:r w:rsidRPr="00895D0B">
                <w:rPr>
                  <w:rFonts w:cs="Times New Roman"/>
                  <w:color w:val="000000" w:themeColor="text1"/>
                  <w:szCs w:val="24"/>
                </w:rPr>
                <w:t xml:space="preserve">DOCTOR OF PHILOSOPHY DEGREE (PHD) IN </w:t>
              </w:r>
              <w:r w:rsidRPr="00895D0B">
                <w:rPr>
                  <w:rFonts w:cs="Times New Roman"/>
                  <w:bCs/>
                  <w:color w:val="000000" w:themeColor="text1"/>
                  <w:szCs w:val="24"/>
                </w:rPr>
                <w:t xml:space="preserve">ENVIRONMENT </w:t>
              </w:r>
              <w:r w:rsidR="0062634D">
                <w:rPr>
                  <w:rFonts w:cs="Times New Roman"/>
                  <w:bCs/>
                  <w:color w:val="000000" w:themeColor="text1"/>
                  <w:szCs w:val="24"/>
                </w:rPr>
                <w:t xml:space="preserve">                                     </w:t>
              </w:r>
              <w:r w:rsidRPr="00895D0B">
                <w:rPr>
                  <w:rFonts w:cs="Times New Roman"/>
                  <w:bCs/>
                  <w:color w:val="000000" w:themeColor="text1"/>
                  <w:szCs w:val="24"/>
                </w:rPr>
                <w:t>AND RESOURCE MANAGEMENT</w:t>
              </w:r>
            </w:p>
            <w:p w14:paraId="6BF33F0C" w14:textId="77777777" w:rsidR="00FB3E6E" w:rsidRPr="00895D0B" w:rsidRDefault="00FB3E6E" w:rsidP="00FB3E6E">
              <w:pPr>
                <w:spacing w:line="360" w:lineRule="auto"/>
                <w:jc w:val="center"/>
                <w:rPr>
                  <w:rFonts w:cs="Times New Roman"/>
                  <w:color w:val="000000" w:themeColor="text1"/>
                  <w:szCs w:val="24"/>
                </w:rPr>
              </w:pPr>
            </w:p>
            <w:p w14:paraId="6DC6B27B" w14:textId="77777777" w:rsidR="00FB3E6E" w:rsidRDefault="00FB3E6E" w:rsidP="00FB3E6E">
              <w:pPr>
                <w:spacing w:line="360" w:lineRule="auto"/>
                <w:jc w:val="center"/>
                <w:rPr>
                  <w:rFonts w:cs="Times New Roman"/>
                  <w:color w:val="000000" w:themeColor="text1"/>
                  <w:szCs w:val="24"/>
                </w:rPr>
              </w:pPr>
            </w:p>
            <w:p w14:paraId="7888014D" w14:textId="77777777" w:rsidR="0062634D" w:rsidRDefault="0062634D" w:rsidP="00FB3E6E">
              <w:pPr>
                <w:spacing w:line="360" w:lineRule="auto"/>
                <w:jc w:val="center"/>
                <w:rPr>
                  <w:rFonts w:cs="Times New Roman"/>
                  <w:color w:val="000000" w:themeColor="text1"/>
                  <w:szCs w:val="24"/>
                </w:rPr>
              </w:pPr>
            </w:p>
            <w:p w14:paraId="63B4676F" w14:textId="77777777" w:rsidR="0062634D" w:rsidRDefault="0062634D" w:rsidP="00FB3E6E">
              <w:pPr>
                <w:spacing w:line="360" w:lineRule="auto"/>
                <w:jc w:val="center"/>
                <w:rPr>
                  <w:rFonts w:cs="Times New Roman"/>
                  <w:color w:val="000000" w:themeColor="text1"/>
                  <w:szCs w:val="24"/>
                </w:rPr>
              </w:pPr>
            </w:p>
            <w:p w14:paraId="2BB7F031" w14:textId="77777777" w:rsidR="0062634D" w:rsidRDefault="0062634D" w:rsidP="00FB3E6E">
              <w:pPr>
                <w:spacing w:line="360" w:lineRule="auto"/>
                <w:jc w:val="center"/>
                <w:rPr>
                  <w:rFonts w:cs="Times New Roman"/>
                  <w:color w:val="000000" w:themeColor="text1"/>
                  <w:szCs w:val="24"/>
                </w:rPr>
              </w:pPr>
            </w:p>
            <w:p w14:paraId="1E9396D1" w14:textId="77777777" w:rsidR="0062634D" w:rsidRDefault="0062634D" w:rsidP="00FB3E6E">
              <w:pPr>
                <w:spacing w:line="360" w:lineRule="auto"/>
                <w:jc w:val="center"/>
                <w:rPr>
                  <w:rFonts w:cs="Times New Roman"/>
                  <w:color w:val="000000" w:themeColor="text1"/>
                  <w:szCs w:val="24"/>
                </w:rPr>
              </w:pPr>
            </w:p>
            <w:p w14:paraId="64DB7390" w14:textId="77777777" w:rsidR="0062634D" w:rsidRDefault="0062634D" w:rsidP="00FB3E6E">
              <w:pPr>
                <w:spacing w:line="360" w:lineRule="auto"/>
                <w:jc w:val="center"/>
                <w:rPr>
                  <w:rFonts w:cs="Times New Roman"/>
                  <w:color w:val="000000" w:themeColor="text1"/>
                  <w:szCs w:val="24"/>
                </w:rPr>
              </w:pPr>
            </w:p>
            <w:p w14:paraId="7ABA1416" w14:textId="77777777" w:rsidR="00FB3E6E" w:rsidRPr="00895D0B" w:rsidRDefault="00FB3E6E" w:rsidP="00FB3E6E">
              <w:pPr>
                <w:spacing w:line="360" w:lineRule="auto"/>
                <w:jc w:val="center"/>
                <w:rPr>
                  <w:rFonts w:cs="Times New Roman"/>
                  <w:color w:val="000000" w:themeColor="text1"/>
                  <w:szCs w:val="24"/>
                </w:rPr>
              </w:pPr>
            </w:p>
            <w:p w14:paraId="5D31FD5D" w14:textId="2716D5E7" w:rsidR="00FB3E6E" w:rsidRPr="00895D0B" w:rsidRDefault="0062634D" w:rsidP="0062634D">
              <w:pPr>
                <w:spacing w:line="360" w:lineRule="auto"/>
                <w:jc w:val="center"/>
                <w:rPr>
                  <w:rFonts w:cs="Times New Roman"/>
                  <w:color w:val="000000" w:themeColor="text1"/>
                  <w:szCs w:val="24"/>
                </w:rPr>
              </w:pPr>
              <w:r>
                <w:rPr>
                  <w:rFonts w:cs="Times New Roman"/>
                  <w:noProof/>
                  <w:color w:val="000000" w:themeColor="text1"/>
                  <w:szCs w:val="24"/>
                </w:rPr>
                <mc:AlternateContent>
                  <mc:Choice Requires="wps">
                    <w:drawing>
                      <wp:anchor distT="0" distB="0" distL="114300" distR="114300" simplePos="0" relativeHeight="251664384" behindDoc="0" locked="0" layoutInCell="1" allowOverlap="1" wp14:anchorId="3218C773" wp14:editId="2F839C35">
                        <wp:simplePos x="0" y="0"/>
                        <wp:positionH relativeFrom="column">
                          <wp:posOffset>2439619</wp:posOffset>
                        </wp:positionH>
                        <wp:positionV relativeFrom="paragraph">
                          <wp:posOffset>257124</wp:posOffset>
                        </wp:positionV>
                        <wp:extent cx="438912" cy="241402"/>
                        <wp:effectExtent l="0" t="0" r="0" b="6350"/>
                        <wp:wrapNone/>
                        <wp:docPr id="1819673228" name="Text Box 35"/>
                        <wp:cNvGraphicFramePr/>
                        <a:graphic xmlns:a="http://schemas.openxmlformats.org/drawingml/2006/main">
                          <a:graphicData uri="http://schemas.microsoft.com/office/word/2010/wordprocessingShape">
                            <wps:wsp>
                              <wps:cNvSpPr txBox="1"/>
                              <wps:spPr>
                                <a:xfrm>
                                  <a:off x="0" y="0"/>
                                  <a:ext cx="438912" cy="241402"/>
                                </a:xfrm>
                                <a:prstGeom prst="rect">
                                  <a:avLst/>
                                </a:prstGeom>
                                <a:solidFill>
                                  <a:schemeClr val="lt1"/>
                                </a:solidFill>
                                <a:ln w="6350">
                                  <a:noFill/>
                                </a:ln>
                              </wps:spPr>
                              <wps:txbx>
                                <w:txbxContent>
                                  <w:p w14:paraId="000AA8B4" w14:textId="77777777" w:rsidR="0062634D" w:rsidRDefault="0062634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218C773" id="_x0000_t202" coordsize="21600,21600" o:spt="202" path="m,l,21600r21600,l21600,xe">
                        <v:stroke joinstyle="miter"/>
                        <v:path gradientshapeok="t" o:connecttype="rect"/>
                      </v:shapetype>
                      <v:shape id="Text Box 35" o:spid="_x0000_s1026" type="#_x0000_t202" style="position:absolute;left:0;text-align:left;margin-left:192.1pt;margin-top:20.25pt;width:34.55pt;height:19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" fillcolor="white [3201]" stroked="f" strokeweight=".5pt">
                        <v:textbox>
                          <w:txbxContent>
                            <w:p w14:paraId="000AA8B4" w14:textId="77777777" w:rsidR="0062634D" w:rsidRDefault="0062634D"/>
                          </w:txbxContent>
                        </v:textbox>
                      </v:shape>
                    </w:pict>
                  </mc:Fallback>
                </mc:AlternateContent>
              </w:r>
              <w:r w:rsidR="00E914F2">
                <w:rPr>
                  <w:rFonts w:cs="Times New Roman"/>
                  <w:color w:val="000000" w:themeColor="text1"/>
                  <w:szCs w:val="24"/>
                </w:rPr>
                <w:t>MAY</w:t>
              </w:r>
              <w:r w:rsidR="00E4501F" w:rsidRPr="00895D0B">
                <w:rPr>
                  <w:rFonts w:cs="Times New Roman"/>
                  <w:color w:val="000000" w:themeColor="text1"/>
                  <w:szCs w:val="24"/>
                </w:rPr>
                <w:t>, 2024</w:t>
              </w:r>
            </w:p>
          </w:sdtContent>
        </w:sdt>
        <w:p w14:paraId="390D1C79" w14:textId="77777777" w:rsidR="0062634D" w:rsidRDefault="0062634D" w:rsidP="009745EC">
          <w:pPr>
            <w:pStyle w:val="Heading1"/>
            <w:sectPr w:rsidR="0062634D" w:rsidSect="0062634D">
              <w:footerReference w:type="default" r:id="rId9"/>
              <w:type w:val="continuous"/>
              <w:pgSz w:w="11906" w:h="16838" w:code="9"/>
              <w:pgMar w:top="1440" w:right="1440" w:bottom="1440" w:left="2160" w:header="720" w:footer="720" w:gutter="0"/>
              <w:pgNumType w:fmt="lowerRoman" w:start="0"/>
              <w:cols w:space="720"/>
              <w:titlePg/>
              <w:docGrid w:linePitch="326"/>
            </w:sectPr>
          </w:pPr>
        </w:p>
        <w:p w14:paraId="0898EF66" w14:textId="77522479" w:rsidR="008C40FD" w:rsidRPr="00895D0B" w:rsidRDefault="00FB3E6E" w:rsidP="009745EC">
          <w:pPr>
            <w:pStyle w:val="Heading1"/>
          </w:pPr>
          <w:bookmarkStart w:id="0" w:name="_Toc167379837"/>
          <w:r w:rsidRPr="00895D0B">
            <w:lastRenderedPageBreak/>
            <w:t>DECLARATION</w:t>
          </w:r>
        </w:p>
      </w:sdtContent>
    </w:sdt>
    <w:bookmarkEnd w:id="0" w:displacedByCustomXml="prev"/>
    <w:p w14:paraId="6D9B3209" w14:textId="3EA55E71" w:rsidR="001B4ED5" w:rsidRPr="00895D0B" w:rsidRDefault="006B41C0">
      <w:pPr>
        <w:rPr>
          <w:rFonts w:cs="Times New Roman"/>
          <w:b/>
          <w:color w:val="000000" w:themeColor="text1"/>
          <w:szCs w:val="24"/>
        </w:rPr>
      </w:pPr>
      <w:r w:rsidRPr="00895D0B">
        <w:rPr>
          <w:rFonts w:cs="Times New Roman"/>
          <w:b/>
          <w:color w:val="000000" w:themeColor="text1"/>
          <w:szCs w:val="24"/>
        </w:rPr>
        <w:t xml:space="preserve">Student </w:t>
      </w:r>
    </w:p>
    <w:p w14:paraId="75DB70BD" w14:textId="354B3361" w:rsidR="001B4ED5" w:rsidRPr="00895D0B" w:rsidRDefault="006B41C0">
      <w:pPr>
        <w:rPr>
          <w:rFonts w:cs="Times New Roman"/>
          <w:color w:val="000000" w:themeColor="text1"/>
          <w:szCs w:val="24"/>
        </w:rPr>
      </w:pPr>
      <w:r w:rsidRPr="00895D0B">
        <w:rPr>
          <w:rFonts w:cs="Times New Roman"/>
          <w:color w:val="000000" w:themeColor="text1"/>
          <w:szCs w:val="24"/>
        </w:rPr>
        <w:t xml:space="preserve">I hereby declare that this dissertation/thesis is the result of my original work and that no part of it has been presented for another degree in this University or elsewhere: </w:t>
      </w:r>
    </w:p>
    <w:p w14:paraId="7E80EB08" w14:textId="77777777" w:rsidR="001B4ED5" w:rsidRPr="00895D0B" w:rsidRDefault="006B41C0">
      <w:pPr>
        <w:rPr>
          <w:rFonts w:cs="Times New Roman"/>
          <w:color w:val="000000" w:themeColor="text1"/>
          <w:szCs w:val="24"/>
        </w:rPr>
      </w:pPr>
      <w:r w:rsidRPr="00895D0B">
        <w:rPr>
          <w:rFonts w:cs="Times New Roman"/>
          <w:color w:val="000000" w:themeColor="text1"/>
          <w:szCs w:val="24"/>
        </w:rPr>
        <w:t xml:space="preserve">Candidate’s </w:t>
      </w:r>
    </w:p>
    <w:p w14:paraId="32C59329" w14:textId="6BD1578E" w:rsidR="001B4ED5" w:rsidRPr="00895D0B" w:rsidRDefault="00985B8E">
      <w:pPr>
        <w:rPr>
          <w:rFonts w:cs="Times New Roman"/>
          <w:color w:val="000000" w:themeColor="text1"/>
          <w:szCs w:val="24"/>
        </w:rPr>
      </w:pPr>
      <w:r>
        <w:rPr>
          <w:rFonts w:cs="Times New Roman"/>
          <w:color w:val="000000" w:themeColor="text1"/>
          <w:szCs w:val="24"/>
        </w:rPr>
        <w:t>Signature:…………………….</w:t>
      </w:r>
    </w:p>
    <w:p w14:paraId="60AB4C1B" w14:textId="3F350501" w:rsidR="001B4ED5" w:rsidRPr="00895D0B" w:rsidRDefault="00985B8E">
      <w:pPr>
        <w:spacing w:line="360" w:lineRule="auto"/>
        <w:rPr>
          <w:rFonts w:cs="Times New Roman"/>
          <w:color w:val="000000" w:themeColor="text1"/>
          <w:szCs w:val="24"/>
        </w:rPr>
      </w:pPr>
      <w:r>
        <w:rPr>
          <w:rFonts w:cs="Times New Roman"/>
          <w:color w:val="000000" w:themeColor="text1"/>
          <w:szCs w:val="24"/>
        </w:rPr>
        <w:t>Date:………………………</w:t>
      </w:r>
    </w:p>
    <w:p w14:paraId="26939B33"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Name: Godwin Kumpong Naazie </w:t>
      </w:r>
    </w:p>
    <w:p w14:paraId="07B5C2E1" w14:textId="77777777" w:rsidR="001B4ED5" w:rsidRPr="00895D0B" w:rsidRDefault="001B4ED5">
      <w:pPr>
        <w:spacing w:line="360" w:lineRule="auto"/>
        <w:rPr>
          <w:rFonts w:cs="Times New Roman"/>
          <w:color w:val="000000" w:themeColor="text1"/>
          <w:szCs w:val="24"/>
        </w:rPr>
      </w:pPr>
    </w:p>
    <w:p w14:paraId="6301F2ED" w14:textId="77777777" w:rsidR="001B4ED5" w:rsidRPr="00895D0B" w:rsidRDefault="006B41C0">
      <w:pPr>
        <w:rPr>
          <w:rFonts w:cs="Times New Roman"/>
          <w:b/>
          <w:color w:val="000000" w:themeColor="text1"/>
          <w:szCs w:val="24"/>
        </w:rPr>
      </w:pPr>
      <w:r w:rsidRPr="00895D0B">
        <w:rPr>
          <w:rFonts w:cs="Times New Roman"/>
          <w:b/>
          <w:color w:val="000000" w:themeColor="text1"/>
          <w:szCs w:val="24"/>
        </w:rPr>
        <w:t xml:space="preserve">Supervisors </w:t>
      </w:r>
    </w:p>
    <w:p w14:paraId="5CD148FC" w14:textId="77777777" w:rsidR="001B4ED5" w:rsidRPr="00895D0B" w:rsidRDefault="006B41C0">
      <w:pPr>
        <w:rPr>
          <w:rFonts w:cs="Times New Roman"/>
          <w:color w:val="000000" w:themeColor="text1"/>
          <w:szCs w:val="24"/>
        </w:rPr>
      </w:pPr>
      <w:r w:rsidRPr="00895D0B">
        <w:rPr>
          <w:rFonts w:cs="Times New Roman"/>
          <w:color w:val="000000" w:themeColor="text1"/>
          <w:szCs w:val="24"/>
        </w:rPr>
        <w:t xml:space="preserve">I hereby declare that the preparation and presentation of the dissertation/thesis was supervised in accordance with the guidelines on supervision of dissertation/thesis laid down by the SIMON DIEDONG DOMBO UNIVERSITY OF BUSINESS AND INTEGRATED DEVELOPMENT STUDIES </w:t>
      </w:r>
    </w:p>
    <w:p w14:paraId="63E9D20C" w14:textId="77777777" w:rsidR="001B4ED5" w:rsidRPr="00895D0B" w:rsidRDefault="006B41C0">
      <w:pPr>
        <w:rPr>
          <w:rFonts w:cs="Times New Roman"/>
          <w:color w:val="000000" w:themeColor="text1"/>
          <w:szCs w:val="24"/>
        </w:rPr>
      </w:pPr>
      <w:r w:rsidRPr="00895D0B">
        <w:rPr>
          <w:rFonts w:cs="Times New Roman"/>
          <w:color w:val="000000" w:themeColor="text1"/>
          <w:szCs w:val="24"/>
        </w:rPr>
        <w:t xml:space="preserve">Principal Supervisor’s </w:t>
      </w:r>
    </w:p>
    <w:p w14:paraId="1C2C02C8" w14:textId="3F863B54" w:rsidR="001B4ED5" w:rsidRPr="00895D0B" w:rsidRDefault="006B41C0">
      <w:pPr>
        <w:rPr>
          <w:rFonts w:cs="Times New Roman"/>
          <w:color w:val="000000" w:themeColor="text1"/>
          <w:szCs w:val="24"/>
        </w:rPr>
      </w:pPr>
      <w:r w:rsidRPr="00895D0B">
        <w:rPr>
          <w:rFonts w:cs="Times New Roman"/>
          <w:color w:val="000000" w:themeColor="text1"/>
          <w:szCs w:val="24"/>
        </w:rPr>
        <w:t>Signature:</w:t>
      </w:r>
      <w:r w:rsidRPr="00895D0B">
        <w:rPr>
          <w:rFonts w:cs="Times New Roman"/>
          <w:color w:val="000000" w:themeColor="text1"/>
          <w:szCs w:val="24"/>
          <w:lang w:eastAsia="en-GB"/>
        </w:rPr>
        <w:t xml:space="preserve"> </w:t>
      </w:r>
      <w:r w:rsidR="00985B8E">
        <w:rPr>
          <w:rFonts w:cs="Times New Roman"/>
          <w:color w:val="000000" w:themeColor="text1"/>
          <w:szCs w:val="24"/>
          <w:lang w:eastAsia="en-GB"/>
        </w:rPr>
        <w:t>……………………………..</w:t>
      </w:r>
    </w:p>
    <w:p w14:paraId="5F738620" w14:textId="7459C2D8" w:rsidR="001B4ED5" w:rsidRPr="00895D0B" w:rsidRDefault="00985B8E">
      <w:pPr>
        <w:rPr>
          <w:rFonts w:cs="Times New Roman"/>
          <w:color w:val="000000" w:themeColor="text1"/>
          <w:szCs w:val="24"/>
        </w:rPr>
      </w:pPr>
      <w:r>
        <w:rPr>
          <w:rFonts w:cs="Times New Roman"/>
          <w:color w:val="000000" w:themeColor="text1"/>
          <w:szCs w:val="24"/>
        </w:rPr>
        <w:t>Date: ………………………………….</w:t>
      </w:r>
    </w:p>
    <w:p w14:paraId="6DED60CC"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Name:  Prof. Isaac Agyemang </w:t>
      </w:r>
    </w:p>
    <w:p w14:paraId="46A776E2" w14:textId="77777777" w:rsidR="001B4ED5" w:rsidRPr="00895D0B" w:rsidRDefault="001B4ED5">
      <w:pPr>
        <w:spacing w:line="360" w:lineRule="auto"/>
        <w:rPr>
          <w:rFonts w:cs="Times New Roman"/>
          <w:color w:val="000000" w:themeColor="text1"/>
          <w:szCs w:val="24"/>
        </w:rPr>
      </w:pPr>
    </w:p>
    <w:p w14:paraId="218890D9" w14:textId="77777777" w:rsidR="001B4ED5" w:rsidRPr="00895D0B" w:rsidRDefault="006B41C0">
      <w:pPr>
        <w:rPr>
          <w:rFonts w:cs="Times New Roman"/>
          <w:color w:val="000000" w:themeColor="text1"/>
          <w:szCs w:val="24"/>
        </w:rPr>
      </w:pPr>
      <w:r w:rsidRPr="00895D0B">
        <w:rPr>
          <w:rFonts w:cs="Times New Roman"/>
          <w:color w:val="000000" w:themeColor="text1"/>
          <w:szCs w:val="24"/>
        </w:rPr>
        <w:t xml:space="preserve">Co-Supervisor’s </w:t>
      </w:r>
    </w:p>
    <w:p w14:paraId="0F299905" w14:textId="616244F4" w:rsidR="001B4ED5" w:rsidRPr="00895D0B" w:rsidRDefault="006B41C0">
      <w:pPr>
        <w:rPr>
          <w:rFonts w:cs="Times New Roman"/>
          <w:color w:val="000000" w:themeColor="text1"/>
          <w:szCs w:val="24"/>
        </w:rPr>
      </w:pPr>
      <w:r w:rsidRPr="00895D0B">
        <w:rPr>
          <w:rFonts w:cs="Times New Roman"/>
          <w:color w:val="000000" w:themeColor="text1"/>
          <w:szCs w:val="24"/>
        </w:rPr>
        <w:t>Signature (if any</w:t>
      </w:r>
      <w:r w:rsidR="00985B8E">
        <w:rPr>
          <w:rFonts w:cs="Times New Roman"/>
          <w:color w:val="000000" w:themeColor="text1"/>
          <w:szCs w:val="24"/>
          <w:lang w:eastAsia="en-GB"/>
        </w:rPr>
        <w:t>)………………………</w:t>
      </w:r>
    </w:p>
    <w:p w14:paraId="49E01388" w14:textId="5BEDF6B9" w:rsidR="001B4ED5" w:rsidRPr="00895D0B" w:rsidRDefault="00985B8E">
      <w:pPr>
        <w:rPr>
          <w:rFonts w:cs="Times New Roman"/>
          <w:color w:val="000000" w:themeColor="text1"/>
          <w:szCs w:val="24"/>
        </w:rPr>
      </w:pPr>
      <w:r>
        <w:rPr>
          <w:rFonts w:cs="Times New Roman"/>
          <w:color w:val="000000" w:themeColor="text1"/>
          <w:szCs w:val="24"/>
        </w:rPr>
        <w:t>Date:……………………………………..</w:t>
      </w:r>
    </w:p>
    <w:p w14:paraId="345A2385" w14:textId="77777777" w:rsidR="001B4ED5" w:rsidRDefault="006B41C0">
      <w:pPr>
        <w:rPr>
          <w:rFonts w:cs="Times New Roman"/>
          <w:color w:val="000000" w:themeColor="text1"/>
          <w:szCs w:val="24"/>
        </w:rPr>
      </w:pPr>
      <w:r w:rsidRPr="00895D0B">
        <w:rPr>
          <w:rFonts w:cs="Times New Roman"/>
          <w:color w:val="000000" w:themeColor="text1"/>
          <w:szCs w:val="24"/>
        </w:rPr>
        <w:t>Name: Dr. Anthony Mwinilanaa Tampah-Naah</w:t>
      </w:r>
    </w:p>
    <w:p w14:paraId="3BF1328B" w14:textId="77777777" w:rsidR="00D6443D" w:rsidRDefault="00D6443D">
      <w:pPr>
        <w:rPr>
          <w:rFonts w:cs="Times New Roman"/>
          <w:color w:val="000000" w:themeColor="text1"/>
          <w:szCs w:val="24"/>
        </w:rPr>
      </w:pPr>
    </w:p>
    <w:p w14:paraId="67EF9BD7" w14:textId="77777777" w:rsidR="00D6443D" w:rsidRPr="00895D0B" w:rsidRDefault="00D6443D">
      <w:pPr>
        <w:rPr>
          <w:rFonts w:cs="Times New Roman"/>
          <w:color w:val="000000" w:themeColor="text1"/>
          <w:szCs w:val="24"/>
        </w:rPr>
      </w:pPr>
    </w:p>
    <w:p w14:paraId="7BC49EB9" w14:textId="77777777" w:rsidR="001B4ED5" w:rsidRPr="00895D0B" w:rsidRDefault="006B41C0" w:rsidP="009745EC">
      <w:pPr>
        <w:pStyle w:val="Heading1"/>
      </w:pPr>
      <w:bookmarkStart w:id="1" w:name="_Toc167379838"/>
      <w:r w:rsidRPr="00895D0B">
        <w:lastRenderedPageBreak/>
        <w:t>ACKNOWLEDGEMENTS</w:t>
      </w:r>
      <w:bookmarkEnd w:id="1"/>
    </w:p>
    <w:p w14:paraId="4C3050B0" w14:textId="0C3391A3" w:rsidR="006E031E" w:rsidRPr="00895D0B" w:rsidRDefault="006E031E" w:rsidP="006E031E">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This academic journey has been successful through many efforts, both material and non-material. First of all, I will give thanks to the Almighty God for his favours. Secondly, my sincere gratitude goes to my main supervisor, Professor Isaac Agyemang, and my co-supervisor, Dr. Anthony Mwinilanaa Tampah-Naah. Your excellent scholarly advice has brought me this far. May the Almighty God shower his blessings on you abundantly. I will also seize the opportunity to show my unending appreciation to my mentor and adviser, the Pro Vice of the Simon Diedong Dombo University of Business and Integrated Development Studies (SDD-UBIDS), Professor Emmanuel Kanchebe Derbile, for mentoring me from scratch until now. As an amateur scholar, this journey would not have been fruitful without your wonderful roles. May the good Lord richly bless you.</w:t>
      </w:r>
    </w:p>
    <w:p w14:paraId="3166C6A6" w14:textId="77777777" w:rsidR="006E031E" w:rsidRPr="00895D0B" w:rsidRDefault="006E031E" w:rsidP="006E031E">
      <w:pPr>
        <w:spacing w:line="360" w:lineRule="auto"/>
        <w:rPr>
          <w:rFonts w:eastAsia="Times New Roman" w:cs="Times New Roman"/>
          <w:color w:val="000000" w:themeColor="text1"/>
          <w:szCs w:val="24"/>
          <w:lang w:eastAsia="en-GB"/>
        </w:rPr>
      </w:pPr>
    </w:p>
    <w:p w14:paraId="78F31C8C" w14:textId="2FCD76F8" w:rsidR="006E031E" w:rsidRPr="00895D0B" w:rsidRDefault="006E031E" w:rsidP="006E031E">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Again, I will give thanks to my nuclear family, especially my wife and my children, Judith Ganaah, Dermott Bataadomo Kuunfere, and Haitty Yelmaalwere Kuunfere respectively, for the moral and material support and, not to forget, other family members for the continuous encouragement given to me during this journey.</w:t>
      </w:r>
      <w:r w:rsidR="006F490D" w:rsidRPr="00895D0B">
        <w:rPr>
          <w:rFonts w:eastAsia="Times New Roman" w:cs="Times New Roman"/>
          <w:color w:val="000000" w:themeColor="text1"/>
          <w:szCs w:val="24"/>
          <w:lang w:eastAsia="en-GB"/>
        </w:rPr>
        <w:t xml:space="preserve"> </w:t>
      </w:r>
      <w:r w:rsidRPr="00895D0B">
        <w:rPr>
          <w:rFonts w:eastAsia="Times New Roman" w:cs="Times New Roman"/>
          <w:color w:val="000000" w:themeColor="text1"/>
          <w:szCs w:val="24"/>
          <w:lang w:eastAsia="en-GB"/>
        </w:rPr>
        <w:t>I owe my appreciation to the Endogenous Development Service (EDS) of Ghana for providing an office space for this work. I also appreciate the directional roles played by all the Associates of EDS Ghana, particularly Dr. Alfred Dongzagla, Dr. Issah Baddianaah, Dr. Francis Dakyaga, Dr. Ibrahim Abu Abdulai, and Mr. Lazarus Jambadu. God bless you all.</w:t>
      </w:r>
    </w:p>
    <w:p w14:paraId="087B14AF" w14:textId="77777777" w:rsidR="006E031E" w:rsidRPr="00895D0B" w:rsidRDefault="006E031E" w:rsidP="006E031E">
      <w:pPr>
        <w:spacing w:line="360" w:lineRule="auto"/>
        <w:rPr>
          <w:rFonts w:eastAsia="Times New Roman" w:cs="Times New Roman"/>
          <w:color w:val="000000" w:themeColor="text1"/>
          <w:szCs w:val="24"/>
          <w:lang w:eastAsia="en-GB"/>
        </w:rPr>
      </w:pPr>
    </w:p>
    <w:p w14:paraId="219B1AC7" w14:textId="0D72BF39" w:rsidR="006E031E" w:rsidRPr="00895D0B" w:rsidRDefault="006E031E" w:rsidP="006E031E">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I acknowledge the contributions of the following individuals and institutions during the field work: Mr. Abu Inusah, Mr. Crispin Kanaata Dankana, Mr. Richard B. Bapuurintiere, Mrs. Janet B. Yelfaare, Mr. Alex Tieronwie, and Mr. Edward Kandolnyuo. Again, appreciation goes to the crop and animal departments of the Ministry of Food and Agriculture (MoFA), Upper West Region, especially Mr. Saeed, the Upper West Regional Town and Country Planning Department, and the Wa Municipal Environmental Health and Sanitation Department, especially, Mr. Mornah. I also appreciate the editorial services from ALHAJI Ibrahim Kwabena ANTWI, former University Liberian, University for Development Studies, Tamale.</w:t>
      </w:r>
    </w:p>
    <w:p w14:paraId="061EA8C1" w14:textId="1A673FCB" w:rsidR="00C80313" w:rsidRPr="00895D0B" w:rsidRDefault="00C80313" w:rsidP="006E031E">
      <w:pPr>
        <w:spacing w:line="360" w:lineRule="auto"/>
        <w:rPr>
          <w:rFonts w:eastAsia="Times New Roman" w:cs="Times New Roman"/>
          <w:color w:val="000000" w:themeColor="text1"/>
          <w:szCs w:val="24"/>
          <w:lang w:eastAsia="en-GB"/>
        </w:rPr>
      </w:pPr>
    </w:p>
    <w:p w14:paraId="1E3E8561" w14:textId="77777777" w:rsidR="001B4ED5" w:rsidRPr="00895D0B" w:rsidRDefault="006B41C0" w:rsidP="009745EC">
      <w:pPr>
        <w:pStyle w:val="Heading1"/>
      </w:pPr>
      <w:bookmarkStart w:id="2" w:name="_Toc167379839"/>
      <w:r w:rsidRPr="00895D0B">
        <w:lastRenderedPageBreak/>
        <w:t>DEDICATION</w:t>
      </w:r>
      <w:bookmarkEnd w:id="2"/>
    </w:p>
    <w:p w14:paraId="20CF3C12" w14:textId="1F01509B"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This thesis is dedicated to my </w:t>
      </w:r>
      <w:r w:rsidR="00EA480A" w:rsidRPr="00895D0B">
        <w:rPr>
          <w:rFonts w:cs="Times New Roman"/>
          <w:color w:val="000000" w:themeColor="text1"/>
          <w:szCs w:val="24"/>
        </w:rPr>
        <w:t>step</w:t>
      </w:r>
      <w:r w:rsidRPr="00895D0B">
        <w:rPr>
          <w:rFonts w:cs="Times New Roman"/>
          <w:color w:val="000000" w:themeColor="text1"/>
          <w:szCs w:val="24"/>
        </w:rPr>
        <w:t>brother</w:t>
      </w:r>
      <w:r w:rsidR="00EA480A" w:rsidRPr="00895D0B">
        <w:rPr>
          <w:rFonts w:cs="Times New Roman"/>
          <w:color w:val="000000" w:themeColor="text1"/>
          <w:szCs w:val="24"/>
        </w:rPr>
        <w:t>,</w:t>
      </w:r>
      <w:r w:rsidRPr="00895D0B">
        <w:rPr>
          <w:rFonts w:cs="Times New Roman"/>
          <w:color w:val="000000" w:themeColor="text1"/>
          <w:szCs w:val="24"/>
        </w:rPr>
        <w:t xml:space="preserve"> Prosper Naazie of blessed memory and to my wife, Judith and our children (Dermott and Haitty).</w:t>
      </w:r>
    </w:p>
    <w:p w14:paraId="494034B6" w14:textId="77777777" w:rsidR="001B4ED5" w:rsidRPr="00895D0B" w:rsidRDefault="001B4ED5">
      <w:pPr>
        <w:spacing w:line="360" w:lineRule="auto"/>
        <w:rPr>
          <w:rFonts w:cs="Times New Roman"/>
          <w:color w:val="000000" w:themeColor="text1"/>
          <w:szCs w:val="24"/>
        </w:rPr>
      </w:pPr>
    </w:p>
    <w:p w14:paraId="3F331078" w14:textId="77777777" w:rsidR="001B4ED5" w:rsidRPr="00895D0B" w:rsidRDefault="001B4ED5">
      <w:pPr>
        <w:spacing w:line="360" w:lineRule="auto"/>
        <w:rPr>
          <w:rFonts w:cs="Times New Roman"/>
          <w:color w:val="000000" w:themeColor="text1"/>
          <w:szCs w:val="24"/>
        </w:rPr>
      </w:pPr>
    </w:p>
    <w:p w14:paraId="250BAA15" w14:textId="77777777" w:rsidR="001B4ED5" w:rsidRPr="00895D0B" w:rsidRDefault="001B4ED5">
      <w:pPr>
        <w:spacing w:line="360" w:lineRule="auto"/>
        <w:rPr>
          <w:rFonts w:cs="Times New Roman"/>
          <w:color w:val="000000" w:themeColor="text1"/>
          <w:szCs w:val="24"/>
        </w:rPr>
      </w:pPr>
    </w:p>
    <w:p w14:paraId="4B889CFA" w14:textId="77777777" w:rsidR="001B4ED5" w:rsidRPr="00895D0B" w:rsidRDefault="001B4ED5">
      <w:pPr>
        <w:spacing w:line="360" w:lineRule="auto"/>
        <w:rPr>
          <w:rFonts w:cs="Times New Roman"/>
          <w:color w:val="000000" w:themeColor="text1"/>
          <w:szCs w:val="24"/>
        </w:rPr>
      </w:pPr>
    </w:p>
    <w:p w14:paraId="52FB093F" w14:textId="77777777" w:rsidR="001B4ED5" w:rsidRPr="00895D0B" w:rsidRDefault="001B4ED5">
      <w:pPr>
        <w:spacing w:line="360" w:lineRule="auto"/>
        <w:rPr>
          <w:rFonts w:cs="Times New Roman"/>
          <w:color w:val="000000" w:themeColor="text1"/>
          <w:szCs w:val="24"/>
        </w:rPr>
      </w:pPr>
    </w:p>
    <w:p w14:paraId="039E9B58" w14:textId="77777777" w:rsidR="001B4ED5" w:rsidRPr="00895D0B" w:rsidRDefault="001B4ED5">
      <w:pPr>
        <w:spacing w:line="360" w:lineRule="auto"/>
        <w:rPr>
          <w:rFonts w:cs="Times New Roman"/>
          <w:color w:val="000000" w:themeColor="text1"/>
          <w:szCs w:val="24"/>
        </w:rPr>
      </w:pPr>
    </w:p>
    <w:p w14:paraId="76BA3032" w14:textId="77777777" w:rsidR="001B4ED5" w:rsidRPr="00895D0B" w:rsidRDefault="001B4ED5">
      <w:pPr>
        <w:spacing w:line="360" w:lineRule="auto"/>
        <w:rPr>
          <w:rFonts w:cs="Times New Roman"/>
          <w:color w:val="000000" w:themeColor="text1"/>
          <w:szCs w:val="24"/>
        </w:rPr>
      </w:pPr>
    </w:p>
    <w:p w14:paraId="5FD7D4F7" w14:textId="77777777" w:rsidR="001B4ED5" w:rsidRPr="00895D0B" w:rsidRDefault="001B4ED5">
      <w:pPr>
        <w:spacing w:line="360" w:lineRule="auto"/>
        <w:rPr>
          <w:rFonts w:cs="Times New Roman"/>
          <w:color w:val="000000" w:themeColor="text1"/>
          <w:szCs w:val="24"/>
        </w:rPr>
      </w:pPr>
    </w:p>
    <w:p w14:paraId="7611E9A9" w14:textId="77777777" w:rsidR="001B4ED5" w:rsidRPr="00895D0B" w:rsidRDefault="001B4ED5">
      <w:pPr>
        <w:spacing w:line="360" w:lineRule="auto"/>
        <w:rPr>
          <w:rFonts w:cs="Times New Roman"/>
          <w:color w:val="000000" w:themeColor="text1"/>
          <w:szCs w:val="24"/>
        </w:rPr>
      </w:pPr>
    </w:p>
    <w:p w14:paraId="283DE1BF" w14:textId="77777777" w:rsidR="001B4ED5" w:rsidRPr="00895D0B" w:rsidRDefault="001B4ED5">
      <w:pPr>
        <w:spacing w:line="360" w:lineRule="auto"/>
        <w:rPr>
          <w:rFonts w:cs="Times New Roman"/>
          <w:color w:val="000000" w:themeColor="text1"/>
          <w:szCs w:val="24"/>
        </w:rPr>
      </w:pPr>
    </w:p>
    <w:p w14:paraId="690A1ED9" w14:textId="77777777" w:rsidR="001B4ED5" w:rsidRPr="00895D0B" w:rsidRDefault="001B4ED5">
      <w:pPr>
        <w:spacing w:line="360" w:lineRule="auto"/>
        <w:rPr>
          <w:rFonts w:cs="Times New Roman"/>
          <w:color w:val="000000" w:themeColor="text1"/>
          <w:szCs w:val="24"/>
        </w:rPr>
      </w:pPr>
    </w:p>
    <w:p w14:paraId="444E4918" w14:textId="77777777" w:rsidR="001B4ED5" w:rsidRPr="00895D0B" w:rsidRDefault="001B4ED5">
      <w:pPr>
        <w:spacing w:line="360" w:lineRule="auto"/>
        <w:rPr>
          <w:rFonts w:cs="Times New Roman"/>
          <w:color w:val="000000" w:themeColor="text1"/>
          <w:szCs w:val="24"/>
        </w:rPr>
      </w:pPr>
    </w:p>
    <w:p w14:paraId="0A56E488" w14:textId="77777777" w:rsidR="001B4ED5" w:rsidRPr="00895D0B" w:rsidRDefault="001B4ED5">
      <w:pPr>
        <w:spacing w:line="360" w:lineRule="auto"/>
        <w:rPr>
          <w:rFonts w:cs="Times New Roman"/>
          <w:color w:val="000000" w:themeColor="text1"/>
          <w:szCs w:val="24"/>
        </w:rPr>
      </w:pPr>
    </w:p>
    <w:p w14:paraId="4289DB78" w14:textId="77777777" w:rsidR="001B4ED5" w:rsidRPr="00895D0B" w:rsidRDefault="001B4ED5">
      <w:pPr>
        <w:spacing w:line="360" w:lineRule="auto"/>
        <w:rPr>
          <w:rFonts w:cs="Times New Roman"/>
          <w:color w:val="000000" w:themeColor="text1"/>
          <w:szCs w:val="24"/>
        </w:rPr>
      </w:pPr>
    </w:p>
    <w:p w14:paraId="3DB56EEC" w14:textId="77777777" w:rsidR="001B4ED5" w:rsidRPr="00895D0B" w:rsidRDefault="001B4ED5">
      <w:pPr>
        <w:spacing w:line="360" w:lineRule="auto"/>
        <w:rPr>
          <w:rFonts w:cs="Times New Roman"/>
          <w:color w:val="000000" w:themeColor="text1"/>
          <w:szCs w:val="24"/>
        </w:rPr>
      </w:pPr>
    </w:p>
    <w:p w14:paraId="746D35E3" w14:textId="77777777" w:rsidR="001B4ED5" w:rsidRPr="00895D0B" w:rsidRDefault="001B4ED5">
      <w:pPr>
        <w:spacing w:line="360" w:lineRule="auto"/>
        <w:rPr>
          <w:rFonts w:cs="Times New Roman"/>
          <w:color w:val="000000" w:themeColor="text1"/>
          <w:szCs w:val="24"/>
        </w:rPr>
      </w:pPr>
    </w:p>
    <w:p w14:paraId="1CB943B9" w14:textId="77777777" w:rsidR="001B4ED5" w:rsidRPr="00895D0B" w:rsidRDefault="001B4ED5">
      <w:pPr>
        <w:spacing w:line="360" w:lineRule="auto"/>
        <w:rPr>
          <w:rFonts w:cs="Times New Roman"/>
          <w:color w:val="000000" w:themeColor="text1"/>
          <w:szCs w:val="24"/>
        </w:rPr>
      </w:pPr>
    </w:p>
    <w:p w14:paraId="0A67C63C" w14:textId="77777777" w:rsidR="001B4ED5" w:rsidRPr="00895D0B" w:rsidRDefault="001B4ED5">
      <w:pPr>
        <w:spacing w:line="360" w:lineRule="auto"/>
        <w:rPr>
          <w:rFonts w:cs="Times New Roman"/>
          <w:color w:val="000000" w:themeColor="text1"/>
          <w:szCs w:val="24"/>
        </w:rPr>
      </w:pPr>
    </w:p>
    <w:p w14:paraId="4A2C9DD9" w14:textId="77777777" w:rsidR="001B4ED5" w:rsidRPr="00895D0B" w:rsidRDefault="001B4ED5">
      <w:pPr>
        <w:spacing w:line="360" w:lineRule="auto"/>
        <w:rPr>
          <w:rFonts w:cs="Times New Roman"/>
          <w:color w:val="000000" w:themeColor="text1"/>
          <w:szCs w:val="24"/>
        </w:rPr>
      </w:pPr>
    </w:p>
    <w:p w14:paraId="2CB0748F" w14:textId="77777777" w:rsidR="001B4ED5" w:rsidRPr="00895D0B" w:rsidRDefault="001B4ED5">
      <w:pPr>
        <w:spacing w:line="360" w:lineRule="auto"/>
        <w:rPr>
          <w:rFonts w:cs="Times New Roman"/>
          <w:color w:val="000000" w:themeColor="text1"/>
          <w:szCs w:val="24"/>
        </w:rPr>
      </w:pPr>
    </w:p>
    <w:p w14:paraId="08746CEA" w14:textId="77777777" w:rsidR="001B4ED5" w:rsidRPr="00895D0B" w:rsidRDefault="001B4ED5">
      <w:pPr>
        <w:spacing w:line="360" w:lineRule="auto"/>
        <w:rPr>
          <w:rFonts w:cs="Times New Roman"/>
          <w:color w:val="000000" w:themeColor="text1"/>
          <w:szCs w:val="24"/>
        </w:rPr>
      </w:pPr>
    </w:p>
    <w:p w14:paraId="7583141D" w14:textId="77777777" w:rsidR="001B4ED5" w:rsidRPr="00895D0B" w:rsidRDefault="001B4ED5">
      <w:pPr>
        <w:spacing w:line="360" w:lineRule="auto"/>
        <w:rPr>
          <w:rFonts w:cs="Times New Roman"/>
          <w:color w:val="000000" w:themeColor="text1"/>
          <w:szCs w:val="24"/>
        </w:rPr>
      </w:pPr>
    </w:p>
    <w:p w14:paraId="40A784D6" w14:textId="77777777" w:rsidR="001B4ED5" w:rsidRPr="00895D0B" w:rsidRDefault="001B4ED5">
      <w:pPr>
        <w:spacing w:line="360" w:lineRule="auto"/>
        <w:rPr>
          <w:rFonts w:cs="Times New Roman"/>
          <w:color w:val="000000" w:themeColor="text1"/>
          <w:szCs w:val="24"/>
        </w:rPr>
      </w:pPr>
    </w:p>
    <w:p w14:paraId="759FD996" w14:textId="77777777" w:rsidR="001B4ED5" w:rsidRPr="00895D0B" w:rsidRDefault="001B4ED5">
      <w:pPr>
        <w:spacing w:line="360" w:lineRule="auto"/>
        <w:rPr>
          <w:rFonts w:cs="Times New Roman"/>
          <w:color w:val="000000" w:themeColor="text1"/>
          <w:szCs w:val="24"/>
        </w:rPr>
      </w:pPr>
    </w:p>
    <w:p w14:paraId="106B3326" w14:textId="77777777" w:rsidR="001B4ED5" w:rsidRDefault="001B4ED5">
      <w:pPr>
        <w:spacing w:line="360" w:lineRule="auto"/>
        <w:rPr>
          <w:rFonts w:cs="Times New Roman"/>
          <w:color w:val="000000" w:themeColor="text1"/>
          <w:szCs w:val="24"/>
        </w:rPr>
      </w:pPr>
    </w:p>
    <w:p w14:paraId="1513939D" w14:textId="77777777" w:rsidR="009745EC" w:rsidRPr="00895D0B" w:rsidRDefault="009745EC">
      <w:pPr>
        <w:spacing w:line="360" w:lineRule="auto"/>
        <w:rPr>
          <w:rFonts w:cs="Times New Roman"/>
          <w:color w:val="000000" w:themeColor="text1"/>
          <w:szCs w:val="24"/>
        </w:rPr>
      </w:pPr>
    </w:p>
    <w:p w14:paraId="7B9602C1" w14:textId="77777777" w:rsidR="001B4ED5" w:rsidRPr="00895D0B" w:rsidRDefault="001B4ED5">
      <w:pPr>
        <w:spacing w:line="360" w:lineRule="auto"/>
        <w:rPr>
          <w:rFonts w:cs="Times New Roman"/>
          <w:color w:val="000000" w:themeColor="text1"/>
          <w:szCs w:val="24"/>
        </w:rPr>
      </w:pPr>
    </w:p>
    <w:p w14:paraId="44F4B108" w14:textId="77777777" w:rsidR="001B4ED5" w:rsidRPr="00895D0B" w:rsidRDefault="001B4ED5">
      <w:pPr>
        <w:spacing w:line="360" w:lineRule="auto"/>
        <w:rPr>
          <w:rFonts w:cs="Times New Roman"/>
          <w:color w:val="000000" w:themeColor="text1"/>
          <w:szCs w:val="24"/>
        </w:rPr>
      </w:pPr>
    </w:p>
    <w:p w14:paraId="7A3850C0" w14:textId="77777777" w:rsidR="001B4ED5" w:rsidRPr="00895D0B" w:rsidRDefault="006B41C0" w:rsidP="009745EC">
      <w:pPr>
        <w:pStyle w:val="Heading1"/>
      </w:pPr>
      <w:bookmarkStart w:id="3" w:name="_Toc167379840"/>
      <w:r w:rsidRPr="00895D0B">
        <w:lastRenderedPageBreak/>
        <w:t>TABLE OF CONTENTS</w:t>
      </w:r>
      <w:bookmarkEnd w:id="3"/>
    </w:p>
    <w:sdt>
      <w:sdtPr>
        <w:rPr>
          <w:rFonts w:ascii="Times New Roman" w:eastAsiaTheme="minorHAnsi" w:hAnsi="Times New Roman" w:cstheme="minorBidi"/>
          <w:lang w:val="en-GB"/>
        </w:rPr>
        <w:id w:val="460841365"/>
        <w:docPartObj>
          <w:docPartGallery w:val="Table of Contents"/>
          <w:docPartUnique/>
        </w:docPartObj>
      </w:sdtPr>
      <w:sdtEndPr>
        <w:rPr>
          <w:rFonts w:eastAsiaTheme="minorEastAsia" w:cs="Times New Roman"/>
          <w:b/>
          <w:bCs/>
          <w:noProof/>
          <w:color w:val="auto"/>
          <w:sz w:val="24"/>
          <w:szCs w:val="24"/>
          <w:lang w:val="en-US"/>
        </w:rPr>
      </w:sdtEndPr>
      <w:sdtContent>
        <w:p w14:paraId="25B8B909" w14:textId="535F975E" w:rsidR="00596101" w:rsidRPr="009745EC" w:rsidRDefault="009745EC" w:rsidP="009745EC">
          <w:pPr>
            <w:pStyle w:val="TOCHeading"/>
            <w:spacing w:line="480" w:lineRule="auto"/>
            <w:rPr>
              <w:rFonts w:ascii="Times New Roman" w:hAnsi="Times New Roman" w:cs="Times New Roman"/>
              <w:b/>
              <w:bCs/>
              <w:color w:val="auto"/>
              <w:sz w:val="24"/>
              <w:szCs w:val="24"/>
            </w:rPr>
          </w:pPr>
          <w:r w:rsidRPr="009745EC">
            <w:rPr>
              <w:rFonts w:ascii="Times New Roman" w:hAnsi="Times New Roman" w:cs="Times New Roman"/>
              <w:b/>
              <w:bCs/>
              <w:color w:val="auto"/>
              <w:sz w:val="24"/>
              <w:szCs w:val="24"/>
            </w:rPr>
            <w:t xml:space="preserve">CONTENTS                                                                                                         PAGE </w:t>
          </w:r>
        </w:p>
        <w:p w14:paraId="45F88915" w14:textId="512CD7C6" w:rsidR="00AD7FC2" w:rsidRDefault="00731E67"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r>
            <w:rPr>
              <w:szCs w:val="24"/>
            </w:rPr>
            <w:fldChar w:fldCharType="begin"/>
          </w:r>
          <w:r>
            <w:rPr>
              <w:szCs w:val="24"/>
            </w:rPr>
            <w:instrText xml:space="preserve"> TOC \o "1-4" \h \z \u </w:instrText>
          </w:r>
          <w:r>
            <w:rPr>
              <w:szCs w:val="24"/>
            </w:rPr>
            <w:fldChar w:fldCharType="separate"/>
          </w:r>
          <w:hyperlink w:anchor="_Toc167379837" w:history="1">
            <w:r w:rsidR="00AD7FC2" w:rsidRPr="00E36E15">
              <w:rPr>
                <w:rStyle w:val="Hyperlink"/>
                <w:noProof/>
              </w:rPr>
              <w:t>DECLARATION</w:t>
            </w:r>
            <w:r w:rsidR="00AD7FC2">
              <w:rPr>
                <w:noProof/>
                <w:webHidden/>
              </w:rPr>
              <w:tab/>
            </w:r>
            <w:r w:rsidR="00AD7FC2">
              <w:rPr>
                <w:noProof/>
                <w:webHidden/>
              </w:rPr>
              <w:fldChar w:fldCharType="begin"/>
            </w:r>
            <w:r w:rsidR="00AD7FC2">
              <w:rPr>
                <w:noProof/>
                <w:webHidden/>
              </w:rPr>
              <w:instrText xml:space="preserve"> PAGEREF _Toc167379837 \h </w:instrText>
            </w:r>
            <w:r w:rsidR="00AD7FC2">
              <w:rPr>
                <w:noProof/>
                <w:webHidden/>
              </w:rPr>
            </w:r>
            <w:r w:rsidR="00AD7FC2">
              <w:rPr>
                <w:noProof/>
                <w:webHidden/>
              </w:rPr>
              <w:fldChar w:fldCharType="separate"/>
            </w:r>
            <w:r w:rsidR="0026489B">
              <w:rPr>
                <w:noProof/>
                <w:webHidden/>
              </w:rPr>
              <w:t>i</w:t>
            </w:r>
            <w:r w:rsidR="00AD7FC2">
              <w:rPr>
                <w:noProof/>
                <w:webHidden/>
              </w:rPr>
              <w:fldChar w:fldCharType="end"/>
            </w:r>
          </w:hyperlink>
        </w:p>
        <w:p w14:paraId="6AAFD028" w14:textId="20B0B99C"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38" w:history="1">
            <w:r w:rsidRPr="00E36E15">
              <w:rPr>
                <w:rStyle w:val="Hyperlink"/>
                <w:noProof/>
              </w:rPr>
              <w:t>ACKNOWLEDGEMENTS</w:t>
            </w:r>
            <w:r>
              <w:rPr>
                <w:noProof/>
                <w:webHidden/>
              </w:rPr>
              <w:tab/>
            </w:r>
            <w:r>
              <w:rPr>
                <w:noProof/>
                <w:webHidden/>
              </w:rPr>
              <w:fldChar w:fldCharType="begin"/>
            </w:r>
            <w:r>
              <w:rPr>
                <w:noProof/>
                <w:webHidden/>
              </w:rPr>
              <w:instrText xml:space="preserve"> PAGEREF _Toc167379838 \h </w:instrText>
            </w:r>
            <w:r>
              <w:rPr>
                <w:noProof/>
                <w:webHidden/>
              </w:rPr>
            </w:r>
            <w:r>
              <w:rPr>
                <w:noProof/>
                <w:webHidden/>
              </w:rPr>
              <w:fldChar w:fldCharType="separate"/>
            </w:r>
            <w:r w:rsidR="0026489B">
              <w:rPr>
                <w:noProof/>
                <w:webHidden/>
              </w:rPr>
              <w:t>ii</w:t>
            </w:r>
            <w:r>
              <w:rPr>
                <w:noProof/>
                <w:webHidden/>
              </w:rPr>
              <w:fldChar w:fldCharType="end"/>
            </w:r>
          </w:hyperlink>
        </w:p>
        <w:p w14:paraId="75D16D16" w14:textId="00DD160B"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39" w:history="1">
            <w:r w:rsidRPr="00E36E15">
              <w:rPr>
                <w:rStyle w:val="Hyperlink"/>
                <w:noProof/>
              </w:rPr>
              <w:t>DEDICATION</w:t>
            </w:r>
            <w:r>
              <w:rPr>
                <w:noProof/>
                <w:webHidden/>
              </w:rPr>
              <w:tab/>
            </w:r>
            <w:r>
              <w:rPr>
                <w:noProof/>
                <w:webHidden/>
              </w:rPr>
              <w:fldChar w:fldCharType="begin"/>
            </w:r>
            <w:r>
              <w:rPr>
                <w:noProof/>
                <w:webHidden/>
              </w:rPr>
              <w:instrText xml:space="preserve"> PAGEREF _Toc167379839 \h </w:instrText>
            </w:r>
            <w:r>
              <w:rPr>
                <w:noProof/>
                <w:webHidden/>
              </w:rPr>
            </w:r>
            <w:r>
              <w:rPr>
                <w:noProof/>
                <w:webHidden/>
              </w:rPr>
              <w:fldChar w:fldCharType="separate"/>
            </w:r>
            <w:r w:rsidR="0026489B">
              <w:rPr>
                <w:noProof/>
                <w:webHidden/>
              </w:rPr>
              <w:t>iii</w:t>
            </w:r>
            <w:r>
              <w:rPr>
                <w:noProof/>
                <w:webHidden/>
              </w:rPr>
              <w:fldChar w:fldCharType="end"/>
            </w:r>
          </w:hyperlink>
        </w:p>
        <w:p w14:paraId="7E52EE08" w14:textId="61E9886C"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40" w:history="1">
            <w:r w:rsidRPr="00E36E15">
              <w:rPr>
                <w:rStyle w:val="Hyperlink"/>
                <w:noProof/>
              </w:rPr>
              <w:t>TABLE OF CONTENTS</w:t>
            </w:r>
            <w:r>
              <w:rPr>
                <w:noProof/>
                <w:webHidden/>
              </w:rPr>
              <w:tab/>
            </w:r>
            <w:r>
              <w:rPr>
                <w:noProof/>
                <w:webHidden/>
              </w:rPr>
              <w:fldChar w:fldCharType="begin"/>
            </w:r>
            <w:r>
              <w:rPr>
                <w:noProof/>
                <w:webHidden/>
              </w:rPr>
              <w:instrText xml:space="preserve"> PAGEREF _Toc167379840 \h </w:instrText>
            </w:r>
            <w:r>
              <w:rPr>
                <w:noProof/>
                <w:webHidden/>
              </w:rPr>
            </w:r>
            <w:r>
              <w:rPr>
                <w:noProof/>
                <w:webHidden/>
              </w:rPr>
              <w:fldChar w:fldCharType="separate"/>
            </w:r>
            <w:r w:rsidR="0026489B">
              <w:rPr>
                <w:noProof/>
                <w:webHidden/>
              </w:rPr>
              <w:t>iv</w:t>
            </w:r>
            <w:r>
              <w:rPr>
                <w:noProof/>
                <w:webHidden/>
              </w:rPr>
              <w:fldChar w:fldCharType="end"/>
            </w:r>
          </w:hyperlink>
        </w:p>
        <w:p w14:paraId="4E82B1A6" w14:textId="06764EEA"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41" w:history="1">
            <w:r w:rsidRPr="00E36E15">
              <w:rPr>
                <w:rStyle w:val="Hyperlink"/>
                <w:noProof/>
              </w:rPr>
              <w:t>LIST OF FIGURES</w:t>
            </w:r>
            <w:r>
              <w:rPr>
                <w:noProof/>
                <w:webHidden/>
              </w:rPr>
              <w:tab/>
            </w:r>
            <w:r>
              <w:rPr>
                <w:noProof/>
                <w:webHidden/>
              </w:rPr>
              <w:fldChar w:fldCharType="begin"/>
            </w:r>
            <w:r>
              <w:rPr>
                <w:noProof/>
                <w:webHidden/>
              </w:rPr>
              <w:instrText xml:space="preserve"> PAGEREF _Toc167379841 \h </w:instrText>
            </w:r>
            <w:r>
              <w:rPr>
                <w:noProof/>
                <w:webHidden/>
              </w:rPr>
            </w:r>
            <w:r>
              <w:rPr>
                <w:noProof/>
                <w:webHidden/>
              </w:rPr>
              <w:fldChar w:fldCharType="separate"/>
            </w:r>
            <w:r w:rsidR="0026489B">
              <w:rPr>
                <w:noProof/>
                <w:webHidden/>
              </w:rPr>
              <w:t>x</w:t>
            </w:r>
            <w:r>
              <w:rPr>
                <w:noProof/>
                <w:webHidden/>
              </w:rPr>
              <w:fldChar w:fldCharType="end"/>
            </w:r>
          </w:hyperlink>
        </w:p>
        <w:p w14:paraId="06E61A2E" w14:textId="2DD7468F"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42" w:history="1">
            <w:r w:rsidRPr="00E36E15">
              <w:rPr>
                <w:rStyle w:val="Hyperlink"/>
                <w:noProof/>
              </w:rPr>
              <w:t>LIST OF TABLES</w:t>
            </w:r>
            <w:r>
              <w:rPr>
                <w:noProof/>
                <w:webHidden/>
              </w:rPr>
              <w:tab/>
            </w:r>
            <w:r>
              <w:rPr>
                <w:noProof/>
                <w:webHidden/>
              </w:rPr>
              <w:fldChar w:fldCharType="begin"/>
            </w:r>
            <w:r>
              <w:rPr>
                <w:noProof/>
                <w:webHidden/>
              </w:rPr>
              <w:instrText xml:space="preserve"> PAGEREF _Toc167379842 \h </w:instrText>
            </w:r>
            <w:r>
              <w:rPr>
                <w:noProof/>
                <w:webHidden/>
              </w:rPr>
            </w:r>
            <w:r>
              <w:rPr>
                <w:noProof/>
                <w:webHidden/>
              </w:rPr>
              <w:fldChar w:fldCharType="separate"/>
            </w:r>
            <w:r w:rsidR="0026489B">
              <w:rPr>
                <w:noProof/>
                <w:webHidden/>
              </w:rPr>
              <w:t>xi</w:t>
            </w:r>
            <w:r>
              <w:rPr>
                <w:noProof/>
                <w:webHidden/>
              </w:rPr>
              <w:fldChar w:fldCharType="end"/>
            </w:r>
          </w:hyperlink>
        </w:p>
        <w:p w14:paraId="44870744" w14:textId="30E31A54"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43" w:history="1">
            <w:r w:rsidRPr="00E36E15">
              <w:rPr>
                <w:rStyle w:val="Hyperlink"/>
                <w:noProof/>
              </w:rPr>
              <w:t>LIST OF ACRONYMS/ABBREVIATIONS</w:t>
            </w:r>
            <w:r>
              <w:rPr>
                <w:noProof/>
                <w:webHidden/>
              </w:rPr>
              <w:tab/>
            </w:r>
            <w:r>
              <w:rPr>
                <w:noProof/>
                <w:webHidden/>
              </w:rPr>
              <w:fldChar w:fldCharType="begin"/>
            </w:r>
            <w:r>
              <w:rPr>
                <w:noProof/>
                <w:webHidden/>
              </w:rPr>
              <w:instrText xml:space="preserve"> PAGEREF _Toc167379843 \h </w:instrText>
            </w:r>
            <w:r>
              <w:rPr>
                <w:noProof/>
                <w:webHidden/>
              </w:rPr>
            </w:r>
            <w:r>
              <w:rPr>
                <w:noProof/>
                <w:webHidden/>
              </w:rPr>
              <w:fldChar w:fldCharType="separate"/>
            </w:r>
            <w:r w:rsidR="0026489B">
              <w:rPr>
                <w:noProof/>
                <w:webHidden/>
              </w:rPr>
              <w:t>xii</w:t>
            </w:r>
            <w:r>
              <w:rPr>
                <w:noProof/>
                <w:webHidden/>
              </w:rPr>
              <w:fldChar w:fldCharType="end"/>
            </w:r>
          </w:hyperlink>
        </w:p>
        <w:p w14:paraId="0B2E8A28" w14:textId="295792D0"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44" w:history="1">
            <w:r w:rsidRPr="00E36E15">
              <w:rPr>
                <w:rStyle w:val="Hyperlink"/>
                <w:noProof/>
              </w:rPr>
              <w:t>ABSTRACT</w:t>
            </w:r>
            <w:r>
              <w:rPr>
                <w:noProof/>
                <w:webHidden/>
              </w:rPr>
              <w:tab/>
            </w:r>
            <w:r>
              <w:rPr>
                <w:noProof/>
                <w:webHidden/>
              </w:rPr>
              <w:fldChar w:fldCharType="begin"/>
            </w:r>
            <w:r>
              <w:rPr>
                <w:noProof/>
                <w:webHidden/>
              </w:rPr>
              <w:instrText xml:space="preserve"> PAGEREF _Toc167379844 \h </w:instrText>
            </w:r>
            <w:r>
              <w:rPr>
                <w:noProof/>
                <w:webHidden/>
              </w:rPr>
            </w:r>
            <w:r>
              <w:rPr>
                <w:noProof/>
                <w:webHidden/>
              </w:rPr>
              <w:fldChar w:fldCharType="separate"/>
            </w:r>
            <w:r w:rsidR="0026489B">
              <w:rPr>
                <w:noProof/>
                <w:webHidden/>
              </w:rPr>
              <w:t>xiv</w:t>
            </w:r>
            <w:r>
              <w:rPr>
                <w:noProof/>
                <w:webHidden/>
              </w:rPr>
              <w:fldChar w:fldCharType="end"/>
            </w:r>
          </w:hyperlink>
        </w:p>
        <w:p w14:paraId="1376DAD4" w14:textId="0D2756CF"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45" w:history="1">
            <w:r w:rsidRPr="00E36E15">
              <w:rPr>
                <w:rStyle w:val="Hyperlink"/>
                <w:noProof/>
              </w:rPr>
              <w:t>CHAPTER ONE</w:t>
            </w:r>
            <w:r>
              <w:rPr>
                <w:noProof/>
                <w:webHidden/>
              </w:rPr>
              <w:tab/>
            </w:r>
            <w:r>
              <w:rPr>
                <w:noProof/>
                <w:webHidden/>
              </w:rPr>
              <w:fldChar w:fldCharType="begin"/>
            </w:r>
            <w:r>
              <w:rPr>
                <w:noProof/>
                <w:webHidden/>
              </w:rPr>
              <w:instrText xml:space="preserve"> PAGEREF _Toc167379845 \h </w:instrText>
            </w:r>
            <w:r>
              <w:rPr>
                <w:noProof/>
                <w:webHidden/>
              </w:rPr>
            </w:r>
            <w:r>
              <w:rPr>
                <w:noProof/>
                <w:webHidden/>
              </w:rPr>
              <w:fldChar w:fldCharType="separate"/>
            </w:r>
            <w:r w:rsidR="0026489B">
              <w:rPr>
                <w:noProof/>
                <w:webHidden/>
              </w:rPr>
              <w:t>1</w:t>
            </w:r>
            <w:r>
              <w:rPr>
                <w:noProof/>
                <w:webHidden/>
              </w:rPr>
              <w:fldChar w:fldCharType="end"/>
            </w:r>
          </w:hyperlink>
        </w:p>
        <w:p w14:paraId="51B5B6A1" w14:textId="01206C5C"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46" w:history="1">
            <w:r w:rsidRPr="00E36E15">
              <w:rPr>
                <w:rStyle w:val="Hyperlink"/>
                <w:noProof/>
              </w:rPr>
              <w:t>GENERAL INTRODUCTION</w:t>
            </w:r>
            <w:r>
              <w:rPr>
                <w:noProof/>
                <w:webHidden/>
              </w:rPr>
              <w:tab/>
            </w:r>
            <w:r>
              <w:rPr>
                <w:noProof/>
                <w:webHidden/>
              </w:rPr>
              <w:fldChar w:fldCharType="begin"/>
            </w:r>
            <w:r>
              <w:rPr>
                <w:noProof/>
                <w:webHidden/>
              </w:rPr>
              <w:instrText xml:space="preserve"> PAGEREF _Toc167379846 \h </w:instrText>
            </w:r>
            <w:r>
              <w:rPr>
                <w:noProof/>
                <w:webHidden/>
              </w:rPr>
            </w:r>
            <w:r>
              <w:rPr>
                <w:noProof/>
                <w:webHidden/>
              </w:rPr>
              <w:fldChar w:fldCharType="separate"/>
            </w:r>
            <w:r w:rsidR="0026489B">
              <w:rPr>
                <w:noProof/>
                <w:webHidden/>
              </w:rPr>
              <w:t>1</w:t>
            </w:r>
            <w:r>
              <w:rPr>
                <w:noProof/>
                <w:webHidden/>
              </w:rPr>
              <w:fldChar w:fldCharType="end"/>
            </w:r>
          </w:hyperlink>
        </w:p>
        <w:p w14:paraId="432C207F" w14:textId="45E05E53"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47" w:history="1">
            <w:r w:rsidRPr="00E36E15">
              <w:rPr>
                <w:rStyle w:val="Hyperlink"/>
                <w:noProof/>
              </w:rPr>
              <w:t>1.1 Background to the Study</w:t>
            </w:r>
            <w:r>
              <w:rPr>
                <w:noProof/>
                <w:webHidden/>
              </w:rPr>
              <w:tab/>
            </w:r>
            <w:r>
              <w:rPr>
                <w:noProof/>
                <w:webHidden/>
              </w:rPr>
              <w:fldChar w:fldCharType="begin"/>
            </w:r>
            <w:r>
              <w:rPr>
                <w:noProof/>
                <w:webHidden/>
              </w:rPr>
              <w:instrText xml:space="preserve"> PAGEREF _Toc167379847 \h </w:instrText>
            </w:r>
            <w:r>
              <w:rPr>
                <w:noProof/>
                <w:webHidden/>
              </w:rPr>
            </w:r>
            <w:r>
              <w:rPr>
                <w:noProof/>
                <w:webHidden/>
              </w:rPr>
              <w:fldChar w:fldCharType="separate"/>
            </w:r>
            <w:r w:rsidR="0026489B">
              <w:rPr>
                <w:noProof/>
                <w:webHidden/>
              </w:rPr>
              <w:t>1</w:t>
            </w:r>
            <w:r>
              <w:rPr>
                <w:noProof/>
                <w:webHidden/>
              </w:rPr>
              <w:fldChar w:fldCharType="end"/>
            </w:r>
          </w:hyperlink>
        </w:p>
        <w:p w14:paraId="0EE77218" w14:textId="5B68D6AF"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48" w:history="1">
            <w:r w:rsidRPr="00E36E15">
              <w:rPr>
                <w:rStyle w:val="Hyperlink"/>
                <w:noProof/>
              </w:rPr>
              <w:t>1.2 Problem Statement</w:t>
            </w:r>
            <w:r>
              <w:rPr>
                <w:noProof/>
                <w:webHidden/>
              </w:rPr>
              <w:tab/>
            </w:r>
            <w:r>
              <w:rPr>
                <w:noProof/>
                <w:webHidden/>
              </w:rPr>
              <w:fldChar w:fldCharType="begin"/>
            </w:r>
            <w:r>
              <w:rPr>
                <w:noProof/>
                <w:webHidden/>
              </w:rPr>
              <w:instrText xml:space="preserve"> PAGEREF _Toc167379848 \h </w:instrText>
            </w:r>
            <w:r>
              <w:rPr>
                <w:noProof/>
                <w:webHidden/>
              </w:rPr>
            </w:r>
            <w:r>
              <w:rPr>
                <w:noProof/>
                <w:webHidden/>
              </w:rPr>
              <w:fldChar w:fldCharType="separate"/>
            </w:r>
            <w:r w:rsidR="0026489B">
              <w:rPr>
                <w:noProof/>
                <w:webHidden/>
              </w:rPr>
              <w:t>6</w:t>
            </w:r>
            <w:r>
              <w:rPr>
                <w:noProof/>
                <w:webHidden/>
              </w:rPr>
              <w:fldChar w:fldCharType="end"/>
            </w:r>
          </w:hyperlink>
        </w:p>
        <w:p w14:paraId="6010C0E8" w14:textId="19942B03"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49" w:history="1">
            <w:r w:rsidRPr="00E36E15">
              <w:rPr>
                <w:rStyle w:val="Hyperlink"/>
                <w:noProof/>
              </w:rPr>
              <w:t>1.3 Research Questions</w:t>
            </w:r>
            <w:r>
              <w:rPr>
                <w:noProof/>
                <w:webHidden/>
              </w:rPr>
              <w:tab/>
            </w:r>
            <w:r>
              <w:rPr>
                <w:noProof/>
                <w:webHidden/>
              </w:rPr>
              <w:fldChar w:fldCharType="begin"/>
            </w:r>
            <w:r>
              <w:rPr>
                <w:noProof/>
                <w:webHidden/>
              </w:rPr>
              <w:instrText xml:space="preserve"> PAGEREF _Toc167379849 \h </w:instrText>
            </w:r>
            <w:r>
              <w:rPr>
                <w:noProof/>
                <w:webHidden/>
              </w:rPr>
            </w:r>
            <w:r>
              <w:rPr>
                <w:noProof/>
                <w:webHidden/>
              </w:rPr>
              <w:fldChar w:fldCharType="separate"/>
            </w:r>
            <w:r w:rsidR="0026489B">
              <w:rPr>
                <w:noProof/>
                <w:webHidden/>
              </w:rPr>
              <w:t>7</w:t>
            </w:r>
            <w:r>
              <w:rPr>
                <w:noProof/>
                <w:webHidden/>
              </w:rPr>
              <w:fldChar w:fldCharType="end"/>
            </w:r>
          </w:hyperlink>
        </w:p>
        <w:p w14:paraId="7DC57B57" w14:textId="71825342"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50" w:history="1">
            <w:r w:rsidRPr="00E36E15">
              <w:rPr>
                <w:rStyle w:val="Hyperlink"/>
                <w:noProof/>
              </w:rPr>
              <w:t>1.3.1 Main research question</w:t>
            </w:r>
            <w:r>
              <w:rPr>
                <w:noProof/>
                <w:webHidden/>
              </w:rPr>
              <w:tab/>
            </w:r>
            <w:r>
              <w:rPr>
                <w:noProof/>
                <w:webHidden/>
              </w:rPr>
              <w:fldChar w:fldCharType="begin"/>
            </w:r>
            <w:r>
              <w:rPr>
                <w:noProof/>
                <w:webHidden/>
              </w:rPr>
              <w:instrText xml:space="preserve"> PAGEREF _Toc167379850 \h </w:instrText>
            </w:r>
            <w:r>
              <w:rPr>
                <w:noProof/>
                <w:webHidden/>
              </w:rPr>
            </w:r>
            <w:r>
              <w:rPr>
                <w:noProof/>
                <w:webHidden/>
              </w:rPr>
              <w:fldChar w:fldCharType="separate"/>
            </w:r>
            <w:r w:rsidR="0026489B">
              <w:rPr>
                <w:noProof/>
                <w:webHidden/>
              </w:rPr>
              <w:t>7</w:t>
            </w:r>
            <w:r>
              <w:rPr>
                <w:noProof/>
                <w:webHidden/>
              </w:rPr>
              <w:fldChar w:fldCharType="end"/>
            </w:r>
          </w:hyperlink>
        </w:p>
        <w:p w14:paraId="1C19AA80" w14:textId="1997CF53"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51" w:history="1">
            <w:r w:rsidRPr="00E36E15">
              <w:rPr>
                <w:rStyle w:val="Hyperlink"/>
                <w:noProof/>
              </w:rPr>
              <w:t>1.3.2 Sub-research questions</w:t>
            </w:r>
            <w:r>
              <w:rPr>
                <w:noProof/>
                <w:webHidden/>
              </w:rPr>
              <w:tab/>
            </w:r>
            <w:r>
              <w:rPr>
                <w:noProof/>
                <w:webHidden/>
              </w:rPr>
              <w:fldChar w:fldCharType="begin"/>
            </w:r>
            <w:r>
              <w:rPr>
                <w:noProof/>
                <w:webHidden/>
              </w:rPr>
              <w:instrText xml:space="preserve"> PAGEREF _Toc167379851 \h </w:instrText>
            </w:r>
            <w:r>
              <w:rPr>
                <w:noProof/>
                <w:webHidden/>
              </w:rPr>
            </w:r>
            <w:r>
              <w:rPr>
                <w:noProof/>
                <w:webHidden/>
              </w:rPr>
              <w:fldChar w:fldCharType="separate"/>
            </w:r>
            <w:r w:rsidR="0026489B">
              <w:rPr>
                <w:noProof/>
                <w:webHidden/>
              </w:rPr>
              <w:t>7</w:t>
            </w:r>
            <w:r>
              <w:rPr>
                <w:noProof/>
                <w:webHidden/>
              </w:rPr>
              <w:fldChar w:fldCharType="end"/>
            </w:r>
          </w:hyperlink>
        </w:p>
        <w:p w14:paraId="1FAEA793" w14:textId="4F4024D6"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52" w:history="1">
            <w:r w:rsidRPr="00E36E15">
              <w:rPr>
                <w:rStyle w:val="Hyperlink"/>
                <w:noProof/>
              </w:rPr>
              <w:t>1.4 Research Objectives</w:t>
            </w:r>
            <w:r>
              <w:rPr>
                <w:noProof/>
                <w:webHidden/>
              </w:rPr>
              <w:tab/>
            </w:r>
            <w:r>
              <w:rPr>
                <w:noProof/>
                <w:webHidden/>
              </w:rPr>
              <w:fldChar w:fldCharType="begin"/>
            </w:r>
            <w:r>
              <w:rPr>
                <w:noProof/>
                <w:webHidden/>
              </w:rPr>
              <w:instrText xml:space="preserve"> PAGEREF _Toc167379852 \h </w:instrText>
            </w:r>
            <w:r>
              <w:rPr>
                <w:noProof/>
                <w:webHidden/>
              </w:rPr>
            </w:r>
            <w:r>
              <w:rPr>
                <w:noProof/>
                <w:webHidden/>
              </w:rPr>
              <w:fldChar w:fldCharType="separate"/>
            </w:r>
            <w:r w:rsidR="0026489B">
              <w:rPr>
                <w:noProof/>
                <w:webHidden/>
              </w:rPr>
              <w:t>8</w:t>
            </w:r>
            <w:r>
              <w:rPr>
                <w:noProof/>
                <w:webHidden/>
              </w:rPr>
              <w:fldChar w:fldCharType="end"/>
            </w:r>
          </w:hyperlink>
        </w:p>
        <w:p w14:paraId="0A5F794A" w14:textId="154C888C"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53" w:history="1">
            <w:r w:rsidRPr="00E36E15">
              <w:rPr>
                <w:rStyle w:val="Hyperlink"/>
                <w:noProof/>
              </w:rPr>
              <w:t>1.4.1 Main research objective</w:t>
            </w:r>
            <w:r>
              <w:rPr>
                <w:noProof/>
                <w:webHidden/>
              </w:rPr>
              <w:tab/>
            </w:r>
            <w:r>
              <w:rPr>
                <w:noProof/>
                <w:webHidden/>
              </w:rPr>
              <w:fldChar w:fldCharType="begin"/>
            </w:r>
            <w:r>
              <w:rPr>
                <w:noProof/>
                <w:webHidden/>
              </w:rPr>
              <w:instrText xml:space="preserve"> PAGEREF _Toc167379853 \h </w:instrText>
            </w:r>
            <w:r>
              <w:rPr>
                <w:noProof/>
                <w:webHidden/>
              </w:rPr>
            </w:r>
            <w:r>
              <w:rPr>
                <w:noProof/>
                <w:webHidden/>
              </w:rPr>
              <w:fldChar w:fldCharType="separate"/>
            </w:r>
            <w:r w:rsidR="0026489B">
              <w:rPr>
                <w:noProof/>
                <w:webHidden/>
              </w:rPr>
              <w:t>8</w:t>
            </w:r>
            <w:r>
              <w:rPr>
                <w:noProof/>
                <w:webHidden/>
              </w:rPr>
              <w:fldChar w:fldCharType="end"/>
            </w:r>
          </w:hyperlink>
        </w:p>
        <w:p w14:paraId="0BBCB8EB" w14:textId="265B41EB"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54" w:history="1">
            <w:r w:rsidRPr="00E36E15">
              <w:rPr>
                <w:rStyle w:val="Hyperlink"/>
                <w:noProof/>
              </w:rPr>
              <w:t>1.4.2 Specific objectives</w:t>
            </w:r>
            <w:r>
              <w:rPr>
                <w:noProof/>
                <w:webHidden/>
              </w:rPr>
              <w:tab/>
            </w:r>
            <w:r>
              <w:rPr>
                <w:noProof/>
                <w:webHidden/>
              </w:rPr>
              <w:fldChar w:fldCharType="begin"/>
            </w:r>
            <w:r>
              <w:rPr>
                <w:noProof/>
                <w:webHidden/>
              </w:rPr>
              <w:instrText xml:space="preserve"> PAGEREF _Toc167379854 \h </w:instrText>
            </w:r>
            <w:r>
              <w:rPr>
                <w:noProof/>
                <w:webHidden/>
              </w:rPr>
            </w:r>
            <w:r>
              <w:rPr>
                <w:noProof/>
                <w:webHidden/>
              </w:rPr>
              <w:fldChar w:fldCharType="separate"/>
            </w:r>
            <w:r w:rsidR="0026489B">
              <w:rPr>
                <w:noProof/>
                <w:webHidden/>
              </w:rPr>
              <w:t>8</w:t>
            </w:r>
            <w:r>
              <w:rPr>
                <w:noProof/>
                <w:webHidden/>
              </w:rPr>
              <w:fldChar w:fldCharType="end"/>
            </w:r>
          </w:hyperlink>
        </w:p>
        <w:p w14:paraId="620EC937" w14:textId="168983C3"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55" w:history="1">
            <w:r w:rsidRPr="00E36E15">
              <w:rPr>
                <w:rStyle w:val="Hyperlink"/>
                <w:noProof/>
              </w:rPr>
              <w:t>1.5 Scope of the Study</w:t>
            </w:r>
            <w:r>
              <w:rPr>
                <w:noProof/>
                <w:webHidden/>
              </w:rPr>
              <w:tab/>
            </w:r>
            <w:r>
              <w:rPr>
                <w:noProof/>
                <w:webHidden/>
              </w:rPr>
              <w:fldChar w:fldCharType="begin"/>
            </w:r>
            <w:r>
              <w:rPr>
                <w:noProof/>
                <w:webHidden/>
              </w:rPr>
              <w:instrText xml:space="preserve"> PAGEREF _Toc167379855 \h </w:instrText>
            </w:r>
            <w:r>
              <w:rPr>
                <w:noProof/>
                <w:webHidden/>
              </w:rPr>
            </w:r>
            <w:r>
              <w:rPr>
                <w:noProof/>
                <w:webHidden/>
              </w:rPr>
              <w:fldChar w:fldCharType="separate"/>
            </w:r>
            <w:r w:rsidR="0026489B">
              <w:rPr>
                <w:noProof/>
                <w:webHidden/>
              </w:rPr>
              <w:t>8</w:t>
            </w:r>
            <w:r>
              <w:rPr>
                <w:noProof/>
                <w:webHidden/>
              </w:rPr>
              <w:fldChar w:fldCharType="end"/>
            </w:r>
          </w:hyperlink>
        </w:p>
        <w:p w14:paraId="6C4A2582" w14:textId="28A8797A"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56" w:history="1">
            <w:r w:rsidRPr="00E36E15">
              <w:rPr>
                <w:rStyle w:val="Hyperlink"/>
                <w:noProof/>
              </w:rPr>
              <w:t>1.6 Significance of the Study</w:t>
            </w:r>
            <w:r>
              <w:rPr>
                <w:noProof/>
                <w:webHidden/>
              </w:rPr>
              <w:tab/>
            </w:r>
            <w:r>
              <w:rPr>
                <w:noProof/>
                <w:webHidden/>
              </w:rPr>
              <w:fldChar w:fldCharType="begin"/>
            </w:r>
            <w:r>
              <w:rPr>
                <w:noProof/>
                <w:webHidden/>
              </w:rPr>
              <w:instrText xml:space="preserve"> PAGEREF _Toc167379856 \h </w:instrText>
            </w:r>
            <w:r>
              <w:rPr>
                <w:noProof/>
                <w:webHidden/>
              </w:rPr>
            </w:r>
            <w:r>
              <w:rPr>
                <w:noProof/>
                <w:webHidden/>
              </w:rPr>
              <w:fldChar w:fldCharType="separate"/>
            </w:r>
            <w:r w:rsidR="0026489B">
              <w:rPr>
                <w:noProof/>
                <w:webHidden/>
              </w:rPr>
              <w:t>8</w:t>
            </w:r>
            <w:r>
              <w:rPr>
                <w:noProof/>
                <w:webHidden/>
              </w:rPr>
              <w:fldChar w:fldCharType="end"/>
            </w:r>
          </w:hyperlink>
        </w:p>
        <w:p w14:paraId="738DE6F5" w14:textId="26473162"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57" w:history="1">
            <w:r w:rsidRPr="00E36E15">
              <w:rPr>
                <w:rStyle w:val="Hyperlink"/>
                <w:noProof/>
              </w:rPr>
              <w:t>1.7 Organization of the Study</w:t>
            </w:r>
            <w:r>
              <w:rPr>
                <w:noProof/>
                <w:webHidden/>
              </w:rPr>
              <w:tab/>
            </w:r>
            <w:r>
              <w:rPr>
                <w:noProof/>
                <w:webHidden/>
              </w:rPr>
              <w:fldChar w:fldCharType="begin"/>
            </w:r>
            <w:r>
              <w:rPr>
                <w:noProof/>
                <w:webHidden/>
              </w:rPr>
              <w:instrText xml:space="preserve"> PAGEREF _Toc167379857 \h </w:instrText>
            </w:r>
            <w:r>
              <w:rPr>
                <w:noProof/>
                <w:webHidden/>
              </w:rPr>
            </w:r>
            <w:r>
              <w:rPr>
                <w:noProof/>
                <w:webHidden/>
              </w:rPr>
              <w:fldChar w:fldCharType="separate"/>
            </w:r>
            <w:r w:rsidR="0026489B">
              <w:rPr>
                <w:noProof/>
                <w:webHidden/>
              </w:rPr>
              <w:t>9</w:t>
            </w:r>
            <w:r>
              <w:rPr>
                <w:noProof/>
                <w:webHidden/>
              </w:rPr>
              <w:fldChar w:fldCharType="end"/>
            </w:r>
          </w:hyperlink>
        </w:p>
        <w:p w14:paraId="25E2333A" w14:textId="3328A586"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58" w:history="1">
            <w:r w:rsidRPr="00E36E15">
              <w:rPr>
                <w:rStyle w:val="Hyperlink"/>
                <w:noProof/>
              </w:rPr>
              <w:t>1.8 Limitations of the Study</w:t>
            </w:r>
            <w:r>
              <w:rPr>
                <w:noProof/>
                <w:webHidden/>
              </w:rPr>
              <w:tab/>
            </w:r>
            <w:r>
              <w:rPr>
                <w:noProof/>
                <w:webHidden/>
              </w:rPr>
              <w:fldChar w:fldCharType="begin"/>
            </w:r>
            <w:r>
              <w:rPr>
                <w:noProof/>
                <w:webHidden/>
              </w:rPr>
              <w:instrText xml:space="preserve"> PAGEREF _Toc167379858 \h </w:instrText>
            </w:r>
            <w:r>
              <w:rPr>
                <w:noProof/>
                <w:webHidden/>
              </w:rPr>
            </w:r>
            <w:r>
              <w:rPr>
                <w:noProof/>
                <w:webHidden/>
              </w:rPr>
              <w:fldChar w:fldCharType="separate"/>
            </w:r>
            <w:r w:rsidR="0026489B">
              <w:rPr>
                <w:noProof/>
                <w:webHidden/>
              </w:rPr>
              <w:t>10</w:t>
            </w:r>
            <w:r>
              <w:rPr>
                <w:noProof/>
                <w:webHidden/>
              </w:rPr>
              <w:fldChar w:fldCharType="end"/>
            </w:r>
          </w:hyperlink>
        </w:p>
        <w:p w14:paraId="71D3F309" w14:textId="1CA236FB"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59" w:history="1">
            <w:r w:rsidRPr="00E36E15">
              <w:rPr>
                <w:rStyle w:val="Hyperlink"/>
                <w:noProof/>
              </w:rPr>
              <w:t>CHAPTER TWO</w:t>
            </w:r>
            <w:r>
              <w:rPr>
                <w:noProof/>
                <w:webHidden/>
              </w:rPr>
              <w:tab/>
            </w:r>
            <w:r>
              <w:rPr>
                <w:noProof/>
                <w:webHidden/>
              </w:rPr>
              <w:fldChar w:fldCharType="begin"/>
            </w:r>
            <w:r>
              <w:rPr>
                <w:noProof/>
                <w:webHidden/>
              </w:rPr>
              <w:instrText xml:space="preserve"> PAGEREF _Toc167379859 \h </w:instrText>
            </w:r>
            <w:r>
              <w:rPr>
                <w:noProof/>
                <w:webHidden/>
              </w:rPr>
            </w:r>
            <w:r>
              <w:rPr>
                <w:noProof/>
                <w:webHidden/>
              </w:rPr>
              <w:fldChar w:fldCharType="separate"/>
            </w:r>
            <w:r w:rsidR="0026489B">
              <w:rPr>
                <w:noProof/>
                <w:webHidden/>
              </w:rPr>
              <w:t>11</w:t>
            </w:r>
            <w:r>
              <w:rPr>
                <w:noProof/>
                <w:webHidden/>
              </w:rPr>
              <w:fldChar w:fldCharType="end"/>
            </w:r>
          </w:hyperlink>
        </w:p>
        <w:p w14:paraId="6B1F9E99" w14:textId="7C848FAF"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60" w:history="1">
            <w:r w:rsidRPr="00E36E15">
              <w:rPr>
                <w:rStyle w:val="Hyperlink"/>
                <w:noProof/>
              </w:rPr>
              <w:t>LITERATURE REVIEW</w:t>
            </w:r>
            <w:r>
              <w:rPr>
                <w:noProof/>
                <w:webHidden/>
              </w:rPr>
              <w:tab/>
            </w:r>
            <w:r>
              <w:rPr>
                <w:noProof/>
                <w:webHidden/>
              </w:rPr>
              <w:fldChar w:fldCharType="begin"/>
            </w:r>
            <w:r>
              <w:rPr>
                <w:noProof/>
                <w:webHidden/>
              </w:rPr>
              <w:instrText xml:space="preserve"> PAGEREF _Toc167379860 \h </w:instrText>
            </w:r>
            <w:r>
              <w:rPr>
                <w:noProof/>
                <w:webHidden/>
              </w:rPr>
            </w:r>
            <w:r>
              <w:rPr>
                <w:noProof/>
                <w:webHidden/>
              </w:rPr>
              <w:fldChar w:fldCharType="separate"/>
            </w:r>
            <w:r w:rsidR="0026489B">
              <w:rPr>
                <w:noProof/>
                <w:webHidden/>
              </w:rPr>
              <w:t>11</w:t>
            </w:r>
            <w:r>
              <w:rPr>
                <w:noProof/>
                <w:webHidden/>
              </w:rPr>
              <w:fldChar w:fldCharType="end"/>
            </w:r>
          </w:hyperlink>
        </w:p>
        <w:p w14:paraId="37143703" w14:textId="1ADB7ED2"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61" w:history="1">
            <w:r w:rsidRPr="00E36E15">
              <w:rPr>
                <w:rStyle w:val="Hyperlink"/>
                <w:noProof/>
              </w:rPr>
              <w:t>2.1 Introduction</w:t>
            </w:r>
            <w:r>
              <w:rPr>
                <w:noProof/>
                <w:webHidden/>
              </w:rPr>
              <w:tab/>
            </w:r>
            <w:r>
              <w:rPr>
                <w:noProof/>
                <w:webHidden/>
              </w:rPr>
              <w:fldChar w:fldCharType="begin"/>
            </w:r>
            <w:r>
              <w:rPr>
                <w:noProof/>
                <w:webHidden/>
              </w:rPr>
              <w:instrText xml:space="preserve"> PAGEREF _Toc167379861 \h </w:instrText>
            </w:r>
            <w:r>
              <w:rPr>
                <w:noProof/>
                <w:webHidden/>
              </w:rPr>
            </w:r>
            <w:r>
              <w:rPr>
                <w:noProof/>
                <w:webHidden/>
              </w:rPr>
              <w:fldChar w:fldCharType="separate"/>
            </w:r>
            <w:r w:rsidR="0026489B">
              <w:rPr>
                <w:noProof/>
                <w:webHidden/>
              </w:rPr>
              <w:t>11</w:t>
            </w:r>
            <w:r>
              <w:rPr>
                <w:noProof/>
                <w:webHidden/>
              </w:rPr>
              <w:fldChar w:fldCharType="end"/>
            </w:r>
          </w:hyperlink>
        </w:p>
        <w:p w14:paraId="1D8F496E" w14:textId="312F6D1F"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62" w:history="1">
            <w:r w:rsidRPr="00E36E15">
              <w:rPr>
                <w:rStyle w:val="Hyperlink"/>
                <w:noProof/>
              </w:rPr>
              <w:t>2.2 Conceptual Overview</w:t>
            </w:r>
            <w:r>
              <w:rPr>
                <w:noProof/>
                <w:webHidden/>
              </w:rPr>
              <w:tab/>
            </w:r>
            <w:r>
              <w:rPr>
                <w:noProof/>
                <w:webHidden/>
              </w:rPr>
              <w:fldChar w:fldCharType="begin"/>
            </w:r>
            <w:r>
              <w:rPr>
                <w:noProof/>
                <w:webHidden/>
              </w:rPr>
              <w:instrText xml:space="preserve"> PAGEREF _Toc167379862 \h </w:instrText>
            </w:r>
            <w:r>
              <w:rPr>
                <w:noProof/>
                <w:webHidden/>
              </w:rPr>
            </w:r>
            <w:r>
              <w:rPr>
                <w:noProof/>
                <w:webHidden/>
              </w:rPr>
              <w:fldChar w:fldCharType="separate"/>
            </w:r>
            <w:r w:rsidR="0026489B">
              <w:rPr>
                <w:noProof/>
                <w:webHidden/>
              </w:rPr>
              <w:t>11</w:t>
            </w:r>
            <w:r>
              <w:rPr>
                <w:noProof/>
                <w:webHidden/>
              </w:rPr>
              <w:fldChar w:fldCharType="end"/>
            </w:r>
          </w:hyperlink>
        </w:p>
        <w:p w14:paraId="1D00C48C" w14:textId="7B1010BD"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63" w:history="1">
            <w:r w:rsidRPr="00E36E15">
              <w:rPr>
                <w:rStyle w:val="Hyperlink"/>
                <w:noProof/>
              </w:rPr>
              <w:t>2.2.1 Urban and urban agriculture</w:t>
            </w:r>
            <w:r>
              <w:rPr>
                <w:noProof/>
                <w:webHidden/>
              </w:rPr>
              <w:tab/>
            </w:r>
            <w:r>
              <w:rPr>
                <w:noProof/>
                <w:webHidden/>
              </w:rPr>
              <w:fldChar w:fldCharType="begin"/>
            </w:r>
            <w:r>
              <w:rPr>
                <w:noProof/>
                <w:webHidden/>
              </w:rPr>
              <w:instrText xml:space="preserve"> PAGEREF _Toc167379863 \h </w:instrText>
            </w:r>
            <w:r>
              <w:rPr>
                <w:noProof/>
                <w:webHidden/>
              </w:rPr>
            </w:r>
            <w:r>
              <w:rPr>
                <w:noProof/>
                <w:webHidden/>
              </w:rPr>
              <w:fldChar w:fldCharType="separate"/>
            </w:r>
            <w:r w:rsidR="0026489B">
              <w:rPr>
                <w:noProof/>
                <w:webHidden/>
              </w:rPr>
              <w:t>11</w:t>
            </w:r>
            <w:r>
              <w:rPr>
                <w:noProof/>
                <w:webHidden/>
              </w:rPr>
              <w:fldChar w:fldCharType="end"/>
            </w:r>
          </w:hyperlink>
        </w:p>
        <w:p w14:paraId="4181028E" w14:textId="06508F78"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64" w:history="1">
            <w:r w:rsidRPr="00E36E15">
              <w:rPr>
                <w:rStyle w:val="Hyperlink"/>
                <w:noProof/>
              </w:rPr>
              <w:t>2.2.2 Climate change and climate change adaptations</w:t>
            </w:r>
            <w:r>
              <w:rPr>
                <w:noProof/>
                <w:webHidden/>
              </w:rPr>
              <w:tab/>
            </w:r>
            <w:r>
              <w:rPr>
                <w:noProof/>
                <w:webHidden/>
              </w:rPr>
              <w:fldChar w:fldCharType="begin"/>
            </w:r>
            <w:r>
              <w:rPr>
                <w:noProof/>
                <w:webHidden/>
              </w:rPr>
              <w:instrText xml:space="preserve"> PAGEREF _Toc167379864 \h </w:instrText>
            </w:r>
            <w:r>
              <w:rPr>
                <w:noProof/>
                <w:webHidden/>
              </w:rPr>
            </w:r>
            <w:r>
              <w:rPr>
                <w:noProof/>
                <w:webHidden/>
              </w:rPr>
              <w:fldChar w:fldCharType="separate"/>
            </w:r>
            <w:r w:rsidR="0026489B">
              <w:rPr>
                <w:noProof/>
                <w:webHidden/>
              </w:rPr>
              <w:t>12</w:t>
            </w:r>
            <w:r>
              <w:rPr>
                <w:noProof/>
                <w:webHidden/>
              </w:rPr>
              <w:fldChar w:fldCharType="end"/>
            </w:r>
          </w:hyperlink>
        </w:p>
        <w:p w14:paraId="0D4BD74F" w14:textId="212DD34B"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65" w:history="1">
            <w:r w:rsidRPr="00E36E15">
              <w:rPr>
                <w:rStyle w:val="Hyperlink"/>
                <w:noProof/>
              </w:rPr>
              <w:t>2.3 History of Urban Agriculture</w:t>
            </w:r>
            <w:r>
              <w:rPr>
                <w:noProof/>
                <w:webHidden/>
              </w:rPr>
              <w:tab/>
            </w:r>
            <w:r>
              <w:rPr>
                <w:noProof/>
                <w:webHidden/>
              </w:rPr>
              <w:fldChar w:fldCharType="begin"/>
            </w:r>
            <w:r>
              <w:rPr>
                <w:noProof/>
                <w:webHidden/>
              </w:rPr>
              <w:instrText xml:space="preserve"> PAGEREF _Toc167379865 \h </w:instrText>
            </w:r>
            <w:r>
              <w:rPr>
                <w:noProof/>
                <w:webHidden/>
              </w:rPr>
            </w:r>
            <w:r>
              <w:rPr>
                <w:noProof/>
                <w:webHidden/>
              </w:rPr>
              <w:fldChar w:fldCharType="separate"/>
            </w:r>
            <w:r w:rsidR="0026489B">
              <w:rPr>
                <w:noProof/>
                <w:webHidden/>
              </w:rPr>
              <w:t>12</w:t>
            </w:r>
            <w:r>
              <w:rPr>
                <w:noProof/>
                <w:webHidden/>
              </w:rPr>
              <w:fldChar w:fldCharType="end"/>
            </w:r>
          </w:hyperlink>
        </w:p>
        <w:p w14:paraId="318F9D62" w14:textId="521964E6"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66" w:history="1">
            <w:r w:rsidRPr="00E36E15">
              <w:rPr>
                <w:rStyle w:val="Hyperlink"/>
                <w:noProof/>
              </w:rPr>
              <w:t>2.4 Characteristics of Urban Farming</w:t>
            </w:r>
            <w:r>
              <w:rPr>
                <w:noProof/>
                <w:webHidden/>
              </w:rPr>
              <w:tab/>
            </w:r>
            <w:r>
              <w:rPr>
                <w:noProof/>
                <w:webHidden/>
              </w:rPr>
              <w:fldChar w:fldCharType="begin"/>
            </w:r>
            <w:r>
              <w:rPr>
                <w:noProof/>
                <w:webHidden/>
              </w:rPr>
              <w:instrText xml:space="preserve"> PAGEREF _Toc167379866 \h </w:instrText>
            </w:r>
            <w:r>
              <w:rPr>
                <w:noProof/>
                <w:webHidden/>
              </w:rPr>
            </w:r>
            <w:r>
              <w:rPr>
                <w:noProof/>
                <w:webHidden/>
              </w:rPr>
              <w:fldChar w:fldCharType="separate"/>
            </w:r>
            <w:r w:rsidR="0026489B">
              <w:rPr>
                <w:noProof/>
                <w:webHidden/>
              </w:rPr>
              <w:t>14</w:t>
            </w:r>
            <w:r>
              <w:rPr>
                <w:noProof/>
                <w:webHidden/>
              </w:rPr>
              <w:fldChar w:fldCharType="end"/>
            </w:r>
          </w:hyperlink>
        </w:p>
        <w:p w14:paraId="6D958E78" w14:textId="55857DCA"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67" w:history="1">
            <w:r w:rsidRPr="00E36E15">
              <w:rPr>
                <w:rStyle w:val="Hyperlink"/>
                <w:noProof/>
              </w:rPr>
              <w:t>2.4.1 Challenges urban agriculture pose to cities</w:t>
            </w:r>
            <w:r>
              <w:rPr>
                <w:noProof/>
                <w:webHidden/>
              </w:rPr>
              <w:tab/>
            </w:r>
            <w:r>
              <w:rPr>
                <w:noProof/>
                <w:webHidden/>
              </w:rPr>
              <w:fldChar w:fldCharType="begin"/>
            </w:r>
            <w:r>
              <w:rPr>
                <w:noProof/>
                <w:webHidden/>
              </w:rPr>
              <w:instrText xml:space="preserve"> PAGEREF _Toc167379867 \h </w:instrText>
            </w:r>
            <w:r>
              <w:rPr>
                <w:noProof/>
                <w:webHidden/>
              </w:rPr>
            </w:r>
            <w:r>
              <w:rPr>
                <w:noProof/>
                <w:webHidden/>
              </w:rPr>
              <w:fldChar w:fldCharType="separate"/>
            </w:r>
            <w:r w:rsidR="0026489B">
              <w:rPr>
                <w:noProof/>
                <w:webHidden/>
              </w:rPr>
              <w:t>16</w:t>
            </w:r>
            <w:r>
              <w:rPr>
                <w:noProof/>
                <w:webHidden/>
              </w:rPr>
              <w:fldChar w:fldCharType="end"/>
            </w:r>
          </w:hyperlink>
        </w:p>
        <w:p w14:paraId="1D877194" w14:textId="571E3C9E"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68" w:history="1">
            <w:r w:rsidRPr="00E36E15">
              <w:rPr>
                <w:rStyle w:val="Hyperlink"/>
                <w:noProof/>
              </w:rPr>
              <w:t>2.5 Sustainable Urban Development and Livelihoods Implications of Urban Agriculture</w:t>
            </w:r>
            <w:r>
              <w:rPr>
                <w:noProof/>
                <w:webHidden/>
              </w:rPr>
              <w:tab/>
            </w:r>
            <w:r>
              <w:rPr>
                <w:noProof/>
                <w:webHidden/>
              </w:rPr>
              <w:fldChar w:fldCharType="begin"/>
            </w:r>
            <w:r>
              <w:rPr>
                <w:noProof/>
                <w:webHidden/>
              </w:rPr>
              <w:instrText xml:space="preserve"> PAGEREF _Toc167379868 \h </w:instrText>
            </w:r>
            <w:r>
              <w:rPr>
                <w:noProof/>
                <w:webHidden/>
              </w:rPr>
            </w:r>
            <w:r>
              <w:rPr>
                <w:noProof/>
                <w:webHidden/>
              </w:rPr>
              <w:fldChar w:fldCharType="separate"/>
            </w:r>
            <w:r w:rsidR="0026489B">
              <w:rPr>
                <w:noProof/>
                <w:webHidden/>
              </w:rPr>
              <w:t>17</w:t>
            </w:r>
            <w:r>
              <w:rPr>
                <w:noProof/>
                <w:webHidden/>
              </w:rPr>
              <w:fldChar w:fldCharType="end"/>
            </w:r>
          </w:hyperlink>
        </w:p>
        <w:p w14:paraId="701D0877" w14:textId="6392F89E"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69" w:history="1">
            <w:r w:rsidRPr="00E36E15">
              <w:rPr>
                <w:rStyle w:val="Hyperlink"/>
                <w:noProof/>
              </w:rPr>
              <w:t>2.5.1 Impacts of urban land use on urban agriculture</w:t>
            </w:r>
            <w:r>
              <w:rPr>
                <w:noProof/>
                <w:webHidden/>
              </w:rPr>
              <w:tab/>
            </w:r>
            <w:r>
              <w:rPr>
                <w:noProof/>
                <w:webHidden/>
              </w:rPr>
              <w:fldChar w:fldCharType="begin"/>
            </w:r>
            <w:r>
              <w:rPr>
                <w:noProof/>
                <w:webHidden/>
              </w:rPr>
              <w:instrText xml:space="preserve"> PAGEREF _Toc167379869 \h </w:instrText>
            </w:r>
            <w:r>
              <w:rPr>
                <w:noProof/>
                <w:webHidden/>
              </w:rPr>
            </w:r>
            <w:r>
              <w:rPr>
                <w:noProof/>
                <w:webHidden/>
              </w:rPr>
              <w:fldChar w:fldCharType="separate"/>
            </w:r>
            <w:r w:rsidR="0026489B">
              <w:rPr>
                <w:noProof/>
                <w:webHidden/>
              </w:rPr>
              <w:t>19</w:t>
            </w:r>
            <w:r>
              <w:rPr>
                <w:noProof/>
                <w:webHidden/>
              </w:rPr>
              <w:fldChar w:fldCharType="end"/>
            </w:r>
          </w:hyperlink>
        </w:p>
        <w:p w14:paraId="24DAA4EF" w14:textId="201D3C92"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70" w:history="1">
            <w:r w:rsidRPr="00E36E15">
              <w:rPr>
                <w:rStyle w:val="Hyperlink"/>
                <w:noProof/>
              </w:rPr>
              <w:t>2.6 Urban Agricultural Production and Climate Change Adaptation Strategies</w:t>
            </w:r>
            <w:r>
              <w:rPr>
                <w:noProof/>
                <w:webHidden/>
              </w:rPr>
              <w:tab/>
            </w:r>
            <w:r>
              <w:rPr>
                <w:noProof/>
                <w:webHidden/>
              </w:rPr>
              <w:fldChar w:fldCharType="begin"/>
            </w:r>
            <w:r>
              <w:rPr>
                <w:noProof/>
                <w:webHidden/>
              </w:rPr>
              <w:instrText xml:space="preserve"> PAGEREF _Toc167379870 \h </w:instrText>
            </w:r>
            <w:r>
              <w:rPr>
                <w:noProof/>
                <w:webHidden/>
              </w:rPr>
            </w:r>
            <w:r>
              <w:rPr>
                <w:noProof/>
                <w:webHidden/>
              </w:rPr>
              <w:fldChar w:fldCharType="separate"/>
            </w:r>
            <w:r w:rsidR="0026489B">
              <w:rPr>
                <w:noProof/>
                <w:webHidden/>
              </w:rPr>
              <w:t>23</w:t>
            </w:r>
            <w:r>
              <w:rPr>
                <w:noProof/>
                <w:webHidden/>
              </w:rPr>
              <w:fldChar w:fldCharType="end"/>
            </w:r>
          </w:hyperlink>
        </w:p>
        <w:p w14:paraId="72F62748" w14:textId="2880FE48"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71" w:history="1">
            <w:r w:rsidRPr="00E36E15">
              <w:rPr>
                <w:rStyle w:val="Hyperlink"/>
                <w:noProof/>
              </w:rPr>
              <w:t>2.6.1 Benefits and challenges of urban agriculture</w:t>
            </w:r>
            <w:r>
              <w:rPr>
                <w:noProof/>
                <w:webHidden/>
              </w:rPr>
              <w:tab/>
            </w:r>
            <w:r>
              <w:rPr>
                <w:noProof/>
                <w:webHidden/>
              </w:rPr>
              <w:fldChar w:fldCharType="begin"/>
            </w:r>
            <w:r>
              <w:rPr>
                <w:noProof/>
                <w:webHidden/>
              </w:rPr>
              <w:instrText xml:space="preserve"> PAGEREF _Toc167379871 \h </w:instrText>
            </w:r>
            <w:r>
              <w:rPr>
                <w:noProof/>
                <w:webHidden/>
              </w:rPr>
            </w:r>
            <w:r>
              <w:rPr>
                <w:noProof/>
                <w:webHidden/>
              </w:rPr>
              <w:fldChar w:fldCharType="separate"/>
            </w:r>
            <w:r w:rsidR="0026489B">
              <w:rPr>
                <w:noProof/>
                <w:webHidden/>
              </w:rPr>
              <w:t>24</w:t>
            </w:r>
            <w:r>
              <w:rPr>
                <w:noProof/>
                <w:webHidden/>
              </w:rPr>
              <w:fldChar w:fldCharType="end"/>
            </w:r>
          </w:hyperlink>
        </w:p>
        <w:p w14:paraId="684DF9C7" w14:textId="7EF3F6E0"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72" w:history="1">
            <w:r w:rsidRPr="00E36E15">
              <w:rPr>
                <w:rStyle w:val="Hyperlink"/>
                <w:noProof/>
              </w:rPr>
              <w:t>2.7 Urban Agricultural, Food Security and Livelihood Sustainability</w:t>
            </w:r>
            <w:r>
              <w:rPr>
                <w:noProof/>
                <w:webHidden/>
              </w:rPr>
              <w:tab/>
            </w:r>
            <w:r>
              <w:rPr>
                <w:noProof/>
                <w:webHidden/>
              </w:rPr>
              <w:fldChar w:fldCharType="begin"/>
            </w:r>
            <w:r>
              <w:rPr>
                <w:noProof/>
                <w:webHidden/>
              </w:rPr>
              <w:instrText xml:space="preserve"> PAGEREF _Toc167379872 \h </w:instrText>
            </w:r>
            <w:r>
              <w:rPr>
                <w:noProof/>
                <w:webHidden/>
              </w:rPr>
            </w:r>
            <w:r>
              <w:rPr>
                <w:noProof/>
                <w:webHidden/>
              </w:rPr>
              <w:fldChar w:fldCharType="separate"/>
            </w:r>
            <w:r w:rsidR="0026489B">
              <w:rPr>
                <w:noProof/>
                <w:webHidden/>
              </w:rPr>
              <w:t>25</w:t>
            </w:r>
            <w:r>
              <w:rPr>
                <w:noProof/>
                <w:webHidden/>
              </w:rPr>
              <w:fldChar w:fldCharType="end"/>
            </w:r>
          </w:hyperlink>
        </w:p>
        <w:p w14:paraId="1274349E" w14:textId="3861D6A7"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73" w:history="1">
            <w:r w:rsidRPr="00E36E15">
              <w:rPr>
                <w:rStyle w:val="Hyperlink"/>
                <w:noProof/>
              </w:rPr>
              <w:t>2.8 Urban Agriculture and Climate Change Adaptation Policies</w:t>
            </w:r>
            <w:r>
              <w:rPr>
                <w:noProof/>
                <w:webHidden/>
              </w:rPr>
              <w:tab/>
            </w:r>
            <w:r>
              <w:rPr>
                <w:noProof/>
                <w:webHidden/>
              </w:rPr>
              <w:fldChar w:fldCharType="begin"/>
            </w:r>
            <w:r>
              <w:rPr>
                <w:noProof/>
                <w:webHidden/>
              </w:rPr>
              <w:instrText xml:space="preserve"> PAGEREF _Toc167379873 \h </w:instrText>
            </w:r>
            <w:r>
              <w:rPr>
                <w:noProof/>
                <w:webHidden/>
              </w:rPr>
            </w:r>
            <w:r>
              <w:rPr>
                <w:noProof/>
                <w:webHidden/>
              </w:rPr>
              <w:fldChar w:fldCharType="separate"/>
            </w:r>
            <w:r w:rsidR="0026489B">
              <w:rPr>
                <w:noProof/>
                <w:webHidden/>
              </w:rPr>
              <w:t>27</w:t>
            </w:r>
            <w:r>
              <w:rPr>
                <w:noProof/>
                <w:webHidden/>
              </w:rPr>
              <w:fldChar w:fldCharType="end"/>
            </w:r>
          </w:hyperlink>
        </w:p>
        <w:p w14:paraId="0F134567" w14:textId="3EB2CCC4"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74" w:history="1">
            <w:r w:rsidRPr="00E36E15">
              <w:rPr>
                <w:rStyle w:val="Hyperlink"/>
                <w:noProof/>
              </w:rPr>
              <w:t>2.9 Theoretical Overview</w:t>
            </w:r>
            <w:r>
              <w:rPr>
                <w:noProof/>
                <w:webHidden/>
              </w:rPr>
              <w:tab/>
            </w:r>
            <w:r>
              <w:rPr>
                <w:noProof/>
                <w:webHidden/>
              </w:rPr>
              <w:fldChar w:fldCharType="begin"/>
            </w:r>
            <w:r>
              <w:rPr>
                <w:noProof/>
                <w:webHidden/>
              </w:rPr>
              <w:instrText xml:space="preserve"> PAGEREF _Toc167379874 \h </w:instrText>
            </w:r>
            <w:r>
              <w:rPr>
                <w:noProof/>
                <w:webHidden/>
              </w:rPr>
            </w:r>
            <w:r>
              <w:rPr>
                <w:noProof/>
                <w:webHidden/>
              </w:rPr>
              <w:fldChar w:fldCharType="separate"/>
            </w:r>
            <w:r w:rsidR="0026489B">
              <w:rPr>
                <w:noProof/>
                <w:webHidden/>
              </w:rPr>
              <w:t>33</w:t>
            </w:r>
            <w:r>
              <w:rPr>
                <w:noProof/>
                <w:webHidden/>
              </w:rPr>
              <w:fldChar w:fldCharType="end"/>
            </w:r>
          </w:hyperlink>
        </w:p>
        <w:p w14:paraId="715A3624" w14:textId="29D13B96"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75" w:history="1">
            <w:r w:rsidRPr="00E36E15">
              <w:rPr>
                <w:rStyle w:val="Hyperlink"/>
                <w:noProof/>
              </w:rPr>
              <w:t>2.9.1 The Social Practice Theory</w:t>
            </w:r>
            <w:r>
              <w:rPr>
                <w:noProof/>
                <w:webHidden/>
              </w:rPr>
              <w:tab/>
            </w:r>
            <w:r>
              <w:rPr>
                <w:noProof/>
                <w:webHidden/>
              </w:rPr>
              <w:fldChar w:fldCharType="begin"/>
            </w:r>
            <w:r>
              <w:rPr>
                <w:noProof/>
                <w:webHidden/>
              </w:rPr>
              <w:instrText xml:space="preserve"> PAGEREF _Toc167379875 \h </w:instrText>
            </w:r>
            <w:r>
              <w:rPr>
                <w:noProof/>
                <w:webHidden/>
              </w:rPr>
            </w:r>
            <w:r>
              <w:rPr>
                <w:noProof/>
                <w:webHidden/>
              </w:rPr>
              <w:fldChar w:fldCharType="separate"/>
            </w:r>
            <w:r w:rsidR="0026489B">
              <w:rPr>
                <w:noProof/>
                <w:webHidden/>
              </w:rPr>
              <w:t>33</w:t>
            </w:r>
            <w:r>
              <w:rPr>
                <w:noProof/>
                <w:webHidden/>
              </w:rPr>
              <w:fldChar w:fldCharType="end"/>
            </w:r>
          </w:hyperlink>
        </w:p>
        <w:p w14:paraId="2CDBE5FC" w14:textId="0831E612"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76" w:history="1">
            <w:r w:rsidRPr="00E36E15">
              <w:rPr>
                <w:rStyle w:val="Hyperlink"/>
                <w:noProof/>
              </w:rPr>
              <w:t>2.9.2 Social practice theory on climate change adaptations and urban agriculture</w:t>
            </w:r>
            <w:r>
              <w:rPr>
                <w:noProof/>
                <w:webHidden/>
              </w:rPr>
              <w:tab/>
            </w:r>
            <w:r>
              <w:rPr>
                <w:noProof/>
                <w:webHidden/>
              </w:rPr>
              <w:fldChar w:fldCharType="begin"/>
            </w:r>
            <w:r>
              <w:rPr>
                <w:noProof/>
                <w:webHidden/>
              </w:rPr>
              <w:instrText xml:space="preserve"> PAGEREF _Toc167379876 \h </w:instrText>
            </w:r>
            <w:r>
              <w:rPr>
                <w:noProof/>
                <w:webHidden/>
              </w:rPr>
            </w:r>
            <w:r>
              <w:rPr>
                <w:noProof/>
                <w:webHidden/>
              </w:rPr>
              <w:fldChar w:fldCharType="separate"/>
            </w:r>
            <w:r w:rsidR="0026489B">
              <w:rPr>
                <w:noProof/>
                <w:webHidden/>
              </w:rPr>
              <w:t>34</w:t>
            </w:r>
            <w:r>
              <w:rPr>
                <w:noProof/>
                <w:webHidden/>
              </w:rPr>
              <w:fldChar w:fldCharType="end"/>
            </w:r>
          </w:hyperlink>
        </w:p>
        <w:p w14:paraId="0B12C566" w14:textId="1B2C3374"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77" w:history="1">
            <w:r w:rsidRPr="00E36E15">
              <w:rPr>
                <w:rStyle w:val="Hyperlink"/>
                <w:noProof/>
              </w:rPr>
              <w:t>2.9.3 Conceptualizing urban household farming within a social practice theoretical perspective</w:t>
            </w:r>
            <w:r>
              <w:rPr>
                <w:noProof/>
                <w:webHidden/>
              </w:rPr>
              <w:tab/>
            </w:r>
            <w:r>
              <w:rPr>
                <w:noProof/>
                <w:webHidden/>
              </w:rPr>
              <w:fldChar w:fldCharType="begin"/>
            </w:r>
            <w:r>
              <w:rPr>
                <w:noProof/>
                <w:webHidden/>
              </w:rPr>
              <w:instrText xml:space="preserve"> PAGEREF _Toc167379877 \h </w:instrText>
            </w:r>
            <w:r>
              <w:rPr>
                <w:noProof/>
                <w:webHidden/>
              </w:rPr>
            </w:r>
            <w:r>
              <w:rPr>
                <w:noProof/>
                <w:webHidden/>
              </w:rPr>
              <w:fldChar w:fldCharType="separate"/>
            </w:r>
            <w:r w:rsidR="0026489B">
              <w:rPr>
                <w:noProof/>
                <w:webHidden/>
              </w:rPr>
              <w:t>35</w:t>
            </w:r>
            <w:r>
              <w:rPr>
                <w:noProof/>
                <w:webHidden/>
              </w:rPr>
              <w:fldChar w:fldCharType="end"/>
            </w:r>
          </w:hyperlink>
        </w:p>
        <w:p w14:paraId="6A2B8D27" w14:textId="708B2B11"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78" w:history="1">
            <w:r w:rsidRPr="00E36E15">
              <w:rPr>
                <w:rStyle w:val="Hyperlink"/>
                <w:noProof/>
              </w:rPr>
              <w:t>2.10 Conceptual Framework for Urban Agriculture and Climate Change Adaptations</w:t>
            </w:r>
            <w:r>
              <w:rPr>
                <w:noProof/>
                <w:webHidden/>
              </w:rPr>
              <w:tab/>
            </w:r>
            <w:r>
              <w:rPr>
                <w:noProof/>
                <w:webHidden/>
              </w:rPr>
              <w:fldChar w:fldCharType="begin"/>
            </w:r>
            <w:r>
              <w:rPr>
                <w:noProof/>
                <w:webHidden/>
              </w:rPr>
              <w:instrText xml:space="preserve"> PAGEREF _Toc167379878 \h </w:instrText>
            </w:r>
            <w:r>
              <w:rPr>
                <w:noProof/>
                <w:webHidden/>
              </w:rPr>
            </w:r>
            <w:r>
              <w:rPr>
                <w:noProof/>
                <w:webHidden/>
              </w:rPr>
              <w:fldChar w:fldCharType="separate"/>
            </w:r>
            <w:r w:rsidR="0026489B">
              <w:rPr>
                <w:noProof/>
                <w:webHidden/>
              </w:rPr>
              <w:t>38</w:t>
            </w:r>
            <w:r>
              <w:rPr>
                <w:noProof/>
                <w:webHidden/>
              </w:rPr>
              <w:fldChar w:fldCharType="end"/>
            </w:r>
          </w:hyperlink>
        </w:p>
        <w:p w14:paraId="23D30CBA" w14:textId="6F7BBAC2"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79" w:history="1">
            <w:r w:rsidRPr="00E36E15">
              <w:rPr>
                <w:rStyle w:val="Hyperlink"/>
                <w:noProof/>
              </w:rPr>
              <w:t>2.10.1 Urban Environment Sustainability and the Goal of urban agriculture</w:t>
            </w:r>
            <w:r>
              <w:rPr>
                <w:noProof/>
                <w:webHidden/>
              </w:rPr>
              <w:tab/>
            </w:r>
            <w:r>
              <w:rPr>
                <w:noProof/>
                <w:webHidden/>
              </w:rPr>
              <w:fldChar w:fldCharType="begin"/>
            </w:r>
            <w:r>
              <w:rPr>
                <w:noProof/>
                <w:webHidden/>
              </w:rPr>
              <w:instrText xml:space="preserve"> PAGEREF _Toc167379879 \h </w:instrText>
            </w:r>
            <w:r>
              <w:rPr>
                <w:noProof/>
                <w:webHidden/>
              </w:rPr>
            </w:r>
            <w:r>
              <w:rPr>
                <w:noProof/>
                <w:webHidden/>
              </w:rPr>
              <w:fldChar w:fldCharType="separate"/>
            </w:r>
            <w:r w:rsidR="0026489B">
              <w:rPr>
                <w:noProof/>
                <w:webHidden/>
              </w:rPr>
              <w:t>38</w:t>
            </w:r>
            <w:r>
              <w:rPr>
                <w:noProof/>
                <w:webHidden/>
              </w:rPr>
              <w:fldChar w:fldCharType="end"/>
            </w:r>
          </w:hyperlink>
        </w:p>
        <w:p w14:paraId="729C0333" w14:textId="5D81652B"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80" w:history="1">
            <w:r w:rsidRPr="00E36E15">
              <w:rPr>
                <w:rStyle w:val="Hyperlink"/>
                <w:noProof/>
              </w:rPr>
              <w:t>2.10.2 The effects of urban agriculture by urban land use change and climate change and variability</w:t>
            </w:r>
            <w:r>
              <w:rPr>
                <w:noProof/>
                <w:webHidden/>
              </w:rPr>
              <w:tab/>
            </w:r>
            <w:r>
              <w:rPr>
                <w:noProof/>
                <w:webHidden/>
              </w:rPr>
              <w:fldChar w:fldCharType="begin"/>
            </w:r>
            <w:r>
              <w:rPr>
                <w:noProof/>
                <w:webHidden/>
              </w:rPr>
              <w:instrText xml:space="preserve"> PAGEREF _Toc167379880 \h </w:instrText>
            </w:r>
            <w:r>
              <w:rPr>
                <w:noProof/>
                <w:webHidden/>
              </w:rPr>
            </w:r>
            <w:r>
              <w:rPr>
                <w:noProof/>
                <w:webHidden/>
              </w:rPr>
              <w:fldChar w:fldCharType="separate"/>
            </w:r>
            <w:r w:rsidR="0026489B">
              <w:rPr>
                <w:noProof/>
                <w:webHidden/>
              </w:rPr>
              <w:t>41</w:t>
            </w:r>
            <w:r>
              <w:rPr>
                <w:noProof/>
                <w:webHidden/>
              </w:rPr>
              <w:fldChar w:fldCharType="end"/>
            </w:r>
          </w:hyperlink>
        </w:p>
        <w:p w14:paraId="6633AE3E" w14:textId="1C8B7F9C"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81" w:history="1">
            <w:r w:rsidRPr="00E36E15">
              <w:rPr>
                <w:rStyle w:val="Hyperlink"/>
                <w:noProof/>
              </w:rPr>
              <w:t>2.10.3 Missing linkages</w:t>
            </w:r>
            <w:r>
              <w:rPr>
                <w:noProof/>
                <w:webHidden/>
              </w:rPr>
              <w:tab/>
            </w:r>
            <w:r>
              <w:rPr>
                <w:noProof/>
                <w:webHidden/>
              </w:rPr>
              <w:fldChar w:fldCharType="begin"/>
            </w:r>
            <w:r>
              <w:rPr>
                <w:noProof/>
                <w:webHidden/>
              </w:rPr>
              <w:instrText xml:space="preserve"> PAGEREF _Toc167379881 \h </w:instrText>
            </w:r>
            <w:r>
              <w:rPr>
                <w:noProof/>
                <w:webHidden/>
              </w:rPr>
            </w:r>
            <w:r>
              <w:rPr>
                <w:noProof/>
                <w:webHidden/>
              </w:rPr>
              <w:fldChar w:fldCharType="separate"/>
            </w:r>
            <w:r w:rsidR="0026489B">
              <w:rPr>
                <w:noProof/>
                <w:webHidden/>
              </w:rPr>
              <w:t>42</w:t>
            </w:r>
            <w:r>
              <w:rPr>
                <w:noProof/>
                <w:webHidden/>
              </w:rPr>
              <w:fldChar w:fldCharType="end"/>
            </w:r>
          </w:hyperlink>
        </w:p>
        <w:p w14:paraId="67B05DF5" w14:textId="7AD9AE2E"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82" w:history="1">
            <w:r w:rsidRPr="00E36E15">
              <w:rPr>
                <w:rStyle w:val="Hyperlink"/>
                <w:noProof/>
              </w:rPr>
              <w:t>2.10.4 Outcomes of linkages</w:t>
            </w:r>
            <w:r>
              <w:rPr>
                <w:noProof/>
                <w:webHidden/>
              </w:rPr>
              <w:tab/>
            </w:r>
            <w:r>
              <w:rPr>
                <w:noProof/>
                <w:webHidden/>
              </w:rPr>
              <w:fldChar w:fldCharType="begin"/>
            </w:r>
            <w:r>
              <w:rPr>
                <w:noProof/>
                <w:webHidden/>
              </w:rPr>
              <w:instrText xml:space="preserve"> PAGEREF _Toc167379882 \h </w:instrText>
            </w:r>
            <w:r>
              <w:rPr>
                <w:noProof/>
                <w:webHidden/>
              </w:rPr>
            </w:r>
            <w:r>
              <w:rPr>
                <w:noProof/>
                <w:webHidden/>
              </w:rPr>
              <w:fldChar w:fldCharType="separate"/>
            </w:r>
            <w:r w:rsidR="0026489B">
              <w:rPr>
                <w:noProof/>
                <w:webHidden/>
              </w:rPr>
              <w:t>43</w:t>
            </w:r>
            <w:r>
              <w:rPr>
                <w:noProof/>
                <w:webHidden/>
              </w:rPr>
              <w:fldChar w:fldCharType="end"/>
            </w:r>
          </w:hyperlink>
        </w:p>
        <w:p w14:paraId="74116D3F" w14:textId="5E7C78F7" w:rsidR="00AD7FC2" w:rsidRDefault="00AD7FC2" w:rsidP="00AD7FC2">
          <w:pPr>
            <w:pStyle w:val="TOC2"/>
            <w:tabs>
              <w:tab w:val="right" w:leader="dot" w:pos="8296"/>
            </w:tabs>
            <w:spacing w:line="360" w:lineRule="auto"/>
            <w:rPr>
              <w:rStyle w:val="Hyperlink"/>
              <w:noProof/>
            </w:rPr>
          </w:pPr>
          <w:hyperlink w:anchor="_Toc167379883" w:history="1">
            <w:r w:rsidRPr="00E36E15">
              <w:rPr>
                <w:rStyle w:val="Hyperlink"/>
                <w:noProof/>
              </w:rPr>
              <w:t>2.11 Conclusions</w:t>
            </w:r>
            <w:r>
              <w:rPr>
                <w:noProof/>
                <w:webHidden/>
              </w:rPr>
              <w:tab/>
            </w:r>
            <w:r>
              <w:rPr>
                <w:noProof/>
                <w:webHidden/>
              </w:rPr>
              <w:fldChar w:fldCharType="begin"/>
            </w:r>
            <w:r>
              <w:rPr>
                <w:noProof/>
                <w:webHidden/>
              </w:rPr>
              <w:instrText xml:space="preserve"> PAGEREF _Toc167379883 \h </w:instrText>
            </w:r>
            <w:r>
              <w:rPr>
                <w:noProof/>
                <w:webHidden/>
              </w:rPr>
            </w:r>
            <w:r>
              <w:rPr>
                <w:noProof/>
                <w:webHidden/>
              </w:rPr>
              <w:fldChar w:fldCharType="separate"/>
            </w:r>
            <w:r w:rsidR="0026489B">
              <w:rPr>
                <w:noProof/>
                <w:webHidden/>
              </w:rPr>
              <w:t>43</w:t>
            </w:r>
            <w:r>
              <w:rPr>
                <w:noProof/>
                <w:webHidden/>
              </w:rPr>
              <w:fldChar w:fldCharType="end"/>
            </w:r>
          </w:hyperlink>
        </w:p>
        <w:p w14:paraId="47094A23" w14:textId="77777777" w:rsidR="00AD7FC2" w:rsidRPr="00AD7FC2" w:rsidRDefault="00AD7FC2" w:rsidP="00AD7FC2">
          <w:pPr>
            <w:rPr>
              <w:noProof/>
              <w:lang w:val="en-US"/>
            </w:rPr>
          </w:pPr>
        </w:p>
        <w:p w14:paraId="5B9903A5" w14:textId="00CD434A"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84" w:history="1">
            <w:r w:rsidRPr="00E36E15">
              <w:rPr>
                <w:rStyle w:val="Hyperlink"/>
                <w:noProof/>
              </w:rPr>
              <w:t>CHAPTER THREE</w:t>
            </w:r>
            <w:r>
              <w:rPr>
                <w:noProof/>
                <w:webHidden/>
              </w:rPr>
              <w:tab/>
            </w:r>
            <w:r>
              <w:rPr>
                <w:noProof/>
                <w:webHidden/>
              </w:rPr>
              <w:fldChar w:fldCharType="begin"/>
            </w:r>
            <w:r>
              <w:rPr>
                <w:noProof/>
                <w:webHidden/>
              </w:rPr>
              <w:instrText xml:space="preserve"> PAGEREF _Toc167379884 \h </w:instrText>
            </w:r>
            <w:r>
              <w:rPr>
                <w:noProof/>
                <w:webHidden/>
              </w:rPr>
            </w:r>
            <w:r>
              <w:rPr>
                <w:noProof/>
                <w:webHidden/>
              </w:rPr>
              <w:fldChar w:fldCharType="separate"/>
            </w:r>
            <w:r w:rsidR="0026489B">
              <w:rPr>
                <w:noProof/>
                <w:webHidden/>
              </w:rPr>
              <w:t>45</w:t>
            </w:r>
            <w:r>
              <w:rPr>
                <w:noProof/>
                <w:webHidden/>
              </w:rPr>
              <w:fldChar w:fldCharType="end"/>
            </w:r>
          </w:hyperlink>
        </w:p>
        <w:p w14:paraId="182DB13A" w14:textId="25586135"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885" w:history="1">
            <w:r w:rsidRPr="00E36E15">
              <w:rPr>
                <w:rStyle w:val="Hyperlink"/>
                <w:noProof/>
              </w:rPr>
              <w:t>STUDY AREA AND METHODOLOGY</w:t>
            </w:r>
            <w:r>
              <w:rPr>
                <w:noProof/>
                <w:webHidden/>
              </w:rPr>
              <w:tab/>
            </w:r>
            <w:r>
              <w:rPr>
                <w:noProof/>
                <w:webHidden/>
              </w:rPr>
              <w:fldChar w:fldCharType="begin"/>
            </w:r>
            <w:r>
              <w:rPr>
                <w:noProof/>
                <w:webHidden/>
              </w:rPr>
              <w:instrText xml:space="preserve"> PAGEREF _Toc167379885 \h </w:instrText>
            </w:r>
            <w:r>
              <w:rPr>
                <w:noProof/>
                <w:webHidden/>
              </w:rPr>
            </w:r>
            <w:r>
              <w:rPr>
                <w:noProof/>
                <w:webHidden/>
              </w:rPr>
              <w:fldChar w:fldCharType="separate"/>
            </w:r>
            <w:r w:rsidR="0026489B">
              <w:rPr>
                <w:noProof/>
                <w:webHidden/>
              </w:rPr>
              <w:t>45</w:t>
            </w:r>
            <w:r>
              <w:rPr>
                <w:noProof/>
                <w:webHidden/>
              </w:rPr>
              <w:fldChar w:fldCharType="end"/>
            </w:r>
          </w:hyperlink>
        </w:p>
        <w:p w14:paraId="2BF4C135" w14:textId="7494027F"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86" w:history="1">
            <w:r w:rsidRPr="00E36E15">
              <w:rPr>
                <w:rStyle w:val="Hyperlink"/>
                <w:noProof/>
              </w:rPr>
              <w:t>3.1 Introduction</w:t>
            </w:r>
            <w:r>
              <w:rPr>
                <w:noProof/>
                <w:webHidden/>
              </w:rPr>
              <w:tab/>
            </w:r>
            <w:r>
              <w:rPr>
                <w:noProof/>
                <w:webHidden/>
              </w:rPr>
              <w:fldChar w:fldCharType="begin"/>
            </w:r>
            <w:r>
              <w:rPr>
                <w:noProof/>
                <w:webHidden/>
              </w:rPr>
              <w:instrText xml:space="preserve"> PAGEREF _Toc167379886 \h </w:instrText>
            </w:r>
            <w:r>
              <w:rPr>
                <w:noProof/>
                <w:webHidden/>
              </w:rPr>
            </w:r>
            <w:r>
              <w:rPr>
                <w:noProof/>
                <w:webHidden/>
              </w:rPr>
              <w:fldChar w:fldCharType="separate"/>
            </w:r>
            <w:r w:rsidR="0026489B">
              <w:rPr>
                <w:noProof/>
                <w:webHidden/>
              </w:rPr>
              <w:t>45</w:t>
            </w:r>
            <w:r>
              <w:rPr>
                <w:noProof/>
                <w:webHidden/>
              </w:rPr>
              <w:fldChar w:fldCharType="end"/>
            </w:r>
          </w:hyperlink>
        </w:p>
        <w:p w14:paraId="67A4DE80" w14:textId="025198B8"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87" w:history="1">
            <w:r w:rsidRPr="00E36E15">
              <w:rPr>
                <w:rStyle w:val="Hyperlink"/>
                <w:noProof/>
              </w:rPr>
              <w:t>3.2 Profile of the Study Area</w:t>
            </w:r>
            <w:r>
              <w:rPr>
                <w:noProof/>
                <w:webHidden/>
              </w:rPr>
              <w:tab/>
            </w:r>
            <w:r>
              <w:rPr>
                <w:noProof/>
                <w:webHidden/>
              </w:rPr>
              <w:fldChar w:fldCharType="begin"/>
            </w:r>
            <w:r>
              <w:rPr>
                <w:noProof/>
                <w:webHidden/>
              </w:rPr>
              <w:instrText xml:space="preserve"> PAGEREF _Toc167379887 \h </w:instrText>
            </w:r>
            <w:r>
              <w:rPr>
                <w:noProof/>
                <w:webHidden/>
              </w:rPr>
            </w:r>
            <w:r>
              <w:rPr>
                <w:noProof/>
                <w:webHidden/>
              </w:rPr>
              <w:fldChar w:fldCharType="separate"/>
            </w:r>
            <w:r w:rsidR="0026489B">
              <w:rPr>
                <w:noProof/>
                <w:webHidden/>
              </w:rPr>
              <w:t>45</w:t>
            </w:r>
            <w:r>
              <w:rPr>
                <w:noProof/>
                <w:webHidden/>
              </w:rPr>
              <w:fldChar w:fldCharType="end"/>
            </w:r>
          </w:hyperlink>
        </w:p>
        <w:p w14:paraId="3AF8C2F2" w14:textId="6A3323CA"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88" w:history="1">
            <w:r w:rsidRPr="00E36E15">
              <w:rPr>
                <w:rStyle w:val="Hyperlink"/>
                <w:noProof/>
              </w:rPr>
              <w:t>3.3.1 Study area selection</w:t>
            </w:r>
            <w:r>
              <w:rPr>
                <w:noProof/>
                <w:webHidden/>
              </w:rPr>
              <w:tab/>
            </w:r>
            <w:r>
              <w:rPr>
                <w:noProof/>
                <w:webHidden/>
              </w:rPr>
              <w:fldChar w:fldCharType="begin"/>
            </w:r>
            <w:r>
              <w:rPr>
                <w:noProof/>
                <w:webHidden/>
              </w:rPr>
              <w:instrText xml:space="preserve"> PAGEREF _Toc167379888 \h </w:instrText>
            </w:r>
            <w:r>
              <w:rPr>
                <w:noProof/>
                <w:webHidden/>
              </w:rPr>
            </w:r>
            <w:r>
              <w:rPr>
                <w:noProof/>
                <w:webHidden/>
              </w:rPr>
              <w:fldChar w:fldCharType="separate"/>
            </w:r>
            <w:r w:rsidR="0026489B">
              <w:rPr>
                <w:noProof/>
                <w:webHidden/>
              </w:rPr>
              <w:t>45</w:t>
            </w:r>
            <w:r>
              <w:rPr>
                <w:noProof/>
                <w:webHidden/>
              </w:rPr>
              <w:fldChar w:fldCharType="end"/>
            </w:r>
          </w:hyperlink>
        </w:p>
        <w:p w14:paraId="745B8DB6" w14:textId="235697DA"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89" w:history="1">
            <w:r w:rsidRPr="00E36E15">
              <w:rPr>
                <w:rStyle w:val="Hyperlink"/>
                <w:noProof/>
              </w:rPr>
              <w:t>3.2.2 Location, size, and demographics of Wa Municipal</w:t>
            </w:r>
            <w:r>
              <w:rPr>
                <w:noProof/>
                <w:webHidden/>
              </w:rPr>
              <w:tab/>
            </w:r>
            <w:r>
              <w:rPr>
                <w:noProof/>
                <w:webHidden/>
              </w:rPr>
              <w:fldChar w:fldCharType="begin"/>
            </w:r>
            <w:r>
              <w:rPr>
                <w:noProof/>
                <w:webHidden/>
              </w:rPr>
              <w:instrText xml:space="preserve"> PAGEREF _Toc167379889 \h </w:instrText>
            </w:r>
            <w:r>
              <w:rPr>
                <w:noProof/>
                <w:webHidden/>
              </w:rPr>
            </w:r>
            <w:r>
              <w:rPr>
                <w:noProof/>
                <w:webHidden/>
              </w:rPr>
              <w:fldChar w:fldCharType="separate"/>
            </w:r>
            <w:r w:rsidR="0026489B">
              <w:rPr>
                <w:noProof/>
                <w:webHidden/>
              </w:rPr>
              <w:t>46</w:t>
            </w:r>
            <w:r>
              <w:rPr>
                <w:noProof/>
                <w:webHidden/>
              </w:rPr>
              <w:fldChar w:fldCharType="end"/>
            </w:r>
          </w:hyperlink>
        </w:p>
        <w:p w14:paraId="77586A1D" w14:textId="0DD098DB"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90" w:history="1">
            <w:r w:rsidRPr="00E36E15">
              <w:rPr>
                <w:rStyle w:val="Hyperlink"/>
                <w:noProof/>
              </w:rPr>
              <w:t>3.2.3 Topography, vegetation, and climate</w:t>
            </w:r>
            <w:r>
              <w:rPr>
                <w:noProof/>
                <w:webHidden/>
              </w:rPr>
              <w:tab/>
            </w:r>
            <w:r>
              <w:rPr>
                <w:noProof/>
                <w:webHidden/>
              </w:rPr>
              <w:fldChar w:fldCharType="begin"/>
            </w:r>
            <w:r>
              <w:rPr>
                <w:noProof/>
                <w:webHidden/>
              </w:rPr>
              <w:instrText xml:space="preserve"> PAGEREF _Toc167379890 \h </w:instrText>
            </w:r>
            <w:r>
              <w:rPr>
                <w:noProof/>
                <w:webHidden/>
              </w:rPr>
            </w:r>
            <w:r>
              <w:rPr>
                <w:noProof/>
                <w:webHidden/>
              </w:rPr>
              <w:fldChar w:fldCharType="separate"/>
            </w:r>
            <w:r w:rsidR="0026489B">
              <w:rPr>
                <w:noProof/>
                <w:webHidden/>
              </w:rPr>
              <w:t>47</w:t>
            </w:r>
            <w:r>
              <w:rPr>
                <w:noProof/>
                <w:webHidden/>
              </w:rPr>
              <w:fldChar w:fldCharType="end"/>
            </w:r>
          </w:hyperlink>
        </w:p>
        <w:p w14:paraId="15EBC310" w14:textId="7E09EBCA"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91" w:history="1">
            <w:r w:rsidRPr="00E36E15">
              <w:rPr>
                <w:rStyle w:val="Hyperlink"/>
                <w:noProof/>
              </w:rPr>
              <w:t>3.2.4 Economic activities</w:t>
            </w:r>
            <w:r>
              <w:rPr>
                <w:noProof/>
                <w:webHidden/>
              </w:rPr>
              <w:tab/>
            </w:r>
            <w:r>
              <w:rPr>
                <w:noProof/>
                <w:webHidden/>
              </w:rPr>
              <w:fldChar w:fldCharType="begin"/>
            </w:r>
            <w:r>
              <w:rPr>
                <w:noProof/>
                <w:webHidden/>
              </w:rPr>
              <w:instrText xml:space="preserve"> PAGEREF _Toc167379891 \h </w:instrText>
            </w:r>
            <w:r>
              <w:rPr>
                <w:noProof/>
                <w:webHidden/>
              </w:rPr>
            </w:r>
            <w:r>
              <w:rPr>
                <w:noProof/>
                <w:webHidden/>
              </w:rPr>
              <w:fldChar w:fldCharType="separate"/>
            </w:r>
            <w:r w:rsidR="0026489B">
              <w:rPr>
                <w:noProof/>
                <w:webHidden/>
              </w:rPr>
              <w:t>48</w:t>
            </w:r>
            <w:r>
              <w:rPr>
                <w:noProof/>
                <w:webHidden/>
              </w:rPr>
              <w:fldChar w:fldCharType="end"/>
            </w:r>
          </w:hyperlink>
        </w:p>
        <w:p w14:paraId="10A6FF47" w14:textId="04A6B18E"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92" w:history="1">
            <w:r w:rsidRPr="00E36E15">
              <w:rPr>
                <w:rStyle w:val="Hyperlink"/>
                <w:noProof/>
              </w:rPr>
              <w:t>3.3 Philosophical Ontology and Epistemology of Urban Agriculture and Climate Change</w:t>
            </w:r>
            <w:r>
              <w:rPr>
                <w:noProof/>
                <w:webHidden/>
              </w:rPr>
              <w:tab/>
            </w:r>
            <w:r>
              <w:rPr>
                <w:noProof/>
                <w:webHidden/>
              </w:rPr>
              <w:fldChar w:fldCharType="begin"/>
            </w:r>
            <w:r>
              <w:rPr>
                <w:noProof/>
                <w:webHidden/>
              </w:rPr>
              <w:instrText xml:space="preserve"> PAGEREF _Toc167379892 \h </w:instrText>
            </w:r>
            <w:r>
              <w:rPr>
                <w:noProof/>
                <w:webHidden/>
              </w:rPr>
            </w:r>
            <w:r>
              <w:rPr>
                <w:noProof/>
                <w:webHidden/>
              </w:rPr>
              <w:fldChar w:fldCharType="separate"/>
            </w:r>
            <w:r w:rsidR="0026489B">
              <w:rPr>
                <w:noProof/>
                <w:webHidden/>
              </w:rPr>
              <w:t>49</w:t>
            </w:r>
            <w:r>
              <w:rPr>
                <w:noProof/>
                <w:webHidden/>
              </w:rPr>
              <w:fldChar w:fldCharType="end"/>
            </w:r>
          </w:hyperlink>
        </w:p>
        <w:p w14:paraId="719BFEB0" w14:textId="475A0971"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93" w:history="1">
            <w:r w:rsidRPr="00E36E15">
              <w:rPr>
                <w:rStyle w:val="Hyperlink"/>
                <w:noProof/>
              </w:rPr>
              <w:t>3.3.1 Methodological application of pragmatism on urban agriculture and climate change adaptations</w:t>
            </w:r>
            <w:r>
              <w:rPr>
                <w:noProof/>
                <w:webHidden/>
              </w:rPr>
              <w:tab/>
            </w:r>
            <w:r>
              <w:rPr>
                <w:noProof/>
                <w:webHidden/>
              </w:rPr>
              <w:fldChar w:fldCharType="begin"/>
            </w:r>
            <w:r>
              <w:rPr>
                <w:noProof/>
                <w:webHidden/>
              </w:rPr>
              <w:instrText xml:space="preserve"> PAGEREF _Toc167379893 \h </w:instrText>
            </w:r>
            <w:r>
              <w:rPr>
                <w:noProof/>
                <w:webHidden/>
              </w:rPr>
            </w:r>
            <w:r>
              <w:rPr>
                <w:noProof/>
                <w:webHidden/>
              </w:rPr>
              <w:fldChar w:fldCharType="separate"/>
            </w:r>
            <w:r w:rsidR="0026489B">
              <w:rPr>
                <w:noProof/>
                <w:webHidden/>
              </w:rPr>
              <w:t>50</w:t>
            </w:r>
            <w:r>
              <w:rPr>
                <w:noProof/>
                <w:webHidden/>
              </w:rPr>
              <w:fldChar w:fldCharType="end"/>
            </w:r>
          </w:hyperlink>
        </w:p>
        <w:p w14:paraId="0886931D" w14:textId="1785044D"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94" w:history="1">
            <w:r w:rsidRPr="00E36E15">
              <w:rPr>
                <w:rStyle w:val="Hyperlink"/>
                <w:noProof/>
              </w:rPr>
              <w:t>3.4 Research Approach and Design</w:t>
            </w:r>
            <w:r>
              <w:rPr>
                <w:noProof/>
                <w:webHidden/>
              </w:rPr>
              <w:tab/>
            </w:r>
            <w:r>
              <w:rPr>
                <w:noProof/>
                <w:webHidden/>
              </w:rPr>
              <w:fldChar w:fldCharType="begin"/>
            </w:r>
            <w:r>
              <w:rPr>
                <w:noProof/>
                <w:webHidden/>
              </w:rPr>
              <w:instrText xml:space="preserve"> PAGEREF _Toc167379894 \h </w:instrText>
            </w:r>
            <w:r>
              <w:rPr>
                <w:noProof/>
                <w:webHidden/>
              </w:rPr>
            </w:r>
            <w:r>
              <w:rPr>
                <w:noProof/>
                <w:webHidden/>
              </w:rPr>
              <w:fldChar w:fldCharType="separate"/>
            </w:r>
            <w:r w:rsidR="0026489B">
              <w:rPr>
                <w:noProof/>
                <w:webHidden/>
              </w:rPr>
              <w:t>51</w:t>
            </w:r>
            <w:r>
              <w:rPr>
                <w:noProof/>
                <w:webHidden/>
              </w:rPr>
              <w:fldChar w:fldCharType="end"/>
            </w:r>
          </w:hyperlink>
        </w:p>
        <w:p w14:paraId="2DC665AD" w14:textId="37664C06"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95" w:history="1">
            <w:r w:rsidRPr="00E36E15">
              <w:rPr>
                <w:rStyle w:val="Hyperlink"/>
                <w:noProof/>
              </w:rPr>
              <w:t>3.4.1 Sources of data</w:t>
            </w:r>
            <w:r>
              <w:rPr>
                <w:noProof/>
                <w:webHidden/>
              </w:rPr>
              <w:tab/>
            </w:r>
            <w:r>
              <w:rPr>
                <w:noProof/>
                <w:webHidden/>
              </w:rPr>
              <w:fldChar w:fldCharType="begin"/>
            </w:r>
            <w:r>
              <w:rPr>
                <w:noProof/>
                <w:webHidden/>
              </w:rPr>
              <w:instrText xml:space="preserve"> PAGEREF _Toc167379895 \h </w:instrText>
            </w:r>
            <w:r>
              <w:rPr>
                <w:noProof/>
                <w:webHidden/>
              </w:rPr>
            </w:r>
            <w:r>
              <w:rPr>
                <w:noProof/>
                <w:webHidden/>
              </w:rPr>
              <w:fldChar w:fldCharType="separate"/>
            </w:r>
            <w:r w:rsidR="0026489B">
              <w:rPr>
                <w:noProof/>
                <w:webHidden/>
              </w:rPr>
              <w:t>53</w:t>
            </w:r>
            <w:r>
              <w:rPr>
                <w:noProof/>
                <w:webHidden/>
              </w:rPr>
              <w:fldChar w:fldCharType="end"/>
            </w:r>
          </w:hyperlink>
        </w:p>
        <w:p w14:paraId="2F3762C8" w14:textId="2FAA03A4"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96" w:history="1">
            <w:r w:rsidRPr="00E36E15">
              <w:rPr>
                <w:rStyle w:val="Hyperlink"/>
                <w:noProof/>
              </w:rPr>
              <w:t>3.4.2 Target population</w:t>
            </w:r>
            <w:r>
              <w:rPr>
                <w:noProof/>
                <w:webHidden/>
              </w:rPr>
              <w:tab/>
            </w:r>
            <w:r>
              <w:rPr>
                <w:noProof/>
                <w:webHidden/>
              </w:rPr>
              <w:fldChar w:fldCharType="begin"/>
            </w:r>
            <w:r>
              <w:rPr>
                <w:noProof/>
                <w:webHidden/>
              </w:rPr>
              <w:instrText xml:space="preserve"> PAGEREF _Toc167379896 \h </w:instrText>
            </w:r>
            <w:r>
              <w:rPr>
                <w:noProof/>
                <w:webHidden/>
              </w:rPr>
            </w:r>
            <w:r>
              <w:rPr>
                <w:noProof/>
                <w:webHidden/>
              </w:rPr>
              <w:fldChar w:fldCharType="separate"/>
            </w:r>
            <w:r w:rsidR="0026489B">
              <w:rPr>
                <w:noProof/>
                <w:webHidden/>
              </w:rPr>
              <w:t>53</w:t>
            </w:r>
            <w:r>
              <w:rPr>
                <w:noProof/>
                <w:webHidden/>
              </w:rPr>
              <w:fldChar w:fldCharType="end"/>
            </w:r>
          </w:hyperlink>
        </w:p>
        <w:p w14:paraId="7AD570B0" w14:textId="31BC83E2"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97" w:history="1">
            <w:r w:rsidRPr="00E36E15">
              <w:rPr>
                <w:rStyle w:val="Hyperlink"/>
                <w:noProof/>
              </w:rPr>
              <w:t>3.4.3 Unit of analysis</w:t>
            </w:r>
            <w:r>
              <w:rPr>
                <w:noProof/>
                <w:webHidden/>
              </w:rPr>
              <w:tab/>
            </w:r>
            <w:r>
              <w:rPr>
                <w:noProof/>
                <w:webHidden/>
              </w:rPr>
              <w:fldChar w:fldCharType="begin"/>
            </w:r>
            <w:r>
              <w:rPr>
                <w:noProof/>
                <w:webHidden/>
              </w:rPr>
              <w:instrText xml:space="preserve"> PAGEREF _Toc167379897 \h </w:instrText>
            </w:r>
            <w:r>
              <w:rPr>
                <w:noProof/>
                <w:webHidden/>
              </w:rPr>
            </w:r>
            <w:r>
              <w:rPr>
                <w:noProof/>
                <w:webHidden/>
              </w:rPr>
              <w:fldChar w:fldCharType="separate"/>
            </w:r>
            <w:r w:rsidR="0026489B">
              <w:rPr>
                <w:noProof/>
                <w:webHidden/>
              </w:rPr>
              <w:t>54</w:t>
            </w:r>
            <w:r>
              <w:rPr>
                <w:noProof/>
                <w:webHidden/>
              </w:rPr>
              <w:fldChar w:fldCharType="end"/>
            </w:r>
          </w:hyperlink>
        </w:p>
        <w:p w14:paraId="69510E90" w14:textId="5F66B83B"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98" w:history="1">
            <w:r w:rsidRPr="00E36E15">
              <w:rPr>
                <w:rStyle w:val="Hyperlink"/>
                <w:noProof/>
              </w:rPr>
              <w:t>3.4.4 Sample size determination</w:t>
            </w:r>
            <w:r>
              <w:rPr>
                <w:noProof/>
                <w:webHidden/>
              </w:rPr>
              <w:tab/>
            </w:r>
            <w:r>
              <w:rPr>
                <w:noProof/>
                <w:webHidden/>
              </w:rPr>
              <w:fldChar w:fldCharType="begin"/>
            </w:r>
            <w:r>
              <w:rPr>
                <w:noProof/>
                <w:webHidden/>
              </w:rPr>
              <w:instrText xml:space="preserve"> PAGEREF _Toc167379898 \h </w:instrText>
            </w:r>
            <w:r>
              <w:rPr>
                <w:noProof/>
                <w:webHidden/>
              </w:rPr>
            </w:r>
            <w:r>
              <w:rPr>
                <w:noProof/>
                <w:webHidden/>
              </w:rPr>
              <w:fldChar w:fldCharType="separate"/>
            </w:r>
            <w:r w:rsidR="0026489B">
              <w:rPr>
                <w:noProof/>
                <w:webHidden/>
              </w:rPr>
              <w:t>54</w:t>
            </w:r>
            <w:r>
              <w:rPr>
                <w:noProof/>
                <w:webHidden/>
              </w:rPr>
              <w:fldChar w:fldCharType="end"/>
            </w:r>
          </w:hyperlink>
        </w:p>
        <w:p w14:paraId="65A8A99D" w14:textId="34380080"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899" w:history="1">
            <w:r w:rsidRPr="00E36E15">
              <w:rPr>
                <w:rStyle w:val="Hyperlink"/>
                <w:noProof/>
              </w:rPr>
              <w:t>3.4.5 Sampling strategy</w:t>
            </w:r>
            <w:r>
              <w:rPr>
                <w:noProof/>
                <w:webHidden/>
              </w:rPr>
              <w:tab/>
            </w:r>
            <w:r>
              <w:rPr>
                <w:noProof/>
                <w:webHidden/>
              </w:rPr>
              <w:fldChar w:fldCharType="begin"/>
            </w:r>
            <w:r>
              <w:rPr>
                <w:noProof/>
                <w:webHidden/>
              </w:rPr>
              <w:instrText xml:space="preserve"> PAGEREF _Toc167379899 \h </w:instrText>
            </w:r>
            <w:r>
              <w:rPr>
                <w:noProof/>
                <w:webHidden/>
              </w:rPr>
            </w:r>
            <w:r>
              <w:rPr>
                <w:noProof/>
                <w:webHidden/>
              </w:rPr>
              <w:fldChar w:fldCharType="separate"/>
            </w:r>
            <w:r w:rsidR="0026489B">
              <w:rPr>
                <w:noProof/>
                <w:webHidden/>
              </w:rPr>
              <w:t>56</w:t>
            </w:r>
            <w:r>
              <w:rPr>
                <w:noProof/>
                <w:webHidden/>
              </w:rPr>
              <w:fldChar w:fldCharType="end"/>
            </w:r>
          </w:hyperlink>
        </w:p>
        <w:p w14:paraId="127FDD2E" w14:textId="0F9FB1E1"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00" w:history="1">
            <w:r w:rsidRPr="00E36E15">
              <w:rPr>
                <w:rStyle w:val="Hyperlink"/>
                <w:noProof/>
              </w:rPr>
              <w:t>3.5 Methods and Tools of Data Collection</w:t>
            </w:r>
            <w:r>
              <w:rPr>
                <w:noProof/>
                <w:webHidden/>
              </w:rPr>
              <w:tab/>
            </w:r>
            <w:r>
              <w:rPr>
                <w:noProof/>
                <w:webHidden/>
              </w:rPr>
              <w:fldChar w:fldCharType="begin"/>
            </w:r>
            <w:r>
              <w:rPr>
                <w:noProof/>
                <w:webHidden/>
              </w:rPr>
              <w:instrText xml:space="preserve"> PAGEREF _Toc167379900 \h </w:instrText>
            </w:r>
            <w:r>
              <w:rPr>
                <w:noProof/>
                <w:webHidden/>
              </w:rPr>
            </w:r>
            <w:r>
              <w:rPr>
                <w:noProof/>
                <w:webHidden/>
              </w:rPr>
              <w:fldChar w:fldCharType="separate"/>
            </w:r>
            <w:r w:rsidR="0026489B">
              <w:rPr>
                <w:noProof/>
                <w:webHidden/>
              </w:rPr>
              <w:t>56</w:t>
            </w:r>
            <w:r>
              <w:rPr>
                <w:noProof/>
                <w:webHidden/>
              </w:rPr>
              <w:fldChar w:fldCharType="end"/>
            </w:r>
          </w:hyperlink>
        </w:p>
        <w:p w14:paraId="4E54EBD3" w14:textId="168FB6EA"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01" w:history="1">
            <w:r w:rsidRPr="00E36E15">
              <w:rPr>
                <w:rStyle w:val="Hyperlink"/>
                <w:noProof/>
              </w:rPr>
              <w:t>3.5.1 Quantitative phase</w:t>
            </w:r>
            <w:r>
              <w:rPr>
                <w:noProof/>
                <w:webHidden/>
              </w:rPr>
              <w:tab/>
            </w:r>
            <w:r>
              <w:rPr>
                <w:noProof/>
                <w:webHidden/>
              </w:rPr>
              <w:fldChar w:fldCharType="begin"/>
            </w:r>
            <w:r>
              <w:rPr>
                <w:noProof/>
                <w:webHidden/>
              </w:rPr>
              <w:instrText xml:space="preserve"> PAGEREF _Toc167379901 \h </w:instrText>
            </w:r>
            <w:r>
              <w:rPr>
                <w:noProof/>
                <w:webHidden/>
              </w:rPr>
            </w:r>
            <w:r>
              <w:rPr>
                <w:noProof/>
                <w:webHidden/>
              </w:rPr>
              <w:fldChar w:fldCharType="separate"/>
            </w:r>
            <w:r w:rsidR="0026489B">
              <w:rPr>
                <w:noProof/>
                <w:webHidden/>
              </w:rPr>
              <w:t>56</w:t>
            </w:r>
            <w:r>
              <w:rPr>
                <w:noProof/>
                <w:webHidden/>
              </w:rPr>
              <w:fldChar w:fldCharType="end"/>
            </w:r>
          </w:hyperlink>
        </w:p>
        <w:p w14:paraId="2AE7EDBF" w14:textId="3096D4C0"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02" w:history="1">
            <w:r w:rsidRPr="00E36E15">
              <w:rPr>
                <w:rStyle w:val="Hyperlink"/>
                <w:noProof/>
              </w:rPr>
              <w:t>3.5.2 Qualitative Phase</w:t>
            </w:r>
            <w:r>
              <w:rPr>
                <w:noProof/>
                <w:webHidden/>
              </w:rPr>
              <w:tab/>
            </w:r>
            <w:r>
              <w:rPr>
                <w:noProof/>
                <w:webHidden/>
              </w:rPr>
              <w:fldChar w:fldCharType="begin"/>
            </w:r>
            <w:r>
              <w:rPr>
                <w:noProof/>
                <w:webHidden/>
              </w:rPr>
              <w:instrText xml:space="preserve"> PAGEREF _Toc167379902 \h </w:instrText>
            </w:r>
            <w:r>
              <w:rPr>
                <w:noProof/>
                <w:webHidden/>
              </w:rPr>
            </w:r>
            <w:r>
              <w:rPr>
                <w:noProof/>
                <w:webHidden/>
              </w:rPr>
              <w:fldChar w:fldCharType="separate"/>
            </w:r>
            <w:r w:rsidR="0026489B">
              <w:rPr>
                <w:noProof/>
                <w:webHidden/>
              </w:rPr>
              <w:t>58</w:t>
            </w:r>
            <w:r>
              <w:rPr>
                <w:noProof/>
                <w:webHidden/>
              </w:rPr>
              <w:fldChar w:fldCharType="end"/>
            </w:r>
          </w:hyperlink>
        </w:p>
        <w:p w14:paraId="1E98880A" w14:textId="50B90CF6"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03" w:history="1">
            <w:r w:rsidRPr="00E36E15">
              <w:rPr>
                <w:rStyle w:val="Hyperlink"/>
                <w:noProof/>
              </w:rPr>
              <w:t>3.6 Methods of Data Analysis</w:t>
            </w:r>
            <w:r>
              <w:rPr>
                <w:noProof/>
                <w:webHidden/>
              </w:rPr>
              <w:tab/>
            </w:r>
            <w:r>
              <w:rPr>
                <w:noProof/>
                <w:webHidden/>
              </w:rPr>
              <w:fldChar w:fldCharType="begin"/>
            </w:r>
            <w:r>
              <w:rPr>
                <w:noProof/>
                <w:webHidden/>
              </w:rPr>
              <w:instrText xml:space="preserve"> PAGEREF _Toc167379903 \h </w:instrText>
            </w:r>
            <w:r>
              <w:rPr>
                <w:noProof/>
                <w:webHidden/>
              </w:rPr>
            </w:r>
            <w:r>
              <w:rPr>
                <w:noProof/>
                <w:webHidden/>
              </w:rPr>
              <w:fldChar w:fldCharType="separate"/>
            </w:r>
            <w:r w:rsidR="0026489B">
              <w:rPr>
                <w:noProof/>
                <w:webHidden/>
              </w:rPr>
              <w:t>61</w:t>
            </w:r>
            <w:r>
              <w:rPr>
                <w:noProof/>
                <w:webHidden/>
              </w:rPr>
              <w:fldChar w:fldCharType="end"/>
            </w:r>
          </w:hyperlink>
        </w:p>
        <w:p w14:paraId="5CA79E54" w14:textId="52E18DFE"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04" w:history="1">
            <w:r w:rsidRPr="00E36E15">
              <w:rPr>
                <w:rStyle w:val="Hyperlink"/>
                <w:noProof/>
              </w:rPr>
              <w:t>3.6.1 Quantitative phase</w:t>
            </w:r>
            <w:r>
              <w:rPr>
                <w:noProof/>
                <w:webHidden/>
              </w:rPr>
              <w:tab/>
            </w:r>
            <w:r>
              <w:rPr>
                <w:noProof/>
                <w:webHidden/>
              </w:rPr>
              <w:fldChar w:fldCharType="begin"/>
            </w:r>
            <w:r>
              <w:rPr>
                <w:noProof/>
                <w:webHidden/>
              </w:rPr>
              <w:instrText xml:space="preserve"> PAGEREF _Toc167379904 \h </w:instrText>
            </w:r>
            <w:r>
              <w:rPr>
                <w:noProof/>
                <w:webHidden/>
              </w:rPr>
            </w:r>
            <w:r>
              <w:rPr>
                <w:noProof/>
                <w:webHidden/>
              </w:rPr>
              <w:fldChar w:fldCharType="separate"/>
            </w:r>
            <w:r w:rsidR="0026489B">
              <w:rPr>
                <w:noProof/>
                <w:webHidden/>
              </w:rPr>
              <w:t>61</w:t>
            </w:r>
            <w:r>
              <w:rPr>
                <w:noProof/>
                <w:webHidden/>
              </w:rPr>
              <w:fldChar w:fldCharType="end"/>
            </w:r>
          </w:hyperlink>
        </w:p>
        <w:p w14:paraId="2571ED49" w14:textId="5540AF6F"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05" w:history="1">
            <w:r w:rsidRPr="00E36E15">
              <w:rPr>
                <w:rStyle w:val="Hyperlink"/>
                <w:noProof/>
              </w:rPr>
              <w:t>3.6.2 Qualitative phase</w:t>
            </w:r>
            <w:r>
              <w:rPr>
                <w:noProof/>
                <w:webHidden/>
              </w:rPr>
              <w:tab/>
            </w:r>
            <w:r>
              <w:rPr>
                <w:noProof/>
                <w:webHidden/>
              </w:rPr>
              <w:fldChar w:fldCharType="begin"/>
            </w:r>
            <w:r>
              <w:rPr>
                <w:noProof/>
                <w:webHidden/>
              </w:rPr>
              <w:instrText xml:space="preserve"> PAGEREF _Toc167379905 \h </w:instrText>
            </w:r>
            <w:r>
              <w:rPr>
                <w:noProof/>
                <w:webHidden/>
              </w:rPr>
            </w:r>
            <w:r>
              <w:rPr>
                <w:noProof/>
                <w:webHidden/>
              </w:rPr>
              <w:fldChar w:fldCharType="separate"/>
            </w:r>
            <w:r w:rsidR="0026489B">
              <w:rPr>
                <w:noProof/>
                <w:webHidden/>
              </w:rPr>
              <w:t>65</w:t>
            </w:r>
            <w:r>
              <w:rPr>
                <w:noProof/>
                <w:webHidden/>
              </w:rPr>
              <w:fldChar w:fldCharType="end"/>
            </w:r>
          </w:hyperlink>
        </w:p>
        <w:p w14:paraId="1EA8CB29" w14:textId="160E1CDD"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06" w:history="1">
            <w:r w:rsidRPr="00E36E15">
              <w:rPr>
                <w:rStyle w:val="Hyperlink"/>
                <w:noProof/>
              </w:rPr>
              <w:t>3.7 Data Validity, Reliability, and Ethical Considerations</w:t>
            </w:r>
            <w:r>
              <w:rPr>
                <w:noProof/>
                <w:webHidden/>
              </w:rPr>
              <w:tab/>
            </w:r>
            <w:r>
              <w:rPr>
                <w:noProof/>
                <w:webHidden/>
              </w:rPr>
              <w:fldChar w:fldCharType="begin"/>
            </w:r>
            <w:r>
              <w:rPr>
                <w:noProof/>
                <w:webHidden/>
              </w:rPr>
              <w:instrText xml:space="preserve"> PAGEREF _Toc167379906 \h </w:instrText>
            </w:r>
            <w:r>
              <w:rPr>
                <w:noProof/>
                <w:webHidden/>
              </w:rPr>
            </w:r>
            <w:r>
              <w:rPr>
                <w:noProof/>
                <w:webHidden/>
              </w:rPr>
              <w:fldChar w:fldCharType="separate"/>
            </w:r>
            <w:r w:rsidR="0026489B">
              <w:rPr>
                <w:noProof/>
                <w:webHidden/>
              </w:rPr>
              <w:t>65</w:t>
            </w:r>
            <w:r>
              <w:rPr>
                <w:noProof/>
                <w:webHidden/>
              </w:rPr>
              <w:fldChar w:fldCharType="end"/>
            </w:r>
          </w:hyperlink>
        </w:p>
        <w:p w14:paraId="4C869BDE" w14:textId="6BC80324"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07" w:history="1">
            <w:r w:rsidRPr="00E36E15">
              <w:rPr>
                <w:rStyle w:val="Hyperlink"/>
                <w:noProof/>
              </w:rPr>
              <w:t>3.7.1 Validity and reliability of the study</w:t>
            </w:r>
            <w:r>
              <w:rPr>
                <w:noProof/>
                <w:webHidden/>
              </w:rPr>
              <w:tab/>
            </w:r>
            <w:r>
              <w:rPr>
                <w:noProof/>
                <w:webHidden/>
              </w:rPr>
              <w:fldChar w:fldCharType="begin"/>
            </w:r>
            <w:r>
              <w:rPr>
                <w:noProof/>
                <w:webHidden/>
              </w:rPr>
              <w:instrText xml:space="preserve"> PAGEREF _Toc167379907 \h </w:instrText>
            </w:r>
            <w:r>
              <w:rPr>
                <w:noProof/>
                <w:webHidden/>
              </w:rPr>
            </w:r>
            <w:r>
              <w:rPr>
                <w:noProof/>
                <w:webHidden/>
              </w:rPr>
              <w:fldChar w:fldCharType="separate"/>
            </w:r>
            <w:r w:rsidR="0026489B">
              <w:rPr>
                <w:noProof/>
                <w:webHidden/>
              </w:rPr>
              <w:t>65</w:t>
            </w:r>
            <w:r>
              <w:rPr>
                <w:noProof/>
                <w:webHidden/>
              </w:rPr>
              <w:fldChar w:fldCharType="end"/>
            </w:r>
          </w:hyperlink>
        </w:p>
        <w:p w14:paraId="6316616C" w14:textId="31F1B452" w:rsidR="00AD7FC2" w:rsidRDefault="00AD7FC2" w:rsidP="00AD7FC2">
          <w:pPr>
            <w:pStyle w:val="TOC3"/>
            <w:tabs>
              <w:tab w:val="right" w:leader="dot" w:pos="8296"/>
            </w:tabs>
            <w:spacing w:line="360" w:lineRule="auto"/>
            <w:rPr>
              <w:rStyle w:val="Hyperlink"/>
              <w:noProof/>
            </w:rPr>
          </w:pPr>
          <w:hyperlink w:anchor="_Toc167379908" w:history="1">
            <w:r w:rsidRPr="00E36E15">
              <w:rPr>
                <w:rStyle w:val="Hyperlink"/>
                <w:noProof/>
              </w:rPr>
              <w:t>3.7.2 Ethical considerations of the study</w:t>
            </w:r>
            <w:r>
              <w:rPr>
                <w:noProof/>
                <w:webHidden/>
              </w:rPr>
              <w:tab/>
            </w:r>
            <w:r>
              <w:rPr>
                <w:noProof/>
                <w:webHidden/>
              </w:rPr>
              <w:fldChar w:fldCharType="begin"/>
            </w:r>
            <w:r>
              <w:rPr>
                <w:noProof/>
                <w:webHidden/>
              </w:rPr>
              <w:instrText xml:space="preserve"> PAGEREF _Toc167379908 \h </w:instrText>
            </w:r>
            <w:r>
              <w:rPr>
                <w:noProof/>
                <w:webHidden/>
              </w:rPr>
            </w:r>
            <w:r>
              <w:rPr>
                <w:noProof/>
                <w:webHidden/>
              </w:rPr>
              <w:fldChar w:fldCharType="separate"/>
            </w:r>
            <w:r w:rsidR="0026489B">
              <w:rPr>
                <w:noProof/>
                <w:webHidden/>
              </w:rPr>
              <w:t>66</w:t>
            </w:r>
            <w:r>
              <w:rPr>
                <w:noProof/>
                <w:webHidden/>
              </w:rPr>
              <w:fldChar w:fldCharType="end"/>
            </w:r>
          </w:hyperlink>
        </w:p>
        <w:p w14:paraId="47A4D127" w14:textId="77777777" w:rsidR="009745EC" w:rsidRPr="009745EC" w:rsidRDefault="009745EC" w:rsidP="009745EC">
          <w:pPr>
            <w:rPr>
              <w:noProof/>
              <w:lang w:val="en-US"/>
            </w:rPr>
          </w:pPr>
        </w:p>
        <w:p w14:paraId="6CA45AE7" w14:textId="202C1F4E"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909" w:history="1">
            <w:r w:rsidRPr="00E36E15">
              <w:rPr>
                <w:rStyle w:val="Hyperlink"/>
                <w:noProof/>
              </w:rPr>
              <w:t>CHAPTER FOUR</w:t>
            </w:r>
            <w:r>
              <w:rPr>
                <w:noProof/>
                <w:webHidden/>
              </w:rPr>
              <w:tab/>
            </w:r>
            <w:r>
              <w:rPr>
                <w:noProof/>
                <w:webHidden/>
              </w:rPr>
              <w:fldChar w:fldCharType="begin"/>
            </w:r>
            <w:r>
              <w:rPr>
                <w:noProof/>
                <w:webHidden/>
              </w:rPr>
              <w:instrText xml:space="preserve"> PAGEREF _Toc167379909 \h </w:instrText>
            </w:r>
            <w:r>
              <w:rPr>
                <w:noProof/>
                <w:webHidden/>
              </w:rPr>
            </w:r>
            <w:r>
              <w:rPr>
                <w:noProof/>
                <w:webHidden/>
              </w:rPr>
              <w:fldChar w:fldCharType="separate"/>
            </w:r>
            <w:r w:rsidR="0026489B">
              <w:rPr>
                <w:noProof/>
                <w:webHidden/>
              </w:rPr>
              <w:t>67</w:t>
            </w:r>
            <w:r>
              <w:rPr>
                <w:noProof/>
                <w:webHidden/>
              </w:rPr>
              <w:fldChar w:fldCharType="end"/>
            </w:r>
          </w:hyperlink>
        </w:p>
        <w:p w14:paraId="7840349E" w14:textId="0A40F438"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910" w:history="1">
            <w:r w:rsidRPr="00E36E15">
              <w:rPr>
                <w:rStyle w:val="Hyperlink"/>
                <w:noProof/>
              </w:rPr>
              <w:t>CHARACTERISTICS OF URBAN FOOD CROP AND ANIMAL PRODUCTION</w:t>
            </w:r>
            <w:r>
              <w:rPr>
                <w:noProof/>
                <w:webHidden/>
              </w:rPr>
              <w:tab/>
            </w:r>
            <w:r>
              <w:rPr>
                <w:noProof/>
                <w:webHidden/>
              </w:rPr>
              <w:fldChar w:fldCharType="begin"/>
            </w:r>
            <w:r>
              <w:rPr>
                <w:noProof/>
                <w:webHidden/>
              </w:rPr>
              <w:instrText xml:space="preserve"> PAGEREF _Toc167379910 \h </w:instrText>
            </w:r>
            <w:r>
              <w:rPr>
                <w:noProof/>
                <w:webHidden/>
              </w:rPr>
            </w:r>
            <w:r>
              <w:rPr>
                <w:noProof/>
                <w:webHidden/>
              </w:rPr>
              <w:fldChar w:fldCharType="separate"/>
            </w:r>
            <w:r w:rsidR="0026489B">
              <w:rPr>
                <w:noProof/>
                <w:webHidden/>
              </w:rPr>
              <w:t>67</w:t>
            </w:r>
            <w:r>
              <w:rPr>
                <w:noProof/>
                <w:webHidden/>
              </w:rPr>
              <w:fldChar w:fldCharType="end"/>
            </w:r>
          </w:hyperlink>
        </w:p>
        <w:p w14:paraId="522F9665" w14:textId="1F9FC1C2"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11" w:history="1">
            <w:r w:rsidRPr="00E36E15">
              <w:rPr>
                <w:rStyle w:val="Hyperlink"/>
                <w:noProof/>
              </w:rPr>
              <w:t>4.1 Introduction</w:t>
            </w:r>
            <w:r>
              <w:rPr>
                <w:noProof/>
                <w:webHidden/>
              </w:rPr>
              <w:tab/>
            </w:r>
            <w:r>
              <w:rPr>
                <w:noProof/>
                <w:webHidden/>
              </w:rPr>
              <w:fldChar w:fldCharType="begin"/>
            </w:r>
            <w:r>
              <w:rPr>
                <w:noProof/>
                <w:webHidden/>
              </w:rPr>
              <w:instrText xml:space="preserve"> PAGEREF _Toc167379911 \h </w:instrText>
            </w:r>
            <w:r>
              <w:rPr>
                <w:noProof/>
                <w:webHidden/>
              </w:rPr>
            </w:r>
            <w:r>
              <w:rPr>
                <w:noProof/>
                <w:webHidden/>
              </w:rPr>
              <w:fldChar w:fldCharType="separate"/>
            </w:r>
            <w:r w:rsidR="0026489B">
              <w:rPr>
                <w:noProof/>
                <w:webHidden/>
              </w:rPr>
              <w:t>67</w:t>
            </w:r>
            <w:r>
              <w:rPr>
                <w:noProof/>
                <w:webHidden/>
              </w:rPr>
              <w:fldChar w:fldCharType="end"/>
            </w:r>
          </w:hyperlink>
        </w:p>
        <w:p w14:paraId="06A98A6B" w14:textId="733C68A7"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12" w:history="1">
            <w:r w:rsidRPr="00E36E15">
              <w:rPr>
                <w:rStyle w:val="Hyperlink"/>
                <w:noProof/>
              </w:rPr>
              <w:t>4.2. Type of urban agriculture and mode of land acquisition</w:t>
            </w:r>
            <w:r>
              <w:rPr>
                <w:noProof/>
                <w:webHidden/>
              </w:rPr>
              <w:tab/>
            </w:r>
            <w:r>
              <w:rPr>
                <w:noProof/>
                <w:webHidden/>
              </w:rPr>
              <w:fldChar w:fldCharType="begin"/>
            </w:r>
            <w:r>
              <w:rPr>
                <w:noProof/>
                <w:webHidden/>
              </w:rPr>
              <w:instrText xml:space="preserve"> PAGEREF _Toc167379912 \h </w:instrText>
            </w:r>
            <w:r>
              <w:rPr>
                <w:noProof/>
                <w:webHidden/>
              </w:rPr>
            </w:r>
            <w:r>
              <w:rPr>
                <w:noProof/>
                <w:webHidden/>
              </w:rPr>
              <w:fldChar w:fldCharType="separate"/>
            </w:r>
            <w:r w:rsidR="0026489B">
              <w:rPr>
                <w:noProof/>
                <w:webHidden/>
              </w:rPr>
              <w:t>67</w:t>
            </w:r>
            <w:r>
              <w:rPr>
                <w:noProof/>
                <w:webHidden/>
              </w:rPr>
              <w:fldChar w:fldCharType="end"/>
            </w:r>
          </w:hyperlink>
        </w:p>
        <w:p w14:paraId="312FE9AA" w14:textId="4623E943"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13" w:history="1">
            <w:r w:rsidRPr="00E36E15">
              <w:rPr>
                <w:rStyle w:val="Hyperlink"/>
                <w:noProof/>
              </w:rPr>
              <w:t>4.3 Types of Livestock Urban Farmers Rear</w:t>
            </w:r>
            <w:r>
              <w:rPr>
                <w:noProof/>
                <w:webHidden/>
              </w:rPr>
              <w:tab/>
            </w:r>
            <w:r>
              <w:rPr>
                <w:noProof/>
                <w:webHidden/>
              </w:rPr>
              <w:fldChar w:fldCharType="begin"/>
            </w:r>
            <w:r>
              <w:rPr>
                <w:noProof/>
                <w:webHidden/>
              </w:rPr>
              <w:instrText xml:space="preserve"> PAGEREF _Toc167379913 \h </w:instrText>
            </w:r>
            <w:r>
              <w:rPr>
                <w:noProof/>
                <w:webHidden/>
              </w:rPr>
            </w:r>
            <w:r>
              <w:rPr>
                <w:noProof/>
                <w:webHidden/>
              </w:rPr>
              <w:fldChar w:fldCharType="separate"/>
            </w:r>
            <w:r w:rsidR="0026489B">
              <w:rPr>
                <w:noProof/>
                <w:webHidden/>
              </w:rPr>
              <w:t>69</w:t>
            </w:r>
            <w:r>
              <w:rPr>
                <w:noProof/>
                <w:webHidden/>
              </w:rPr>
              <w:fldChar w:fldCharType="end"/>
            </w:r>
          </w:hyperlink>
        </w:p>
        <w:p w14:paraId="1623DA7B" w14:textId="43AA4470"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14" w:history="1">
            <w:r w:rsidRPr="00E36E15">
              <w:rPr>
                <w:rStyle w:val="Hyperlink"/>
                <w:noProof/>
              </w:rPr>
              <w:t>4.4 Type of crops urban farmers produce</w:t>
            </w:r>
            <w:r>
              <w:rPr>
                <w:noProof/>
                <w:webHidden/>
              </w:rPr>
              <w:tab/>
            </w:r>
            <w:r>
              <w:rPr>
                <w:noProof/>
                <w:webHidden/>
              </w:rPr>
              <w:fldChar w:fldCharType="begin"/>
            </w:r>
            <w:r>
              <w:rPr>
                <w:noProof/>
                <w:webHidden/>
              </w:rPr>
              <w:instrText xml:space="preserve"> PAGEREF _Toc167379914 \h </w:instrText>
            </w:r>
            <w:r>
              <w:rPr>
                <w:noProof/>
                <w:webHidden/>
              </w:rPr>
            </w:r>
            <w:r>
              <w:rPr>
                <w:noProof/>
                <w:webHidden/>
              </w:rPr>
              <w:fldChar w:fldCharType="separate"/>
            </w:r>
            <w:r w:rsidR="0026489B">
              <w:rPr>
                <w:noProof/>
                <w:webHidden/>
              </w:rPr>
              <w:t>70</w:t>
            </w:r>
            <w:r>
              <w:rPr>
                <w:noProof/>
                <w:webHidden/>
              </w:rPr>
              <w:fldChar w:fldCharType="end"/>
            </w:r>
          </w:hyperlink>
        </w:p>
        <w:p w14:paraId="78814B3D" w14:textId="68FFEB4E"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15" w:history="1">
            <w:r w:rsidRPr="00E36E15">
              <w:rPr>
                <w:rStyle w:val="Hyperlink"/>
                <w:noProof/>
              </w:rPr>
              <w:t>4.5 Locations, Land Ownership and Physical Characteristics of Urban Farms</w:t>
            </w:r>
            <w:r>
              <w:rPr>
                <w:noProof/>
                <w:webHidden/>
              </w:rPr>
              <w:tab/>
            </w:r>
            <w:r>
              <w:rPr>
                <w:noProof/>
                <w:webHidden/>
              </w:rPr>
              <w:fldChar w:fldCharType="begin"/>
            </w:r>
            <w:r>
              <w:rPr>
                <w:noProof/>
                <w:webHidden/>
              </w:rPr>
              <w:instrText xml:space="preserve"> PAGEREF _Toc167379915 \h </w:instrText>
            </w:r>
            <w:r>
              <w:rPr>
                <w:noProof/>
                <w:webHidden/>
              </w:rPr>
            </w:r>
            <w:r>
              <w:rPr>
                <w:noProof/>
                <w:webHidden/>
              </w:rPr>
              <w:fldChar w:fldCharType="separate"/>
            </w:r>
            <w:r w:rsidR="0026489B">
              <w:rPr>
                <w:noProof/>
                <w:webHidden/>
              </w:rPr>
              <w:t>73</w:t>
            </w:r>
            <w:r>
              <w:rPr>
                <w:noProof/>
                <w:webHidden/>
              </w:rPr>
              <w:fldChar w:fldCharType="end"/>
            </w:r>
          </w:hyperlink>
        </w:p>
        <w:p w14:paraId="133069F6" w14:textId="4E4430E1"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16" w:history="1">
            <w:r w:rsidRPr="00E36E15">
              <w:rPr>
                <w:rStyle w:val="Hyperlink"/>
                <w:noProof/>
              </w:rPr>
              <w:t>4.6 Discussions of Major Findings</w:t>
            </w:r>
            <w:r>
              <w:rPr>
                <w:noProof/>
                <w:webHidden/>
              </w:rPr>
              <w:tab/>
            </w:r>
            <w:r>
              <w:rPr>
                <w:noProof/>
                <w:webHidden/>
              </w:rPr>
              <w:fldChar w:fldCharType="begin"/>
            </w:r>
            <w:r>
              <w:rPr>
                <w:noProof/>
                <w:webHidden/>
              </w:rPr>
              <w:instrText xml:space="preserve"> PAGEREF _Toc167379916 \h </w:instrText>
            </w:r>
            <w:r>
              <w:rPr>
                <w:noProof/>
                <w:webHidden/>
              </w:rPr>
            </w:r>
            <w:r>
              <w:rPr>
                <w:noProof/>
                <w:webHidden/>
              </w:rPr>
              <w:fldChar w:fldCharType="separate"/>
            </w:r>
            <w:r w:rsidR="0026489B">
              <w:rPr>
                <w:noProof/>
                <w:webHidden/>
              </w:rPr>
              <w:t>81</w:t>
            </w:r>
            <w:r>
              <w:rPr>
                <w:noProof/>
                <w:webHidden/>
              </w:rPr>
              <w:fldChar w:fldCharType="end"/>
            </w:r>
          </w:hyperlink>
        </w:p>
        <w:p w14:paraId="435DAD27" w14:textId="02B7F7F9"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17" w:history="1">
            <w:r w:rsidRPr="00E36E15">
              <w:rPr>
                <w:rStyle w:val="Hyperlink"/>
                <w:noProof/>
              </w:rPr>
              <w:t>4.6.1 Type of urban agriculture and mode of land acquisition</w:t>
            </w:r>
            <w:r>
              <w:rPr>
                <w:noProof/>
                <w:webHidden/>
              </w:rPr>
              <w:tab/>
            </w:r>
            <w:r>
              <w:rPr>
                <w:noProof/>
                <w:webHidden/>
              </w:rPr>
              <w:fldChar w:fldCharType="begin"/>
            </w:r>
            <w:r>
              <w:rPr>
                <w:noProof/>
                <w:webHidden/>
              </w:rPr>
              <w:instrText xml:space="preserve"> PAGEREF _Toc167379917 \h </w:instrText>
            </w:r>
            <w:r>
              <w:rPr>
                <w:noProof/>
                <w:webHidden/>
              </w:rPr>
            </w:r>
            <w:r>
              <w:rPr>
                <w:noProof/>
                <w:webHidden/>
              </w:rPr>
              <w:fldChar w:fldCharType="separate"/>
            </w:r>
            <w:r w:rsidR="0026489B">
              <w:rPr>
                <w:noProof/>
                <w:webHidden/>
              </w:rPr>
              <w:t>81</w:t>
            </w:r>
            <w:r>
              <w:rPr>
                <w:noProof/>
                <w:webHidden/>
              </w:rPr>
              <w:fldChar w:fldCharType="end"/>
            </w:r>
          </w:hyperlink>
        </w:p>
        <w:p w14:paraId="7BC88024" w14:textId="23D93CAD"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18" w:history="1">
            <w:r w:rsidRPr="00E36E15">
              <w:rPr>
                <w:rStyle w:val="Hyperlink"/>
                <w:noProof/>
              </w:rPr>
              <w:t>4.6.2 Types of crops and animals produced</w:t>
            </w:r>
            <w:r>
              <w:rPr>
                <w:noProof/>
                <w:webHidden/>
              </w:rPr>
              <w:tab/>
            </w:r>
            <w:r>
              <w:rPr>
                <w:noProof/>
                <w:webHidden/>
              </w:rPr>
              <w:fldChar w:fldCharType="begin"/>
            </w:r>
            <w:r>
              <w:rPr>
                <w:noProof/>
                <w:webHidden/>
              </w:rPr>
              <w:instrText xml:space="preserve"> PAGEREF _Toc167379918 \h </w:instrText>
            </w:r>
            <w:r>
              <w:rPr>
                <w:noProof/>
                <w:webHidden/>
              </w:rPr>
            </w:r>
            <w:r>
              <w:rPr>
                <w:noProof/>
                <w:webHidden/>
              </w:rPr>
              <w:fldChar w:fldCharType="separate"/>
            </w:r>
            <w:r w:rsidR="0026489B">
              <w:rPr>
                <w:noProof/>
                <w:webHidden/>
              </w:rPr>
              <w:t>83</w:t>
            </w:r>
            <w:r>
              <w:rPr>
                <w:noProof/>
                <w:webHidden/>
              </w:rPr>
              <w:fldChar w:fldCharType="end"/>
            </w:r>
          </w:hyperlink>
        </w:p>
        <w:p w14:paraId="55E8D026" w14:textId="00BA46F0"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19" w:history="1">
            <w:r w:rsidRPr="00E36E15">
              <w:rPr>
                <w:rStyle w:val="Hyperlink"/>
                <w:noProof/>
              </w:rPr>
              <w:t>4.6.3 Locations, land ownership and physical characteristics of urban farms</w:t>
            </w:r>
            <w:r>
              <w:rPr>
                <w:noProof/>
                <w:webHidden/>
              </w:rPr>
              <w:tab/>
            </w:r>
            <w:r>
              <w:rPr>
                <w:noProof/>
                <w:webHidden/>
              </w:rPr>
              <w:fldChar w:fldCharType="begin"/>
            </w:r>
            <w:r>
              <w:rPr>
                <w:noProof/>
                <w:webHidden/>
              </w:rPr>
              <w:instrText xml:space="preserve"> PAGEREF _Toc167379919 \h </w:instrText>
            </w:r>
            <w:r>
              <w:rPr>
                <w:noProof/>
                <w:webHidden/>
              </w:rPr>
            </w:r>
            <w:r>
              <w:rPr>
                <w:noProof/>
                <w:webHidden/>
              </w:rPr>
              <w:fldChar w:fldCharType="separate"/>
            </w:r>
            <w:r w:rsidR="0026489B">
              <w:rPr>
                <w:noProof/>
                <w:webHidden/>
              </w:rPr>
              <w:t>86</w:t>
            </w:r>
            <w:r>
              <w:rPr>
                <w:noProof/>
                <w:webHidden/>
              </w:rPr>
              <w:fldChar w:fldCharType="end"/>
            </w:r>
          </w:hyperlink>
        </w:p>
        <w:p w14:paraId="5F86315F" w14:textId="06D9A51E"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20" w:history="1">
            <w:r w:rsidRPr="00E36E15">
              <w:rPr>
                <w:rStyle w:val="Hyperlink"/>
                <w:noProof/>
              </w:rPr>
              <w:t>4.6.4 Theoretical reflection</w:t>
            </w:r>
            <w:r>
              <w:rPr>
                <w:noProof/>
                <w:webHidden/>
              </w:rPr>
              <w:tab/>
            </w:r>
            <w:r>
              <w:rPr>
                <w:noProof/>
                <w:webHidden/>
              </w:rPr>
              <w:fldChar w:fldCharType="begin"/>
            </w:r>
            <w:r>
              <w:rPr>
                <w:noProof/>
                <w:webHidden/>
              </w:rPr>
              <w:instrText xml:space="preserve"> PAGEREF _Toc167379920 \h </w:instrText>
            </w:r>
            <w:r>
              <w:rPr>
                <w:noProof/>
                <w:webHidden/>
              </w:rPr>
            </w:r>
            <w:r>
              <w:rPr>
                <w:noProof/>
                <w:webHidden/>
              </w:rPr>
              <w:fldChar w:fldCharType="separate"/>
            </w:r>
            <w:r w:rsidR="0026489B">
              <w:rPr>
                <w:noProof/>
                <w:webHidden/>
              </w:rPr>
              <w:t>88</w:t>
            </w:r>
            <w:r>
              <w:rPr>
                <w:noProof/>
                <w:webHidden/>
              </w:rPr>
              <w:fldChar w:fldCharType="end"/>
            </w:r>
          </w:hyperlink>
        </w:p>
        <w:p w14:paraId="3A20F51C" w14:textId="26A98273"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21" w:history="1">
            <w:r w:rsidRPr="00E36E15">
              <w:rPr>
                <w:rStyle w:val="Hyperlink"/>
                <w:noProof/>
              </w:rPr>
              <w:t>4.7 Summary of the Chapter</w:t>
            </w:r>
            <w:r>
              <w:rPr>
                <w:noProof/>
                <w:webHidden/>
              </w:rPr>
              <w:tab/>
            </w:r>
            <w:r>
              <w:rPr>
                <w:noProof/>
                <w:webHidden/>
              </w:rPr>
              <w:fldChar w:fldCharType="begin"/>
            </w:r>
            <w:r>
              <w:rPr>
                <w:noProof/>
                <w:webHidden/>
              </w:rPr>
              <w:instrText xml:space="preserve"> PAGEREF _Toc167379921 \h </w:instrText>
            </w:r>
            <w:r>
              <w:rPr>
                <w:noProof/>
                <w:webHidden/>
              </w:rPr>
            </w:r>
            <w:r>
              <w:rPr>
                <w:noProof/>
                <w:webHidden/>
              </w:rPr>
              <w:fldChar w:fldCharType="separate"/>
            </w:r>
            <w:r w:rsidR="0026489B">
              <w:rPr>
                <w:noProof/>
                <w:webHidden/>
              </w:rPr>
              <w:t>88</w:t>
            </w:r>
            <w:r>
              <w:rPr>
                <w:noProof/>
                <w:webHidden/>
              </w:rPr>
              <w:fldChar w:fldCharType="end"/>
            </w:r>
          </w:hyperlink>
        </w:p>
        <w:p w14:paraId="1D6806B8" w14:textId="651CAD4D"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922" w:history="1">
            <w:r w:rsidRPr="00E36E15">
              <w:rPr>
                <w:rStyle w:val="Hyperlink"/>
                <w:noProof/>
              </w:rPr>
              <w:t>CHAPTER FIVE</w:t>
            </w:r>
            <w:r>
              <w:rPr>
                <w:noProof/>
                <w:webHidden/>
              </w:rPr>
              <w:tab/>
            </w:r>
            <w:r>
              <w:rPr>
                <w:noProof/>
                <w:webHidden/>
              </w:rPr>
              <w:fldChar w:fldCharType="begin"/>
            </w:r>
            <w:r>
              <w:rPr>
                <w:noProof/>
                <w:webHidden/>
              </w:rPr>
              <w:instrText xml:space="preserve"> PAGEREF _Toc167379922 \h </w:instrText>
            </w:r>
            <w:r>
              <w:rPr>
                <w:noProof/>
                <w:webHidden/>
              </w:rPr>
            </w:r>
            <w:r>
              <w:rPr>
                <w:noProof/>
                <w:webHidden/>
              </w:rPr>
              <w:fldChar w:fldCharType="separate"/>
            </w:r>
            <w:r w:rsidR="0026489B">
              <w:rPr>
                <w:noProof/>
                <w:webHidden/>
              </w:rPr>
              <w:t>89</w:t>
            </w:r>
            <w:r>
              <w:rPr>
                <w:noProof/>
                <w:webHidden/>
              </w:rPr>
              <w:fldChar w:fldCharType="end"/>
            </w:r>
          </w:hyperlink>
        </w:p>
        <w:p w14:paraId="3AD688A0" w14:textId="350ABCD2"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923" w:history="1">
            <w:r w:rsidRPr="00E36E15">
              <w:rPr>
                <w:rStyle w:val="Hyperlink"/>
                <w:noProof/>
              </w:rPr>
              <w:t>SPATIAL PATTERNS AND DISTRIBUTION OF URBAN FARMS</w:t>
            </w:r>
            <w:r>
              <w:rPr>
                <w:noProof/>
                <w:webHidden/>
              </w:rPr>
              <w:tab/>
            </w:r>
            <w:r>
              <w:rPr>
                <w:noProof/>
                <w:webHidden/>
              </w:rPr>
              <w:fldChar w:fldCharType="begin"/>
            </w:r>
            <w:r>
              <w:rPr>
                <w:noProof/>
                <w:webHidden/>
              </w:rPr>
              <w:instrText xml:space="preserve"> PAGEREF _Toc167379923 \h </w:instrText>
            </w:r>
            <w:r>
              <w:rPr>
                <w:noProof/>
                <w:webHidden/>
              </w:rPr>
            </w:r>
            <w:r>
              <w:rPr>
                <w:noProof/>
                <w:webHidden/>
              </w:rPr>
              <w:fldChar w:fldCharType="separate"/>
            </w:r>
            <w:r w:rsidR="0026489B">
              <w:rPr>
                <w:noProof/>
                <w:webHidden/>
              </w:rPr>
              <w:t>89</w:t>
            </w:r>
            <w:r>
              <w:rPr>
                <w:noProof/>
                <w:webHidden/>
              </w:rPr>
              <w:fldChar w:fldCharType="end"/>
            </w:r>
          </w:hyperlink>
        </w:p>
        <w:p w14:paraId="53443C6A" w14:textId="62B3FF20"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24" w:history="1">
            <w:r w:rsidRPr="00E36E15">
              <w:rPr>
                <w:rStyle w:val="Hyperlink"/>
                <w:noProof/>
              </w:rPr>
              <w:t>5.1 Introduction</w:t>
            </w:r>
            <w:r>
              <w:rPr>
                <w:noProof/>
                <w:webHidden/>
              </w:rPr>
              <w:tab/>
            </w:r>
            <w:r>
              <w:rPr>
                <w:noProof/>
                <w:webHidden/>
              </w:rPr>
              <w:fldChar w:fldCharType="begin"/>
            </w:r>
            <w:r>
              <w:rPr>
                <w:noProof/>
                <w:webHidden/>
              </w:rPr>
              <w:instrText xml:space="preserve"> PAGEREF _Toc167379924 \h </w:instrText>
            </w:r>
            <w:r>
              <w:rPr>
                <w:noProof/>
                <w:webHidden/>
              </w:rPr>
            </w:r>
            <w:r>
              <w:rPr>
                <w:noProof/>
                <w:webHidden/>
              </w:rPr>
              <w:fldChar w:fldCharType="separate"/>
            </w:r>
            <w:r w:rsidR="0026489B">
              <w:rPr>
                <w:noProof/>
                <w:webHidden/>
              </w:rPr>
              <w:t>89</w:t>
            </w:r>
            <w:r>
              <w:rPr>
                <w:noProof/>
                <w:webHidden/>
              </w:rPr>
              <w:fldChar w:fldCharType="end"/>
            </w:r>
          </w:hyperlink>
        </w:p>
        <w:p w14:paraId="7BCE839F" w14:textId="37531896"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25" w:history="1">
            <w:r w:rsidRPr="00E36E15">
              <w:rPr>
                <w:rStyle w:val="Hyperlink"/>
                <w:noProof/>
              </w:rPr>
              <w:t>5.2 Spatial Distribution of Types of Animals within the Urban Neighbourhood</w:t>
            </w:r>
            <w:r>
              <w:rPr>
                <w:noProof/>
                <w:webHidden/>
              </w:rPr>
              <w:tab/>
            </w:r>
            <w:r>
              <w:rPr>
                <w:noProof/>
                <w:webHidden/>
              </w:rPr>
              <w:fldChar w:fldCharType="begin"/>
            </w:r>
            <w:r>
              <w:rPr>
                <w:noProof/>
                <w:webHidden/>
              </w:rPr>
              <w:instrText xml:space="preserve"> PAGEREF _Toc167379925 \h </w:instrText>
            </w:r>
            <w:r>
              <w:rPr>
                <w:noProof/>
                <w:webHidden/>
              </w:rPr>
            </w:r>
            <w:r>
              <w:rPr>
                <w:noProof/>
                <w:webHidden/>
              </w:rPr>
              <w:fldChar w:fldCharType="separate"/>
            </w:r>
            <w:r w:rsidR="0026489B">
              <w:rPr>
                <w:noProof/>
                <w:webHidden/>
              </w:rPr>
              <w:t>89</w:t>
            </w:r>
            <w:r>
              <w:rPr>
                <w:noProof/>
                <w:webHidden/>
              </w:rPr>
              <w:fldChar w:fldCharType="end"/>
            </w:r>
          </w:hyperlink>
        </w:p>
        <w:p w14:paraId="3C9C7827" w14:textId="659F3316"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26" w:history="1">
            <w:r w:rsidRPr="00E36E15">
              <w:rPr>
                <w:rStyle w:val="Hyperlink"/>
                <w:noProof/>
              </w:rPr>
              <w:t>5.2.1 Spatial distribution of type of animal housing structure</w:t>
            </w:r>
            <w:r>
              <w:rPr>
                <w:noProof/>
                <w:webHidden/>
              </w:rPr>
              <w:tab/>
            </w:r>
            <w:r>
              <w:rPr>
                <w:noProof/>
                <w:webHidden/>
              </w:rPr>
              <w:fldChar w:fldCharType="begin"/>
            </w:r>
            <w:r>
              <w:rPr>
                <w:noProof/>
                <w:webHidden/>
              </w:rPr>
              <w:instrText xml:space="preserve"> PAGEREF _Toc167379926 \h </w:instrText>
            </w:r>
            <w:r>
              <w:rPr>
                <w:noProof/>
                <w:webHidden/>
              </w:rPr>
            </w:r>
            <w:r>
              <w:rPr>
                <w:noProof/>
                <w:webHidden/>
              </w:rPr>
              <w:fldChar w:fldCharType="separate"/>
            </w:r>
            <w:r w:rsidR="0026489B">
              <w:rPr>
                <w:noProof/>
                <w:webHidden/>
              </w:rPr>
              <w:t>92</w:t>
            </w:r>
            <w:r>
              <w:rPr>
                <w:noProof/>
                <w:webHidden/>
              </w:rPr>
              <w:fldChar w:fldCharType="end"/>
            </w:r>
          </w:hyperlink>
        </w:p>
        <w:p w14:paraId="59BA40B7" w14:textId="35A133E1"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27" w:history="1">
            <w:r w:rsidRPr="00E36E15">
              <w:rPr>
                <w:rStyle w:val="Hyperlink"/>
                <w:noProof/>
              </w:rPr>
              <w:t>5.2.2 Spatial dynamics and distribution of crops farm sizes within the city</w:t>
            </w:r>
            <w:r>
              <w:rPr>
                <w:noProof/>
                <w:webHidden/>
              </w:rPr>
              <w:tab/>
            </w:r>
            <w:r>
              <w:rPr>
                <w:noProof/>
                <w:webHidden/>
              </w:rPr>
              <w:fldChar w:fldCharType="begin"/>
            </w:r>
            <w:r>
              <w:rPr>
                <w:noProof/>
                <w:webHidden/>
              </w:rPr>
              <w:instrText xml:space="preserve"> PAGEREF _Toc167379927 \h </w:instrText>
            </w:r>
            <w:r>
              <w:rPr>
                <w:noProof/>
                <w:webHidden/>
              </w:rPr>
            </w:r>
            <w:r>
              <w:rPr>
                <w:noProof/>
                <w:webHidden/>
              </w:rPr>
              <w:fldChar w:fldCharType="separate"/>
            </w:r>
            <w:r w:rsidR="0026489B">
              <w:rPr>
                <w:noProof/>
                <w:webHidden/>
              </w:rPr>
              <w:t>94</w:t>
            </w:r>
            <w:r>
              <w:rPr>
                <w:noProof/>
                <w:webHidden/>
              </w:rPr>
              <w:fldChar w:fldCharType="end"/>
            </w:r>
          </w:hyperlink>
        </w:p>
        <w:p w14:paraId="5951906F" w14:textId="0E058BE0"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28" w:history="1">
            <w:r w:rsidRPr="00E36E15">
              <w:rPr>
                <w:rStyle w:val="Hyperlink"/>
                <w:noProof/>
              </w:rPr>
              <w:t>5.3 Spatial Statistics on Characterization of Urban Farms</w:t>
            </w:r>
            <w:r>
              <w:rPr>
                <w:noProof/>
                <w:webHidden/>
              </w:rPr>
              <w:tab/>
            </w:r>
            <w:r>
              <w:rPr>
                <w:noProof/>
                <w:webHidden/>
              </w:rPr>
              <w:fldChar w:fldCharType="begin"/>
            </w:r>
            <w:r>
              <w:rPr>
                <w:noProof/>
                <w:webHidden/>
              </w:rPr>
              <w:instrText xml:space="preserve"> PAGEREF _Toc167379928 \h </w:instrText>
            </w:r>
            <w:r>
              <w:rPr>
                <w:noProof/>
                <w:webHidden/>
              </w:rPr>
            </w:r>
            <w:r>
              <w:rPr>
                <w:noProof/>
                <w:webHidden/>
              </w:rPr>
              <w:fldChar w:fldCharType="separate"/>
            </w:r>
            <w:r w:rsidR="0026489B">
              <w:rPr>
                <w:noProof/>
                <w:webHidden/>
              </w:rPr>
              <w:t>96</w:t>
            </w:r>
            <w:r>
              <w:rPr>
                <w:noProof/>
                <w:webHidden/>
              </w:rPr>
              <w:fldChar w:fldCharType="end"/>
            </w:r>
          </w:hyperlink>
        </w:p>
        <w:p w14:paraId="291ED801" w14:textId="27D3D675"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29" w:history="1">
            <w:r w:rsidRPr="00E36E15">
              <w:rPr>
                <w:rStyle w:val="Hyperlink"/>
                <w:noProof/>
              </w:rPr>
              <w:t>5.4 Discussions of Major Findings</w:t>
            </w:r>
            <w:r>
              <w:rPr>
                <w:noProof/>
                <w:webHidden/>
              </w:rPr>
              <w:tab/>
            </w:r>
            <w:r>
              <w:rPr>
                <w:noProof/>
                <w:webHidden/>
              </w:rPr>
              <w:fldChar w:fldCharType="begin"/>
            </w:r>
            <w:r>
              <w:rPr>
                <w:noProof/>
                <w:webHidden/>
              </w:rPr>
              <w:instrText xml:space="preserve"> PAGEREF _Toc167379929 \h </w:instrText>
            </w:r>
            <w:r>
              <w:rPr>
                <w:noProof/>
                <w:webHidden/>
              </w:rPr>
            </w:r>
            <w:r>
              <w:rPr>
                <w:noProof/>
                <w:webHidden/>
              </w:rPr>
              <w:fldChar w:fldCharType="separate"/>
            </w:r>
            <w:r w:rsidR="0026489B">
              <w:rPr>
                <w:noProof/>
                <w:webHidden/>
              </w:rPr>
              <w:t>98</w:t>
            </w:r>
            <w:r>
              <w:rPr>
                <w:noProof/>
                <w:webHidden/>
              </w:rPr>
              <w:fldChar w:fldCharType="end"/>
            </w:r>
          </w:hyperlink>
        </w:p>
        <w:p w14:paraId="1F516480" w14:textId="470A1ACD"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30" w:history="1">
            <w:r w:rsidRPr="00E36E15">
              <w:rPr>
                <w:rStyle w:val="Hyperlink"/>
                <w:noProof/>
              </w:rPr>
              <w:t>5.4.1 Spatial dynamics of types of animals within the urban neighbourhood</w:t>
            </w:r>
            <w:r>
              <w:rPr>
                <w:noProof/>
                <w:webHidden/>
              </w:rPr>
              <w:tab/>
            </w:r>
            <w:r>
              <w:rPr>
                <w:noProof/>
                <w:webHidden/>
              </w:rPr>
              <w:fldChar w:fldCharType="begin"/>
            </w:r>
            <w:r>
              <w:rPr>
                <w:noProof/>
                <w:webHidden/>
              </w:rPr>
              <w:instrText xml:space="preserve"> PAGEREF _Toc167379930 \h </w:instrText>
            </w:r>
            <w:r>
              <w:rPr>
                <w:noProof/>
                <w:webHidden/>
              </w:rPr>
            </w:r>
            <w:r>
              <w:rPr>
                <w:noProof/>
                <w:webHidden/>
              </w:rPr>
              <w:fldChar w:fldCharType="separate"/>
            </w:r>
            <w:r w:rsidR="0026489B">
              <w:rPr>
                <w:noProof/>
                <w:webHidden/>
              </w:rPr>
              <w:t>98</w:t>
            </w:r>
            <w:r>
              <w:rPr>
                <w:noProof/>
                <w:webHidden/>
              </w:rPr>
              <w:fldChar w:fldCharType="end"/>
            </w:r>
          </w:hyperlink>
        </w:p>
        <w:p w14:paraId="10893694" w14:textId="166B23B3"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31" w:history="1">
            <w:r w:rsidRPr="00E36E15">
              <w:rPr>
                <w:rStyle w:val="Hyperlink"/>
                <w:noProof/>
              </w:rPr>
              <w:t>5.4.2 Spatial distribution of type of animal housing structure</w:t>
            </w:r>
            <w:r>
              <w:rPr>
                <w:noProof/>
                <w:webHidden/>
              </w:rPr>
              <w:tab/>
            </w:r>
            <w:r>
              <w:rPr>
                <w:noProof/>
                <w:webHidden/>
              </w:rPr>
              <w:fldChar w:fldCharType="begin"/>
            </w:r>
            <w:r>
              <w:rPr>
                <w:noProof/>
                <w:webHidden/>
              </w:rPr>
              <w:instrText xml:space="preserve"> PAGEREF _Toc167379931 \h </w:instrText>
            </w:r>
            <w:r>
              <w:rPr>
                <w:noProof/>
                <w:webHidden/>
              </w:rPr>
            </w:r>
            <w:r>
              <w:rPr>
                <w:noProof/>
                <w:webHidden/>
              </w:rPr>
              <w:fldChar w:fldCharType="separate"/>
            </w:r>
            <w:r w:rsidR="0026489B">
              <w:rPr>
                <w:noProof/>
                <w:webHidden/>
              </w:rPr>
              <w:t>99</w:t>
            </w:r>
            <w:r>
              <w:rPr>
                <w:noProof/>
                <w:webHidden/>
              </w:rPr>
              <w:fldChar w:fldCharType="end"/>
            </w:r>
          </w:hyperlink>
        </w:p>
        <w:p w14:paraId="7AFF8874" w14:textId="278601D4"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32" w:history="1">
            <w:r w:rsidRPr="00E36E15">
              <w:rPr>
                <w:rStyle w:val="Hyperlink"/>
                <w:noProof/>
              </w:rPr>
              <w:t>5.4.3 Spatial dynamics and distribution of crops farm sizes within the city</w:t>
            </w:r>
            <w:r>
              <w:rPr>
                <w:noProof/>
                <w:webHidden/>
              </w:rPr>
              <w:tab/>
            </w:r>
            <w:r>
              <w:rPr>
                <w:noProof/>
                <w:webHidden/>
              </w:rPr>
              <w:fldChar w:fldCharType="begin"/>
            </w:r>
            <w:r>
              <w:rPr>
                <w:noProof/>
                <w:webHidden/>
              </w:rPr>
              <w:instrText xml:space="preserve"> PAGEREF _Toc167379932 \h </w:instrText>
            </w:r>
            <w:r>
              <w:rPr>
                <w:noProof/>
                <w:webHidden/>
              </w:rPr>
            </w:r>
            <w:r>
              <w:rPr>
                <w:noProof/>
                <w:webHidden/>
              </w:rPr>
              <w:fldChar w:fldCharType="separate"/>
            </w:r>
            <w:r w:rsidR="0026489B">
              <w:rPr>
                <w:noProof/>
                <w:webHidden/>
              </w:rPr>
              <w:t>100</w:t>
            </w:r>
            <w:r>
              <w:rPr>
                <w:noProof/>
                <w:webHidden/>
              </w:rPr>
              <w:fldChar w:fldCharType="end"/>
            </w:r>
          </w:hyperlink>
        </w:p>
        <w:p w14:paraId="3822CF4A" w14:textId="4D806C9D"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33" w:history="1">
            <w:r w:rsidRPr="00E36E15">
              <w:rPr>
                <w:rStyle w:val="Hyperlink"/>
                <w:noProof/>
                <w:shd w:val="clear" w:color="auto" w:fill="FFFFFF"/>
              </w:rPr>
              <w:t>5.4.4 Theoretical reflection</w:t>
            </w:r>
            <w:r>
              <w:rPr>
                <w:noProof/>
                <w:webHidden/>
              </w:rPr>
              <w:tab/>
            </w:r>
            <w:r>
              <w:rPr>
                <w:noProof/>
                <w:webHidden/>
              </w:rPr>
              <w:fldChar w:fldCharType="begin"/>
            </w:r>
            <w:r>
              <w:rPr>
                <w:noProof/>
                <w:webHidden/>
              </w:rPr>
              <w:instrText xml:space="preserve"> PAGEREF _Toc167379933 \h </w:instrText>
            </w:r>
            <w:r>
              <w:rPr>
                <w:noProof/>
                <w:webHidden/>
              </w:rPr>
            </w:r>
            <w:r>
              <w:rPr>
                <w:noProof/>
                <w:webHidden/>
              </w:rPr>
              <w:fldChar w:fldCharType="separate"/>
            </w:r>
            <w:r w:rsidR="0026489B">
              <w:rPr>
                <w:noProof/>
                <w:webHidden/>
              </w:rPr>
              <w:t>102</w:t>
            </w:r>
            <w:r>
              <w:rPr>
                <w:noProof/>
                <w:webHidden/>
              </w:rPr>
              <w:fldChar w:fldCharType="end"/>
            </w:r>
          </w:hyperlink>
        </w:p>
        <w:p w14:paraId="2A771B2F" w14:textId="1AA65584"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34" w:history="1">
            <w:r w:rsidRPr="00E36E15">
              <w:rPr>
                <w:rStyle w:val="Hyperlink"/>
                <w:noProof/>
              </w:rPr>
              <w:t>5.5 Summary of the Chapter</w:t>
            </w:r>
            <w:r>
              <w:rPr>
                <w:noProof/>
                <w:webHidden/>
              </w:rPr>
              <w:tab/>
            </w:r>
            <w:r>
              <w:rPr>
                <w:noProof/>
                <w:webHidden/>
              </w:rPr>
              <w:fldChar w:fldCharType="begin"/>
            </w:r>
            <w:r>
              <w:rPr>
                <w:noProof/>
                <w:webHidden/>
              </w:rPr>
              <w:instrText xml:space="preserve"> PAGEREF _Toc167379934 \h </w:instrText>
            </w:r>
            <w:r>
              <w:rPr>
                <w:noProof/>
                <w:webHidden/>
              </w:rPr>
            </w:r>
            <w:r>
              <w:rPr>
                <w:noProof/>
                <w:webHidden/>
              </w:rPr>
              <w:fldChar w:fldCharType="separate"/>
            </w:r>
            <w:r w:rsidR="0026489B">
              <w:rPr>
                <w:noProof/>
                <w:webHidden/>
              </w:rPr>
              <w:t>103</w:t>
            </w:r>
            <w:r>
              <w:rPr>
                <w:noProof/>
                <w:webHidden/>
              </w:rPr>
              <w:fldChar w:fldCharType="end"/>
            </w:r>
          </w:hyperlink>
        </w:p>
        <w:p w14:paraId="365A909F" w14:textId="6E96A1D6"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935" w:history="1">
            <w:r w:rsidRPr="00E36E15">
              <w:rPr>
                <w:rStyle w:val="Hyperlink"/>
                <w:noProof/>
              </w:rPr>
              <w:t>CHAPTER SIX</w:t>
            </w:r>
            <w:r>
              <w:rPr>
                <w:noProof/>
                <w:webHidden/>
              </w:rPr>
              <w:tab/>
            </w:r>
            <w:r>
              <w:rPr>
                <w:noProof/>
                <w:webHidden/>
              </w:rPr>
              <w:fldChar w:fldCharType="begin"/>
            </w:r>
            <w:r>
              <w:rPr>
                <w:noProof/>
                <w:webHidden/>
              </w:rPr>
              <w:instrText xml:space="preserve"> PAGEREF _Toc167379935 \h </w:instrText>
            </w:r>
            <w:r>
              <w:rPr>
                <w:noProof/>
                <w:webHidden/>
              </w:rPr>
            </w:r>
            <w:r>
              <w:rPr>
                <w:noProof/>
                <w:webHidden/>
              </w:rPr>
              <w:fldChar w:fldCharType="separate"/>
            </w:r>
            <w:r w:rsidR="0026489B">
              <w:rPr>
                <w:noProof/>
                <w:webHidden/>
              </w:rPr>
              <w:t>104</w:t>
            </w:r>
            <w:r>
              <w:rPr>
                <w:noProof/>
                <w:webHidden/>
              </w:rPr>
              <w:fldChar w:fldCharType="end"/>
            </w:r>
          </w:hyperlink>
        </w:p>
        <w:p w14:paraId="4B6B0697" w14:textId="4EC55EE0"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936" w:history="1">
            <w:r w:rsidRPr="00E36E15">
              <w:rPr>
                <w:rStyle w:val="Hyperlink"/>
                <w:noProof/>
              </w:rPr>
              <w:t>DEMOGRAPHIC FACTORS INFLUENCING URBAN HOUSEHOLDS' AGRICULTURE PARTICIPATION</w:t>
            </w:r>
            <w:r>
              <w:rPr>
                <w:noProof/>
                <w:webHidden/>
              </w:rPr>
              <w:tab/>
            </w:r>
            <w:r>
              <w:rPr>
                <w:noProof/>
                <w:webHidden/>
              </w:rPr>
              <w:fldChar w:fldCharType="begin"/>
            </w:r>
            <w:r>
              <w:rPr>
                <w:noProof/>
                <w:webHidden/>
              </w:rPr>
              <w:instrText xml:space="preserve"> PAGEREF _Toc167379936 \h </w:instrText>
            </w:r>
            <w:r>
              <w:rPr>
                <w:noProof/>
                <w:webHidden/>
              </w:rPr>
            </w:r>
            <w:r>
              <w:rPr>
                <w:noProof/>
                <w:webHidden/>
              </w:rPr>
              <w:fldChar w:fldCharType="separate"/>
            </w:r>
            <w:r w:rsidR="0026489B">
              <w:rPr>
                <w:noProof/>
                <w:webHidden/>
              </w:rPr>
              <w:t>104</w:t>
            </w:r>
            <w:r>
              <w:rPr>
                <w:noProof/>
                <w:webHidden/>
              </w:rPr>
              <w:fldChar w:fldCharType="end"/>
            </w:r>
          </w:hyperlink>
        </w:p>
        <w:p w14:paraId="63E8BF19" w14:textId="0E846FED"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37" w:history="1">
            <w:r w:rsidRPr="00E36E15">
              <w:rPr>
                <w:rStyle w:val="Hyperlink"/>
                <w:noProof/>
              </w:rPr>
              <w:t>6.1 Introduction</w:t>
            </w:r>
            <w:r>
              <w:rPr>
                <w:noProof/>
                <w:webHidden/>
              </w:rPr>
              <w:tab/>
            </w:r>
            <w:r>
              <w:rPr>
                <w:noProof/>
                <w:webHidden/>
              </w:rPr>
              <w:fldChar w:fldCharType="begin"/>
            </w:r>
            <w:r>
              <w:rPr>
                <w:noProof/>
                <w:webHidden/>
              </w:rPr>
              <w:instrText xml:space="preserve"> PAGEREF _Toc167379937 \h </w:instrText>
            </w:r>
            <w:r>
              <w:rPr>
                <w:noProof/>
                <w:webHidden/>
              </w:rPr>
            </w:r>
            <w:r>
              <w:rPr>
                <w:noProof/>
                <w:webHidden/>
              </w:rPr>
              <w:fldChar w:fldCharType="separate"/>
            </w:r>
            <w:r w:rsidR="0026489B">
              <w:rPr>
                <w:noProof/>
                <w:webHidden/>
              </w:rPr>
              <w:t>104</w:t>
            </w:r>
            <w:r>
              <w:rPr>
                <w:noProof/>
                <w:webHidden/>
              </w:rPr>
              <w:fldChar w:fldCharType="end"/>
            </w:r>
          </w:hyperlink>
        </w:p>
        <w:p w14:paraId="72F7FFAA" w14:textId="20B65B77"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38" w:history="1">
            <w:r w:rsidRPr="00E36E15">
              <w:rPr>
                <w:rStyle w:val="Hyperlink"/>
                <w:noProof/>
              </w:rPr>
              <w:t>6.2 Demographic Features of the Respondents</w:t>
            </w:r>
            <w:r>
              <w:rPr>
                <w:noProof/>
                <w:webHidden/>
              </w:rPr>
              <w:tab/>
            </w:r>
            <w:r>
              <w:rPr>
                <w:noProof/>
                <w:webHidden/>
              </w:rPr>
              <w:fldChar w:fldCharType="begin"/>
            </w:r>
            <w:r>
              <w:rPr>
                <w:noProof/>
                <w:webHidden/>
              </w:rPr>
              <w:instrText xml:space="preserve"> PAGEREF _Toc167379938 \h </w:instrText>
            </w:r>
            <w:r>
              <w:rPr>
                <w:noProof/>
                <w:webHidden/>
              </w:rPr>
            </w:r>
            <w:r>
              <w:rPr>
                <w:noProof/>
                <w:webHidden/>
              </w:rPr>
              <w:fldChar w:fldCharType="separate"/>
            </w:r>
            <w:r w:rsidR="0026489B">
              <w:rPr>
                <w:noProof/>
                <w:webHidden/>
              </w:rPr>
              <w:t>104</w:t>
            </w:r>
            <w:r>
              <w:rPr>
                <w:noProof/>
                <w:webHidden/>
              </w:rPr>
              <w:fldChar w:fldCharType="end"/>
            </w:r>
          </w:hyperlink>
        </w:p>
        <w:p w14:paraId="2F1817F1" w14:textId="3494D7DD"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39" w:history="1">
            <w:r w:rsidRPr="00E36E15">
              <w:rPr>
                <w:rStyle w:val="Hyperlink"/>
                <w:noProof/>
              </w:rPr>
              <w:t>6.3 Urban Dwellers Participation in Urban Food Production</w:t>
            </w:r>
            <w:r>
              <w:rPr>
                <w:noProof/>
                <w:webHidden/>
              </w:rPr>
              <w:tab/>
            </w:r>
            <w:r>
              <w:rPr>
                <w:noProof/>
                <w:webHidden/>
              </w:rPr>
              <w:fldChar w:fldCharType="begin"/>
            </w:r>
            <w:r>
              <w:rPr>
                <w:noProof/>
                <w:webHidden/>
              </w:rPr>
              <w:instrText xml:space="preserve"> PAGEREF _Toc167379939 \h </w:instrText>
            </w:r>
            <w:r>
              <w:rPr>
                <w:noProof/>
                <w:webHidden/>
              </w:rPr>
            </w:r>
            <w:r>
              <w:rPr>
                <w:noProof/>
                <w:webHidden/>
              </w:rPr>
              <w:fldChar w:fldCharType="separate"/>
            </w:r>
            <w:r w:rsidR="0026489B">
              <w:rPr>
                <w:noProof/>
                <w:webHidden/>
              </w:rPr>
              <w:t>106</w:t>
            </w:r>
            <w:r>
              <w:rPr>
                <w:noProof/>
                <w:webHidden/>
              </w:rPr>
              <w:fldChar w:fldCharType="end"/>
            </w:r>
          </w:hyperlink>
        </w:p>
        <w:p w14:paraId="4A5B43B4" w14:textId="61A56A60"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40" w:history="1">
            <w:r w:rsidRPr="00E36E15">
              <w:rPr>
                <w:rStyle w:val="Hyperlink"/>
                <w:noProof/>
              </w:rPr>
              <w:t>6.4 Demographic Determinants of Participation in Urban Food Production</w:t>
            </w:r>
            <w:r>
              <w:rPr>
                <w:noProof/>
                <w:webHidden/>
              </w:rPr>
              <w:tab/>
            </w:r>
            <w:r>
              <w:rPr>
                <w:noProof/>
                <w:webHidden/>
              </w:rPr>
              <w:fldChar w:fldCharType="begin"/>
            </w:r>
            <w:r>
              <w:rPr>
                <w:noProof/>
                <w:webHidden/>
              </w:rPr>
              <w:instrText xml:space="preserve"> PAGEREF _Toc167379940 \h </w:instrText>
            </w:r>
            <w:r>
              <w:rPr>
                <w:noProof/>
                <w:webHidden/>
              </w:rPr>
            </w:r>
            <w:r>
              <w:rPr>
                <w:noProof/>
                <w:webHidden/>
              </w:rPr>
              <w:fldChar w:fldCharType="separate"/>
            </w:r>
            <w:r w:rsidR="0026489B">
              <w:rPr>
                <w:noProof/>
                <w:webHidden/>
              </w:rPr>
              <w:t>109</w:t>
            </w:r>
            <w:r>
              <w:rPr>
                <w:noProof/>
                <w:webHidden/>
              </w:rPr>
              <w:fldChar w:fldCharType="end"/>
            </w:r>
          </w:hyperlink>
        </w:p>
        <w:p w14:paraId="2A413159" w14:textId="5F4DE1B2"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41" w:history="1">
            <w:r w:rsidRPr="00E36E15">
              <w:rPr>
                <w:rStyle w:val="Hyperlink"/>
                <w:noProof/>
              </w:rPr>
              <w:t>6.5 Discussions of Major Findings</w:t>
            </w:r>
            <w:r>
              <w:rPr>
                <w:noProof/>
                <w:webHidden/>
              </w:rPr>
              <w:tab/>
            </w:r>
            <w:r>
              <w:rPr>
                <w:noProof/>
                <w:webHidden/>
              </w:rPr>
              <w:fldChar w:fldCharType="begin"/>
            </w:r>
            <w:r>
              <w:rPr>
                <w:noProof/>
                <w:webHidden/>
              </w:rPr>
              <w:instrText xml:space="preserve"> PAGEREF _Toc167379941 \h </w:instrText>
            </w:r>
            <w:r>
              <w:rPr>
                <w:noProof/>
                <w:webHidden/>
              </w:rPr>
            </w:r>
            <w:r>
              <w:rPr>
                <w:noProof/>
                <w:webHidden/>
              </w:rPr>
              <w:fldChar w:fldCharType="separate"/>
            </w:r>
            <w:r w:rsidR="0026489B">
              <w:rPr>
                <w:noProof/>
                <w:webHidden/>
              </w:rPr>
              <w:t>111</w:t>
            </w:r>
            <w:r>
              <w:rPr>
                <w:noProof/>
                <w:webHidden/>
              </w:rPr>
              <w:fldChar w:fldCharType="end"/>
            </w:r>
          </w:hyperlink>
        </w:p>
        <w:p w14:paraId="220EFED2" w14:textId="0854E108"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42" w:history="1">
            <w:r w:rsidRPr="00E36E15">
              <w:rPr>
                <w:rStyle w:val="Hyperlink"/>
                <w:noProof/>
              </w:rPr>
              <w:t>6.5.1 Demographics of the respondent</w:t>
            </w:r>
            <w:r>
              <w:rPr>
                <w:noProof/>
                <w:webHidden/>
              </w:rPr>
              <w:tab/>
            </w:r>
            <w:r>
              <w:rPr>
                <w:noProof/>
                <w:webHidden/>
              </w:rPr>
              <w:fldChar w:fldCharType="begin"/>
            </w:r>
            <w:r>
              <w:rPr>
                <w:noProof/>
                <w:webHidden/>
              </w:rPr>
              <w:instrText xml:space="preserve"> PAGEREF _Toc167379942 \h </w:instrText>
            </w:r>
            <w:r>
              <w:rPr>
                <w:noProof/>
                <w:webHidden/>
              </w:rPr>
            </w:r>
            <w:r>
              <w:rPr>
                <w:noProof/>
                <w:webHidden/>
              </w:rPr>
              <w:fldChar w:fldCharType="separate"/>
            </w:r>
            <w:r w:rsidR="0026489B">
              <w:rPr>
                <w:noProof/>
                <w:webHidden/>
              </w:rPr>
              <w:t>111</w:t>
            </w:r>
            <w:r>
              <w:rPr>
                <w:noProof/>
                <w:webHidden/>
              </w:rPr>
              <w:fldChar w:fldCharType="end"/>
            </w:r>
          </w:hyperlink>
        </w:p>
        <w:p w14:paraId="34528FD0" w14:textId="1269DFA6"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43" w:history="1">
            <w:r w:rsidRPr="00E36E15">
              <w:rPr>
                <w:rStyle w:val="Hyperlink"/>
                <w:noProof/>
              </w:rPr>
              <w:t>6.5.2 Urban dwellers participation in urban food production</w:t>
            </w:r>
            <w:r>
              <w:rPr>
                <w:noProof/>
                <w:webHidden/>
              </w:rPr>
              <w:tab/>
            </w:r>
            <w:r>
              <w:rPr>
                <w:noProof/>
                <w:webHidden/>
              </w:rPr>
              <w:fldChar w:fldCharType="begin"/>
            </w:r>
            <w:r>
              <w:rPr>
                <w:noProof/>
                <w:webHidden/>
              </w:rPr>
              <w:instrText xml:space="preserve"> PAGEREF _Toc167379943 \h </w:instrText>
            </w:r>
            <w:r>
              <w:rPr>
                <w:noProof/>
                <w:webHidden/>
              </w:rPr>
            </w:r>
            <w:r>
              <w:rPr>
                <w:noProof/>
                <w:webHidden/>
              </w:rPr>
              <w:fldChar w:fldCharType="separate"/>
            </w:r>
            <w:r w:rsidR="0026489B">
              <w:rPr>
                <w:noProof/>
                <w:webHidden/>
              </w:rPr>
              <w:t>113</w:t>
            </w:r>
            <w:r>
              <w:rPr>
                <w:noProof/>
                <w:webHidden/>
              </w:rPr>
              <w:fldChar w:fldCharType="end"/>
            </w:r>
          </w:hyperlink>
        </w:p>
        <w:p w14:paraId="5E63EA04" w14:textId="0C0A20F6"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44" w:history="1">
            <w:r w:rsidRPr="00E36E15">
              <w:rPr>
                <w:rStyle w:val="Hyperlink"/>
                <w:noProof/>
              </w:rPr>
              <w:t>6.5.3 Demographic determinants of participation in urban food production</w:t>
            </w:r>
            <w:r>
              <w:rPr>
                <w:noProof/>
                <w:webHidden/>
              </w:rPr>
              <w:tab/>
            </w:r>
            <w:r>
              <w:rPr>
                <w:noProof/>
                <w:webHidden/>
              </w:rPr>
              <w:fldChar w:fldCharType="begin"/>
            </w:r>
            <w:r>
              <w:rPr>
                <w:noProof/>
                <w:webHidden/>
              </w:rPr>
              <w:instrText xml:space="preserve"> PAGEREF _Toc167379944 \h </w:instrText>
            </w:r>
            <w:r>
              <w:rPr>
                <w:noProof/>
                <w:webHidden/>
              </w:rPr>
            </w:r>
            <w:r>
              <w:rPr>
                <w:noProof/>
                <w:webHidden/>
              </w:rPr>
              <w:fldChar w:fldCharType="separate"/>
            </w:r>
            <w:r w:rsidR="0026489B">
              <w:rPr>
                <w:noProof/>
                <w:webHidden/>
              </w:rPr>
              <w:t>116</w:t>
            </w:r>
            <w:r>
              <w:rPr>
                <w:noProof/>
                <w:webHidden/>
              </w:rPr>
              <w:fldChar w:fldCharType="end"/>
            </w:r>
          </w:hyperlink>
        </w:p>
        <w:p w14:paraId="3A1571EC" w14:textId="245B600F"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45" w:history="1">
            <w:r w:rsidRPr="00E36E15">
              <w:rPr>
                <w:rStyle w:val="Hyperlink"/>
                <w:noProof/>
              </w:rPr>
              <w:t>6.5.4 Theoretical reflection</w:t>
            </w:r>
            <w:r>
              <w:rPr>
                <w:noProof/>
                <w:webHidden/>
              </w:rPr>
              <w:tab/>
            </w:r>
            <w:r>
              <w:rPr>
                <w:noProof/>
                <w:webHidden/>
              </w:rPr>
              <w:fldChar w:fldCharType="begin"/>
            </w:r>
            <w:r>
              <w:rPr>
                <w:noProof/>
                <w:webHidden/>
              </w:rPr>
              <w:instrText xml:space="preserve"> PAGEREF _Toc167379945 \h </w:instrText>
            </w:r>
            <w:r>
              <w:rPr>
                <w:noProof/>
                <w:webHidden/>
              </w:rPr>
            </w:r>
            <w:r>
              <w:rPr>
                <w:noProof/>
                <w:webHidden/>
              </w:rPr>
              <w:fldChar w:fldCharType="separate"/>
            </w:r>
            <w:r w:rsidR="0026489B">
              <w:rPr>
                <w:noProof/>
                <w:webHidden/>
              </w:rPr>
              <w:t>118</w:t>
            </w:r>
            <w:r>
              <w:rPr>
                <w:noProof/>
                <w:webHidden/>
              </w:rPr>
              <w:fldChar w:fldCharType="end"/>
            </w:r>
          </w:hyperlink>
        </w:p>
        <w:p w14:paraId="63C035BC" w14:textId="4D952CD1"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46" w:history="1">
            <w:r w:rsidRPr="00E36E15">
              <w:rPr>
                <w:rStyle w:val="Hyperlink"/>
                <w:noProof/>
              </w:rPr>
              <w:t>6.6 Summary of the Chapter</w:t>
            </w:r>
            <w:r>
              <w:rPr>
                <w:noProof/>
                <w:webHidden/>
              </w:rPr>
              <w:tab/>
            </w:r>
            <w:r>
              <w:rPr>
                <w:noProof/>
                <w:webHidden/>
              </w:rPr>
              <w:fldChar w:fldCharType="begin"/>
            </w:r>
            <w:r>
              <w:rPr>
                <w:noProof/>
                <w:webHidden/>
              </w:rPr>
              <w:instrText xml:space="preserve"> PAGEREF _Toc167379946 \h </w:instrText>
            </w:r>
            <w:r>
              <w:rPr>
                <w:noProof/>
                <w:webHidden/>
              </w:rPr>
            </w:r>
            <w:r>
              <w:rPr>
                <w:noProof/>
                <w:webHidden/>
              </w:rPr>
              <w:fldChar w:fldCharType="separate"/>
            </w:r>
            <w:r w:rsidR="0026489B">
              <w:rPr>
                <w:noProof/>
                <w:webHidden/>
              </w:rPr>
              <w:t>118</w:t>
            </w:r>
            <w:r>
              <w:rPr>
                <w:noProof/>
                <w:webHidden/>
              </w:rPr>
              <w:fldChar w:fldCharType="end"/>
            </w:r>
          </w:hyperlink>
        </w:p>
        <w:p w14:paraId="5FDA66AE" w14:textId="6644F21E"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947" w:history="1">
            <w:r w:rsidRPr="00E36E15">
              <w:rPr>
                <w:rStyle w:val="Hyperlink"/>
                <w:noProof/>
              </w:rPr>
              <w:t>CHAPTER SEVEN</w:t>
            </w:r>
            <w:r>
              <w:rPr>
                <w:noProof/>
                <w:webHidden/>
              </w:rPr>
              <w:tab/>
            </w:r>
            <w:r>
              <w:rPr>
                <w:noProof/>
                <w:webHidden/>
              </w:rPr>
              <w:fldChar w:fldCharType="begin"/>
            </w:r>
            <w:r>
              <w:rPr>
                <w:noProof/>
                <w:webHidden/>
              </w:rPr>
              <w:instrText xml:space="preserve"> PAGEREF _Toc167379947 \h </w:instrText>
            </w:r>
            <w:r>
              <w:rPr>
                <w:noProof/>
                <w:webHidden/>
              </w:rPr>
            </w:r>
            <w:r>
              <w:rPr>
                <w:noProof/>
                <w:webHidden/>
              </w:rPr>
              <w:fldChar w:fldCharType="separate"/>
            </w:r>
            <w:r w:rsidR="0026489B">
              <w:rPr>
                <w:noProof/>
                <w:webHidden/>
              </w:rPr>
              <w:t>120</w:t>
            </w:r>
            <w:r>
              <w:rPr>
                <w:noProof/>
                <w:webHidden/>
              </w:rPr>
              <w:fldChar w:fldCharType="end"/>
            </w:r>
          </w:hyperlink>
        </w:p>
        <w:p w14:paraId="58A204F0" w14:textId="4703FF4B"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948" w:history="1">
            <w:r w:rsidRPr="00E36E15">
              <w:rPr>
                <w:rStyle w:val="Hyperlink"/>
                <w:noProof/>
              </w:rPr>
              <w:t>URBAN FARMERS' CLIMATE CHANGE ADAPTATION STRATEGIES</w:t>
            </w:r>
            <w:r>
              <w:rPr>
                <w:noProof/>
                <w:webHidden/>
              </w:rPr>
              <w:tab/>
            </w:r>
            <w:r>
              <w:rPr>
                <w:noProof/>
                <w:webHidden/>
              </w:rPr>
              <w:fldChar w:fldCharType="begin"/>
            </w:r>
            <w:r>
              <w:rPr>
                <w:noProof/>
                <w:webHidden/>
              </w:rPr>
              <w:instrText xml:space="preserve"> PAGEREF _Toc167379948 \h </w:instrText>
            </w:r>
            <w:r>
              <w:rPr>
                <w:noProof/>
                <w:webHidden/>
              </w:rPr>
            </w:r>
            <w:r>
              <w:rPr>
                <w:noProof/>
                <w:webHidden/>
              </w:rPr>
              <w:fldChar w:fldCharType="separate"/>
            </w:r>
            <w:r w:rsidR="0026489B">
              <w:rPr>
                <w:noProof/>
                <w:webHidden/>
              </w:rPr>
              <w:t>120</w:t>
            </w:r>
            <w:r>
              <w:rPr>
                <w:noProof/>
                <w:webHidden/>
              </w:rPr>
              <w:fldChar w:fldCharType="end"/>
            </w:r>
          </w:hyperlink>
        </w:p>
        <w:p w14:paraId="5AA46252" w14:textId="7DD721B2"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49" w:history="1">
            <w:r w:rsidRPr="00E36E15">
              <w:rPr>
                <w:rStyle w:val="Hyperlink"/>
                <w:noProof/>
              </w:rPr>
              <w:t>7.1 Introduction</w:t>
            </w:r>
            <w:r>
              <w:rPr>
                <w:noProof/>
                <w:webHidden/>
              </w:rPr>
              <w:tab/>
            </w:r>
            <w:r>
              <w:rPr>
                <w:noProof/>
                <w:webHidden/>
              </w:rPr>
              <w:fldChar w:fldCharType="begin"/>
            </w:r>
            <w:r>
              <w:rPr>
                <w:noProof/>
                <w:webHidden/>
              </w:rPr>
              <w:instrText xml:space="preserve"> PAGEREF _Toc167379949 \h </w:instrText>
            </w:r>
            <w:r>
              <w:rPr>
                <w:noProof/>
                <w:webHidden/>
              </w:rPr>
            </w:r>
            <w:r>
              <w:rPr>
                <w:noProof/>
                <w:webHidden/>
              </w:rPr>
              <w:fldChar w:fldCharType="separate"/>
            </w:r>
            <w:r w:rsidR="0026489B">
              <w:rPr>
                <w:noProof/>
                <w:webHidden/>
              </w:rPr>
              <w:t>120</w:t>
            </w:r>
            <w:r>
              <w:rPr>
                <w:noProof/>
                <w:webHidden/>
              </w:rPr>
              <w:fldChar w:fldCharType="end"/>
            </w:r>
          </w:hyperlink>
        </w:p>
        <w:p w14:paraId="6F5CDCA5" w14:textId="18E4A3BF"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50" w:history="1">
            <w:r w:rsidRPr="00E36E15">
              <w:rPr>
                <w:rStyle w:val="Hyperlink"/>
                <w:noProof/>
              </w:rPr>
              <w:t>7.2 Urban Crop Production and Climate Adaptation Strategies</w:t>
            </w:r>
            <w:r>
              <w:rPr>
                <w:noProof/>
                <w:webHidden/>
              </w:rPr>
              <w:tab/>
            </w:r>
            <w:r>
              <w:rPr>
                <w:noProof/>
                <w:webHidden/>
              </w:rPr>
              <w:fldChar w:fldCharType="begin"/>
            </w:r>
            <w:r>
              <w:rPr>
                <w:noProof/>
                <w:webHidden/>
              </w:rPr>
              <w:instrText xml:space="preserve"> PAGEREF _Toc167379950 \h </w:instrText>
            </w:r>
            <w:r>
              <w:rPr>
                <w:noProof/>
                <w:webHidden/>
              </w:rPr>
            </w:r>
            <w:r>
              <w:rPr>
                <w:noProof/>
                <w:webHidden/>
              </w:rPr>
              <w:fldChar w:fldCharType="separate"/>
            </w:r>
            <w:r w:rsidR="0026489B">
              <w:rPr>
                <w:noProof/>
                <w:webHidden/>
              </w:rPr>
              <w:t>120</w:t>
            </w:r>
            <w:r>
              <w:rPr>
                <w:noProof/>
                <w:webHidden/>
              </w:rPr>
              <w:fldChar w:fldCharType="end"/>
            </w:r>
          </w:hyperlink>
        </w:p>
        <w:p w14:paraId="5889A59E" w14:textId="1428A791"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51" w:history="1">
            <w:r w:rsidRPr="00E36E15">
              <w:rPr>
                <w:rStyle w:val="Hyperlink"/>
                <w:noProof/>
              </w:rPr>
              <w:t>7.3 Urban Animal Production and Climate Adaptation Strategies</w:t>
            </w:r>
            <w:r>
              <w:rPr>
                <w:noProof/>
                <w:webHidden/>
              </w:rPr>
              <w:tab/>
            </w:r>
            <w:r>
              <w:rPr>
                <w:noProof/>
                <w:webHidden/>
              </w:rPr>
              <w:fldChar w:fldCharType="begin"/>
            </w:r>
            <w:r>
              <w:rPr>
                <w:noProof/>
                <w:webHidden/>
              </w:rPr>
              <w:instrText xml:space="preserve"> PAGEREF _Toc167379951 \h </w:instrText>
            </w:r>
            <w:r>
              <w:rPr>
                <w:noProof/>
                <w:webHidden/>
              </w:rPr>
            </w:r>
            <w:r>
              <w:rPr>
                <w:noProof/>
                <w:webHidden/>
              </w:rPr>
              <w:fldChar w:fldCharType="separate"/>
            </w:r>
            <w:r w:rsidR="0026489B">
              <w:rPr>
                <w:noProof/>
                <w:webHidden/>
              </w:rPr>
              <w:t>124</w:t>
            </w:r>
            <w:r>
              <w:rPr>
                <w:noProof/>
                <w:webHidden/>
              </w:rPr>
              <w:fldChar w:fldCharType="end"/>
            </w:r>
          </w:hyperlink>
        </w:p>
        <w:p w14:paraId="33A38C05" w14:textId="04BF8C17"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52" w:history="1">
            <w:r w:rsidRPr="00E36E15">
              <w:rPr>
                <w:rStyle w:val="Hyperlink"/>
                <w:noProof/>
              </w:rPr>
              <w:t>7.4 Urban Farmers’ Climate Change Knowledge and Sources of Adaptation Information</w:t>
            </w:r>
            <w:r>
              <w:rPr>
                <w:noProof/>
                <w:webHidden/>
              </w:rPr>
              <w:tab/>
            </w:r>
            <w:r>
              <w:rPr>
                <w:noProof/>
                <w:webHidden/>
              </w:rPr>
              <w:fldChar w:fldCharType="begin"/>
            </w:r>
            <w:r>
              <w:rPr>
                <w:noProof/>
                <w:webHidden/>
              </w:rPr>
              <w:instrText xml:space="preserve"> PAGEREF _Toc167379952 \h </w:instrText>
            </w:r>
            <w:r>
              <w:rPr>
                <w:noProof/>
                <w:webHidden/>
              </w:rPr>
            </w:r>
            <w:r>
              <w:rPr>
                <w:noProof/>
                <w:webHidden/>
              </w:rPr>
              <w:fldChar w:fldCharType="separate"/>
            </w:r>
            <w:r w:rsidR="0026489B">
              <w:rPr>
                <w:noProof/>
                <w:webHidden/>
              </w:rPr>
              <w:t>127</w:t>
            </w:r>
            <w:r>
              <w:rPr>
                <w:noProof/>
                <w:webHidden/>
              </w:rPr>
              <w:fldChar w:fldCharType="end"/>
            </w:r>
          </w:hyperlink>
        </w:p>
        <w:p w14:paraId="243F6BB1" w14:textId="70AA7EA2"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53" w:history="1">
            <w:r w:rsidRPr="00E36E15">
              <w:rPr>
                <w:rStyle w:val="Hyperlink"/>
                <w:noProof/>
              </w:rPr>
              <w:t>7.5 Discussions of major findings</w:t>
            </w:r>
            <w:r>
              <w:rPr>
                <w:noProof/>
                <w:webHidden/>
              </w:rPr>
              <w:tab/>
            </w:r>
            <w:r>
              <w:rPr>
                <w:noProof/>
                <w:webHidden/>
              </w:rPr>
              <w:fldChar w:fldCharType="begin"/>
            </w:r>
            <w:r>
              <w:rPr>
                <w:noProof/>
                <w:webHidden/>
              </w:rPr>
              <w:instrText xml:space="preserve"> PAGEREF _Toc167379953 \h </w:instrText>
            </w:r>
            <w:r>
              <w:rPr>
                <w:noProof/>
                <w:webHidden/>
              </w:rPr>
            </w:r>
            <w:r>
              <w:rPr>
                <w:noProof/>
                <w:webHidden/>
              </w:rPr>
              <w:fldChar w:fldCharType="separate"/>
            </w:r>
            <w:r w:rsidR="0026489B">
              <w:rPr>
                <w:noProof/>
                <w:webHidden/>
              </w:rPr>
              <w:t>132</w:t>
            </w:r>
            <w:r>
              <w:rPr>
                <w:noProof/>
                <w:webHidden/>
              </w:rPr>
              <w:fldChar w:fldCharType="end"/>
            </w:r>
          </w:hyperlink>
        </w:p>
        <w:p w14:paraId="301330E8" w14:textId="528317D2"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54" w:history="1">
            <w:r w:rsidRPr="00E36E15">
              <w:rPr>
                <w:rStyle w:val="Hyperlink"/>
                <w:noProof/>
              </w:rPr>
              <w:t>7.5.1 Theoretical reflection</w:t>
            </w:r>
            <w:r>
              <w:rPr>
                <w:noProof/>
                <w:webHidden/>
              </w:rPr>
              <w:tab/>
            </w:r>
            <w:r>
              <w:rPr>
                <w:noProof/>
                <w:webHidden/>
              </w:rPr>
              <w:fldChar w:fldCharType="begin"/>
            </w:r>
            <w:r>
              <w:rPr>
                <w:noProof/>
                <w:webHidden/>
              </w:rPr>
              <w:instrText xml:space="preserve"> PAGEREF _Toc167379954 \h </w:instrText>
            </w:r>
            <w:r>
              <w:rPr>
                <w:noProof/>
                <w:webHidden/>
              </w:rPr>
            </w:r>
            <w:r>
              <w:rPr>
                <w:noProof/>
                <w:webHidden/>
              </w:rPr>
              <w:fldChar w:fldCharType="separate"/>
            </w:r>
            <w:r w:rsidR="0026489B">
              <w:rPr>
                <w:noProof/>
                <w:webHidden/>
              </w:rPr>
              <w:t>136</w:t>
            </w:r>
            <w:r>
              <w:rPr>
                <w:noProof/>
                <w:webHidden/>
              </w:rPr>
              <w:fldChar w:fldCharType="end"/>
            </w:r>
          </w:hyperlink>
        </w:p>
        <w:p w14:paraId="6B47F252" w14:textId="4A47E540"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55" w:history="1">
            <w:r w:rsidRPr="00E36E15">
              <w:rPr>
                <w:rStyle w:val="Hyperlink"/>
                <w:noProof/>
              </w:rPr>
              <w:t>7.6 Summary of the Chapter</w:t>
            </w:r>
            <w:r>
              <w:rPr>
                <w:noProof/>
                <w:webHidden/>
              </w:rPr>
              <w:tab/>
            </w:r>
            <w:r>
              <w:rPr>
                <w:noProof/>
                <w:webHidden/>
              </w:rPr>
              <w:fldChar w:fldCharType="begin"/>
            </w:r>
            <w:r>
              <w:rPr>
                <w:noProof/>
                <w:webHidden/>
              </w:rPr>
              <w:instrText xml:space="preserve"> PAGEREF _Toc167379955 \h </w:instrText>
            </w:r>
            <w:r>
              <w:rPr>
                <w:noProof/>
                <w:webHidden/>
              </w:rPr>
            </w:r>
            <w:r>
              <w:rPr>
                <w:noProof/>
                <w:webHidden/>
              </w:rPr>
              <w:fldChar w:fldCharType="separate"/>
            </w:r>
            <w:r w:rsidR="0026489B">
              <w:rPr>
                <w:noProof/>
                <w:webHidden/>
              </w:rPr>
              <w:t>137</w:t>
            </w:r>
            <w:r>
              <w:rPr>
                <w:noProof/>
                <w:webHidden/>
              </w:rPr>
              <w:fldChar w:fldCharType="end"/>
            </w:r>
          </w:hyperlink>
        </w:p>
        <w:p w14:paraId="42281CEA" w14:textId="0BA319F3"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956" w:history="1">
            <w:r w:rsidRPr="00E36E15">
              <w:rPr>
                <w:rStyle w:val="Hyperlink"/>
                <w:noProof/>
              </w:rPr>
              <w:t>CHAPTER EIGHT</w:t>
            </w:r>
            <w:r>
              <w:rPr>
                <w:noProof/>
                <w:webHidden/>
              </w:rPr>
              <w:tab/>
            </w:r>
            <w:r>
              <w:rPr>
                <w:noProof/>
                <w:webHidden/>
              </w:rPr>
              <w:fldChar w:fldCharType="begin"/>
            </w:r>
            <w:r>
              <w:rPr>
                <w:noProof/>
                <w:webHidden/>
              </w:rPr>
              <w:instrText xml:space="preserve"> PAGEREF _Toc167379956 \h </w:instrText>
            </w:r>
            <w:r>
              <w:rPr>
                <w:noProof/>
                <w:webHidden/>
              </w:rPr>
            </w:r>
            <w:r>
              <w:rPr>
                <w:noProof/>
                <w:webHidden/>
              </w:rPr>
              <w:fldChar w:fldCharType="separate"/>
            </w:r>
            <w:r w:rsidR="0026489B">
              <w:rPr>
                <w:noProof/>
                <w:webHidden/>
              </w:rPr>
              <w:t>138</w:t>
            </w:r>
            <w:r>
              <w:rPr>
                <w:noProof/>
                <w:webHidden/>
              </w:rPr>
              <w:fldChar w:fldCharType="end"/>
            </w:r>
          </w:hyperlink>
        </w:p>
        <w:p w14:paraId="17EA10DB" w14:textId="79ECC69E" w:rsidR="00AD7FC2" w:rsidRDefault="00AD7FC2" w:rsidP="00AD7FC2">
          <w:pPr>
            <w:pStyle w:val="TOC1"/>
            <w:tabs>
              <w:tab w:val="right" w:leader="dot" w:pos="8296"/>
            </w:tabs>
            <w:spacing w:line="360" w:lineRule="auto"/>
            <w:rPr>
              <w:rFonts w:asciiTheme="minorHAnsi" w:hAnsiTheme="minorHAnsi" w:cstheme="minorBidi"/>
              <w:b w:val="0"/>
              <w:noProof/>
              <w:kern w:val="2"/>
              <w:sz w:val="22"/>
              <w:lang w:val="en-GH" w:eastAsia="en-GH"/>
              <w14:ligatures w14:val="standardContextual"/>
            </w:rPr>
          </w:pPr>
          <w:hyperlink w:anchor="_Toc167379957" w:history="1">
            <w:r w:rsidRPr="00E36E15">
              <w:rPr>
                <w:rStyle w:val="Hyperlink"/>
                <w:noProof/>
              </w:rPr>
              <w:t>SUMMARY OF FINDINGS, CONCLUSIONS AND RECOMMENDATIONS</w:t>
            </w:r>
            <w:r>
              <w:rPr>
                <w:noProof/>
                <w:webHidden/>
              </w:rPr>
              <w:tab/>
            </w:r>
            <w:r>
              <w:rPr>
                <w:noProof/>
                <w:webHidden/>
              </w:rPr>
              <w:fldChar w:fldCharType="begin"/>
            </w:r>
            <w:r>
              <w:rPr>
                <w:noProof/>
                <w:webHidden/>
              </w:rPr>
              <w:instrText xml:space="preserve"> PAGEREF _Toc167379957 \h </w:instrText>
            </w:r>
            <w:r>
              <w:rPr>
                <w:noProof/>
                <w:webHidden/>
              </w:rPr>
            </w:r>
            <w:r>
              <w:rPr>
                <w:noProof/>
                <w:webHidden/>
              </w:rPr>
              <w:fldChar w:fldCharType="separate"/>
            </w:r>
            <w:r w:rsidR="0026489B">
              <w:rPr>
                <w:noProof/>
                <w:webHidden/>
              </w:rPr>
              <w:t>138</w:t>
            </w:r>
            <w:r>
              <w:rPr>
                <w:noProof/>
                <w:webHidden/>
              </w:rPr>
              <w:fldChar w:fldCharType="end"/>
            </w:r>
          </w:hyperlink>
        </w:p>
        <w:p w14:paraId="09955EDB" w14:textId="2C59D359"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58" w:history="1">
            <w:r w:rsidRPr="00E36E15">
              <w:rPr>
                <w:rStyle w:val="Hyperlink"/>
                <w:noProof/>
              </w:rPr>
              <w:t>8.1 Introduction</w:t>
            </w:r>
            <w:r>
              <w:rPr>
                <w:noProof/>
                <w:webHidden/>
              </w:rPr>
              <w:tab/>
            </w:r>
            <w:r>
              <w:rPr>
                <w:noProof/>
                <w:webHidden/>
              </w:rPr>
              <w:fldChar w:fldCharType="begin"/>
            </w:r>
            <w:r>
              <w:rPr>
                <w:noProof/>
                <w:webHidden/>
              </w:rPr>
              <w:instrText xml:space="preserve"> PAGEREF _Toc167379958 \h </w:instrText>
            </w:r>
            <w:r>
              <w:rPr>
                <w:noProof/>
                <w:webHidden/>
              </w:rPr>
            </w:r>
            <w:r>
              <w:rPr>
                <w:noProof/>
                <w:webHidden/>
              </w:rPr>
              <w:fldChar w:fldCharType="separate"/>
            </w:r>
            <w:r w:rsidR="0026489B">
              <w:rPr>
                <w:noProof/>
                <w:webHidden/>
              </w:rPr>
              <w:t>138</w:t>
            </w:r>
            <w:r>
              <w:rPr>
                <w:noProof/>
                <w:webHidden/>
              </w:rPr>
              <w:fldChar w:fldCharType="end"/>
            </w:r>
          </w:hyperlink>
        </w:p>
        <w:p w14:paraId="42649B00" w14:textId="623EDB9E"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59" w:history="1">
            <w:r w:rsidRPr="00E36E15">
              <w:rPr>
                <w:rStyle w:val="Hyperlink"/>
                <w:noProof/>
              </w:rPr>
              <w:t>8.2 Summary of Major Findings</w:t>
            </w:r>
            <w:r>
              <w:rPr>
                <w:noProof/>
                <w:webHidden/>
              </w:rPr>
              <w:tab/>
            </w:r>
            <w:r>
              <w:rPr>
                <w:noProof/>
                <w:webHidden/>
              </w:rPr>
              <w:fldChar w:fldCharType="begin"/>
            </w:r>
            <w:r>
              <w:rPr>
                <w:noProof/>
                <w:webHidden/>
              </w:rPr>
              <w:instrText xml:space="preserve"> PAGEREF _Toc167379959 \h </w:instrText>
            </w:r>
            <w:r>
              <w:rPr>
                <w:noProof/>
                <w:webHidden/>
              </w:rPr>
            </w:r>
            <w:r>
              <w:rPr>
                <w:noProof/>
                <w:webHidden/>
              </w:rPr>
              <w:fldChar w:fldCharType="separate"/>
            </w:r>
            <w:r w:rsidR="0026489B">
              <w:rPr>
                <w:noProof/>
                <w:webHidden/>
              </w:rPr>
              <w:t>138</w:t>
            </w:r>
            <w:r>
              <w:rPr>
                <w:noProof/>
                <w:webHidden/>
              </w:rPr>
              <w:fldChar w:fldCharType="end"/>
            </w:r>
          </w:hyperlink>
        </w:p>
        <w:p w14:paraId="289B259E" w14:textId="571FA948"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60" w:history="1">
            <w:r w:rsidRPr="00E36E15">
              <w:rPr>
                <w:rStyle w:val="Hyperlink"/>
                <w:noProof/>
              </w:rPr>
              <w:t>8.2.1 Characteristics of urban food crop and livestock production</w:t>
            </w:r>
            <w:r>
              <w:rPr>
                <w:noProof/>
                <w:webHidden/>
              </w:rPr>
              <w:tab/>
            </w:r>
            <w:r>
              <w:rPr>
                <w:noProof/>
                <w:webHidden/>
              </w:rPr>
              <w:fldChar w:fldCharType="begin"/>
            </w:r>
            <w:r>
              <w:rPr>
                <w:noProof/>
                <w:webHidden/>
              </w:rPr>
              <w:instrText xml:space="preserve"> PAGEREF _Toc167379960 \h </w:instrText>
            </w:r>
            <w:r>
              <w:rPr>
                <w:noProof/>
                <w:webHidden/>
              </w:rPr>
            </w:r>
            <w:r>
              <w:rPr>
                <w:noProof/>
                <w:webHidden/>
              </w:rPr>
              <w:fldChar w:fldCharType="separate"/>
            </w:r>
            <w:r w:rsidR="0026489B">
              <w:rPr>
                <w:noProof/>
                <w:webHidden/>
              </w:rPr>
              <w:t>138</w:t>
            </w:r>
            <w:r>
              <w:rPr>
                <w:noProof/>
                <w:webHidden/>
              </w:rPr>
              <w:fldChar w:fldCharType="end"/>
            </w:r>
          </w:hyperlink>
        </w:p>
        <w:p w14:paraId="62FEF756" w14:textId="57536580"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61" w:history="1">
            <w:r w:rsidRPr="00E36E15">
              <w:rPr>
                <w:rStyle w:val="Hyperlink"/>
                <w:noProof/>
              </w:rPr>
              <w:t>8.2.2 Spatial distributions and patterns of urban food crop and livestock production</w:t>
            </w:r>
            <w:r>
              <w:rPr>
                <w:noProof/>
                <w:webHidden/>
              </w:rPr>
              <w:tab/>
            </w:r>
            <w:r>
              <w:rPr>
                <w:noProof/>
                <w:webHidden/>
              </w:rPr>
              <w:fldChar w:fldCharType="begin"/>
            </w:r>
            <w:r>
              <w:rPr>
                <w:noProof/>
                <w:webHidden/>
              </w:rPr>
              <w:instrText xml:space="preserve"> PAGEREF _Toc167379961 \h </w:instrText>
            </w:r>
            <w:r>
              <w:rPr>
                <w:noProof/>
                <w:webHidden/>
              </w:rPr>
            </w:r>
            <w:r>
              <w:rPr>
                <w:noProof/>
                <w:webHidden/>
              </w:rPr>
              <w:fldChar w:fldCharType="separate"/>
            </w:r>
            <w:r w:rsidR="0026489B">
              <w:rPr>
                <w:noProof/>
                <w:webHidden/>
              </w:rPr>
              <w:t>139</w:t>
            </w:r>
            <w:r>
              <w:rPr>
                <w:noProof/>
                <w:webHidden/>
              </w:rPr>
              <w:fldChar w:fldCharType="end"/>
            </w:r>
          </w:hyperlink>
        </w:p>
        <w:p w14:paraId="6A638F62" w14:textId="36763391"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62" w:history="1">
            <w:r w:rsidRPr="00E36E15">
              <w:rPr>
                <w:rStyle w:val="Hyperlink"/>
                <w:noProof/>
              </w:rPr>
              <w:t>8.2.3 Demographic factors that influence urban dwellers' participation in urban agriculture</w:t>
            </w:r>
            <w:r>
              <w:rPr>
                <w:noProof/>
                <w:webHidden/>
              </w:rPr>
              <w:tab/>
            </w:r>
            <w:r>
              <w:rPr>
                <w:noProof/>
                <w:webHidden/>
              </w:rPr>
              <w:fldChar w:fldCharType="begin"/>
            </w:r>
            <w:r>
              <w:rPr>
                <w:noProof/>
                <w:webHidden/>
              </w:rPr>
              <w:instrText xml:space="preserve"> PAGEREF _Toc167379962 \h </w:instrText>
            </w:r>
            <w:r>
              <w:rPr>
                <w:noProof/>
                <w:webHidden/>
              </w:rPr>
            </w:r>
            <w:r>
              <w:rPr>
                <w:noProof/>
                <w:webHidden/>
              </w:rPr>
              <w:fldChar w:fldCharType="separate"/>
            </w:r>
            <w:r w:rsidR="0026489B">
              <w:rPr>
                <w:noProof/>
                <w:webHidden/>
              </w:rPr>
              <w:t>140</w:t>
            </w:r>
            <w:r>
              <w:rPr>
                <w:noProof/>
                <w:webHidden/>
              </w:rPr>
              <w:fldChar w:fldCharType="end"/>
            </w:r>
          </w:hyperlink>
        </w:p>
        <w:p w14:paraId="08808716" w14:textId="2CEC5F51"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63" w:history="1">
            <w:r w:rsidRPr="00E36E15">
              <w:rPr>
                <w:rStyle w:val="Hyperlink"/>
                <w:noProof/>
              </w:rPr>
              <w:t>8.2.4 Climate change adaptation strategies of urban farmers.</w:t>
            </w:r>
            <w:r>
              <w:rPr>
                <w:noProof/>
                <w:webHidden/>
              </w:rPr>
              <w:tab/>
            </w:r>
            <w:r>
              <w:rPr>
                <w:noProof/>
                <w:webHidden/>
              </w:rPr>
              <w:fldChar w:fldCharType="begin"/>
            </w:r>
            <w:r>
              <w:rPr>
                <w:noProof/>
                <w:webHidden/>
              </w:rPr>
              <w:instrText xml:space="preserve"> PAGEREF _Toc167379963 \h </w:instrText>
            </w:r>
            <w:r>
              <w:rPr>
                <w:noProof/>
                <w:webHidden/>
              </w:rPr>
            </w:r>
            <w:r>
              <w:rPr>
                <w:noProof/>
                <w:webHidden/>
              </w:rPr>
              <w:fldChar w:fldCharType="separate"/>
            </w:r>
            <w:r w:rsidR="0026489B">
              <w:rPr>
                <w:noProof/>
                <w:webHidden/>
              </w:rPr>
              <w:t>140</w:t>
            </w:r>
            <w:r>
              <w:rPr>
                <w:noProof/>
                <w:webHidden/>
              </w:rPr>
              <w:fldChar w:fldCharType="end"/>
            </w:r>
          </w:hyperlink>
        </w:p>
        <w:p w14:paraId="45CAFA5C" w14:textId="4D2E3385"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64" w:history="1">
            <w:r w:rsidRPr="00E36E15">
              <w:rPr>
                <w:rStyle w:val="Hyperlink"/>
                <w:noProof/>
              </w:rPr>
              <w:t>8.3 Conclusions</w:t>
            </w:r>
            <w:r>
              <w:rPr>
                <w:noProof/>
                <w:webHidden/>
              </w:rPr>
              <w:tab/>
            </w:r>
            <w:r>
              <w:rPr>
                <w:noProof/>
                <w:webHidden/>
              </w:rPr>
              <w:fldChar w:fldCharType="begin"/>
            </w:r>
            <w:r>
              <w:rPr>
                <w:noProof/>
                <w:webHidden/>
              </w:rPr>
              <w:instrText xml:space="preserve"> PAGEREF _Toc167379964 \h </w:instrText>
            </w:r>
            <w:r>
              <w:rPr>
                <w:noProof/>
                <w:webHidden/>
              </w:rPr>
            </w:r>
            <w:r>
              <w:rPr>
                <w:noProof/>
                <w:webHidden/>
              </w:rPr>
              <w:fldChar w:fldCharType="separate"/>
            </w:r>
            <w:r w:rsidR="0026489B">
              <w:rPr>
                <w:noProof/>
                <w:webHidden/>
              </w:rPr>
              <w:t>141</w:t>
            </w:r>
            <w:r>
              <w:rPr>
                <w:noProof/>
                <w:webHidden/>
              </w:rPr>
              <w:fldChar w:fldCharType="end"/>
            </w:r>
          </w:hyperlink>
        </w:p>
        <w:p w14:paraId="16F36B13" w14:textId="147EE6E2"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65" w:history="1">
            <w:r w:rsidRPr="00E36E15">
              <w:rPr>
                <w:rStyle w:val="Hyperlink"/>
                <w:noProof/>
              </w:rPr>
              <w:t>8.3.1 Characteristics of urban food crop and livestock production</w:t>
            </w:r>
            <w:r>
              <w:rPr>
                <w:noProof/>
                <w:webHidden/>
              </w:rPr>
              <w:tab/>
            </w:r>
            <w:r>
              <w:rPr>
                <w:noProof/>
                <w:webHidden/>
              </w:rPr>
              <w:fldChar w:fldCharType="begin"/>
            </w:r>
            <w:r>
              <w:rPr>
                <w:noProof/>
                <w:webHidden/>
              </w:rPr>
              <w:instrText xml:space="preserve"> PAGEREF _Toc167379965 \h </w:instrText>
            </w:r>
            <w:r>
              <w:rPr>
                <w:noProof/>
                <w:webHidden/>
              </w:rPr>
            </w:r>
            <w:r>
              <w:rPr>
                <w:noProof/>
                <w:webHidden/>
              </w:rPr>
              <w:fldChar w:fldCharType="separate"/>
            </w:r>
            <w:r w:rsidR="0026489B">
              <w:rPr>
                <w:noProof/>
                <w:webHidden/>
              </w:rPr>
              <w:t>142</w:t>
            </w:r>
            <w:r>
              <w:rPr>
                <w:noProof/>
                <w:webHidden/>
              </w:rPr>
              <w:fldChar w:fldCharType="end"/>
            </w:r>
          </w:hyperlink>
        </w:p>
        <w:p w14:paraId="135F6E9A" w14:textId="479F5B72"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66" w:history="1">
            <w:r w:rsidRPr="00E36E15">
              <w:rPr>
                <w:rStyle w:val="Hyperlink"/>
                <w:noProof/>
              </w:rPr>
              <w:t>8.3.2 Spatial distributions and patterns of urban food crop and livestock production</w:t>
            </w:r>
            <w:r>
              <w:rPr>
                <w:noProof/>
                <w:webHidden/>
              </w:rPr>
              <w:tab/>
            </w:r>
            <w:r>
              <w:rPr>
                <w:noProof/>
                <w:webHidden/>
              </w:rPr>
              <w:fldChar w:fldCharType="begin"/>
            </w:r>
            <w:r>
              <w:rPr>
                <w:noProof/>
                <w:webHidden/>
              </w:rPr>
              <w:instrText xml:space="preserve"> PAGEREF _Toc167379966 \h </w:instrText>
            </w:r>
            <w:r>
              <w:rPr>
                <w:noProof/>
                <w:webHidden/>
              </w:rPr>
            </w:r>
            <w:r>
              <w:rPr>
                <w:noProof/>
                <w:webHidden/>
              </w:rPr>
              <w:fldChar w:fldCharType="separate"/>
            </w:r>
            <w:r w:rsidR="0026489B">
              <w:rPr>
                <w:noProof/>
                <w:webHidden/>
              </w:rPr>
              <w:t>142</w:t>
            </w:r>
            <w:r>
              <w:rPr>
                <w:noProof/>
                <w:webHidden/>
              </w:rPr>
              <w:fldChar w:fldCharType="end"/>
            </w:r>
          </w:hyperlink>
        </w:p>
        <w:p w14:paraId="4F22D459" w14:textId="2DCC34A4"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67" w:history="1">
            <w:r w:rsidRPr="00E36E15">
              <w:rPr>
                <w:rStyle w:val="Hyperlink"/>
                <w:noProof/>
              </w:rPr>
              <w:t>8.3.3 Demographic factors that influence urban dwellers' participation in urban agriculture</w:t>
            </w:r>
            <w:r>
              <w:rPr>
                <w:noProof/>
                <w:webHidden/>
              </w:rPr>
              <w:tab/>
            </w:r>
            <w:r>
              <w:rPr>
                <w:noProof/>
                <w:webHidden/>
              </w:rPr>
              <w:fldChar w:fldCharType="begin"/>
            </w:r>
            <w:r>
              <w:rPr>
                <w:noProof/>
                <w:webHidden/>
              </w:rPr>
              <w:instrText xml:space="preserve"> PAGEREF _Toc167379967 \h </w:instrText>
            </w:r>
            <w:r>
              <w:rPr>
                <w:noProof/>
                <w:webHidden/>
              </w:rPr>
            </w:r>
            <w:r>
              <w:rPr>
                <w:noProof/>
                <w:webHidden/>
              </w:rPr>
              <w:fldChar w:fldCharType="separate"/>
            </w:r>
            <w:r w:rsidR="0026489B">
              <w:rPr>
                <w:noProof/>
                <w:webHidden/>
              </w:rPr>
              <w:t>143</w:t>
            </w:r>
            <w:r>
              <w:rPr>
                <w:noProof/>
                <w:webHidden/>
              </w:rPr>
              <w:fldChar w:fldCharType="end"/>
            </w:r>
          </w:hyperlink>
        </w:p>
        <w:p w14:paraId="06394256" w14:textId="06748BE3"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68" w:history="1">
            <w:r w:rsidRPr="00E36E15">
              <w:rPr>
                <w:rStyle w:val="Hyperlink"/>
                <w:noProof/>
              </w:rPr>
              <w:t>8.3.4 Climate change adaptation strategies of urban farm</w:t>
            </w:r>
            <w:r>
              <w:rPr>
                <w:noProof/>
                <w:webHidden/>
              </w:rPr>
              <w:tab/>
            </w:r>
            <w:r>
              <w:rPr>
                <w:noProof/>
                <w:webHidden/>
              </w:rPr>
              <w:fldChar w:fldCharType="begin"/>
            </w:r>
            <w:r>
              <w:rPr>
                <w:noProof/>
                <w:webHidden/>
              </w:rPr>
              <w:instrText xml:space="preserve"> PAGEREF _Toc167379968 \h </w:instrText>
            </w:r>
            <w:r>
              <w:rPr>
                <w:noProof/>
                <w:webHidden/>
              </w:rPr>
            </w:r>
            <w:r>
              <w:rPr>
                <w:noProof/>
                <w:webHidden/>
              </w:rPr>
              <w:fldChar w:fldCharType="separate"/>
            </w:r>
            <w:r w:rsidR="0026489B">
              <w:rPr>
                <w:noProof/>
                <w:webHidden/>
              </w:rPr>
              <w:t>143</w:t>
            </w:r>
            <w:r>
              <w:rPr>
                <w:noProof/>
                <w:webHidden/>
              </w:rPr>
              <w:fldChar w:fldCharType="end"/>
            </w:r>
          </w:hyperlink>
        </w:p>
        <w:p w14:paraId="5DB29536" w14:textId="3C7361B7"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69" w:history="1">
            <w:r w:rsidRPr="00E36E15">
              <w:rPr>
                <w:rStyle w:val="Hyperlink"/>
                <w:noProof/>
              </w:rPr>
              <w:t>8.4 Recommendations</w:t>
            </w:r>
            <w:r>
              <w:rPr>
                <w:noProof/>
                <w:webHidden/>
              </w:rPr>
              <w:tab/>
            </w:r>
            <w:r>
              <w:rPr>
                <w:noProof/>
                <w:webHidden/>
              </w:rPr>
              <w:fldChar w:fldCharType="begin"/>
            </w:r>
            <w:r>
              <w:rPr>
                <w:noProof/>
                <w:webHidden/>
              </w:rPr>
              <w:instrText xml:space="preserve"> PAGEREF _Toc167379969 \h </w:instrText>
            </w:r>
            <w:r>
              <w:rPr>
                <w:noProof/>
                <w:webHidden/>
              </w:rPr>
            </w:r>
            <w:r>
              <w:rPr>
                <w:noProof/>
                <w:webHidden/>
              </w:rPr>
              <w:fldChar w:fldCharType="separate"/>
            </w:r>
            <w:r w:rsidR="0026489B">
              <w:rPr>
                <w:noProof/>
                <w:webHidden/>
              </w:rPr>
              <w:t>144</w:t>
            </w:r>
            <w:r>
              <w:rPr>
                <w:noProof/>
                <w:webHidden/>
              </w:rPr>
              <w:fldChar w:fldCharType="end"/>
            </w:r>
          </w:hyperlink>
        </w:p>
        <w:p w14:paraId="27132CC2" w14:textId="7408785A"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70" w:history="1">
            <w:r w:rsidRPr="00E36E15">
              <w:rPr>
                <w:rStyle w:val="Hyperlink"/>
                <w:noProof/>
              </w:rPr>
              <w:t>8.4.1 Characteristics of urban food crop and livestock production</w:t>
            </w:r>
            <w:r>
              <w:rPr>
                <w:noProof/>
                <w:webHidden/>
              </w:rPr>
              <w:tab/>
            </w:r>
            <w:r>
              <w:rPr>
                <w:noProof/>
                <w:webHidden/>
              </w:rPr>
              <w:fldChar w:fldCharType="begin"/>
            </w:r>
            <w:r>
              <w:rPr>
                <w:noProof/>
                <w:webHidden/>
              </w:rPr>
              <w:instrText xml:space="preserve"> PAGEREF _Toc167379970 \h </w:instrText>
            </w:r>
            <w:r>
              <w:rPr>
                <w:noProof/>
                <w:webHidden/>
              </w:rPr>
            </w:r>
            <w:r>
              <w:rPr>
                <w:noProof/>
                <w:webHidden/>
              </w:rPr>
              <w:fldChar w:fldCharType="separate"/>
            </w:r>
            <w:r w:rsidR="0026489B">
              <w:rPr>
                <w:noProof/>
                <w:webHidden/>
              </w:rPr>
              <w:t>144</w:t>
            </w:r>
            <w:r>
              <w:rPr>
                <w:noProof/>
                <w:webHidden/>
              </w:rPr>
              <w:fldChar w:fldCharType="end"/>
            </w:r>
          </w:hyperlink>
        </w:p>
        <w:p w14:paraId="25A8D6C9" w14:textId="425E10CB"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71" w:history="1">
            <w:r w:rsidRPr="00E36E15">
              <w:rPr>
                <w:rStyle w:val="Hyperlink"/>
                <w:noProof/>
              </w:rPr>
              <w:t>8.4.2 Spatial distributions and patterns of urban food crop and livestock production</w:t>
            </w:r>
            <w:r>
              <w:rPr>
                <w:noProof/>
                <w:webHidden/>
              </w:rPr>
              <w:tab/>
            </w:r>
            <w:r>
              <w:rPr>
                <w:noProof/>
                <w:webHidden/>
              </w:rPr>
              <w:fldChar w:fldCharType="begin"/>
            </w:r>
            <w:r>
              <w:rPr>
                <w:noProof/>
                <w:webHidden/>
              </w:rPr>
              <w:instrText xml:space="preserve"> PAGEREF _Toc167379971 \h </w:instrText>
            </w:r>
            <w:r>
              <w:rPr>
                <w:noProof/>
                <w:webHidden/>
              </w:rPr>
            </w:r>
            <w:r>
              <w:rPr>
                <w:noProof/>
                <w:webHidden/>
              </w:rPr>
              <w:fldChar w:fldCharType="separate"/>
            </w:r>
            <w:r w:rsidR="0026489B">
              <w:rPr>
                <w:noProof/>
                <w:webHidden/>
              </w:rPr>
              <w:t>144</w:t>
            </w:r>
            <w:r>
              <w:rPr>
                <w:noProof/>
                <w:webHidden/>
              </w:rPr>
              <w:fldChar w:fldCharType="end"/>
            </w:r>
          </w:hyperlink>
        </w:p>
        <w:p w14:paraId="59449B5C" w14:textId="610F2C54"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72" w:history="1">
            <w:r w:rsidRPr="00E36E15">
              <w:rPr>
                <w:rStyle w:val="Hyperlink"/>
                <w:noProof/>
              </w:rPr>
              <w:t>8.4.3 Demographic factors that influence urban dwellers' participation in urban agriculture</w:t>
            </w:r>
            <w:r>
              <w:rPr>
                <w:noProof/>
                <w:webHidden/>
              </w:rPr>
              <w:tab/>
            </w:r>
            <w:r>
              <w:rPr>
                <w:noProof/>
                <w:webHidden/>
              </w:rPr>
              <w:fldChar w:fldCharType="begin"/>
            </w:r>
            <w:r>
              <w:rPr>
                <w:noProof/>
                <w:webHidden/>
              </w:rPr>
              <w:instrText xml:space="preserve"> PAGEREF _Toc167379972 \h </w:instrText>
            </w:r>
            <w:r>
              <w:rPr>
                <w:noProof/>
                <w:webHidden/>
              </w:rPr>
            </w:r>
            <w:r>
              <w:rPr>
                <w:noProof/>
                <w:webHidden/>
              </w:rPr>
              <w:fldChar w:fldCharType="separate"/>
            </w:r>
            <w:r w:rsidR="0026489B">
              <w:rPr>
                <w:noProof/>
                <w:webHidden/>
              </w:rPr>
              <w:t>145</w:t>
            </w:r>
            <w:r>
              <w:rPr>
                <w:noProof/>
                <w:webHidden/>
              </w:rPr>
              <w:fldChar w:fldCharType="end"/>
            </w:r>
          </w:hyperlink>
        </w:p>
        <w:p w14:paraId="3808F70F" w14:textId="7B6856A9"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73" w:history="1">
            <w:r w:rsidRPr="00E36E15">
              <w:rPr>
                <w:rStyle w:val="Hyperlink"/>
                <w:noProof/>
              </w:rPr>
              <w:t>8.4.4 Climate change adaptation strategies of urban farmers.</w:t>
            </w:r>
            <w:r>
              <w:rPr>
                <w:noProof/>
                <w:webHidden/>
              </w:rPr>
              <w:tab/>
            </w:r>
            <w:r>
              <w:rPr>
                <w:noProof/>
                <w:webHidden/>
              </w:rPr>
              <w:fldChar w:fldCharType="begin"/>
            </w:r>
            <w:r>
              <w:rPr>
                <w:noProof/>
                <w:webHidden/>
              </w:rPr>
              <w:instrText xml:space="preserve"> PAGEREF _Toc167379973 \h </w:instrText>
            </w:r>
            <w:r>
              <w:rPr>
                <w:noProof/>
                <w:webHidden/>
              </w:rPr>
            </w:r>
            <w:r>
              <w:rPr>
                <w:noProof/>
                <w:webHidden/>
              </w:rPr>
              <w:fldChar w:fldCharType="separate"/>
            </w:r>
            <w:r w:rsidR="0026489B">
              <w:rPr>
                <w:noProof/>
                <w:webHidden/>
              </w:rPr>
              <w:t>145</w:t>
            </w:r>
            <w:r>
              <w:rPr>
                <w:noProof/>
                <w:webHidden/>
              </w:rPr>
              <w:fldChar w:fldCharType="end"/>
            </w:r>
          </w:hyperlink>
        </w:p>
        <w:p w14:paraId="4AFABDBC" w14:textId="3D641C92"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74" w:history="1">
            <w:r w:rsidRPr="00E36E15">
              <w:rPr>
                <w:rStyle w:val="Hyperlink"/>
                <w:noProof/>
              </w:rPr>
              <w:t>8.4.5 Recommendation for Future Research</w:t>
            </w:r>
            <w:r>
              <w:rPr>
                <w:noProof/>
                <w:webHidden/>
              </w:rPr>
              <w:tab/>
            </w:r>
            <w:r>
              <w:rPr>
                <w:noProof/>
                <w:webHidden/>
              </w:rPr>
              <w:fldChar w:fldCharType="begin"/>
            </w:r>
            <w:r>
              <w:rPr>
                <w:noProof/>
                <w:webHidden/>
              </w:rPr>
              <w:instrText xml:space="preserve"> PAGEREF _Toc167379974 \h </w:instrText>
            </w:r>
            <w:r>
              <w:rPr>
                <w:noProof/>
                <w:webHidden/>
              </w:rPr>
            </w:r>
            <w:r>
              <w:rPr>
                <w:noProof/>
                <w:webHidden/>
              </w:rPr>
              <w:fldChar w:fldCharType="separate"/>
            </w:r>
            <w:r w:rsidR="0026489B">
              <w:rPr>
                <w:noProof/>
                <w:webHidden/>
              </w:rPr>
              <w:t>145</w:t>
            </w:r>
            <w:r>
              <w:rPr>
                <w:noProof/>
                <w:webHidden/>
              </w:rPr>
              <w:fldChar w:fldCharType="end"/>
            </w:r>
          </w:hyperlink>
        </w:p>
        <w:p w14:paraId="104DB37C" w14:textId="1D6C25E6"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75" w:history="1">
            <w:r w:rsidRPr="00E36E15">
              <w:rPr>
                <w:rStyle w:val="Hyperlink"/>
                <w:noProof/>
              </w:rPr>
              <w:t>8.5 References</w:t>
            </w:r>
            <w:r>
              <w:rPr>
                <w:noProof/>
                <w:webHidden/>
              </w:rPr>
              <w:tab/>
            </w:r>
            <w:r>
              <w:rPr>
                <w:noProof/>
                <w:webHidden/>
              </w:rPr>
              <w:fldChar w:fldCharType="begin"/>
            </w:r>
            <w:r>
              <w:rPr>
                <w:noProof/>
                <w:webHidden/>
              </w:rPr>
              <w:instrText xml:space="preserve"> PAGEREF _Toc167379975 \h </w:instrText>
            </w:r>
            <w:r>
              <w:rPr>
                <w:noProof/>
                <w:webHidden/>
              </w:rPr>
            </w:r>
            <w:r>
              <w:rPr>
                <w:noProof/>
                <w:webHidden/>
              </w:rPr>
              <w:fldChar w:fldCharType="separate"/>
            </w:r>
            <w:r w:rsidR="0026489B">
              <w:rPr>
                <w:noProof/>
                <w:webHidden/>
              </w:rPr>
              <w:t>147</w:t>
            </w:r>
            <w:r>
              <w:rPr>
                <w:noProof/>
                <w:webHidden/>
              </w:rPr>
              <w:fldChar w:fldCharType="end"/>
            </w:r>
          </w:hyperlink>
        </w:p>
        <w:p w14:paraId="0FEB5BE4" w14:textId="07E96F4A" w:rsidR="00AD7FC2" w:rsidRDefault="00AD7FC2" w:rsidP="00AD7FC2">
          <w:pPr>
            <w:pStyle w:val="TOC2"/>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76" w:history="1">
            <w:r w:rsidRPr="00E36E15">
              <w:rPr>
                <w:rStyle w:val="Hyperlink"/>
                <w:noProof/>
              </w:rPr>
              <w:t>Appendixes</w:t>
            </w:r>
            <w:r>
              <w:rPr>
                <w:noProof/>
                <w:webHidden/>
              </w:rPr>
              <w:tab/>
            </w:r>
            <w:r>
              <w:rPr>
                <w:noProof/>
                <w:webHidden/>
              </w:rPr>
              <w:fldChar w:fldCharType="begin"/>
            </w:r>
            <w:r>
              <w:rPr>
                <w:noProof/>
                <w:webHidden/>
              </w:rPr>
              <w:instrText xml:space="preserve"> PAGEREF _Toc167379976 \h </w:instrText>
            </w:r>
            <w:r>
              <w:rPr>
                <w:noProof/>
                <w:webHidden/>
              </w:rPr>
            </w:r>
            <w:r>
              <w:rPr>
                <w:noProof/>
                <w:webHidden/>
              </w:rPr>
              <w:fldChar w:fldCharType="separate"/>
            </w:r>
            <w:r w:rsidR="0026489B">
              <w:rPr>
                <w:noProof/>
                <w:webHidden/>
              </w:rPr>
              <w:t>191</w:t>
            </w:r>
            <w:r>
              <w:rPr>
                <w:noProof/>
                <w:webHidden/>
              </w:rPr>
              <w:fldChar w:fldCharType="end"/>
            </w:r>
          </w:hyperlink>
        </w:p>
        <w:p w14:paraId="5330E403" w14:textId="5877A9C8"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77" w:history="1">
            <w:r w:rsidRPr="00E36E15">
              <w:rPr>
                <w:rStyle w:val="Hyperlink"/>
                <w:noProof/>
              </w:rPr>
              <w:t>Appendix A</w:t>
            </w:r>
            <w:r>
              <w:rPr>
                <w:noProof/>
                <w:webHidden/>
              </w:rPr>
              <w:tab/>
            </w:r>
            <w:r>
              <w:rPr>
                <w:noProof/>
                <w:webHidden/>
              </w:rPr>
              <w:fldChar w:fldCharType="begin"/>
            </w:r>
            <w:r>
              <w:rPr>
                <w:noProof/>
                <w:webHidden/>
              </w:rPr>
              <w:instrText xml:space="preserve"> PAGEREF _Toc167379977 \h </w:instrText>
            </w:r>
            <w:r>
              <w:rPr>
                <w:noProof/>
                <w:webHidden/>
              </w:rPr>
            </w:r>
            <w:r>
              <w:rPr>
                <w:noProof/>
                <w:webHidden/>
              </w:rPr>
              <w:fldChar w:fldCharType="separate"/>
            </w:r>
            <w:r w:rsidR="0026489B">
              <w:rPr>
                <w:noProof/>
                <w:webHidden/>
              </w:rPr>
              <w:t>191</w:t>
            </w:r>
            <w:r>
              <w:rPr>
                <w:noProof/>
                <w:webHidden/>
              </w:rPr>
              <w:fldChar w:fldCharType="end"/>
            </w:r>
          </w:hyperlink>
        </w:p>
        <w:p w14:paraId="15A82B0C" w14:textId="3DAEE57A" w:rsidR="00AD7FC2" w:rsidRDefault="00AD7FC2" w:rsidP="00AD7FC2">
          <w:pPr>
            <w:pStyle w:val="TOC3"/>
            <w:tabs>
              <w:tab w:val="right" w:leader="dot" w:pos="8296"/>
            </w:tabs>
            <w:spacing w:line="360" w:lineRule="auto"/>
            <w:rPr>
              <w:rFonts w:asciiTheme="minorHAnsi" w:hAnsiTheme="minorHAnsi" w:cstheme="minorBidi"/>
              <w:noProof/>
              <w:kern w:val="2"/>
              <w:sz w:val="22"/>
              <w:lang w:val="en-GH" w:eastAsia="en-GH"/>
              <w14:ligatures w14:val="standardContextual"/>
            </w:rPr>
          </w:pPr>
          <w:hyperlink w:anchor="_Toc167379978" w:history="1">
            <w:r w:rsidRPr="00E36E15">
              <w:rPr>
                <w:rStyle w:val="Hyperlink"/>
                <w:noProof/>
              </w:rPr>
              <w:t xml:space="preserve">Appendix </w:t>
            </w:r>
            <w:r w:rsidRPr="00E36E15">
              <w:rPr>
                <w:rStyle w:val="Hyperlink"/>
                <w:noProof/>
              </w:rPr>
              <w:t>B</w:t>
            </w:r>
            <w:r>
              <w:rPr>
                <w:noProof/>
                <w:webHidden/>
              </w:rPr>
              <w:tab/>
            </w:r>
            <w:r>
              <w:rPr>
                <w:noProof/>
                <w:webHidden/>
              </w:rPr>
              <w:fldChar w:fldCharType="begin"/>
            </w:r>
            <w:r>
              <w:rPr>
                <w:noProof/>
                <w:webHidden/>
              </w:rPr>
              <w:instrText xml:space="preserve"> PAGEREF _Toc167379978 \h </w:instrText>
            </w:r>
            <w:r>
              <w:rPr>
                <w:noProof/>
                <w:webHidden/>
              </w:rPr>
            </w:r>
            <w:r>
              <w:rPr>
                <w:noProof/>
                <w:webHidden/>
              </w:rPr>
              <w:fldChar w:fldCharType="separate"/>
            </w:r>
            <w:r w:rsidR="0026489B">
              <w:rPr>
                <w:noProof/>
                <w:webHidden/>
              </w:rPr>
              <w:t>204</w:t>
            </w:r>
            <w:r>
              <w:rPr>
                <w:noProof/>
                <w:webHidden/>
              </w:rPr>
              <w:fldChar w:fldCharType="end"/>
            </w:r>
          </w:hyperlink>
        </w:p>
        <w:p w14:paraId="3A9F4BC9" w14:textId="7AEE4A4B" w:rsidR="00596101" w:rsidRPr="00895D0B" w:rsidRDefault="00AD7FC2" w:rsidP="009745EC">
          <w:pPr>
            <w:pStyle w:val="TOC3"/>
            <w:tabs>
              <w:tab w:val="right" w:leader="dot" w:pos="8296"/>
            </w:tabs>
            <w:spacing w:line="360" w:lineRule="auto"/>
            <w:rPr>
              <w:color w:val="000000" w:themeColor="text1"/>
              <w:szCs w:val="24"/>
            </w:rPr>
          </w:pPr>
          <w:hyperlink w:anchor="_Toc167379979" w:history="1">
            <w:r w:rsidRPr="00E36E15">
              <w:rPr>
                <w:rStyle w:val="Hyperlink"/>
                <w:noProof/>
              </w:rPr>
              <w:t>Appendix C: Average Nearest Neighbour Ratio Graphs</w:t>
            </w:r>
            <w:r>
              <w:rPr>
                <w:noProof/>
                <w:webHidden/>
              </w:rPr>
              <w:tab/>
            </w:r>
            <w:r>
              <w:rPr>
                <w:noProof/>
                <w:webHidden/>
              </w:rPr>
              <w:fldChar w:fldCharType="begin"/>
            </w:r>
            <w:r>
              <w:rPr>
                <w:noProof/>
                <w:webHidden/>
              </w:rPr>
              <w:instrText xml:space="preserve"> PAGEREF _Toc167379979 \h </w:instrText>
            </w:r>
            <w:r>
              <w:rPr>
                <w:noProof/>
                <w:webHidden/>
              </w:rPr>
            </w:r>
            <w:r>
              <w:rPr>
                <w:noProof/>
                <w:webHidden/>
              </w:rPr>
              <w:fldChar w:fldCharType="separate"/>
            </w:r>
            <w:r w:rsidR="0026489B">
              <w:rPr>
                <w:noProof/>
                <w:webHidden/>
              </w:rPr>
              <w:t>206</w:t>
            </w:r>
            <w:r>
              <w:rPr>
                <w:noProof/>
                <w:webHidden/>
              </w:rPr>
              <w:fldChar w:fldCharType="end"/>
            </w:r>
          </w:hyperlink>
          <w:r w:rsidR="00731E67">
            <w:rPr>
              <w:szCs w:val="24"/>
            </w:rPr>
            <w:fldChar w:fldCharType="end"/>
          </w:r>
        </w:p>
      </w:sdtContent>
    </w:sdt>
    <w:p w14:paraId="61104D65" w14:textId="77777777" w:rsidR="006B52B6" w:rsidRDefault="006B52B6" w:rsidP="006B52B6">
      <w:pPr>
        <w:pStyle w:val="NoSpacing"/>
      </w:pPr>
      <w:bookmarkStart w:id="4" w:name="_Toc167379841"/>
    </w:p>
    <w:p w14:paraId="69630FBD" w14:textId="77777777" w:rsidR="006B52B6" w:rsidRDefault="006B52B6" w:rsidP="006B52B6">
      <w:pPr>
        <w:pStyle w:val="NoSpacing"/>
      </w:pPr>
    </w:p>
    <w:p w14:paraId="70C8EAF6" w14:textId="33265825" w:rsidR="001B4ED5" w:rsidRPr="00895D0B" w:rsidRDefault="006B41C0" w:rsidP="009745EC">
      <w:pPr>
        <w:pStyle w:val="Heading1"/>
      </w:pPr>
      <w:r w:rsidRPr="00895D0B">
        <w:lastRenderedPageBreak/>
        <w:t>LIST OF FIGURES</w:t>
      </w:r>
      <w:bookmarkEnd w:id="4"/>
    </w:p>
    <w:p w14:paraId="4DE8FA98" w14:textId="7066FD5E" w:rsidR="00F04051" w:rsidRDefault="003C283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r>
        <w:rPr>
          <w:rFonts w:cs="Times New Roman"/>
          <w:color w:val="000000" w:themeColor="text1"/>
          <w:szCs w:val="24"/>
        </w:rPr>
        <w:fldChar w:fldCharType="begin"/>
      </w:r>
      <w:r>
        <w:rPr>
          <w:rFonts w:cs="Times New Roman"/>
          <w:color w:val="000000" w:themeColor="text1"/>
          <w:szCs w:val="24"/>
        </w:rPr>
        <w:instrText xml:space="preserve"> TOC \h \z \t "Heading 5" \c "Figure" </w:instrText>
      </w:r>
      <w:r>
        <w:rPr>
          <w:rFonts w:cs="Times New Roman"/>
          <w:color w:val="000000" w:themeColor="text1"/>
          <w:szCs w:val="24"/>
        </w:rPr>
        <w:fldChar w:fldCharType="separate"/>
      </w:r>
      <w:hyperlink w:anchor="_Toc167368256" w:history="1">
        <w:r w:rsidR="00F04051" w:rsidRPr="00F43981">
          <w:rPr>
            <w:rStyle w:val="Hyperlink"/>
            <w:noProof/>
            <w:lang w:val="en-US"/>
          </w:rPr>
          <w:t>Figure 3.1: Study Area Map</w:t>
        </w:r>
        <w:r w:rsidR="00F04051">
          <w:rPr>
            <w:noProof/>
            <w:webHidden/>
          </w:rPr>
          <w:tab/>
        </w:r>
        <w:r w:rsidR="00F04051">
          <w:rPr>
            <w:noProof/>
            <w:webHidden/>
          </w:rPr>
          <w:fldChar w:fldCharType="begin"/>
        </w:r>
        <w:r w:rsidR="00F04051">
          <w:rPr>
            <w:noProof/>
            <w:webHidden/>
          </w:rPr>
          <w:instrText xml:space="preserve"> PAGEREF _Toc167368256 \h </w:instrText>
        </w:r>
        <w:r w:rsidR="00F04051">
          <w:rPr>
            <w:noProof/>
            <w:webHidden/>
          </w:rPr>
        </w:r>
        <w:r w:rsidR="00F04051">
          <w:rPr>
            <w:noProof/>
            <w:webHidden/>
          </w:rPr>
          <w:fldChar w:fldCharType="separate"/>
        </w:r>
        <w:r w:rsidR="0026489B">
          <w:rPr>
            <w:noProof/>
            <w:webHidden/>
          </w:rPr>
          <w:t>46</w:t>
        </w:r>
        <w:r w:rsidR="00F04051">
          <w:rPr>
            <w:noProof/>
            <w:webHidden/>
          </w:rPr>
          <w:fldChar w:fldCharType="end"/>
        </w:r>
      </w:hyperlink>
    </w:p>
    <w:p w14:paraId="7DE288DC" w14:textId="03121185"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57" w:history="1">
        <w:r w:rsidR="00F04051" w:rsidRPr="00F43981">
          <w:rPr>
            <w:rStyle w:val="Hyperlink"/>
            <w:noProof/>
          </w:rPr>
          <w:t>Figure 4.1: Common Types of Livestock  Urban Farmers Raise</w:t>
        </w:r>
        <w:r w:rsidR="00F04051">
          <w:rPr>
            <w:noProof/>
            <w:webHidden/>
          </w:rPr>
          <w:tab/>
        </w:r>
        <w:r w:rsidR="00F04051">
          <w:rPr>
            <w:noProof/>
            <w:webHidden/>
          </w:rPr>
          <w:fldChar w:fldCharType="begin"/>
        </w:r>
        <w:r w:rsidR="00F04051">
          <w:rPr>
            <w:noProof/>
            <w:webHidden/>
          </w:rPr>
          <w:instrText xml:space="preserve"> PAGEREF _Toc167368257 \h </w:instrText>
        </w:r>
        <w:r w:rsidR="00F04051">
          <w:rPr>
            <w:noProof/>
            <w:webHidden/>
          </w:rPr>
        </w:r>
        <w:r w:rsidR="00F04051">
          <w:rPr>
            <w:noProof/>
            <w:webHidden/>
          </w:rPr>
          <w:fldChar w:fldCharType="separate"/>
        </w:r>
        <w:r w:rsidR="0026489B">
          <w:rPr>
            <w:noProof/>
            <w:webHidden/>
          </w:rPr>
          <w:t>70</w:t>
        </w:r>
        <w:r w:rsidR="00F04051">
          <w:rPr>
            <w:noProof/>
            <w:webHidden/>
          </w:rPr>
          <w:fldChar w:fldCharType="end"/>
        </w:r>
      </w:hyperlink>
    </w:p>
    <w:p w14:paraId="76A9697D" w14:textId="3B913FF7"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58" w:history="1">
        <w:r w:rsidR="00F04051" w:rsidRPr="00F43981">
          <w:rPr>
            <w:rStyle w:val="Hyperlink"/>
            <w:noProof/>
          </w:rPr>
          <w:t>Figure 4.2: Urban Backyard Yam Farm Airport Residential Area</w:t>
        </w:r>
        <w:r w:rsidR="00F04051">
          <w:rPr>
            <w:noProof/>
            <w:webHidden/>
          </w:rPr>
          <w:tab/>
        </w:r>
        <w:r w:rsidR="00F04051">
          <w:rPr>
            <w:noProof/>
            <w:webHidden/>
          </w:rPr>
          <w:fldChar w:fldCharType="begin"/>
        </w:r>
        <w:r w:rsidR="00F04051">
          <w:rPr>
            <w:noProof/>
            <w:webHidden/>
          </w:rPr>
          <w:instrText xml:space="preserve"> PAGEREF _Toc167368258 \h </w:instrText>
        </w:r>
        <w:r w:rsidR="00F04051">
          <w:rPr>
            <w:noProof/>
            <w:webHidden/>
          </w:rPr>
        </w:r>
        <w:r w:rsidR="00F04051">
          <w:rPr>
            <w:noProof/>
            <w:webHidden/>
          </w:rPr>
          <w:fldChar w:fldCharType="separate"/>
        </w:r>
        <w:r w:rsidR="0026489B">
          <w:rPr>
            <w:noProof/>
            <w:webHidden/>
          </w:rPr>
          <w:t>71</w:t>
        </w:r>
        <w:r w:rsidR="00F04051">
          <w:rPr>
            <w:noProof/>
            <w:webHidden/>
          </w:rPr>
          <w:fldChar w:fldCharType="end"/>
        </w:r>
      </w:hyperlink>
    </w:p>
    <w:p w14:paraId="5C40CD21" w14:textId="64A6F231"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59" w:history="1">
        <w:r w:rsidR="00F04051" w:rsidRPr="00F43981">
          <w:rPr>
            <w:rStyle w:val="Hyperlink"/>
            <w:noProof/>
          </w:rPr>
          <w:t>Figure 4.3: Common Types of Crops Urban Farmers Grow</w:t>
        </w:r>
        <w:r w:rsidR="00F04051">
          <w:rPr>
            <w:noProof/>
            <w:webHidden/>
          </w:rPr>
          <w:tab/>
        </w:r>
        <w:r w:rsidR="00F04051">
          <w:rPr>
            <w:noProof/>
            <w:webHidden/>
          </w:rPr>
          <w:fldChar w:fldCharType="begin"/>
        </w:r>
        <w:r w:rsidR="00F04051">
          <w:rPr>
            <w:noProof/>
            <w:webHidden/>
          </w:rPr>
          <w:instrText xml:space="preserve"> PAGEREF _Toc167368259 \h </w:instrText>
        </w:r>
        <w:r w:rsidR="00F04051">
          <w:rPr>
            <w:noProof/>
            <w:webHidden/>
          </w:rPr>
        </w:r>
        <w:r w:rsidR="00F04051">
          <w:rPr>
            <w:noProof/>
            <w:webHidden/>
          </w:rPr>
          <w:fldChar w:fldCharType="separate"/>
        </w:r>
        <w:r w:rsidR="0026489B">
          <w:rPr>
            <w:noProof/>
            <w:webHidden/>
          </w:rPr>
          <w:t>72</w:t>
        </w:r>
        <w:r w:rsidR="00F04051">
          <w:rPr>
            <w:noProof/>
            <w:webHidden/>
          </w:rPr>
          <w:fldChar w:fldCharType="end"/>
        </w:r>
      </w:hyperlink>
    </w:p>
    <w:p w14:paraId="3D0A5A68" w14:textId="49B54F43"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60" w:history="1">
        <w:r w:rsidR="00F04051" w:rsidRPr="00F43981">
          <w:rPr>
            <w:rStyle w:val="Hyperlink"/>
            <w:noProof/>
          </w:rPr>
          <w:t>Figure 4.4: An Urban Backyard Maize Farm at Wa Naporgbakole Extension</w:t>
        </w:r>
        <w:r w:rsidR="00F04051">
          <w:rPr>
            <w:noProof/>
            <w:webHidden/>
          </w:rPr>
          <w:tab/>
        </w:r>
        <w:r w:rsidR="00F04051">
          <w:rPr>
            <w:noProof/>
            <w:webHidden/>
          </w:rPr>
          <w:fldChar w:fldCharType="begin"/>
        </w:r>
        <w:r w:rsidR="00F04051">
          <w:rPr>
            <w:noProof/>
            <w:webHidden/>
          </w:rPr>
          <w:instrText xml:space="preserve"> PAGEREF _Toc167368260 \h </w:instrText>
        </w:r>
        <w:r w:rsidR="00F04051">
          <w:rPr>
            <w:noProof/>
            <w:webHidden/>
          </w:rPr>
        </w:r>
        <w:r w:rsidR="00F04051">
          <w:rPr>
            <w:noProof/>
            <w:webHidden/>
          </w:rPr>
          <w:fldChar w:fldCharType="separate"/>
        </w:r>
        <w:r w:rsidR="0026489B">
          <w:rPr>
            <w:noProof/>
            <w:webHidden/>
          </w:rPr>
          <w:t>73</w:t>
        </w:r>
        <w:r w:rsidR="00F04051">
          <w:rPr>
            <w:noProof/>
            <w:webHidden/>
          </w:rPr>
          <w:fldChar w:fldCharType="end"/>
        </w:r>
      </w:hyperlink>
    </w:p>
    <w:p w14:paraId="513B2571" w14:textId="05717FCC"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61" w:history="1">
        <w:r w:rsidR="00F04051" w:rsidRPr="00F43981">
          <w:rPr>
            <w:rStyle w:val="Hyperlink"/>
            <w:noProof/>
          </w:rPr>
          <w:t>Figure 4.5: Dry Season Vegetables Farm along Stream, Wa Kpaguri Residential Area</w:t>
        </w:r>
        <w:r w:rsidR="00F04051">
          <w:rPr>
            <w:noProof/>
            <w:webHidden/>
          </w:rPr>
          <w:tab/>
        </w:r>
        <w:r w:rsidR="00F04051">
          <w:rPr>
            <w:noProof/>
            <w:webHidden/>
          </w:rPr>
          <w:fldChar w:fldCharType="begin"/>
        </w:r>
        <w:r w:rsidR="00F04051">
          <w:rPr>
            <w:noProof/>
            <w:webHidden/>
          </w:rPr>
          <w:instrText xml:space="preserve"> PAGEREF _Toc167368261 \h </w:instrText>
        </w:r>
        <w:r w:rsidR="00F04051">
          <w:rPr>
            <w:noProof/>
            <w:webHidden/>
          </w:rPr>
        </w:r>
        <w:r w:rsidR="00F04051">
          <w:rPr>
            <w:noProof/>
            <w:webHidden/>
          </w:rPr>
          <w:fldChar w:fldCharType="separate"/>
        </w:r>
        <w:r w:rsidR="0026489B">
          <w:rPr>
            <w:noProof/>
            <w:webHidden/>
          </w:rPr>
          <w:t>75</w:t>
        </w:r>
        <w:r w:rsidR="00F04051">
          <w:rPr>
            <w:noProof/>
            <w:webHidden/>
          </w:rPr>
          <w:fldChar w:fldCharType="end"/>
        </w:r>
      </w:hyperlink>
    </w:p>
    <w:p w14:paraId="65183BD6" w14:textId="3A26BB13"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62" w:history="1">
        <w:r w:rsidR="00F04051" w:rsidRPr="00F43981">
          <w:rPr>
            <w:rStyle w:val="Hyperlink"/>
            <w:noProof/>
          </w:rPr>
          <w:t>Figure 4.6: An Urban Crop Farm Fenced with Different Types of Materials at Kpaguri Extension</w:t>
        </w:r>
        <w:r w:rsidR="00F04051">
          <w:rPr>
            <w:noProof/>
            <w:webHidden/>
          </w:rPr>
          <w:tab/>
        </w:r>
        <w:r w:rsidR="00F04051">
          <w:rPr>
            <w:noProof/>
            <w:webHidden/>
          </w:rPr>
          <w:fldChar w:fldCharType="begin"/>
        </w:r>
        <w:r w:rsidR="00F04051">
          <w:rPr>
            <w:noProof/>
            <w:webHidden/>
          </w:rPr>
          <w:instrText xml:space="preserve"> PAGEREF _Toc167368262 \h </w:instrText>
        </w:r>
        <w:r w:rsidR="00F04051">
          <w:rPr>
            <w:noProof/>
            <w:webHidden/>
          </w:rPr>
        </w:r>
        <w:r w:rsidR="00F04051">
          <w:rPr>
            <w:noProof/>
            <w:webHidden/>
          </w:rPr>
          <w:fldChar w:fldCharType="separate"/>
        </w:r>
        <w:r w:rsidR="0026489B">
          <w:rPr>
            <w:noProof/>
            <w:webHidden/>
          </w:rPr>
          <w:t>76</w:t>
        </w:r>
        <w:r w:rsidR="00F04051">
          <w:rPr>
            <w:noProof/>
            <w:webHidden/>
          </w:rPr>
          <w:fldChar w:fldCharType="end"/>
        </w:r>
      </w:hyperlink>
    </w:p>
    <w:p w14:paraId="6DBC6E23" w14:textId="0A9B3DDF"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63" w:history="1">
        <w:r w:rsidR="00F04051" w:rsidRPr="00F43981">
          <w:rPr>
            <w:rStyle w:val="Hyperlink"/>
            <w:noProof/>
          </w:rPr>
          <w:t>Figure 4.7: An Urban Crop Farm Fenced with Wire Mesh at Kpaguri Extension</w:t>
        </w:r>
        <w:r w:rsidR="00F04051">
          <w:rPr>
            <w:noProof/>
            <w:webHidden/>
          </w:rPr>
          <w:tab/>
        </w:r>
        <w:r w:rsidR="00F04051">
          <w:rPr>
            <w:noProof/>
            <w:webHidden/>
          </w:rPr>
          <w:fldChar w:fldCharType="begin"/>
        </w:r>
        <w:r w:rsidR="00F04051">
          <w:rPr>
            <w:noProof/>
            <w:webHidden/>
          </w:rPr>
          <w:instrText xml:space="preserve"> PAGEREF _Toc167368263 \h </w:instrText>
        </w:r>
        <w:r w:rsidR="00F04051">
          <w:rPr>
            <w:noProof/>
            <w:webHidden/>
          </w:rPr>
        </w:r>
        <w:r w:rsidR="00F04051">
          <w:rPr>
            <w:noProof/>
            <w:webHidden/>
          </w:rPr>
          <w:fldChar w:fldCharType="separate"/>
        </w:r>
        <w:r w:rsidR="0026489B">
          <w:rPr>
            <w:noProof/>
            <w:webHidden/>
          </w:rPr>
          <w:t>77</w:t>
        </w:r>
        <w:r w:rsidR="00F04051">
          <w:rPr>
            <w:noProof/>
            <w:webHidden/>
          </w:rPr>
          <w:fldChar w:fldCharType="end"/>
        </w:r>
      </w:hyperlink>
    </w:p>
    <w:p w14:paraId="70DA160B" w14:textId="45436376"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64" w:history="1">
        <w:r w:rsidR="00F04051" w:rsidRPr="00F43981">
          <w:rPr>
            <w:rStyle w:val="Hyperlink"/>
            <w:noProof/>
          </w:rPr>
          <w:t>Figure 5.1: Spatial Distribution of Type of Animals reared in Urban Farming</w:t>
        </w:r>
        <w:r w:rsidR="00F04051">
          <w:rPr>
            <w:noProof/>
            <w:webHidden/>
          </w:rPr>
          <w:tab/>
        </w:r>
        <w:r w:rsidR="00F04051">
          <w:rPr>
            <w:noProof/>
            <w:webHidden/>
          </w:rPr>
          <w:fldChar w:fldCharType="begin"/>
        </w:r>
        <w:r w:rsidR="00F04051">
          <w:rPr>
            <w:noProof/>
            <w:webHidden/>
          </w:rPr>
          <w:instrText xml:space="preserve"> PAGEREF _Toc167368264 \h </w:instrText>
        </w:r>
        <w:r w:rsidR="00F04051">
          <w:rPr>
            <w:noProof/>
            <w:webHidden/>
          </w:rPr>
        </w:r>
        <w:r w:rsidR="00F04051">
          <w:rPr>
            <w:noProof/>
            <w:webHidden/>
          </w:rPr>
          <w:fldChar w:fldCharType="separate"/>
        </w:r>
        <w:r w:rsidR="0026489B">
          <w:rPr>
            <w:noProof/>
            <w:webHidden/>
          </w:rPr>
          <w:t>90</w:t>
        </w:r>
        <w:r w:rsidR="00F04051">
          <w:rPr>
            <w:noProof/>
            <w:webHidden/>
          </w:rPr>
          <w:fldChar w:fldCharType="end"/>
        </w:r>
      </w:hyperlink>
    </w:p>
    <w:p w14:paraId="798CA266" w14:textId="7EF8C2A9"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65" w:history="1">
        <w:r w:rsidR="00F04051" w:rsidRPr="00F43981">
          <w:rPr>
            <w:rStyle w:val="Hyperlink"/>
            <w:noProof/>
          </w:rPr>
          <w:t>Figure 5.2: Spatial Distribution of Type of Housing Structure in Urban Farming</w:t>
        </w:r>
        <w:r w:rsidR="00F04051">
          <w:rPr>
            <w:noProof/>
            <w:webHidden/>
          </w:rPr>
          <w:tab/>
        </w:r>
        <w:r w:rsidR="00F04051">
          <w:rPr>
            <w:noProof/>
            <w:webHidden/>
          </w:rPr>
          <w:fldChar w:fldCharType="begin"/>
        </w:r>
        <w:r w:rsidR="00F04051">
          <w:rPr>
            <w:noProof/>
            <w:webHidden/>
          </w:rPr>
          <w:instrText xml:space="preserve"> PAGEREF _Toc167368265 \h </w:instrText>
        </w:r>
        <w:r w:rsidR="00F04051">
          <w:rPr>
            <w:noProof/>
            <w:webHidden/>
          </w:rPr>
        </w:r>
        <w:r w:rsidR="00F04051">
          <w:rPr>
            <w:noProof/>
            <w:webHidden/>
          </w:rPr>
          <w:fldChar w:fldCharType="separate"/>
        </w:r>
        <w:r w:rsidR="0026489B">
          <w:rPr>
            <w:noProof/>
            <w:webHidden/>
          </w:rPr>
          <w:t>93</w:t>
        </w:r>
        <w:r w:rsidR="00F04051">
          <w:rPr>
            <w:noProof/>
            <w:webHidden/>
          </w:rPr>
          <w:fldChar w:fldCharType="end"/>
        </w:r>
      </w:hyperlink>
    </w:p>
    <w:p w14:paraId="233F0D61" w14:textId="3C0F393C"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66" w:history="1">
        <w:r w:rsidR="00F04051" w:rsidRPr="00F43981">
          <w:rPr>
            <w:rStyle w:val="Hyperlink"/>
            <w:noProof/>
          </w:rPr>
          <w:t>Figure 5.3: Spatial Distribution of Crop Farm Sizes in Urban Farming</w:t>
        </w:r>
        <w:r w:rsidR="00F04051">
          <w:rPr>
            <w:noProof/>
            <w:webHidden/>
          </w:rPr>
          <w:tab/>
        </w:r>
        <w:r w:rsidR="00F04051">
          <w:rPr>
            <w:noProof/>
            <w:webHidden/>
          </w:rPr>
          <w:fldChar w:fldCharType="begin"/>
        </w:r>
        <w:r w:rsidR="00F04051">
          <w:rPr>
            <w:noProof/>
            <w:webHidden/>
          </w:rPr>
          <w:instrText xml:space="preserve"> PAGEREF _Toc167368266 \h </w:instrText>
        </w:r>
        <w:r w:rsidR="00F04051">
          <w:rPr>
            <w:noProof/>
            <w:webHidden/>
          </w:rPr>
        </w:r>
        <w:r w:rsidR="00F04051">
          <w:rPr>
            <w:noProof/>
            <w:webHidden/>
          </w:rPr>
          <w:fldChar w:fldCharType="separate"/>
        </w:r>
        <w:r w:rsidR="0026489B">
          <w:rPr>
            <w:noProof/>
            <w:webHidden/>
          </w:rPr>
          <w:t>95</w:t>
        </w:r>
        <w:r w:rsidR="00F04051">
          <w:rPr>
            <w:noProof/>
            <w:webHidden/>
          </w:rPr>
          <w:fldChar w:fldCharType="end"/>
        </w:r>
      </w:hyperlink>
    </w:p>
    <w:p w14:paraId="44F1127D" w14:textId="1877E3E3"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67" w:history="1">
        <w:r w:rsidR="00F04051" w:rsidRPr="00F43981">
          <w:rPr>
            <w:rStyle w:val="Hyperlink"/>
            <w:noProof/>
          </w:rPr>
          <w:t>Figure 7.1: Urban Farmers Soil Moisture Conservation Strategies</w:t>
        </w:r>
        <w:r w:rsidR="00F04051">
          <w:rPr>
            <w:noProof/>
            <w:webHidden/>
          </w:rPr>
          <w:tab/>
        </w:r>
        <w:r w:rsidR="00F04051">
          <w:rPr>
            <w:noProof/>
            <w:webHidden/>
          </w:rPr>
          <w:fldChar w:fldCharType="begin"/>
        </w:r>
        <w:r w:rsidR="00F04051">
          <w:rPr>
            <w:noProof/>
            <w:webHidden/>
          </w:rPr>
          <w:instrText xml:space="preserve"> PAGEREF _Toc167368267 \h </w:instrText>
        </w:r>
        <w:r w:rsidR="00F04051">
          <w:rPr>
            <w:noProof/>
            <w:webHidden/>
          </w:rPr>
        </w:r>
        <w:r w:rsidR="00F04051">
          <w:rPr>
            <w:noProof/>
            <w:webHidden/>
          </w:rPr>
          <w:fldChar w:fldCharType="separate"/>
        </w:r>
        <w:r w:rsidR="0026489B">
          <w:rPr>
            <w:noProof/>
            <w:webHidden/>
          </w:rPr>
          <w:t>120</w:t>
        </w:r>
        <w:r w:rsidR="00F04051">
          <w:rPr>
            <w:noProof/>
            <w:webHidden/>
          </w:rPr>
          <w:fldChar w:fldCharType="end"/>
        </w:r>
      </w:hyperlink>
    </w:p>
    <w:p w14:paraId="6F5F0D7D" w14:textId="00480283"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68" w:history="1">
        <w:r w:rsidR="00F04051" w:rsidRPr="00F43981">
          <w:rPr>
            <w:rStyle w:val="Hyperlink"/>
            <w:noProof/>
          </w:rPr>
          <w:t>Figure 7.2 Ridges as a Land Management practice on an Urban Farm Konta Residential Area</w:t>
        </w:r>
        <w:r w:rsidR="00F04051">
          <w:rPr>
            <w:noProof/>
            <w:webHidden/>
          </w:rPr>
          <w:tab/>
        </w:r>
        <w:r w:rsidR="00F04051">
          <w:rPr>
            <w:noProof/>
            <w:webHidden/>
          </w:rPr>
          <w:fldChar w:fldCharType="begin"/>
        </w:r>
        <w:r w:rsidR="00F04051">
          <w:rPr>
            <w:noProof/>
            <w:webHidden/>
          </w:rPr>
          <w:instrText xml:space="preserve"> PAGEREF _Toc167368268 \h </w:instrText>
        </w:r>
        <w:r w:rsidR="00F04051">
          <w:rPr>
            <w:noProof/>
            <w:webHidden/>
          </w:rPr>
        </w:r>
        <w:r w:rsidR="00F04051">
          <w:rPr>
            <w:noProof/>
            <w:webHidden/>
          </w:rPr>
          <w:fldChar w:fldCharType="separate"/>
        </w:r>
        <w:r w:rsidR="0026489B">
          <w:rPr>
            <w:noProof/>
            <w:webHidden/>
          </w:rPr>
          <w:t>121</w:t>
        </w:r>
        <w:r w:rsidR="00F04051">
          <w:rPr>
            <w:noProof/>
            <w:webHidden/>
          </w:rPr>
          <w:fldChar w:fldCharType="end"/>
        </w:r>
      </w:hyperlink>
    </w:p>
    <w:p w14:paraId="2C956A93" w14:textId="20E60292"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69" w:history="1">
        <w:r w:rsidR="00F04051" w:rsidRPr="00F43981">
          <w:rPr>
            <w:rStyle w:val="Hyperlink"/>
            <w:noProof/>
          </w:rPr>
          <w:t>Figure 7.3: Urban Farmers Soil Fertility Management Strategies</w:t>
        </w:r>
        <w:r w:rsidR="00F04051">
          <w:rPr>
            <w:noProof/>
            <w:webHidden/>
          </w:rPr>
          <w:tab/>
        </w:r>
        <w:r w:rsidR="00F04051">
          <w:rPr>
            <w:noProof/>
            <w:webHidden/>
          </w:rPr>
          <w:fldChar w:fldCharType="begin"/>
        </w:r>
        <w:r w:rsidR="00F04051">
          <w:rPr>
            <w:noProof/>
            <w:webHidden/>
          </w:rPr>
          <w:instrText xml:space="preserve"> PAGEREF _Toc167368269 \h </w:instrText>
        </w:r>
        <w:r w:rsidR="00F04051">
          <w:rPr>
            <w:noProof/>
            <w:webHidden/>
          </w:rPr>
        </w:r>
        <w:r w:rsidR="00F04051">
          <w:rPr>
            <w:noProof/>
            <w:webHidden/>
          </w:rPr>
          <w:fldChar w:fldCharType="separate"/>
        </w:r>
        <w:r w:rsidR="0026489B">
          <w:rPr>
            <w:noProof/>
            <w:webHidden/>
          </w:rPr>
          <w:t>122</w:t>
        </w:r>
        <w:r w:rsidR="00F04051">
          <w:rPr>
            <w:noProof/>
            <w:webHidden/>
          </w:rPr>
          <w:fldChar w:fldCharType="end"/>
        </w:r>
      </w:hyperlink>
    </w:p>
    <w:p w14:paraId="7B264E1C" w14:textId="3B2FCA53" w:rsidR="00F04051" w:rsidRDefault="00000000" w:rsidP="006B52B6">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270" w:history="1">
        <w:r w:rsidR="00F04051" w:rsidRPr="00F43981">
          <w:rPr>
            <w:rStyle w:val="Hyperlink"/>
            <w:noProof/>
          </w:rPr>
          <w:t>Figure 7.4 : Crop Residues and Animals Manure use on Urban Farm.</w:t>
        </w:r>
        <w:r w:rsidR="00F04051">
          <w:rPr>
            <w:noProof/>
            <w:webHidden/>
          </w:rPr>
          <w:tab/>
        </w:r>
        <w:r w:rsidR="00F04051">
          <w:rPr>
            <w:noProof/>
            <w:webHidden/>
          </w:rPr>
          <w:fldChar w:fldCharType="begin"/>
        </w:r>
        <w:r w:rsidR="00F04051">
          <w:rPr>
            <w:noProof/>
            <w:webHidden/>
          </w:rPr>
          <w:instrText xml:space="preserve"> PAGEREF _Toc167368270 \h </w:instrText>
        </w:r>
        <w:r w:rsidR="00F04051">
          <w:rPr>
            <w:noProof/>
            <w:webHidden/>
          </w:rPr>
        </w:r>
        <w:r w:rsidR="00F04051">
          <w:rPr>
            <w:noProof/>
            <w:webHidden/>
          </w:rPr>
          <w:fldChar w:fldCharType="separate"/>
        </w:r>
        <w:r w:rsidR="0026489B">
          <w:rPr>
            <w:noProof/>
            <w:webHidden/>
          </w:rPr>
          <w:t>122</w:t>
        </w:r>
        <w:r w:rsidR="00F04051">
          <w:rPr>
            <w:noProof/>
            <w:webHidden/>
          </w:rPr>
          <w:fldChar w:fldCharType="end"/>
        </w:r>
      </w:hyperlink>
    </w:p>
    <w:p w14:paraId="2456E781" w14:textId="078F77AB" w:rsidR="001B4ED5" w:rsidRDefault="003C2830" w:rsidP="006B52B6">
      <w:pPr>
        <w:pStyle w:val="NoSpacing"/>
      </w:pPr>
      <w:r>
        <w:fldChar w:fldCharType="end"/>
      </w:r>
    </w:p>
    <w:p w14:paraId="7D662475" w14:textId="77777777" w:rsidR="006B52B6" w:rsidRDefault="006B52B6" w:rsidP="006B52B6">
      <w:pPr>
        <w:pStyle w:val="NoSpacing"/>
      </w:pPr>
    </w:p>
    <w:p w14:paraId="3663C704" w14:textId="77777777" w:rsidR="006B52B6" w:rsidRDefault="006B52B6" w:rsidP="006B52B6">
      <w:pPr>
        <w:pStyle w:val="NoSpacing"/>
      </w:pPr>
    </w:p>
    <w:p w14:paraId="466BA81D" w14:textId="77777777" w:rsidR="006B52B6" w:rsidRDefault="006B52B6" w:rsidP="006B52B6">
      <w:pPr>
        <w:pStyle w:val="NoSpacing"/>
      </w:pPr>
    </w:p>
    <w:p w14:paraId="1D5D8F24" w14:textId="77777777" w:rsidR="006B52B6" w:rsidRDefault="006B52B6" w:rsidP="006B52B6">
      <w:pPr>
        <w:pStyle w:val="NoSpacing"/>
      </w:pPr>
    </w:p>
    <w:p w14:paraId="756F142C" w14:textId="77777777" w:rsidR="006B52B6" w:rsidRDefault="006B52B6" w:rsidP="006B52B6">
      <w:pPr>
        <w:pStyle w:val="NoSpacing"/>
      </w:pPr>
    </w:p>
    <w:p w14:paraId="7BD6CDF1" w14:textId="77777777" w:rsidR="006B52B6" w:rsidRDefault="006B52B6" w:rsidP="006B52B6">
      <w:pPr>
        <w:pStyle w:val="NoSpacing"/>
      </w:pPr>
    </w:p>
    <w:p w14:paraId="0A6EDA84" w14:textId="77777777" w:rsidR="006B52B6" w:rsidRDefault="006B52B6" w:rsidP="006B52B6">
      <w:pPr>
        <w:pStyle w:val="NoSpacing"/>
      </w:pPr>
    </w:p>
    <w:p w14:paraId="77241B40" w14:textId="77777777" w:rsidR="006B52B6" w:rsidRDefault="006B52B6" w:rsidP="006B52B6">
      <w:pPr>
        <w:pStyle w:val="NoSpacing"/>
      </w:pPr>
    </w:p>
    <w:p w14:paraId="225920AB" w14:textId="77777777" w:rsidR="006B52B6" w:rsidRDefault="006B52B6" w:rsidP="006B52B6">
      <w:pPr>
        <w:pStyle w:val="NoSpacing"/>
      </w:pPr>
    </w:p>
    <w:p w14:paraId="5137B57F" w14:textId="77777777" w:rsidR="006B52B6" w:rsidRDefault="006B52B6" w:rsidP="006B52B6">
      <w:pPr>
        <w:pStyle w:val="NoSpacing"/>
      </w:pPr>
    </w:p>
    <w:p w14:paraId="245CA209" w14:textId="77777777" w:rsidR="006B52B6" w:rsidRDefault="006B52B6" w:rsidP="006B52B6">
      <w:pPr>
        <w:pStyle w:val="NoSpacing"/>
      </w:pPr>
    </w:p>
    <w:p w14:paraId="7D987445" w14:textId="77777777" w:rsidR="00C80247" w:rsidRDefault="00C80247">
      <w:pPr>
        <w:spacing w:line="360" w:lineRule="auto"/>
        <w:rPr>
          <w:rFonts w:cs="Times New Roman"/>
          <w:color w:val="000000" w:themeColor="text1"/>
          <w:szCs w:val="24"/>
        </w:rPr>
      </w:pPr>
    </w:p>
    <w:p w14:paraId="2009756F" w14:textId="77777777" w:rsidR="00C80247" w:rsidRDefault="00C80247">
      <w:pPr>
        <w:spacing w:line="360" w:lineRule="auto"/>
        <w:rPr>
          <w:rFonts w:cs="Times New Roman"/>
          <w:color w:val="000000" w:themeColor="text1"/>
          <w:szCs w:val="24"/>
        </w:rPr>
      </w:pPr>
    </w:p>
    <w:p w14:paraId="60D08BF2" w14:textId="77777777" w:rsidR="00F04051" w:rsidRDefault="00F04051" w:rsidP="006B52B6">
      <w:pPr>
        <w:pStyle w:val="NoSpacing"/>
      </w:pPr>
    </w:p>
    <w:p w14:paraId="79B91B18" w14:textId="77777777" w:rsidR="00F04051" w:rsidRDefault="00F04051">
      <w:pPr>
        <w:spacing w:line="360" w:lineRule="auto"/>
        <w:rPr>
          <w:rFonts w:cs="Times New Roman"/>
          <w:color w:val="000000" w:themeColor="text1"/>
          <w:szCs w:val="24"/>
        </w:rPr>
      </w:pPr>
    </w:p>
    <w:p w14:paraId="48402CB8" w14:textId="77777777" w:rsidR="00F04051" w:rsidRDefault="00F04051">
      <w:pPr>
        <w:spacing w:line="360" w:lineRule="auto"/>
        <w:rPr>
          <w:rFonts w:cs="Times New Roman"/>
          <w:color w:val="000000" w:themeColor="text1"/>
          <w:szCs w:val="24"/>
        </w:rPr>
      </w:pPr>
    </w:p>
    <w:p w14:paraId="277FEABC" w14:textId="77777777" w:rsidR="00C80247" w:rsidRPr="00895D0B" w:rsidRDefault="00C80247">
      <w:pPr>
        <w:spacing w:line="360" w:lineRule="auto"/>
        <w:rPr>
          <w:rFonts w:cs="Times New Roman"/>
          <w:color w:val="000000" w:themeColor="text1"/>
          <w:szCs w:val="24"/>
        </w:rPr>
      </w:pPr>
    </w:p>
    <w:p w14:paraId="03BEC10D" w14:textId="77777777" w:rsidR="001B4ED5" w:rsidRPr="00895D0B" w:rsidRDefault="006B41C0" w:rsidP="009745EC">
      <w:pPr>
        <w:pStyle w:val="Heading1"/>
      </w:pPr>
      <w:bookmarkStart w:id="5" w:name="_Toc167379842"/>
      <w:r w:rsidRPr="00895D0B">
        <w:lastRenderedPageBreak/>
        <w:t>LIST OF TABLES</w:t>
      </w:r>
      <w:bookmarkEnd w:id="5"/>
    </w:p>
    <w:p w14:paraId="4800BACE" w14:textId="77777777" w:rsidR="001B4ED5" w:rsidRPr="00F04051" w:rsidRDefault="001B4ED5" w:rsidP="00F04051">
      <w:pPr>
        <w:pStyle w:val="NoSpacing"/>
        <w:rPr>
          <w:sz w:val="2"/>
          <w:szCs w:val="2"/>
        </w:rPr>
      </w:pPr>
    </w:p>
    <w:p w14:paraId="31BEA60A" w14:textId="287BBC7E" w:rsidR="00F04051" w:rsidRDefault="00F04051"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r>
        <w:rPr>
          <w:rFonts w:cs="Times New Roman"/>
          <w:color w:val="000000" w:themeColor="text1"/>
          <w:szCs w:val="24"/>
        </w:rPr>
        <w:fldChar w:fldCharType="begin"/>
      </w:r>
      <w:r>
        <w:rPr>
          <w:rFonts w:cs="Times New Roman"/>
          <w:color w:val="000000" w:themeColor="text1"/>
          <w:szCs w:val="24"/>
        </w:rPr>
        <w:instrText xml:space="preserve"> TOC \f T \h \z \t "Heading 6" \c "Table" </w:instrText>
      </w:r>
      <w:r>
        <w:rPr>
          <w:rFonts w:cs="Times New Roman"/>
          <w:color w:val="000000" w:themeColor="text1"/>
          <w:szCs w:val="24"/>
        </w:rPr>
        <w:fldChar w:fldCharType="separate"/>
      </w:r>
      <w:hyperlink w:anchor="_Toc167368585" w:history="1">
        <w:r w:rsidRPr="00183238">
          <w:rPr>
            <w:rStyle w:val="Hyperlink"/>
            <w:noProof/>
          </w:rPr>
          <w:t>Table 2. 1: Climate Change Adaptation Pol</w:t>
        </w:r>
        <w:r w:rsidRPr="00183238">
          <w:rPr>
            <w:rStyle w:val="Hyperlink"/>
            <w:noProof/>
          </w:rPr>
          <w:t>i</w:t>
        </w:r>
        <w:r w:rsidRPr="00183238">
          <w:rPr>
            <w:rStyle w:val="Hyperlink"/>
            <w:noProof/>
          </w:rPr>
          <w:t>cies Dimensions</w:t>
        </w:r>
        <w:r>
          <w:rPr>
            <w:noProof/>
            <w:webHidden/>
          </w:rPr>
          <w:tab/>
        </w:r>
        <w:r>
          <w:rPr>
            <w:noProof/>
            <w:webHidden/>
          </w:rPr>
          <w:fldChar w:fldCharType="begin"/>
        </w:r>
        <w:r>
          <w:rPr>
            <w:noProof/>
            <w:webHidden/>
          </w:rPr>
          <w:instrText xml:space="preserve"> PAGEREF _Toc167368585 \h </w:instrText>
        </w:r>
        <w:r>
          <w:rPr>
            <w:noProof/>
            <w:webHidden/>
          </w:rPr>
        </w:r>
        <w:r>
          <w:rPr>
            <w:noProof/>
            <w:webHidden/>
          </w:rPr>
          <w:fldChar w:fldCharType="separate"/>
        </w:r>
        <w:r w:rsidR="0026489B">
          <w:rPr>
            <w:noProof/>
            <w:webHidden/>
          </w:rPr>
          <w:t>32</w:t>
        </w:r>
        <w:r>
          <w:rPr>
            <w:noProof/>
            <w:webHidden/>
          </w:rPr>
          <w:fldChar w:fldCharType="end"/>
        </w:r>
      </w:hyperlink>
    </w:p>
    <w:p w14:paraId="79F48D3E" w14:textId="119F4C60"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86" w:history="1">
        <w:r w:rsidR="00F04051" w:rsidRPr="00183238">
          <w:rPr>
            <w:rStyle w:val="Hyperlink"/>
            <w:noProof/>
          </w:rPr>
          <w:t>Table 3. 1: Sample Frame and Sample Size Distribution</w:t>
        </w:r>
        <w:r w:rsidR="00F04051">
          <w:rPr>
            <w:noProof/>
            <w:webHidden/>
          </w:rPr>
          <w:tab/>
        </w:r>
        <w:r w:rsidR="00F04051">
          <w:rPr>
            <w:noProof/>
            <w:webHidden/>
          </w:rPr>
          <w:fldChar w:fldCharType="begin"/>
        </w:r>
        <w:r w:rsidR="00F04051">
          <w:rPr>
            <w:noProof/>
            <w:webHidden/>
          </w:rPr>
          <w:instrText xml:space="preserve"> PAGEREF _Toc167368586 \h </w:instrText>
        </w:r>
        <w:r w:rsidR="00F04051">
          <w:rPr>
            <w:noProof/>
            <w:webHidden/>
          </w:rPr>
        </w:r>
        <w:r w:rsidR="00F04051">
          <w:rPr>
            <w:noProof/>
            <w:webHidden/>
          </w:rPr>
          <w:fldChar w:fldCharType="separate"/>
        </w:r>
        <w:r w:rsidR="0026489B">
          <w:rPr>
            <w:noProof/>
            <w:webHidden/>
          </w:rPr>
          <w:t>55</w:t>
        </w:r>
        <w:r w:rsidR="00F04051">
          <w:rPr>
            <w:noProof/>
            <w:webHidden/>
          </w:rPr>
          <w:fldChar w:fldCharType="end"/>
        </w:r>
      </w:hyperlink>
    </w:p>
    <w:p w14:paraId="35DB8BE5" w14:textId="1F750C15"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87" w:history="1">
        <w:r w:rsidR="00F04051" w:rsidRPr="00183238">
          <w:rPr>
            <w:rStyle w:val="Hyperlink"/>
            <w:noProof/>
          </w:rPr>
          <w:t>Table 3. 2: Data Collection Framework</w:t>
        </w:r>
        <w:r w:rsidR="00F04051">
          <w:rPr>
            <w:noProof/>
            <w:webHidden/>
          </w:rPr>
          <w:tab/>
        </w:r>
        <w:r w:rsidR="00F04051">
          <w:rPr>
            <w:noProof/>
            <w:webHidden/>
          </w:rPr>
          <w:fldChar w:fldCharType="begin"/>
        </w:r>
        <w:r w:rsidR="00F04051">
          <w:rPr>
            <w:noProof/>
            <w:webHidden/>
          </w:rPr>
          <w:instrText xml:space="preserve"> PAGEREF _Toc167368587 \h </w:instrText>
        </w:r>
        <w:r w:rsidR="00F04051">
          <w:rPr>
            <w:noProof/>
            <w:webHidden/>
          </w:rPr>
        </w:r>
        <w:r w:rsidR="00F04051">
          <w:rPr>
            <w:noProof/>
            <w:webHidden/>
          </w:rPr>
          <w:fldChar w:fldCharType="separate"/>
        </w:r>
        <w:r w:rsidR="0026489B">
          <w:rPr>
            <w:noProof/>
            <w:webHidden/>
          </w:rPr>
          <w:t>60</w:t>
        </w:r>
        <w:r w:rsidR="00F04051">
          <w:rPr>
            <w:noProof/>
            <w:webHidden/>
          </w:rPr>
          <w:fldChar w:fldCharType="end"/>
        </w:r>
      </w:hyperlink>
    </w:p>
    <w:p w14:paraId="42929A25" w14:textId="5F4BCA9F"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88" w:history="1">
        <w:r w:rsidR="00F04051" w:rsidRPr="00183238">
          <w:rPr>
            <w:rStyle w:val="Hyperlink"/>
            <w:noProof/>
          </w:rPr>
          <w:t>Table 3. 3: Data Analytical Framework</w:t>
        </w:r>
        <w:r w:rsidR="00F04051">
          <w:rPr>
            <w:noProof/>
            <w:webHidden/>
          </w:rPr>
          <w:tab/>
        </w:r>
        <w:r w:rsidR="00F04051">
          <w:rPr>
            <w:noProof/>
            <w:webHidden/>
          </w:rPr>
          <w:fldChar w:fldCharType="begin"/>
        </w:r>
        <w:r w:rsidR="00F04051">
          <w:rPr>
            <w:noProof/>
            <w:webHidden/>
          </w:rPr>
          <w:instrText xml:space="preserve"> PAGEREF _Toc167368588 \h </w:instrText>
        </w:r>
        <w:r w:rsidR="00F04051">
          <w:rPr>
            <w:noProof/>
            <w:webHidden/>
          </w:rPr>
        </w:r>
        <w:r w:rsidR="00F04051">
          <w:rPr>
            <w:noProof/>
            <w:webHidden/>
          </w:rPr>
          <w:fldChar w:fldCharType="separate"/>
        </w:r>
        <w:r w:rsidR="0026489B">
          <w:rPr>
            <w:noProof/>
            <w:webHidden/>
          </w:rPr>
          <w:t>61</w:t>
        </w:r>
        <w:r w:rsidR="00F04051">
          <w:rPr>
            <w:noProof/>
            <w:webHidden/>
          </w:rPr>
          <w:fldChar w:fldCharType="end"/>
        </w:r>
      </w:hyperlink>
    </w:p>
    <w:p w14:paraId="0D306200" w14:textId="6546FE6F"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89" w:history="1">
        <w:r w:rsidR="00F04051" w:rsidRPr="00183238">
          <w:rPr>
            <w:rStyle w:val="Hyperlink"/>
            <w:noProof/>
          </w:rPr>
          <w:t>Table 4. 1: Participation in Urban Agriculture (N = 362)</w:t>
        </w:r>
        <w:r w:rsidR="00F04051">
          <w:rPr>
            <w:noProof/>
            <w:webHidden/>
          </w:rPr>
          <w:tab/>
        </w:r>
        <w:r w:rsidR="00F04051">
          <w:rPr>
            <w:noProof/>
            <w:webHidden/>
          </w:rPr>
          <w:fldChar w:fldCharType="begin"/>
        </w:r>
        <w:r w:rsidR="00F04051">
          <w:rPr>
            <w:noProof/>
            <w:webHidden/>
          </w:rPr>
          <w:instrText xml:space="preserve"> PAGEREF _Toc167368589 \h </w:instrText>
        </w:r>
        <w:r w:rsidR="00F04051">
          <w:rPr>
            <w:noProof/>
            <w:webHidden/>
          </w:rPr>
        </w:r>
        <w:r w:rsidR="00F04051">
          <w:rPr>
            <w:noProof/>
            <w:webHidden/>
          </w:rPr>
          <w:fldChar w:fldCharType="separate"/>
        </w:r>
        <w:r w:rsidR="0026489B">
          <w:rPr>
            <w:noProof/>
            <w:webHidden/>
          </w:rPr>
          <w:t>67</w:t>
        </w:r>
        <w:r w:rsidR="00F04051">
          <w:rPr>
            <w:noProof/>
            <w:webHidden/>
          </w:rPr>
          <w:fldChar w:fldCharType="end"/>
        </w:r>
      </w:hyperlink>
    </w:p>
    <w:p w14:paraId="142C4456" w14:textId="4A31A05B"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90" w:history="1">
        <w:r w:rsidR="00F04051" w:rsidRPr="00183238">
          <w:rPr>
            <w:rStyle w:val="Hyperlink"/>
            <w:noProof/>
          </w:rPr>
          <w:t>Table 4.2: Location, Ownership, and Fencing of Urban Farms</w:t>
        </w:r>
        <w:r w:rsidR="00F04051">
          <w:rPr>
            <w:noProof/>
            <w:webHidden/>
          </w:rPr>
          <w:tab/>
        </w:r>
        <w:r w:rsidR="00F04051">
          <w:rPr>
            <w:noProof/>
            <w:webHidden/>
          </w:rPr>
          <w:fldChar w:fldCharType="begin"/>
        </w:r>
        <w:r w:rsidR="00F04051">
          <w:rPr>
            <w:noProof/>
            <w:webHidden/>
          </w:rPr>
          <w:instrText xml:space="preserve"> PAGEREF _Toc167368590 \h </w:instrText>
        </w:r>
        <w:r w:rsidR="00F04051">
          <w:rPr>
            <w:noProof/>
            <w:webHidden/>
          </w:rPr>
        </w:r>
        <w:r w:rsidR="00F04051">
          <w:rPr>
            <w:noProof/>
            <w:webHidden/>
          </w:rPr>
          <w:fldChar w:fldCharType="separate"/>
        </w:r>
        <w:r w:rsidR="0026489B">
          <w:rPr>
            <w:noProof/>
            <w:webHidden/>
          </w:rPr>
          <w:t>74</w:t>
        </w:r>
        <w:r w:rsidR="00F04051">
          <w:rPr>
            <w:noProof/>
            <w:webHidden/>
          </w:rPr>
          <w:fldChar w:fldCharType="end"/>
        </w:r>
      </w:hyperlink>
    </w:p>
    <w:p w14:paraId="014662C6" w14:textId="24530BFD"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91" w:history="1">
        <w:r w:rsidR="00F04051" w:rsidRPr="00183238">
          <w:rPr>
            <w:rStyle w:val="Hyperlink"/>
            <w:noProof/>
          </w:rPr>
          <w:t>Table 4.3: Relationship between Urban Farming Type and Land Acquisition by Residential Class</w:t>
        </w:r>
        <w:r w:rsidR="00F04051">
          <w:rPr>
            <w:noProof/>
            <w:webHidden/>
          </w:rPr>
          <w:tab/>
        </w:r>
        <w:r w:rsidR="00F04051">
          <w:rPr>
            <w:noProof/>
            <w:webHidden/>
          </w:rPr>
          <w:fldChar w:fldCharType="begin"/>
        </w:r>
        <w:r w:rsidR="00F04051">
          <w:rPr>
            <w:noProof/>
            <w:webHidden/>
          </w:rPr>
          <w:instrText xml:space="preserve"> PAGEREF _Toc167368591 \h </w:instrText>
        </w:r>
        <w:r w:rsidR="00F04051">
          <w:rPr>
            <w:noProof/>
            <w:webHidden/>
          </w:rPr>
        </w:r>
        <w:r w:rsidR="00F04051">
          <w:rPr>
            <w:noProof/>
            <w:webHidden/>
          </w:rPr>
          <w:fldChar w:fldCharType="separate"/>
        </w:r>
        <w:r w:rsidR="0026489B">
          <w:rPr>
            <w:noProof/>
            <w:webHidden/>
          </w:rPr>
          <w:t>79</w:t>
        </w:r>
        <w:r w:rsidR="00F04051">
          <w:rPr>
            <w:noProof/>
            <w:webHidden/>
          </w:rPr>
          <w:fldChar w:fldCharType="end"/>
        </w:r>
      </w:hyperlink>
    </w:p>
    <w:p w14:paraId="0447FD02" w14:textId="0E499826"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92" w:history="1">
        <w:r w:rsidR="00F04051" w:rsidRPr="00183238">
          <w:rPr>
            <w:rStyle w:val="Hyperlink"/>
            <w:noProof/>
          </w:rPr>
          <w:t>Table 4.4: Relationship between Crop and Animals Types by Residential Class</w:t>
        </w:r>
        <w:r w:rsidR="00F04051">
          <w:rPr>
            <w:noProof/>
            <w:webHidden/>
          </w:rPr>
          <w:tab/>
        </w:r>
        <w:r w:rsidR="00F04051">
          <w:rPr>
            <w:noProof/>
            <w:webHidden/>
          </w:rPr>
          <w:fldChar w:fldCharType="begin"/>
        </w:r>
        <w:r w:rsidR="00F04051">
          <w:rPr>
            <w:noProof/>
            <w:webHidden/>
          </w:rPr>
          <w:instrText xml:space="preserve"> PAGEREF _Toc167368592 \h </w:instrText>
        </w:r>
        <w:r w:rsidR="00F04051">
          <w:rPr>
            <w:noProof/>
            <w:webHidden/>
          </w:rPr>
        </w:r>
        <w:r w:rsidR="00F04051">
          <w:rPr>
            <w:noProof/>
            <w:webHidden/>
          </w:rPr>
          <w:fldChar w:fldCharType="separate"/>
        </w:r>
        <w:r w:rsidR="0026489B">
          <w:rPr>
            <w:noProof/>
            <w:webHidden/>
          </w:rPr>
          <w:t>80</w:t>
        </w:r>
        <w:r w:rsidR="00F04051">
          <w:rPr>
            <w:noProof/>
            <w:webHidden/>
          </w:rPr>
          <w:fldChar w:fldCharType="end"/>
        </w:r>
      </w:hyperlink>
    </w:p>
    <w:p w14:paraId="58C1D63F" w14:textId="2411BECF"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93" w:history="1">
        <w:r w:rsidR="00F04051" w:rsidRPr="00183238">
          <w:rPr>
            <w:rStyle w:val="Hyperlink"/>
            <w:noProof/>
          </w:rPr>
          <w:t>Table 5.1: Relationship between Type of Livestock Rear by Residential Class</w:t>
        </w:r>
        <w:r w:rsidR="00F04051">
          <w:rPr>
            <w:noProof/>
            <w:webHidden/>
          </w:rPr>
          <w:tab/>
        </w:r>
        <w:r w:rsidR="00F04051">
          <w:rPr>
            <w:noProof/>
            <w:webHidden/>
          </w:rPr>
          <w:fldChar w:fldCharType="begin"/>
        </w:r>
        <w:r w:rsidR="00F04051">
          <w:rPr>
            <w:noProof/>
            <w:webHidden/>
          </w:rPr>
          <w:instrText xml:space="preserve"> PAGEREF _Toc167368593 \h </w:instrText>
        </w:r>
        <w:r w:rsidR="00F04051">
          <w:rPr>
            <w:noProof/>
            <w:webHidden/>
          </w:rPr>
        </w:r>
        <w:r w:rsidR="00F04051">
          <w:rPr>
            <w:noProof/>
            <w:webHidden/>
          </w:rPr>
          <w:fldChar w:fldCharType="separate"/>
        </w:r>
        <w:r w:rsidR="0026489B">
          <w:rPr>
            <w:noProof/>
            <w:webHidden/>
          </w:rPr>
          <w:t>92</w:t>
        </w:r>
        <w:r w:rsidR="00F04051">
          <w:rPr>
            <w:noProof/>
            <w:webHidden/>
          </w:rPr>
          <w:fldChar w:fldCharType="end"/>
        </w:r>
      </w:hyperlink>
    </w:p>
    <w:p w14:paraId="1F450DC8" w14:textId="26E2A99F"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94" w:history="1">
        <w:r w:rsidR="00F04051" w:rsidRPr="00183238">
          <w:rPr>
            <w:rStyle w:val="Hyperlink"/>
            <w:noProof/>
          </w:rPr>
          <w:t>Table 5.2: Spatial Statistics on the Distribution of Urban Farm</w:t>
        </w:r>
        <w:r w:rsidR="00F04051">
          <w:rPr>
            <w:noProof/>
            <w:webHidden/>
          </w:rPr>
          <w:tab/>
        </w:r>
        <w:r w:rsidR="00F04051">
          <w:rPr>
            <w:noProof/>
            <w:webHidden/>
          </w:rPr>
          <w:fldChar w:fldCharType="begin"/>
        </w:r>
        <w:r w:rsidR="00F04051">
          <w:rPr>
            <w:noProof/>
            <w:webHidden/>
          </w:rPr>
          <w:instrText xml:space="preserve"> PAGEREF _Toc167368594 \h </w:instrText>
        </w:r>
        <w:r w:rsidR="00F04051">
          <w:rPr>
            <w:noProof/>
            <w:webHidden/>
          </w:rPr>
        </w:r>
        <w:r w:rsidR="00F04051">
          <w:rPr>
            <w:noProof/>
            <w:webHidden/>
          </w:rPr>
          <w:fldChar w:fldCharType="separate"/>
        </w:r>
        <w:r w:rsidR="0026489B">
          <w:rPr>
            <w:noProof/>
            <w:webHidden/>
          </w:rPr>
          <w:t>97</w:t>
        </w:r>
        <w:r w:rsidR="00F04051">
          <w:rPr>
            <w:noProof/>
            <w:webHidden/>
          </w:rPr>
          <w:fldChar w:fldCharType="end"/>
        </w:r>
      </w:hyperlink>
    </w:p>
    <w:p w14:paraId="372E728C" w14:textId="5CD54727"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95" w:history="1">
        <w:r w:rsidR="00F04051" w:rsidRPr="00183238">
          <w:rPr>
            <w:rStyle w:val="Hyperlink"/>
            <w:noProof/>
          </w:rPr>
          <w:t>Table 6.1: Demographic Features of Urban Residents (N = 362)</w:t>
        </w:r>
        <w:r w:rsidR="00F04051">
          <w:rPr>
            <w:noProof/>
            <w:webHidden/>
          </w:rPr>
          <w:tab/>
        </w:r>
        <w:r w:rsidR="00F04051">
          <w:rPr>
            <w:noProof/>
            <w:webHidden/>
          </w:rPr>
          <w:fldChar w:fldCharType="begin"/>
        </w:r>
        <w:r w:rsidR="00F04051">
          <w:rPr>
            <w:noProof/>
            <w:webHidden/>
          </w:rPr>
          <w:instrText xml:space="preserve"> PAGEREF _Toc167368595 \h </w:instrText>
        </w:r>
        <w:r w:rsidR="00F04051">
          <w:rPr>
            <w:noProof/>
            <w:webHidden/>
          </w:rPr>
        </w:r>
        <w:r w:rsidR="00F04051">
          <w:rPr>
            <w:noProof/>
            <w:webHidden/>
          </w:rPr>
          <w:fldChar w:fldCharType="separate"/>
        </w:r>
        <w:r w:rsidR="0026489B">
          <w:rPr>
            <w:noProof/>
            <w:webHidden/>
          </w:rPr>
          <w:t>105</w:t>
        </w:r>
        <w:r w:rsidR="00F04051">
          <w:rPr>
            <w:noProof/>
            <w:webHidden/>
          </w:rPr>
          <w:fldChar w:fldCharType="end"/>
        </w:r>
      </w:hyperlink>
    </w:p>
    <w:p w14:paraId="0BED23E1" w14:textId="0C3CE3B5"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96" w:history="1">
        <w:r w:rsidR="00F04051" w:rsidRPr="00183238">
          <w:rPr>
            <w:rStyle w:val="Hyperlink"/>
            <w:noProof/>
          </w:rPr>
          <w:t>Table 6.2: Urban Farmers Land Access by Residential Classes</w:t>
        </w:r>
        <w:r w:rsidR="00F04051">
          <w:rPr>
            <w:noProof/>
            <w:webHidden/>
          </w:rPr>
          <w:tab/>
        </w:r>
        <w:r w:rsidR="00F04051">
          <w:rPr>
            <w:noProof/>
            <w:webHidden/>
          </w:rPr>
          <w:fldChar w:fldCharType="begin"/>
        </w:r>
        <w:r w:rsidR="00F04051">
          <w:rPr>
            <w:noProof/>
            <w:webHidden/>
          </w:rPr>
          <w:instrText xml:space="preserve"> PAGEREF _Toc167368596 \h </w:instrText>
        </w:r>
        <w:r w:rsidR="00F04051">
          <w:rPr>
            <w:noProof/>
            <w:webHidden/>
          </w:rPr>
        </w:r>
        <w:r w:rsidR="00F04051">
          <w:rPr>
            <w:noProof/>
            <w:webHidden/>
          </w:rPr>
          <w:fldChar w:fldCharType="separate"/>
        </w:r>
        <w:r w:rsidR="0026489B">
          <w:rPr>
            <w:noProof/>
            <w:webHidden/>
          </w:rPr>
          <w:t>106</w:t>
        </w:r>
        <w:r w:rsidR="00F04051">
          <w:rPr>
            <w:noProof/>
            <w:webHidden/>
          </w:rPr>
          <w:fldChar w:fldCharType="end"/>
        </w:r>
      </w:hyperlink>
    </w:p>
    <w:p w14:paraId="23861900" w14:textId="503E7458"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97" w:history="1">
        <w:r w:rsidR="00F04051" w:rsidRPr="00183238">
          <w:rPr>
            <w:rStyle w:val="Hyperlink"/>
            <w:noProof/>
          </w:rPr>
          <w:t>Table 6.3: Association between Demographic Variables and Participation in UA Production.</w:t>
        </w:r>
        <w:r w:rsidR="00F04051">
          <w:rPr>
            <w:noProof/>
            <w:webHidden/>
          </w:rPr>
          <w:tab/>
        </w:r>
        <w:r w:rsidR="00F04051">
          <w:rPr>
            <w:noProof/>
            <w:webHidden/>
          </w:rPr>
          <w:fldChar w:fldCharType="begin"/>
        </w:r>
        <w:r w:rsidR="00F04051">
          <w:rPr>
            <w:noProof/>
            <w:webHidden/>
          </w:rPr>
          <w:instrText xml:space="preserve"> PAGEREF _Toc167368597 \h </w:instrText>
        </w:r>
        <w:r w:rsidR="00F04051">
          <w:rPr>
            <w:noProof/>
            <w:webHidden/>
          </w:rPr>
        </w:r>
        <w:r w:rsidR="00F04051">
          <w:rPr>
            <w:noProof/>
            <w:webHidden/>
          </w:rPr>
          <w:fldChar w:fldCharType="separate"/>
        </w:r>
        <w:r w:rsidR="0026489B">
          <w:rPr>
            <w:noProof/>
            <w:webHidden/>
          </w:rPr>
          <w:t>108</w:t>
        </w:r>
        <w:r w:rsidR="00F04051">
          <w:rPr>
            <w:noProof/>
            <w:webHidden/>
          </w:rPr>
          <w:fldChar w:fldCharType="end"/>
        </w:r>
      </w:hyperlink>
    </w:p>
    <w:p w14:paraId="6A79D98F" w14:textId="7A1CEA70"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98" w:history="1">
        <w:r w:rsidR="00F04051" w:rsidRPr="00183238">
          <w:rPr>
            <w:rStyle w:val="Hyperlink"/>
            <w:noProof/>
          </w:rPr>
          <w:t>Table 6.4: Socio-economic determinants of participation in UA production.</w:t>
        </w:r>
        <w:r w:rsidR="00F04051">
          <w:rPr>
            <w:noProof/>
            <w:webHidden/>
          </w:rPr>
          <w:tab/>
        </w:r>
        <w:r w:rsidR="00F04051">
          <w:rPr>
            <w:noProof/>
            <w:webHidden/>
          </w:rPr>
          <w:fldChar w:fldCharType="begin"/>
        </w:r>
        <w:r w:rsidR="00F04051">
          <w:rPr>
            <w:noProof/>
            <w:webHidden/>
          </w:rPr>
          <w:instrText xml:space="preserve"> PAGEREF _Toc167368598 \h </w:instrText>
        </w:r>
        <w:r w:rsidR="00F04051">
          <w:rPr>
            <w:noProof/>
            <w:webHidden/>
          </w:rPr>
        </w:r>
        <w:r w:rsidR="00F04051">
          <w:rPr>
            <w:noProof/>
            <w:webHidden/>
          </w:rPr>
          <w:fldChar w:fldCharType="separate"/>
        </w:r>
        <w:r w:rsidR="0026489B">
          <w:rPr>
            <w:noProof/>
            <w:webHidden/>
          </w:rPr>
          <w:t>110</w:t>
        </w:r>
        <w:r w:rsidR="00F04051">
          <w:rPr>
            <w:noProof/>
            <w:webHidden/>
          </w:rPr>
          <w:fldChar w:fldCharType="end"/>
        </w:r>
      </w:hyperlink>
    </w:p>
    <w:p w14:paraId="5F9C2481" w14:textId="2D24013C"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599" w:history="1">
        <w:r w:rsidR="00F04051" w:rsidRPr="00183238">
          <w:rPr>
            <w:rStyle w:val="Hyperlink"/>
            <w:noProof/>
          </w:rPr>
          <w:t>Table 7.1: Urban Farmers Choices in Varieties and Sources of Seeds for Production (N=191).</w:t>
        </w:r>
        <w:r w:rsidR="00F04051">
          <w:rPr>
            <w:noProof/>
            <w:webHidden/>
          </w:rPr>
          <w:tab/>
        </w:r>
        <w:r w:rsidR="00F04051">
          <w:rPr>
            <w:noProof/>
            <w:webHidden/>
          </w:rPr>
          <w:fldChar w:fldCharType="begin"/>
        </w:r>
        <w:r w:rsidR="00F04051">
          <w:rPr>
            <w:noProof/>
            <w:webHidden/>
          </w:rPr>
          <w:instrText xml:space="preserve"> PAGEREF _Toc167368599 \h </w:instrText>
        </w:r>
        <w:r w:rsidR="00F04051">
          <w:rPr>
            <w:noProof/>
            <w:webHidden/>
          </w:rPr>
        </w:r>
        <w:r w:rsidR="00F04051">
          <w:rPr>
            <w:noProof/>
            <w:webHidden/>
          </w:rPr>
          <w:fldChar w:fldCharType="separate"/>
        </w:r>
        <w:r w:rsidR="0026489B">
          <w:rPr>
            <w:noProof/>
            <w:webHidden/>
          </w:rPr>
          <w:t>123</w:t>
        </w:r>
        <w:r w:rsidR="00F04051">
          <w:rPr>
            <w:noProof/>
            <w:webHidden/>
          </w:rPr>
          <w:fldChar w:fldCharType="end"/>
        </w:r>
      </w:hyperlink>
    </w:p>
    <w:p w14:paraId="043155BD" w14:textId="74C3C59A"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600" w:history="1">
        <w:r w:rsidR="00F04051" w:rsidRPr="00183238">
          <w:rPr>
            <w:rStyle w:val="Hyperlink"/>
            <w:noProof/>
          </w:rPr>
          <w:t>Table 7.2: Urban Farmers' Choices in Animals Breed and Sources of Feed (N=191).</w:t>
        </w:r>
        <w:r w:rsidR="00F04051">
          <w:rPr>
            <w:noProof/>
            <w:webHidden/>
          </w:rPr>
          <w:tab/>
        </w:r>
        <w:r w:rsidR="00F04051">
          <w:rPr>
            <w:noProof/>
            <w:webHidden/>
          </w:rPr>
          <w:fldChar w:fldCharType="begin"/>
        </w:r>
        <w:r w:rsidR="00F04051">
          <w:rPr>
            <w:noProof/>
            <w:webHidden/>
          </w:rPr>
          <w:instrText xml:space="preserve"> PAGEREF _Toc167368600 \h </w:instrText>
        </w:r>
        <w:r w:rsidR="00F04051">
          <w:rPr>
            <w:noProof/>
            <w:webHidden/>
          </w:rPr>
        </w:r>
        <w:r w:rsidR="00F04051">
          <w:rPr>
            <w:noProof/>
            <w:webHidden/>
          </w:rPr>
          <w:fldChar w:fldCharType="separate"/>
        </w:r>
        <w:r w:rsidR="0026489B">
          <w:rPr>
            <w:noProof/>
            <w:webHidden/>
          </w:rPr>
          <w:t>125</w:t>
        </w:r>
        <w:r w:rsidR="00F04051">
          <w:rPr>
            <w:noProof/>
            <w:webHidden/>
          </w:rPr>
          <w:fldChar w:fldCharType="end"/>
        </w:r>
      </w:hyperlink>
    </w:p>
    <w:p w14:paraId="73B2E436" w14:textId="7EF40686"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601" w:history="1">
        <w:r w:rsidR="00F04051" w:rsidRPr="00183238">
          <w:rPr>
            <w:rStyle w:val="Hyperlink"/>
            <w:noProof/>
          </w:rPr>
          <w:t>Table 7.3: Methods and Sources of Treating Urban Livestock.</w:t>
        </w:r>
        <w:r w:rsidR="00F04051">
          <w:rPr>
            <w:noProof/>
            <w:webHidden/>
          </w:rPr>
          <w:tab/>
        </w:r>
        <w:r w:rsidR="00F04051">
          <w:rPr>
            <w:noProof/>
            <w:webHidden/>
          </w:rPr>
          <w:fldChar w:fldCharType="begin"/>
        </w:r>
        <w:r w:rsidR="00F04051">
          <w:rPr>
            <w:noProof/>
            <w:webHidden/>
          </w:rPr>
          <w:instrText xml:space="preserve"> PAGEREF _Toc167368601 \h </w:instrText>
        </w:r>
        <w:r w:rsidR="00F04051">
          <w:rPr>
            <w:noProof/>
            <w:webHidden/>
          </w:rPr>
        </w:r>
        <w:r w:rsidR="00F04051">
          <w:rPr>
            <w:noProof/>
            <w:webHidden/>
          </w:rPr>
          <w:fldChar w:fldCharType="separate"/>
        </w:r>
        <w:r w:rsidR="0026489B">
          <w:rPr>
            <w:noProof/>
            <w:webHidden/>
          </w:rPr>
          <w:t>126</w:t>
        </w:r>
        <w:r w:rsidR="00F04051">
          <w:rPr>
            <w:noProof/>
            <w:webHidden/>
          </w:rPr>
          <w:fldChar w:fldCharType="end"/>
        </w:r>
      </w:hyperlink>
    </w:p>
    <w:p w14:paraId="30E9E06F" w14:textId="2CAAE706"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602" w:history="1">
        <w:r w:rsidR="00F04051" w:rsidRPr="00183238">
          <w:rPr>
            <w:rStyle w:val="Hyperlink"/>
            <w:noProof/>
          </w:rPr>
          <w:t>Table 7.4: Urban Farmers' Perception on Climate Change Effects and Sources of Adaptation Information (N=191).</w:t>
        </w:r>
        <w:r w:rsidR="00F04051">
          <w:rPr>
            <w:noProof/>
            <w:webHidden/>
          </w:rPr>
          <w:tab/>
        </w:r>
        <w:r w:rsidR="00F04051">
          <w:rPr>
            <w:noProof/>
            <w:webHidden/>
          </w:rPr>
          <w:fldChar w:fldCharType="begin"/>
        </w:r>
        <w:r w:rsidR="00F04051">
          <w:rPr>
            <w:noProof/>
            <w:webHidden/>
          </w:rPr>
          <w:instrText xml:space="preserve"> PAGEREF _Toc167368602 \h </w:instrText>
        </w:r>
        <w:r w:rsidR="00F04051">
          <w:rPr>
            <w:noProof/>
            <w:webHidden/>
          </w:rPr>
        </w:r>
        <w:r w:rsidR="00F04051">
          <w:rPr>
            <w:noProof/>
            <w:webHidden/>
          </w:rPr>
          <w:fldChar w:fldCharType="separate"/>
        </w:r>
        <w:r w:rsidR="0026489B">
          <w:rPr>
            <w:noProof/>
            <w:webHidden/>
          </w:rPr>
          <w:t>128</w:t>
        </w:r>
        <w:r w:rsidR="00F04051">
          <w:rPr>
            <w:noProof/>
            <w:webHidden/>
          </w:rPr>
          <w:fldChar w:fldCharType="end"/>
        </w:r>
      </w:hyperlink>
    </w:p>
    <w:p w14:paraId="1753BCB2" w14:textId="0E89500C"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603" w:history="1">
        <w:r w:rsidR="00F04051" w:rsidRPr="00183238">
          <w:rPr>
            <w:rStyle w:val="Hyperlink"/>
            <w:noProof/>
          </w:rPr>
          <w:t>Table 7.5: The Significant Level of Urban Farmers' Knowledge of Climate Change.</w:t>
        </w:r>
        <w:r w:rsidR="00F04051">
          <w:rPr>
            <w:noProof/>
            <w:webHidden/>
          </w:rPr>
          <w:tab/>
        </w:r>
        <w:r w:rsidR="00F04051">
          <w:rPr>
            <w:noProof/>
            <w:webHidden/>
          </w:rPr>
          <w:fldChar w:fldCharType="begin"/>
        </w:r>
        <w:r w:rsidR="00F04051">
          <w:rPr>
            <w:noProof/>
            <w:webHidden/>
          </w:rPr>
          <w:instrText xml:space="preserve"> PAGEREF _Toc167368603 \h </w:instrText>
        </w:r>
        <w:r w:rsidR="00F04051">
          <w:rPr>
            <w:noProof/>
            <w:webHidden/>
          </w:rPr>
        </w:r>
        <w:r w:rsidR="00F04051">
          <w:rPr>
            <w:noProof/>
            <w:webHidden/>
          </w:rPr>
          <w:fldChar w:fldCharType="separate"/>
        </w:r>
        <w:r w:rsidR="0026489B">
          <w:rPr>
            <w:noProof/>
            <w:webHidden/>
          </w:rPr>
          <w:t>129</w:t>
        </w:r>
        <w:r w:rsidR="00F04051">
          <w:rPr>
            <w:noProof/>
            <w:webHidden/>
          </w:rPr>
          <w:fldChar w:fldCharType="end"/>
        </w:r>
      </w:hyperlink>
    </w:p>
    <w:p w14:paraId="027ABF40" w14:textId="1150093A" w:rsidR="00F04051" w:rsidRDefault="00000000" w:rsidP="009745EC">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7368604" w:history="1">
        <w:r w:rsidR="00F04051" w:rsidRPr="00183238">
          <w:rPr>
            <w:rStyle w:val="Hyperlink"/>
            <w:noProof/>
          </w:rPr>
          <w:t>Table 7.6: Sources of Climate Change Information by Educational Attainment and Gender.</w:t>
        </w:r>
        <w:r w:rsidR="00F04051">
          <w:rPr>
            <w:noProof/>
            <w:webHidden/>
          </w:rPr>
          <w:tab/>
        </w:r>
        <w:r w:rsidR="00F04051">
          <w:rPr>
            <w:noProof/>
            <w:webHidden/>
          </w:rPr>
          <w:fldChar w:fldCharType="begin"/>
        </w:r>
        <w:r w:rsidR="00F04051">
          <w:rPr>
            <w:noProof/>
            <w:webHidden/>
          </w:rPr>
          <w:instrText xml:space="preserve"> PAGEREF _Toc167368604 \h </w:instrText>
        </w:r>
        <w:r w:rsidR="00F04051">
          <w:rPr>
            <w:noProof/>
            <w:webHidden/>
          </w:rPr>
        </w:r>
        <w:r w:rsidR="00F04051">
          <w:rPr>
            <w:noProof/>
            <w:webHidden/>
          </w:rPr>
          <w:fldChar w:fldCharType="separate"/>
        </w:r>
        <w:r w:rsidR="0026489B">
          <w:rPr>
            <w:noProof/>
            <w:webHidden/>
          </w:rPr>
          <w:t>130</w:t>
        </w:r>
        <w:r w:rsidR="00F04051">
          <w:rPr>
            <w:noProof/>
            <w:webHidden/>
          </w:rPr>
          <w:fldChar w:fldCharType="end"/>
        </w:r>
      </w:hyperlink>
    </w:p>
    <w:p w14:paraId="271EBBD0" w14:textId="3A07B1C6" w:rsidR="001B4ED5" w:rsidRPr="00895D0B" w:rsidRDefault="00F04051" w:rsidP="00F04051">
      <w:pPr>
        <w:spacing w:line="360" w:lineRule="auto"/>
        <w:rPr>
          <w:rFonts w:cs="Times New Roman"/>
          <w:color w:val="000000" w:themeColor="text1"/>
          <w:szCs w:val="24"/>
        </w:rPr>
      </w:pPr>
      <w:r>
        <w:rPr>
          <w:rFonts w:cs="Times New Roman"/>
          <w:color w:val="000000" w:themeColor="text1"/>
          <w:szCs w:val="24"/>
        </w:rPr>
        <w:fldChar w:fldCharType="end"/>
      </w:r>
    </w:p>
    <w:p w14:paraId="6117D202" w14:textId="77777777" w:rsidR="001B4ED5" w:rsidRPr="00895D0B" w:rsidRDefault="001B4ED5">
      <w:pPr>
        <w:spacing w:line="360" w:lineRule="auto"/>
        <w:rPr>
          <w:rFonts w:cs="Times New Roman"/>
          <w:color w:val="000000" w:themeColor="text1"/>
          <w:szCs w:val="24"/>
        </w:rPr>
      </w:pPr>
    </w:p>
    <w:p w14:paraId="69E08073" w14:textId="77777777" w:rsidR="001B4ED5" w:rsidRPr="00895D0B" w:rsidRDefault="001B4ED5">
      <w:pPr>
        <w:spacing w:line="360" w:lineRule="auto"/>
        <w:rPr>
          <w:rFonts w:cs="Times New Roman"/>
          <w:color w:val="000000" w:themeColor="text1"/>
          <w:szCs w:val="24"/>
        </w:rPr>
      </w:pPr>
    </w:p>
    <w:p w14:paraId="64ACA0EE" w14:textId="77777777" w:rsidR="001B4ED5" w:rsidRPr="00895D0B" w:rsidRDefault="001B4ED5">
      <w:pPr>
        <w:spacing w:line="360" w:lineRule="auto"/>
        <w:rPr>
          <w:rFonts w:cs="Times New Roman"/>
          <w:color w:val="000000" w:themeColor="text1"/>
          <w:szCs w:val="24"/>
        </w:rPr>
      </w:pPr>
    </w:p>
    <w:p w14:paraId="4DA6AC8B" w14:textId="77777777" w:rsidR="001B4ED5" w:rsidRPr="00895D0B" w:rsidRDefault="001B4ED5">
      <w:pPr>
        <w:spacing w:line="360" w:lineRule="auto"/>
        <w:rPr>
          <w:rFonts w:cs="Times New Roman"/>
          <w:color w:val="000000" w:themeColor="text1"/>
          <w:szCs w:val="24"/>
        </w:rPr>
      </w:pPr>
    </w:p>
    <w:p w14:paraId="32BF8BB8" w14:textId="77777777" w:rsidR="001B4ED5" w:rsidRPr="00895D0B" w:rsidRDefault="006B41C0" w:rsidP="009745EC">
      <w:pPr>
        <w:pStyle w:val="Heading1"/>
      </w:pPr>
      <w:bookmarkStart w:id="6" w:name="_Toc167379843"/>
      <w:r w:rsidRPr="00895D0B">
        <w:lastRenderedPageBreak/>
        <w:t>LIST OF ACRONYMS/ABBREVIATIONS</w:t>
      </w:r>
      <w:bookmarkEnd w:id="6"/>
    </w:p>
    <w:tbl>
      <w:tblPr>
        <w:tblW w:w="9067" w:type="dxa"/>
        <w:tblLook w:val="04A0" w:firstRow="1" w:lastRow="0" w:firstColumn="1" w:lastColumn="0" w:noHBand="0" w:noVBand="1"/>
      </w:tblPr>
      <w:tblGrid>
        <w:gridCol w:w="2830"/>
        <w:gridCol w:w="6237"/>
      </w:tblGrid>
      <w:tr w:rsidR="00895D0B" w:rsidRPr="00895D0B" w14:paraId="1F387BC5" w14:textId="77777777" w:rsidTr="008C40FD">
        <w:tc>
          <w:tcPr>
            <w:tcW w:w="2830" w:type="dxa"/>
          </w:tcPr>
          <w:p w14:paraId="32812535" w14:textId="77777777" w:rsidR="00881738" w:rsidRPr="00895D0B" w:rsidRDefault="00881738">
            <w:pPr>
              <w:spacing w:line="360" w:lineRule="auto"/>
              <w:jc w:val="center"/>
              <w:rPr>
                <w:rFonts w:cs="Times New Roman"/>
                <w:b/>
                <w:color w:val="000000" w:themeColor="text1"/>
                <w:szCs w:val="24"/>
              </w:rPr>
            </w:pPr>
            <w:r w:rsidRPr="00895D0B">
              <w:rPr>
                <w:rFonts w:cs="Times New Roman"/>
                <w:b/>
                <w:color w:val="000000" w:themeColor="text1"/>
                <w:szCs w:val="24"/>
              </w:rPr>
              <w:t>Acronym/Abbreviation</w:t>
            </w:r>
          </w:p>
        </w:tc>
        <w:tc>
          <w:tcPr>
            <w:tcW w:w="6237" w:type="dxa"/>
          </w:tcPr>
          <w:p w14:paraId="1F7D2671" w14:textId="77777777" w:rsidR="00881738" w:rsidRPr="00895D0B" w:rsidRDefault="00881738">
            <w:pPr>
              <w:spacing w:line="360" w:lineRule="auto"/>
              <w:jc w:val="center"/>
              <w:rPr>
                <w:rFonts w:cs="Times New Roman"/>
                <w:b/>
                <w:color w:val="000000" w:themeColor="text1"/>
                <w:szCs w:val="24"/>
              </w:rPr>
            </w:pPr>
            <w:r w:rsidRPr="00895D0B">
              <w:rPr>
                <w:rFonts w:cs="Times New Roman"/>
                <w:b/>
                <w:color w:val="000000" w:themeColor="text1"/>
                <w:szCs w:val="24"/>
              </w:rPr>
              <w:t>Meaning</w:t>
            </w:r>
          </w:p>
        </w:tc>
      </w:tr>
      <w:tr w:rsidR="00895D0B" w:rsidRPr="00895D0B" w14:paraId="3071AB39" w14:textId="77777777" w:rsidTr="008C40FD">
        <w:tc>
          <w:tcPr>
            <w:tcW w:w="2830" w:type="dxa"/>
          </w:tcPr>
          <w:p w14:paraId="7D65FE46" w14:textId="056B68AE" w:rsidR="00001316" w:rsidRPr="00895D0B" w:rsidRDefault="00001316">
            <w:pPr>
              <w:spacing w:line="360" w:lineRule="auto"/>
              <w:rPr>
                <w:rFonts w:cs="Times New Roman"/>
                <w:color w:val="000000" w:themeColor="text1"/>
                <w:szCs w:val="24"/>
              </w:rPr>
            </w:pPr>
            <w:r w:rsidRPr="00895D0B">
              <w:rPr>
                <w:rFonts w:cs="Times New Roman"/>
                <w:color w:val="000000" w:themeColor="text1"/>
                <w:szCs w:val="24"/>
              </w:rPr>
              <w:t>ANN</w:t>
            </w:r>
          </w:p>
        </w:tc>
        <w:tc>
          <w:tcPr>
            <w:tcW w:w="6237" w:type="dxa"/>
          </w:tcPr>
          <w:p w14:paraId="4CD8B3AC" w14:textId="1F666718" w:rsidR="00001316" w:rsidRPr="00895D0B" w:rsidRDefault="00001316" w:rsidP="006B68B5">
            <w:pPr>
              <w:rPr>
                <w:rFonts w:cs="Times New Roman"/>
                <w:color w:val="000000" w:themeColor="text1"/>
                <w:szCs w:val="24"/>
              </w:rPr>
            </w:pPr>
            <w:r w:rsidRPr="00895D0B">
              <w:rPr>
                <w:rFonts w:cs="Times New Roman"/>
                <w:color w:val="000000" w:themeColor="text1"/>
                <w:szCs w:val="24"/>
              </w:rPr>
              <w:t>Average Nearest Neighbour</w:t>
            </w:r>
          </w:p>
        </w:tc>
      </w:tr>
      <w:tr w:rsidR="00895D0B" w:rsidRPr="00895D0B" w14:paraId="0C2CE4A8" w14:textId="77777777" w:rsidTr="008C40FD">
        <w:tc>
          <w:tcPr>
            <w:tcW w:w="2830" w:type="dxa"/>
          </w:tcPr>
          <w:p w14:paraId="54F0E951" w14:textId="728D5336" w:rsidR="003614C6" w:rsidRPr="00895D0B" w:rsidRDefault="003614C6">
            <w:pPr>
              <w:spacing w:line="360" w:lineRule="auto"/>
              <w:rPr>
                <w:rFonts w:cs="Times New Roman"/>
                <w:color w:val="000000" w:themeColor="text1"/>
                <w:szCs w:val="24"/>
              </w:rPr>
            </w:pPr>
            <w:r w:rsidRPr="00895D0B">
              <w:rPr>
                <w:rFonts w:cs="Times New Roman"/>
                <w:color w:val="000000" w:themeColor="text1"/>
                <w:szCs w:val="24"/>
              </w:rPr>
              <w:t>CAPI</w:t>
            </w:r>
          </w:p>
        </w:tc>
        <w:tc>
          <w:tcPr>
            <w:tcW w:w="6237" w:type="dxa"/>
          </w:tcPr>
          <w:p w14:paraId="39339D78" w14:textId="32BE33BB" w:rsidR="00881738" w:rsidRPr="00895D0B" w:rsidRDefault="003614C6">
            <w:pPr>
              <w:spacing w:line="360" w:lineRule="auto"/>
              <w:rPr>
                <w:rFonts w:cs="Times New Roman"/>
                <w:color w:val="000000" w:themeColor="text1"/>
                <w:szCs w:val="24"/>
              </w:rPr>
            </w:pPr>
            <w:r w:rsidRPr="00895D0B">
              <w:rPr>
                <w:rFonts w:cs="Times New Roman"/>
                <w:color w:val="000000" w:themeColor="text1"/>
                <w:szCs w:val="24"/>
              </w:rPr>
              <w:t>Computer Assisted Personal Interviewing</w:t>
            </w:r>
            <w:r w:rsidRPr="00895D0B" w:rsidDel="003614C6">
              <w:rPr>
                <w:rFonts w:cs="Times New Roman"/>
                <w:color w:val="000000" w:themeColor="text1"/>
                <w:szCs w:val="24"/>
              </w:rPr>
              <w:t xml:space="preserve"> </w:t>
            </w:r>
          </w:p>
        </w:tc>
      </w:tr>
      <w:tr w:rsidR="00895D0B" w:rsidRPr="00895D0B" w14:paraId="3C0F4C99" w14:textId="77777777" w:rsidTr="008C40FD">
        <w:tc>
          <w:tcPr>
            <w:tcW w:w="2830" w:type="dxa"/>
          </w:tcPr>
          <w:p w14:paraId="314CAF43" w14:textId="45D3632D" w:rsidR="00881738" w:rsidRPr="00895D0B" w:rsidRDefault="003614C6">
            <w:pPr>
              <w:spacing w:line="360" w:lineRule="auto"/>
              <w:rPr>
                <w:rFonts w:cs="Times New Roman"/>
                <w:color w:val="000000" w:themeColor="text1"/>
                <w:szCs w:val="24"/>
              </w:rPr>
            </w:pPr>
            <w:r w:rsidRPr="00895D0B">
              <w:rPr>
                <w:rFonts w:cs="Times New Roman"/>
                <w:color w:val="000000" w:themeColor="text1"/>
                <w:szCs w:val="24"/>
              </w:rPr>
              <w:t>CCA</w:t>
            </w:r>
          </w:p>
        </w:tc>
        <w:tc>
          <w:tcPr>
            <w:tcW w:w="6237" w:type="dxa"/>
          </w:tcPr>
          <w:p w14:paraId="65EC79F3" w14:textId="599091CF" w:rsidR="00881738" w:rsidRPr="00895D0B" w:rsidRDefault="003614C6">
            <w:pPr>
              <w:spacing w:line="360" w:lineRule="auto"/>
              <w:rPr>
                <w:rFonts w:cs="Times New Roman"/>
                <w:color w:val="000000" w:themeColor="text1"/>
                <w:szCs w:val="24"/>
              </w:rPr>
            </w:pPr>
            <w:r w:rsidRPr="00895D0B">
              <w:rPr>
                <w:rFonts w:cs="Times New Roman"/>
                <w:color w:val="000000" w:themeColor="text1"/>
                <w:szCs w:val="24"/>
              </w:rPr>
              <w:t>Climate Change Adaptation</w:t>
            </w:r>
            <w:r w:rsidRPr="00895D0B" w:rsidDel="003614C6">
              <w:rPr>
                <w:rFonts w:cs="Times New Roman"/>
                <w:color w:val="000000" w:themeColor="text1"/>
                <w:szCs w:val="24"/>
              </w:rPr>
              <w:t xml:space="preserve"> </w:t>
            </w:r>
          </w:p>
        </w:tc>
      </w:tr>
      <w:tr w:rsidR="00895D0B" w:rsidRPr="00895D0B" w14:paraId="3C543DE8" w14:textId="77777777" w:rsidTr="008C40FD">
        <w:tc>
          <w:tcPr>
            <w:tcW w:w="2830" w:type="dxa"/>
          </w:tcPr>
          <w:p w14:paraId="31FA63F2" w14:textId="1A369196" w:rsidR="00881738" w:rsidRPr="00895D0B" w:rsidRDefault="003614C6">
            <w:pPr>
              <w:spacing w:line="360" w:lineRule="auto"/>
              <w:rPr>
                <w:rFonts w:cs="Times New Roman"/>
                <w:color w:val="000000" w:themeColor="text1"/>
                <w:szCs w:val="24"/>
              </w:rPr>
            </w:pPr>
            <w:r w:rsidRPr="00895D0B">
              <w:rPr>
                <w:rFonts w:cs="Times New Roman"/>
                <w:color w:val="000000" w:themeColor="text1"/>
                <w:szCs w:val="24"/>
              </w:rPr>
              <w:t>CSOs</w:t>
            </w:r>
          </w:p>
        </w:tc>
        <w:tc>
          <w:tcPr>
            <w:tcW w:w="6237" w:type="dxa"/>
          </w:tcPr>
          <w:p w14:paraId="6DD91700" w14:textId="3A7BE3BC" w:rsidR="00881738" w:rsidRPr="00895D0B" w:rsidRDefault="003614C6">
            <w:pPr>
              <w:spacing w:line="360" w:lineRule="auto"/>
              <w:rPr>
                <w:rFonts w:cs="Times New Roman"/>
                <w:color w:val="000000" w:themeColor="text1"/>
                <w:szCs w:val="24"/>
              </w:rPr>
            </w:pPr>
            <w:r w:rsidRPr="00895D0B">
              <w:rPr>
                <w:rFonts w:cs="Times New Roman"/>
                <w:color w:val="000000" w:themeColor="text1"/>
                <w:szCs w:val="24"/>
              </w:rPr>
              <w:t>Civil Society Organizations</w:t>
            </w:r>
            <w:r w:rsidRPr="00895D0B" w:rsidDel="003614C6">
              <w:rPr>
                <w:rFonts w:cs="Times New Roman"/>
                <w:color w:val="000000" w:themeColor="text1"/>
                <w:szCs w:val="24"/>
              </w:rPr>
              <w:t xml:space="preserve"> </w:t>
            </w:r>
          </w:p>
        </w:tc>
      </w:tr>
      <w:tr w:rsidR="00895D0B" w:rsidRPr="00895D0B" w14:paraId="7D612455" w14:textId="77777777" w:rsidTr="008C40FD">
        <w:tc>
          <w:tcPr>
            <w:tcW w:w="2830" w:type="dxa"/>
          </w:tcPr>
          <w:p w14:paraId="06D7BE22" w14:textId="3DDC7EA3" w:rsidR="00881738" w:rsidRPr="00895D0B" w:rsidRDefault="003614C6">
            <w:pPr>
              <w:spacing w:line="360" w:lineRule="auto"/>
              <w:rPr>
                <w:rFonts w:cs="Times New Roman"/>
                <w:color w:val="000000" w:themeColor="text1"/>
                <w:szCs w:val="24"/>
              </w:rPr>
            </w:pPr>
            <w:r w:rsidRPr="00895D0B">
              <w:rPr>
                <w:rFonts w:cs="Times New Roman"/>
                <w:color w:val="000000" w:themeColor="text1"/>
                <w:szCs w:val="24"/>
              </w:rPr>
              <w:t>EBA</w:t>
            </w:r>
          </w:p>
        </w:tc>
        <w:tc>
          <w:tcPr>
            <w:tcW w:w="6237" w:type="dxa"/>
          </w:tcPr>
          <w:p w14:paraId="1DA5D175" w14:textId="59F2EA2B" w:rsidR="00881738" w:rsidRPr="00895D0B" w:rsidRDefault="003614C6">
            <w:pPr>
              <w:spacing w:line="360" w:lineRule="auto"/>
              <w:rPr>
                <w:rFonts w:cs="Times New Roman"/>
                <w:color w:val="000000" w:themeColor="text1"/>
                <w:szCs w:val="24"/>
              </w:rPr>
            </w:pPr>
            <w:r w:rsidRPr="00895D0B">
              <w:rPr>
                <w:rFonts w:cs="Times New Roman"/>
                <w:color w:val="000000" w:themeColor="text1"/>
                <w:szCs w:val="24"/>
              </w:rPr>
              <w:t>Ecosystem-Based Approach</w:t>
            </w:r>
            <w:r w:rsidRPr="00895D0B" w:rsidDel="003614C6">
              <w:rPr>
                <w:rFonts w:cs="Times New Roman"/>
                <w:color w:val="000000" w:themeColor="text1"/>
                <w:szCs w:val="24"/>
              </w:rPr>
              <w:t xml:space="preserve"> </w:t>
            </w:r>
          </w:p>
        </w:tc>
      </w:tr>
      <w:tr w:rsidR="00895D0B" w:rsidRPr="00895D0B" w14:paraId="6F7CB3EE" w14:textId="77777777" w:rsidTr="008C40FD">
        <w:tc>
          <w:tcPr>
            <w:tcW w:w="2830" w:type="dxa"/>
          </w:tcPr>
          <w:p w14:paraId="12BBBEE0" w14:textId="570E4957" w:rsidR="00881738" w:rsidRPr="00895D0B" w:rsidRDefault="009B395C">
            <w:pPr>
              <w:spacing w:line="360" w:lineRule="auto"/>
              <w:rPr>
                <w:rFonts w:cs="Times New Roman"/>
                <w:color w:val="000000" w:themeColor="text1"/>
                <w:szCs w:val="24"/>
              </w:rPr>
            </w:pPr>
            <w:r w:rsidRPr="00895D0B">
              <w:rPr>
                <w:rFonts w:cs="Times New Roman"/>
                <w:color w:val="000000" w:themeColor="text1"/>
                <w:szCs w:val="24"/>
              </w:rPr>
              <w:t>FAO</w:t>
            </w:r>
          </w:p>
        </w:tc>
        <w:tc>
          <w:tcPr>
            <w:tcW w:w="6237" w:type="dxa"/>
          </w:tcPr>
          <w:p w14:paraId="479663BA" w14:textId="5A2060A7" w:rsidR="00881738" w:rsidRPr="00895D0B" w:rsidRDefault="009B395C">
            <w:pPr>
              <w:spacing w:line="360" w:lineRule="auto"/>
              <w:rPr>
                <w:rFonts w:cs="Times New Roman"/>
                <w:color w:val="000000" w:themeColor="text1"/>
                <w:szCs w:val="24"/>
              </w:rPr>
            </w:pPr>
            <w:r w:rsidRPr="00895D0B">
              <w:rPr>
                <w:rFonts w:cs="Times New Roman"/>
                <w:color w:val="000000" w:themeColor="text1"/>
                <w:szCs w:val="24"/>
              </w:rPr>
              <w:t>Food and Agricultural Organization</w:t>
            </w:r>
            <w:r w:rsidRPr="00895D0B" w:rsidDel="003614C6">
              <w:rPr>
                <w:rFonts w:cs="Times New Roman"/>
                <w:color w:val="000000" w:themeColor="text1"/>
                <w:szCs w:val="24"/>
              </w:rPr>
              <w:t xml:space="preserve"> </w:t>
            </w:r>
          </w:p>
        </w:tc>
      </w:tr>
      <w:tr w:rsidR="00895D0B" w:rsidRPr="00895D0B" w14:paraId="5AFF4F0D" w14:textId="77777777" w:rsidTr="008C40FD">
        <w:tc>
          <w:tcPr>
            <w:tcW w:w="2830" w:type="dxa"/>
          </w:tcPr>
          <w:p w14:paraId="1E0F97BE" w14:textId="2728BC8A" w:rsidR="00881738" w:rsidRPr="00895D0B" w:rsidRDefault="009B395C">
            <w:pPr>
              <w:spacing w:line="360" w:lineRule="auto"/>
              <w:rPr>
                <w:rFonts w:cs="Times New Roman"/>
                <w:color w:val="000000" w:themeColor="text1"/>
                <w:szCs w:val="24"/>
              </w:rPr>
            </w:pPr>
            <w:r w:rsidRPr="00895D0B">
              <w:rPr>
                <w:rFonts w:cs="Times New Roman"/>
                <w:color w:val="000000" w:themeColor="text1"/>
                <w:szCs w:val="24"/>
              </w:rPr>
              <w:t>FASDEP</w:t>
            </w:r>
          </w:p>
        </w:tc>
        <w:tc>
          <w:tcPr>
            <w:tcW w:w="6237" w:type="dxa"/>
          </w:tcPr>
          <w:p w14:paraId="573D0540" w14:textId="60D5B3C0" w:rsidR="00881738" w:rsidRPr="00895D0B" w:rsidRDefault="009B395C" w:rsidP="006B68B5">
            <w:pPr>
              <w:rPr>
                <w:rFonts w:cs="Times New Roman"/>
                <w:color w:val="000000" w:themeColor="text1"/>
                <w:szCs w:val="24"/>
              </w:rPr>
            </w:pPr>
            <w:r w:rsidRPr="00895D0B">
              <w:rPr>
                <w:rFonts w:cs="Times New Roman"/>
                <w:color w:val="000000" w:themeColor="text1"/>
                <w:szCs w:val="24"/>
              </w:rPr>
              <w:t>Food and Agriculture Sector Development Policy</w:t>
            </w:r>
          </w:p>
        </w:tc>
      </w:tr>
      <w:tr w:rsidR="00895D0B" w:rsidRPr="00895D0B" w14:paraId="5052B121" w14:textId="77777777" w:rsidTr="008C40FD">
        <w:tc>
          <w:tcPr>
            <w:tcW w:w="2830" w:type="dxa"/>
          </w:tcPr>
          <w:p w14:paraId="0F8887A8" w14:textId="04B7F366" w:rsidR="00881738" w:rsidRPr="00895D0B" w:rsidRDefault="009B395C" w:rsidP="00EB6E61">
            <w:pPr>
              <w:spacing w:line="360" w:lineRule="auto"/>
              <w:rPr>
                <w:rFonts w:cs="Times New Roman"/>
                <w:color w:val="000000" w:themeColor="text1"/>
                <w:szCs w:val="24"/>
              </w:rPr>
            </w:pPr>
            <w:r w:rsidRPr="00895D0B">
              <w:rPr>
                <w:rFonts w:cs="Times New Roman"/>
                <w:color w:val="000000" w:themeColor="text1"/>
                <w:szCs w:val="24"/>
                <w:lang w:val="en-US"/>
              </w:rPr>
              <w:t>GHS</w:t>
            </w:r>
          </w:p>
        </w:tc>
        <w:tc>
          <w:tcPr>
            <w:tcW w:w="6237" w:type="dxa"/>
          </w:tcPr>
          <w:p w14:paraId="03C8FB05" w14:textId="20013047" w:rsidR="00881738" w:rsidRPr="00895D0B" w:rsidRDefault="009B395C">
            <w:pPr>
              <w:spacing w:line="360" w:lineRule="auto"/>
              <w:rPr>
                <w:rFonts w:cs="Times New Roman"/>
                <w:color w:val="000000" w:themeColor="text1"/>
                <w:szCs w:val="24"/>
              </w:rPr>
            </w:pPr>
            <w:r w:rsidRPr="00895D0B">
              <w:rPr>
                <w:rFonts w:cs="Times New Roman"/>
                <w:color w:val="000000" w:themeColor="text1"/>
                <w:szCs w:val="24"/>
              </w:rPr>
              <w:t>Ghana Cedis</w:t>
            </w:r>
            <w:r w:rsidRPr="00895D0B" w:rsidDel="003614C6">
              <w:rPr>
                <w:rFonts w:cs="Times New Roman"/>
                <w:color w:val="000000" w:themeColor="text1"/>
                <w:szCs w:val="24"/>
                <w:lang w:val="en-US"/>
              </w:rPr>
              <w:t xml:space="preserve"> </w:t>
            </w:r>
          </w:p>
        </w:tc>
      </w:tr>
      <w:tr w:rsidR="00895D0B" w:rsidRPr="00895D0B" w14:paraId="4B6C0736" w14:textId="77777777" w:rsidTr="008C40FD">
        <w:tc>
          <w:tcPr>
            <w:tcW w:w="2830" w:type="dxa"/>
          </w:tcPr>
          <w:p w14:paraId="0F620F51" w14:textId="3D2EBAE6" w:rsidR="00881738" w:rsidRPr="00895D0B" w:rsidRDefault="009B395C">
            <w:pPr>
              <w:spacing w:line="360" w:lineRule="auto"/>
              <w:rPr>
                <w:rFonts w:cs="Times New Roman"/>
                <w:color w:val="000000" w:themeColor="text1"/>
                <w:szCs w:val="24"/>
                <w:lang w:val="en-US"/>
              </w:rPr>
            </w:pPr>
            <w:r w:rsidRPr="00895D0B">
              <w:rPr>
                <w:rFonts w:cs="Times New Roman"/>
                <w:color w:val="000000" w:themeColor="text1"/>
                <w:szCs w:val="24"/>
                <w:lang w:val="en-US"/>
              </w:rPr>
              <w:t>GPS</w:t>
            </w:r>
          </w:p>
        </w:tc>
        <w:tc>
          <w:tcPr>
            <w:tcW w:w="6237" w:type="dxa"/>
          </w:tcPr>
          <w:p w14:paraId="3FF23F1D" w14:textId="44C4D6BB" w:rsidR="00881738" w:rsidRPr="00895D0B" w:rsidRDefault="009B395C">
            <w:pPr>
              <w:spacing w:line="360" w:lineRule="auto"/>
              <w:rPr>
                <w:rFonts w:cs="Times New Roman"/>
                <w:color w:val="000000" w:themeColor="text1"/>
                <w:szCs w:val="24"/>
                <w:lang w:val="en-US"/>
              </w:rPr>
            </w:pPr>
            <w:r w:rsidRPr="00895D0B">
              <w:rPr>
                <w:rFonts w:cs="Times New Roman"/>
                <w:color w:val="000000" w:themeColor="text1"/>
                <w:szCs w:val="24"/>
              </w:rPr>
              <w:t>Global Positioning System</w:t>
            </w:r>
            <w:r w:rsidRPr="00895D0B" w:rsidDel="003614C6">
              <w:rPr>
                <w:rFonts w:cs="Times New Roman"/>
                <w:color w:val="000000" w:themeColor="text1"/>
                <w:szCs w:val="24"/>
                <w:lang w:val="en-US"/>
              </w:rPr>
              <w:t xml:space="preserve"> </w:t>
            </w:r>
          </w:p>
        </w:tc>
      </w:tr>
      <w:tr w:rsidR="00895D0B" w:rsidRPr="00895D0B" w14:paraId="6EC57026" w14:textId="77777777" w:rsidTr="008C40FD">
        <w:tc>
          <w:tcPr>
            <w:tcW w:w="2830" w:type="dxa"/>
          </w:tcPr>
          <w:p w14:paraId="0A5D8DFE" w14:textId="052BC0A8" w:rsidR="00881738" w:rsidRPr="00895D0B" w:rsidRDefault="009B395C">
            <w:pPr>
              <w:spacing w:line="360" w:lineRule="auto"/>
              <w:rPr>
                <w:rFonts w:cs="Times New Roman"/>
                <w:color w:val="000000" w:themeColor="text1"/>
                <w:szCs w:val="24"/>
                <w:lang w:val="en-US"/>
              </w:rPr>
            </w:pPr>
            <w:r w:rsidRPr="00895D0B">
              <w:rPr>
                <w:rFonts w:cs="Times New Roman"/>
                <w:color w:val="000000" w:themeColor="text1"/>
                <w:szCs w:val="24"/>
                <w:lang w:val="en-US"/>
              </w:rPr>
              <w:t>KII</w:t>
            </w:r>
          </w:p>
        </w:tc>
        <w:tc>
          <w:tcPr>
            <w:tcW w:w="6237" w:type="dxa"/>
          </w:tcPr>
          <w:p w14:paraId="421D07EA" w14:textId="7A8AA24D" w:rsidR="00881738" w:rsidRPr="00895D0B" w:rsidRDefault="009B395C">
            <w:pPr>
              <w:spacing w:line="360" w:lineRule="auto"/>
              <w:rPr>
                <w:rFonts w:cs="Times New Roman"/>
                <w:color w:val="000000" w:themeColor="text1"/>
                <w:szCs w:val="24"/>
                <w:lang w:val="en-US"/>
              </w:rPr>
            </w:pPr>
            <w:r w:rsidRPr="00895D0B">
              <w:rPr>
                <w:rFonts w:cs="Times New Roman"/>
                <w:color w:val="000000" w:themeColor="text1"/>
                <w:szCs w:val="24"/>
              </w:rPr>
              <w:t>Key Informants Interview</w:t>
            </w:r>
            <w:r w:rsidRPr="00895D0B" w:rsidDel="003614C6">
              <w:rPr>
                <w:rFonts w:cs="Times New Roman"/>
                <w:color w:val="000000" w:themeColor="text1"/>
                <w:szCs w:val="24"/>
                <w:lang w:val="en-US"/>
              </w:rPr>
              <w:t xml:space="preserve"> </w:t>
            </w:r>
          </w:p>
        </w:tc>
      </w:tr>
      <w:tr w:rsidR="00895D0B" w:rsidRPr="00895D0B" w14:paraId="1753012C" w14:textId="77777777" w:rsidTr="008C40FD">
        <w:tc>
          <w:tcPr>
            <w:tcW w:w="2830" w:type="dxa"/>
          </w:tcPr>
          <w:p w14:paraId="276C6156" w14:textId="338169CC" w:rsidR="00881738" w:rsidRPr="00895D0B" w:rsidRDefault="009B395C">
            <w:pPr>
              <w:spacing w:line="360" w:lineRule="auto"/>
              <w:rPr>
                <w:rFonts w:cs="Times New Roman"/>
                <w:color w:val="000000" w:themeColor="text1"/>
                <w:szCs w:val="24"/>
                <w:lang w:val="en-US"/>
              </w:rPr>
            </w:pPr>
            <w:r w:rsidRPr="00895D0B">
              <w:rPr>
                <w:rFonts w:cs="Times New Roman"/>
                <w:color w:val="000000" w:themeColor="text1"/>
                <w:szCs w:val="24"/>
                <w:lang w:val="en-US"/>
              </w:rPr>
              <w:t>LUSPA</w:t>
            </w:r>
          </w:p>
        </w:tc>
        <w:tc>
          <w:tcPr>
            <w:tcW w:w="6237" w:type="dxa"/>
          </w:tcPr>
          <w:p w14:paraId="03DED9B7" w14:textId="06C47A79" w:rsidR="00881738" w:rsidRPr="00895D0B" w:rsidRDefault="009B395C">
            <w:pPr>
              <w:spacing w:line="360" w:lineRule="auto"/>
              <w:rPr>
                <w:rFonts w:cs="Times New Roman"/>
                <w:color w:val="000000" w:themeColor="text1"/>
                <w:szCs w:val="24"/>
                <w:lang w:val="en-US"/>
              </w:rPr>
            </w:pPr>
            <w:r w:rsidRPr="00895D0B">
              <w:rPr>
                <w:rFonts w:cs="Times New Roman"/>
                <w:color w:val="000000" w:themeColor="text1"/>
                <w:szCs w:val="24"/>
              </w:rPr>
              <w:t>Land Use and Spatial Planning Authority</w:t>
            </w:r>
            <w:r w:rsidRPr="00895D0B" w:rsidDel="003614C6">
              <w:rPr>
                <w:rFonts w:cs="Times New Roman"/>
                <w:color w:val="000000" w:themeColor="text1"/>
                <w:szCs w:val="24"/>
                <w:lang w:val="en-US"/>
              </w:rPr>
              <w:t xml:space="preserve"> </w:t>
            </w:r>
          </w:p>
        </w:tc>
      </w:tr>
      <w:tr w:rsidR="00895D0B" w:rsidRPr="00895D0B" w14:paraId="15B17D70" w14:textId="77777777" w:rsidTr="008C40FD">
        <w:tc>
          <w:tcPr>
            <w:tcW w:w="2830" w:type="dxa"/>
          </w:tcPr>
          <w:p w14:paraId="6660B798" w14:textId="3A9B32BF" w:rsidR="00881738" w:rsidRPr="00895D0B" w:rsidRDefault="009B395C">
            <w:pPr>
              <w:spacing w:line="360" w:lineRule="auto"/>
              <w:rPr>
                <w:rFonts w:cs="Times New Roman"/>
                <w:color w:val="000000" w:themeColor="text1"/>
                <w:szCs w:val="24"/>
                <w:lang w:val="en-US"/>
              </w:rPr>
            </w:pPr>
            <w:r w:rsidRPr="00895D0B">
              <w:rPr>
                <w:rFonts w:cs="Times New Roman"/>
                <w:color w:val="000000" w:themeColor="text1"/>
                <w:szCs w:val="24"/>
                <w:lang w:val="en-US"/>
              </w:rPr>
              <w:t>MDAs</w:t>
            </w:r>
          </w:p>
        </w:tc>
        <w:tc>
          <w:tcPr>
            <w:tcW w:w="6237" w:type="dxa"/>
          </w:tcPr>
          <w:p w14:paraId="27702E6B" w14:textId="6EF6AB77" w:rsidR="00881738" w:rsidRPr="00895D0B" w:rsidRDefault="009B395C">
            <w:pPr>
              <w:spacing w:line="360" w:lineRule="auto"/>
              <w:rPr>
                <w:rFonts w:cs="Times New Roman"/>
                <w:color w:val="000000" w:themeColor="text1"/>
                <w:szCs w:val="24"/>
                <w:lang w:val="en-US"/>
              </w:rPr>
            </w:pPr>
            <w:r w:rsidRPr="00895D0B">
              <w:rPr>
                <w:rFonts w:cs="Times New Roman"/>
                <w:color w:val="000000" w:themeColor="text1"/>
                <w:szCs w:val="24"/>
              </w:rPr>
              <w:t>Municipal and District Assemblies</w:t>
            </w:r>
            <w:r w:rsidRPr="00895D0B" w:rsidDel="003614C6">
              <w:rPr>
                <w:rFonts w:cs="Times New Roman"/>
                <w:color w:val="000000" w:themeColor="text1"/>
                <w:szCs w:val="24"/>
                <w:lang w:val="en-US"/>
              </w:rPr>
              <w:t xml:space="preserve"> </w:t>
            </w:r>
          </w:p>
        </w:tc>
      </w:tr>
      <w:tr w:rsidR="00895D0B" w:rsidRPr="00895D0B" w14:paraId="37735D59" w14:textId="77777777" w:rsidTr="008C40FD">
        <w:tc>
          <w:tcPr>
            <w:tcW w:w="2830" w:type="dxa"/>
          </w:tcPr>
          <w:p w14:paraId="5525FEDD" w14:textId="081CEB85" w:rsidR="00881738" w:rsidRPr="00895D0B" w:rsidRDefault="009B395C">
            <w:pPr>
              <w:spacing w:line="360" w:lineRule="auto"/>
              <w:rPr>
                <w:rFonts w:cs="Times New Roman"/>
                <w:color w:val="000000" w:themeColor="text1"/>
                <w:szCs w:val="24"/>
                <w:lang w:val="en-US"/>
              </w:rPr>
            </w:pPr>
            <w:r w:rsidRPr="00895D0B">
              <w:rPr>
                <w:rFonts w:cs="Times New Roman"/>
                <w:color w:val="000000" w:themeColor="text1"/>
                <w:szCs w:val="24"/>
                <w:lang w:val="en-US"/>
              </w:rPr>
              <w:t>MDG</w:t>
            </w:r>
          </w:p>
        </w:tc>
        <w:tc>
          <w:tcPr>
            <w:tcW w:w="6237" w:type="dxa"/>
          </w:tcPr>
          <w:p w14:paraId="2DAF4193" w14:textId="58840762" w:rsidR="00881738" w:rsidRPr="00895D0B" w:rsidRDefault="009B395C" w:rsidP="006B68B5">
            <w:pPr>
              <w:rPr>
                <w:rFonts w:cs="Times New Roman"/>
                <w:color w:val="000000" w:themeColor="text1"/>
                <w:szCs w:val="24"/>
              </w:rPr>
            </w:pPr>
            <w:r w:rsidRPr="00895D0B">
              <w:rPr>
                <w:rFonts w:cs="Times New Roman"/>
                <w:color w:val="000000" w:themeColor="text1"/>
                <w:szCs w:val="24"/>
              </w:rPr>
              <w:t>Millennium Development Goals</w:t>
            </w:r>
          </w:p>
        </w:tc>
      </w:tr>
      <w:tr w:rsidR="00895D0B" w:rsidRPr="00895D0B" w14:paraId="734B99CB" w14:textId="77777777" w:rsidTr="008C40FD">
        <w:tc>
          <w:tcPr>
            <w:tcW w:w="2830" w:type="dxa"/>
          </w:tcPr>
          <w:p w14:paraId="5FD0FAF8" w14:textId="5C1C3209"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MESTI</w:t>
            </w:r>
          </w:p>
        </w:tc>
        <w:tc>
          <w:tcPr>
            <w:tcW w:w="6237" w:type="dxa"/>
          </w:tcPr>
          <w:p w14:paraId="6F38DB8D" w14:textId="40B871A4"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Ministry of Environment, Science and, Technology and Innovation</w:t>
            </w:r>
            <w:r w:rsidRPr="00895D0B" w:rsidDel="003614C6">
              <w:rPr>
                <w:rFonts w:cs="Times New Roman"/>
                <w:color w:val="000000" w:themeColor="text1"/>
                <w:szCs w:val="24"/>
              </w:rPr>
              <w:t xml:space="preserve"> </w:t>
            </w:r>
          </w:p>
        </w:tc>
      </w:tr>
      <w:tr w:rsidR="00895D0B" w:rsidRPr="00895D0B" w14:paraId="48968241" w14:textId="77777777" w:rsidTr="008C40FD">
        <w:tc>
          <w:tcPr>
            <w:tcW w:w="2830" w:type="dxa"/>
          </w:tcPr>
          <w:p w14:paraId="3657FE67" w14:textId="4E94A9E6"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METASIP</w:t>
            </w:r>
          </w:p>
        </w:tc>
        <w:tc>
          <w:tcPr>
            <w:tcW w:w="6237" w:type="dxa"/>
          </w:tcPr>
          <w:p w14:paraId="68C7806B" w14:textId="3846C4C8" w:rsidR="00881738" w:rsidRPr="00895D0B" w:rsidRDefault="000442E3" w:rsidP="006B68B5">
            <w:pPr>
              <w:rPr>
                <w:rFonts w:cs="Times New Roman"/>
                <w:color w:val="000000" w:themeColor="text1"/>
                <w:szCs w:val="24"/>
              </w:rPr>
            </w:pPr>
            <w:r w:rsidRPr="00895D0B">
              <w:rPr>
                <w:rFonts w:cs="Times New Roman"/>
                <w:color w:val="000000" w:themeColor="text1"/>
                <w:szCs w:val="24"/>
              </w:rPr>
              <w:t>Medium-Term Agricultural Sector Investment Plan</w:t>
            </w:r>
          </w:p>
        </w:tc>
      </w:tr>
      <w:tr w:rsidR="00895D0B" w:rsidRPr="00895D0B" w14:paraId="0EBD3E86" w14:textId="77777777" w:rsidTr="008C40FD">
        <w:tc>
          <w:tcPr>
            <w:tcW w:w="2830" w:type="dxa"/>
          </w:tcPr>
          <w:p w14:paraId="510FDB58" w14:textId="0DF7F989"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MMDAs</w:t>
            </w:r>
          </w:p>
        </w:tc>
        <w:tc>
          <w:tcPr>
            <w:tcW w:w="6237" w:type="dxa"/>
          </w:tcPr>
          <w:p w14:paraId="685E8FBD" w14:textId="7D2CBE2E" w:rsidR="00881738" w:rsidRPr="00895D0B" w:rsidRDefault="000442E3" w:rsidP="006B68B5">
            <w:pPr>
              <w:tabs>
                <w:tab w:val="left" w:pos="1725"/>
              </w:tabs>
              <w:spacing w:line="360" w:lineRule="auto"/>
              <w:rPr>
                <w:rFonts w:cs="Times New Roman"/>
                <w:color w:val="000000" w:themeColor="text1"/>
                <w:szCs w:val="24"/>
                <w:lang w:val="en-US"/>
              </w:rPr>
            </w:pPr>
            <w:r w:rsidRPr="00895D0B">
              <w:rPr>
                <w:rFonts w:cs="Times New Roman"/>
                <w:color w:val="000000" w:themeColor="text1"/>
                <w:szCs w:val="24"/>
              </w:rPr>
              <w:t>Metropolitan, Municipal, and District Assemblies</w:t>
            </w:r>
          </w:p>
        </w:tc>
      </w:tr>
      <w:tr w:rsidR="00895D0B" w:rsidRPr="00895D0B" w14:paraId="2C648D0C" w14:textId="77777777" w:rsidTr="008C40FD">
        <w:tc>
          <w:tcPr>
            <w:tcW w:w="2830" w:type="dxa"/>
          </w:tcPr>
          <w:p w14:paraId="0D144DA2" w14:textId="3888DA81"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MoFA</w:t>
            </w:r>
          </w:p>
        </w:tc>
        <w:tc>
          <w:tcPr>
            <w:tcW w:w="6237" w:type="dxa"/>
          </w:tcPr>
          <w:p w14:paraId="5EF3071B" w14:textId="4F1D2A8B"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Ministry of Food and Agriculture</w:t>
            </w:r>
            <w:r w:rsidRPr="00895D0B" w:rsidDel="000442E3">
              <w:rPr>
                <w:rFonts w:cs="Times New Roman"/>
                <w:color w:val="000000" w:themeColor="text1"/>
                <w:szCs w:val="24"/>
              </w:rPr>
              <w:t xml:space="preserve"> </w:t>
            </w:r>
          </w:p>
        </w:tc>
      </w:tr>
      <w:tr w:rsidR="00895D0B" w:rsidRPr="00895D0B" w14:paraId="2EF1DBB1" w14:textId="77777777" w:rsidTr="008C40FD">
        <w:tc>
          <w:tcPr>
            <w:tcW w:w="2830" w:type="dxa"/>
          </w:tcPr>
          <w:p w14:paraId="2883D0F7" w14:textId="2CF605EA"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N</w:t>
            </w:r>
          </w:p>
        </w:tc>
        <w:tc>
          <w:tcPr>
            <w:tcW w:w="6237" w:type="dxa"/>
          </w:tcPr>
          <w:p w14:paraId="63F451C5" w14:textId="754DBFAA"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 xml:space="preserve">Number </w:t>
            </w:r>
          </w:p>
        </w:tc>
      </w:tr>
      <w:tr w:rsidR="00895D0B" w:rsidRPr="00895D0B" w14:paraId="231F62FF" w14:textId="77777777" w:rsidTr="008C40FD">
        <w:tc>
          <w:tcPr>
            <w:tcW w:w="2830" w:type="dxa"/>
          </w:tcPr>
          <w:p w14:paraId="0F85E913" w14:textId="42BEDEE9"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NAP</w:t>
            </w:r>
          </w:p>
        </w:tc>
        <w:tc>
          <w:tcPr>
            <w:tcW w:w="6237" w:type="dxa"/>
          </w:tcPr>
          <w:p w14:paraId="1F4B343A" w14:textId="2F7A57C1"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National Adaptation Plan</w:t>
            </w:r>
            <w:r w:rsidRPr="00895D0B" w:rsidDel="000442E3">
              <w:rPr>
                <w:rFonts w:cs="Times New Roman"/>
                <w:color w:val="000000" w:themeColor="text1"/>
                <w:szCs w:val="24"/>
              </w:rPr>
              <w:t xml:space="preserve"> </w:t>
            </w:r>
          </w:p>
        </w:tc>
      </w:tr>
      <w:tr w:rsidR="00895D0B" w:rsidRPr="00895D0B" w14:paraId="5E159DE9" w14:textId="77777777" w:rsidTr="008C40FD">
        <w:tc>
          <w:tcPr>
            <w:tcW w:w="2830" w:type="dxa"/>
          </w:tcPr>
          <w:p w14:paraId="0625A6E2" w14:textId="77777777" w:rsidR="00881738" w:rsidRPr="00895D0B" w:rsidRDefault="00881738">
            <w:pPr>
              <w:spacing w:line="360" w:lineRule="auto"/>
              <w:rPr>
                <w:rFonts w:cs="Times New Roman"/>
                <w:color w:val="000000" w:themeColor="text1"/>
                <w:szCs w:val="24"/>
                <w:lang w:val="en-US"/>
              </w:rPr>
            </w:pPr>
            <w:r w:rsidRPr="00895D0B">
              <w:rPr>
                <w:rFonts w:cs="Times New Roman"/>
                <w:color w:val="000000" w:themeColor="text1"/>
                <w:szCs w:val="24"/>
              </w:rPr>
              <w:t>NAPF</w:t>
            </w:r>
          </w:p>
        </w:tc>
        <w:tc>
          <w:tcPr>
            <w:tcW w:w="6237" w:type="dxa"/>
          </w:tcPr>
          <w:p w14:paraId="6D7FE233" w14:textId="0385490E"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National Adaptation Plan Framework</w:t>
            </w:r>
            <w:r w:rsidRPr="00895D0B" w:rsidDel="000442E3">
              <w:rPr>
                <w:rFonts w:cs="Times New Roman"/>
                <w:color w:val="000000" w:themeColor="text1"/>
                <w:szCs w:val="24"/>
              </w:rPr>
              <w:t xml:space="preserve"> </w:t>
            </w:r>
          </w:p>
        </w:tc>
      </w:tr>
      <w:tr w:rsidR="00895D0B" w:rsidRPr="00895D0B" w14:paraId="6B723E54" w14:textId="77777777" w:rsidTr="008C40FD">
        <w:tc>
          <w:tcPr>
            <w:tcW w:w="2830" w:type="dxa"/>
          </w:tcPr>
          <w:p w14:paraId="7E57D652" w14:textId="2B504B92"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NCCAS</w:t>
            </w:r>
          </w:p>
        </w:tc>
        <w:tc>
          <w:tcPr>
            <w:tcW w:w="6237" w:type="dxa"/>
          </w:tcPr>
          <w:p w14:paraId="0AC61076" w14:textId="426FDD55"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National Climate Change Adaptation Strategy</w:t>
            </w:r>
            <w:r w:rsidRPr="00895D0B" w:rsidDel="000442E3">
              <w:rPr>
                <w:rFonts w:cs="Times New Roman"/>
                <w:color w:val="000000" w:themeColor="text1"/>
                <w:szCs w:val="24"/>
              </w:rPr>
              <w:t xml:space="preserve"> </w:t>
            </w:r>
          </w:p>
        </w:tc>
      </w:tr>
      <w:tr w:rsidR="00895D0B" w:rsidRPr="00895D0B" w14:paraId="54FCD780" w14:textId="77777777" w:rsidTr="008C40FD">
        <w:tc>
          <w:tcPr>
            <w:tcW w:w="2830" w:type="dxa"/>
          </w:tcPr>
          <w:p w14:paraId="18CE16F4" w14:textId="588ACFAF"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NCCP</w:t>
            </w:r>
          </w:p>
        </w:tc>
        <w:tc>
          <w:tcPr>
            <w:tcW w:w="6237" w:type="dxa"/>
          </w:tcPr>
          <w:p w14:paraId="35533AA0" w14:textId="604E4331"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National Climate Change Policy</w:t>
            </w:r>
            <w:r w:rsidRPr="00895D0B" w:rsidDel="000442E3">
              <w:rPr>
                <w:rFonts w:cs="Times New Roman"/>
                <w:color w:val="000000" w:themeColor="text1"/>
                <w:szCs w:val="24"/>
              </w:rPr>
              <w:t xml:space="preserve"> </w:t>
            </w:r>
          </w:p>
        </w:tc>
      </w:tr>
      <w:tr w:rsidR="00895D0B" w:rsidRPr="00895D0B" w14:paraId="34D33A4B" w14:textId="77777777" w:rsidTr="008C40FD">
        <w:tc>
          <w:tcPr>
            <w:tcW w:w="2830" w:type="dxa"/>
          </w:tcPr>
          <w:p w14:paraId="02E43F5E" w14:textId="77777777" w:rsidR="00881738" w:rsidRPr="00895D0B" w:rsidRDefault="00881738">
            <w:pPr>
              <w:spacing w:line="360" w:lineRule="auto"/>
              <w:rPr>
                <w:rFonts w:cs="Times New Roman"/>
                <w:color w:val="000000" w:themeColor="text1"/>
                <w:szCs w:val="24"/>
                <w:lang w:val="en-US"/>
              </w:rPr>
            </w:pPr>
            <w:r w:rsidRPr="00895D0B">
              <w:rPr>
                <w:rFonts w:cs="Times New Roman"/>
                <w:color w:val="000000" w:themeColor="text1"/>
                <w:szCs w:val="24"/>
              </w:rPr>
              <w:t>NDC</w:t>
            </w:r>
          </w:p>
        </w:tc>
        <w:tc>
          <w:tcPr>
            <w:tcW w:w="6237" w:type="dxa"/>
          </w:tcPr>
          <w:p w14:paraId="095FA1EA" w14:textId="357487BE" w:rsidR="00881738" w:rsidRPr="00895D0B" w:rsidRDefault="000442E3" w:rsidP="006B68B5">
            <w:pPr>
              <w:rPr>
                <w:rFonts w:cs="Times New Roman"/>
                <w:color w:val="000000" w:themeColor="text1"/>
                <w:szCs w:val="24"/>
              </w:rPr>
            </w:pPr>
            <w:r w:rsidRPr="00895D0B">
              <w:rPr>
                <w:rFonts w:cs="Times New Roman"/>
                <w:color w:val="000000" w:themeColor="text1"/>
                <w:szCs w:val="24"/>
              </w:rPr>
              <w:t>National Development Commission</w:t>
            </w:r>
          </w:p>
        </w:tc>
      </w:tr>
      <w:tr w:rsidR="00895D0B" w:rsidRPr="00895D0B" w14:paraId="26B4DABD" w14:textId="77777777" w:rsidTr="008C40FD">
        <w:tc>
          <w:tcPr>
            <w:tcW w:w="2830" w:type="dxa"/>
          </w:tcPr>
          <w:p w14:paraId="26702721" w14:textId="52884ECD"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NDCs</w:t>
            </w:r>
          </w:p>
        </w:tc>
        <w:tc>
          <w:tcPr>
            <w:tcW w:w="6237" w:type="dxa"/>
          </w:tcPr>
          <w:p w14:paraId="3799EA0E" w14:textId="13CC4460" w:rsidR="00881738" w:rsidRPr="00895D0B" w:rsidRDefault="000442E3" w:rsidP="006B68B5">
            <w:pPr>
              <w:rPr>
                <w:rFonts w:cs="Times New Roman"/>
                <w:color w:val="000000" w:themeColor="text1"/>
                <w:szCs w:val="24"/>
                <w:lang w:val="en-US"/>
              </w:rPr>
            </w:pPr>
            <w:r w:rsidRPr="00895D0B">
              <w:rPr>
                <w:rFonts w:cs="Times New Roman"/>
                <w:color w:val="000000" w:themeColor="text1"/>
                <w:szCs w:val="24"/>
              </w:rPr>
              <w:t>Nationally Determined Contributions</w:t>
            </w:r>
          </w:p>
        </w:tc>
      </w:tr>
      <w:tr w:rsidR="00895D0B" w:rsidRPr="00895D0B" w14:paraId="7A93786A" w14:textId="77777777" w:rsidTr="008C40FD">
        <w:tc>
          <w:tcPr>
            <w:tcW w:w="2830" w:type="dxa"/>
          </w:tcPr>
          <w:p w14:paraId="033856EF" w14:textId="1E67C02A" w:rsidR="00881738" w:rsidRPr="00895D0B" w:rsidRDefault="000442E3">
            <w:pPr>
              <w:spacing w:line="360" w:lineRule="auto"/>
              <w:rPr>
                <w:rFonts w:cs="Times New Roman"/>
                <w:color w:val="000000" w:themeColor="text1"/>
                <w:szCs w:val="24"/>
                <w:lang w:val="en-US"/>
              </w:rPr>
            </w:pPr>
            <w:r w:rsidRPr="00895D0B">
              <w:rPr>
                <w:rFonts w:eastAsia="Times New Roman" w:cs="Times New Roman"/>
                <w:color w:val="000000" w:themeColor="text1"/>
                <w:szCs w:val="24"/>
                <w:lang w:val="en-US"/>
              </w:rPr>
              <w:t>NETW</w:t>
            </w:r>
            <w:r w:rsidRPr="00895D0B" w:rsidDel="000442E3">
              <w:rPr>
                <w:rFonts w:cs="Times New Roman"/>
                <w:color w:val="000000" w:themeColor="text1"/>
                <w:szCs w:val="24"/>
                <w:lang w:val="en-US"/>
              </w:rPr>
              <w:t xml:space="preserve"> </w:t>
            </w:r>
          </w:p>
        </w:tc>
        <w:tc>
          <w:tcPr>
            <w:tcW w:w="6237" w:type="dxa"/>
          </w:tcPr>
          <w:p w14:paraId="236BD33C" w14:textId="0D43C1F5"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North-East Trade Wind</w:t>
            </w:r>
          </w:p>
        </w:tc>
      </w:tr>
      <w:tr w:rsidR="00895D0B" w:rsidRPr="00895D0B" w14:paraId="270FC822" w14:textId="77777777" w:rsidTr="008C40FD">
        <w:tc>
          <w:tcPr>
            <w:tcW w:w="2830" w:type="dxa"/>
          </w:tcPr>
          <w:p w14:paraId="067F86A1" w14:textId="7B749E68" w:rsidR="00881738" w:rsidRPr="00895D0B" w:rsidRDefault="000442E3">
            <w:pPr>
              <w:spacing w:line="360" w:lineRule="auto"/>
              <w:rPr>
                <w:rFonts w:cs="Times New Roman"/>
                <w:color w:val="000000" w:themeColor="text1"/>
                <w:szCs w:val="24"/>
                <w:lang w:val="en-US"/>
              </w:rPr>
            </w:pPr>
            <w:r w:rsidRPr="00895D0B">
              <w:rPr>
                <w:rFonts w:eastAsia="Times New Roman" w:cs="Times New Roman"/>
                <w:color w:val="000000" w:themeColor="text1"/>
                <w:szCs w:val="24"/>
                <w:lang w:val="en-US"/>
              </w:rPr>
              <w:t>NGOs</w:t>
            </w:r>
          </w:p>
        </w:tc>
        <w:tc>
          <w:tcPr>
            <w:tcW w:w="6237" w:type="dxa"/>
          </w:tcPr>
          <w:p w14:paraId="655C7560" w14:textId="43EDE3C8"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Non-Governmental Organizations</w:t>
            </w:r>
            <w:r w:rsidRPr="00895D0B" w:rsidDel="000442E3">
              <w:rPr>
                <w:rFonts w:eastAsia="Times New Roman" w:cs="Times New Roman"/>
                <w:color w:val="000000" w:themeColor="text1"/>
                <w:szCs w:val="24"/>
                <w:lang w:val="en-US"/>
              </w:rPr>
              <w:t xml:space="preserve"> </w:t>
            </w:r>
          </w:p>
        </w:tc>
      </w:tr>
      <w:tr w:rsidR="00895D0B" w:rsidRPr="00895D0B" w14:paraId="21F7745C" w14:textId="77777777" w:rsidTr="008C40FD">
        <w:tc>
          <w:tcPr>
            <w:tcW w:w="2830" w:type="dxa"/>
          </w:tcPr>
          <w:p w14:paraId="237D752E" w14:textId="18484DFE"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PAPI</w:t>
            </w:r>
            <w:r w:rsidRPr="00895D0B" w:rsidDel="000442E3">
              <w:rPr>
                <w:rFonts w:eastAsia="Times New Roman" w:cs="Times New Roman"/>
                <w:color w:val="000000" w:themeColor="text1"/>
                <w:szCs w:val="24"/>
                <w:lang w:val="en-US"/>
              </w:rPr>
              <w:t xml:space="preserve"> </w:t>
            </w:r>
          </w:p>
        </w:tc>
        <w:tc>
          <w:tcPr>
            <w:tcW w:w="6237" w:type="dxa"/>
          </w:tcPr>
          <w:p w14:paraId="1F051B5D" w14:textId="28E4D70D"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Paper Assisted Interviewing</w:t>
            </w:r>
            <w:r w:rsidRPr="00895D0B" w:rsidDel="000442E3">
              <w:rPr>
                <w:rFonts w:eastAsia="Times New Roman" w:cs="Times New Roman"/>
                <w:color w:val="000000" w:themeColor="text1"/>
                <w:szCs w:val="24"/>
                <w:lang w:val="en-US"/>
              </w:rPr>
              <w:t xml:space="preserve"> </w:t>
            </w:r>
          </w:p>
        </w:tc>
      </w:tr>
      <w:tr w:rsidR="00895D0B" w:rsidRPr="00895D0B" w14:paraId="7ED89495" w14:textId="77777777" w:rsidTr="008C40FD">
        <w:tc>
          <w:tcPr>
            <w:tcW w:w="2830" w:type="dxa"/>
          </w:tcPr>
          <w:p w14:paraId="2D37C264" w14:textId="6E1AD607"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lang w:val="en-US"/>
              </w:rPr>
              <w:t>PFJ</w:t>
            </w:r>
          </w:p>
        </w:tc>
        <w:tc>
          <w:tcPr>
            <w:tcW w:w="6237" w:type="dxa"/>
          </w:tcPr>
          <w:p w14:paraId="4F294F6B" w14:textId="1691AF40" w:rsidR="00881738" w:rsidRPr="00895D0B" w:rsidRDefault="000442E3" w:rsidP="006B68B5">
            <w:pPr>
              <w:rPr>
                <w:rFonts w:cs="Times New Roman"/>
                <w:color w:val="000000" w:themeColor="text1"/>
                <w:szCs w:val="24"/>
              </w:rPr>
            </w:pPr>
            <w:r w:rsidRPr="00895D0B">
              <w:rPr>
                <w:rFonts w:cs="Times New Roman"/>
                <w:color w:val="000000" w:themeColor="text1"/>
                <w:szCs w:val="24"/>
              </w:rPr>
              <w:t>Planting for Food and Jobs</w:t>
            </w:r>
          </w:p>
        </w:tc>
      </w:tr>
      <w:tr w:rsidR="00895D0B" w:rsidRPr="00895D0B" w14:paraId="40EA84FC" w14:textId="77777777" w:rsidTr="008C40FD">
        <w:tc>
          <w:tcPr>
            <w:tcW w:w="2830" w:type="dxa"/>
          </w:tcPr>
          <w:p w14:paraId="55C91ABA" w14:textId="6DFCE285"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lang w:val="en-US"/>
              </w:rPr>
              <w:lastRenderedPageBreak/>
              <w:t>SDD-UBIDS</w:t>
            </w:r>
            <w:r w:rsidRPr="00895D0B" w:rsidDel="000442E3">
              <w:rPr>
                <w:rFonts w:cs="Times New Roman"/>
                <w:color w:val="000000" w:themeColor="text1"/>
                <w:szCs w:val="24"/>
                <w:lang w:val="en-US"/>
              </w:rPr>
              <w:t xml:space="preserve"> </w:t>
            </w:r>
          </w:p>
        </w:tc>
        <w:tc>
          <w:tcPr>
            <w:tcW w:w="6237" w:type="dxa"/>
          </w:tcPr>
          <w:p w14:paraId="1F13427D" w14:textId="198AF1F8"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lang w:val="en-US"/>
              </w:rPr>
              <w:t>Simon Diedong Dombo University of Business and Integrated Development Studies</w:t>
            </w:r>
            <w:r w:rsidRPr="00895D0B" w:rsidDel="000442E3">
              <w:rPr>
                <w:rFonts w:cs="Times New Roman"/>
                <w:color w:val="000000" w:themeColor="text1"/>
                <w:szCs w:val="24"/>
                <w:lang w:val="en-US"/>
              </w:rPr>
              <w:t xml:space="preserve"> </w:t>
            </w:r>
          </w:p>
        </w:tc>
      </w:tr>
      <w:tr w:rsidR="00895D0B" w:rsidRPr="00895D0B" w14:paraId="28951C13" w14:textId="77777777" w:rsidTr="008C40FD">
        <w:tc>
          <w:tcPr>
            <w:tcW w:w="2830" w:type="dxa"/>
          </w:tcPr>
          <w:p w14:paraId="7FFC8DA3" w14:textId="02716F12"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SDG</w:t>
            </w:r>
          </w:p>
        </w:tc>
        <w:tc>
          <w:tcPr>
            <w:tcW w:w="6237" w:type="dxa"/>
          </w:tcPr>
          <w:p w14:paraId="16D29B1B" w14:textId="54BEACF3" w:rsidR="00881738" w:rsidRPr="00895D0B" w:rsidRDefault="000442E3">
            <w:pPr>
              <w:spacing w:line="360" w:lineRule="auto"/>
              <w:rPr>
                <w:rFonts w:cs="Times New Roman"/>
                <w:color w:val="000000" w:themeColor="text1"/>
                <w:szCs w:val="24"/>
                <w:lang w:val="en-US"/>
              </w:rPr>
            </w:pPr>
            <w:r w:rsidRPr="00895D0B">
              <w:rPr>
                <w:rFonts w:cs="Times New Roman"/>
                <w:color w:val="000000" w:themeColor="text1"/>
                <w:szCs w:val="24"/>
              </w:rPr>
              <w:t>Sustainable Development Goal</w:t>
            </w:r>
            <w:r w:rsidRPr="00895D0B" w:rsidDel="000442E3">
              <w:rPr>
                <w:rFonts w:cs="Times New Roman"/>
                <w:color w:val="000000" w:themeColor="text1"/>
                <w:szCs w:val="24"/>
              </w:rPr>
              <w:t xml:space="preserve"> </w:t>
            </w:r>
          </w:p>
        </w:tc>
      </w:tr>
      <w:tr w:rsidR="00895D0B" w:rsidRPr="00895D0B" w14:paraId="25443069" w14:textId="77777777" w:rsidTr="008C40FD">
        <w:tc>
          <w:tcPr>
            <w:tcW w:w="2830" w:type="dxa"/>
          </w:tcPr>
          <w:p w14:paraId="7B62C064" w14:textId="31FDD4F3"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SHS</w:t>
            </w:r>
            <w:r w:rsidRPr="00895D0B" w:rsidDel="000442E3">
              <w:rPr>
                <w:rFonts w:cs="Times New Roman"/>
                <w:color w:val="000000" w:themeColor="text1"/>
                <w:szCs w:val="24"/>
              </w:rPr>
              <w:t xml:space="preserve"> </w:t>
            </w:r>
          </w:p>
        </w:tc>
        <w:tc>
          <w:tcPr>
            <w:tcW w:w="6237" w:type="dxa"/>
          </w:tcPr>
          <w:p w14:paraId="167BC513" w14:textId="71DF439E"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Senior High School</w:t>
            </w:r>
            <w:r w:rsidRPr="00895D0B" w:rsidDel="000442E3">
              <w:rPr>
                <w:rFonts w:cs="Times New Roman"/>
                <w:color w:val="000000" w:themeColor="text1"/>
                <w:szCs w:val="24"/>
              </w:rPr>
              <w:t xml:space="preserve"> </w:t>
            </w:r>
          </w:p>
        </w:tc>
      </w:tr>
      <w:tr w:rsidR="00895D0B" w:rsidRPr="00895D0B" w14:paraId="502029FF" w14:textId="77777777" w:rsidTr="008C40FD">
        <w:tc>
          <w:tcPr>
            <w:tcW w:w="2830" w:type="dxa"/>
          </w:tcPr>
          <w:p w14:paraId="44020310" w14:textId="1D320055"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SPSS</w:t>
            </w:r>
            <w:r w:rsidRPr="00895D0B" w:rsidDel="000442E3">
              <w:rPr>
                <w:rFonts w:cs="Times New Roman"/>
                <w:color w:val="000000" w:themeColor="text1"/>
                <w:szCs w:val="24"/>
                <w:lang w:val="en-US"/>
              </w:rPr>
              <w:t xml:space="preserve"> </w:t>
            </w:r>
          </w:p>
        </w:tc>
        <w:tc>
          <w:tcPr>
            <w:tcW w:w="6237" w:type="dxa"/>
          </w:tcPr>
          <w:p w14:paraId="1C3C4B44" w14:textId="22438124"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Statistical Package for Social Sciences</w:t>
            </w:r>
            <w:r w:rsidRPr="00895D0B" w:rsidDel="000442E3">
              <w:rPr>
                <w:rFonts w:cs="Times New Roman"/>
                <w:color w:val="000000" w:themeColor="text1"/>
                <w:szCs w:val="24"/>
                <w:lang w:val="en-US"/>
              </w:rPr>
              <w:t xml:space="preserve"> </w:t>
            </w:r>
          </w:p>
        </w:tc>
      </w:tr>
      <w:tr w:rsidR="00895D0B" w:rsidRPr="00895D0B" w14:paraId="55545DF3" w14:textId="77777777" w:rsidTr="008C40FD">
        <w:tc>
          <w:tcPr>
            <w:tcW w:w="2830" w:type="dxa"/>
          </w:tcPr>
          <w:p w14:paraId="7CF8019C" w14:textId="12BE07C4"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lang w:val="en-US"/>
              </w:rPr>
              <w:t>SSA</w:t>
            </w:r>
          </w:p>
        </w:tc>
        <w:tc>
          <w:tcPr>
            <w:tcW w:w="6237" w:type="dxa"/>
          </w:tcPr>
          <w:p w14:paraId="5162C60A" w14:textId="1F3C9AD5"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sub-Saharan Africa</w:t>
            </w:r>
            <w:r w:rsidRPr="00895D0B" w:rsidDel="000442E3">
              <w:rPr>
                <w:rFonts w:cs="Times New Roman"/>
                <w:color w:val="000000" w:themeColor="text1"/>
                <w:szCs w:val="24"/>
                <w:lang w:val="en-US"/>
              </w:rPr>
              <w:t xml:space="preserve"> </w:t>
            </w:r>
          </w:p>
        </w:tc>
      </w:tr>
      <w:tr w:rsidR="00895D0B" w:rsidRPr="00895D0B" w14:paraId="4AD225CB" w14:textId="77777777" w:rsidTr="008C40FD">
        <w:tc>
          <w:tcPr>
            <w:tcW w:w="2830" w:type="dxa"/>
          </w:tcPr>
          <w:p w14:paraId="20A517D5" w14:textId="730CB2CB"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SSNIT</w:t>
            </w:r>
          </w:p>
        </w:tc>
        <w:tc>
          <w:tcPr>
            <w:tcW w:w="6237" w:type="dxa"/>
          </w:tcPr>
          <w:p w14:paraId="78901713" w14:textId="6EA2585E"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Social Security and National Insurance Trust</w:t>
            </w:r>
            <w:r w:rsidRPr="00895D0B" w:rsidDel="000442E3">
              <w:rPr>
                <w:rFonts w:cs="Times New Roman"/>
                <w:color w:val="000000" w:themeColor="text1"/>
                <w:szCs w:val="24"/>
              </w:rPr>
              <w:t xml:space="preserve"> </w:t>
            </w:r>
          </w:p>
        </w:tc>
      </w:tr>
      <w:tr w:rsidR="00895D0B" w:rsidRPr="00895D0B" w14:paraId="454E818D" w14:textId="77777777" w:rsidTr="008C40FD">
        <w:tc>
          <w:tcPr>
            <w:tcW w:w="2830" w:type="dxa"/>
          </w:tcPr>
          <w:p w14:paraId="7B00BA2E" w14:textId="6524F399"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UA</w:t>
            </w:r>
          </w:p>
        </w:tc>
        <w:tc>
          <w:tcPr>
            <w:tcW w:w="6237" w:type="dxa"/>
          </w:tcPr>
          <w:p w14:paraId="65F363F4" w14:textId="55A232AF"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Urban Agriculture</w:t>
            </w:r>
            <w:r w:rsidRPr="00895D0B" w:rsidDel="000442E3">
              <w:rPr>
                <w:rFonts w:cs="Times New Roman"/>
                <w:color w:val="000000" w:themeColor="text1"/>
                <w:szCs w:val="24"/>
              </w:rPr>
              <w:t xml:space="preserve"> </w:t>
            </w:r>
          </w:p>
        </w:tc>
      </w:tr>
      <w:tr w:rsidR="00895D0B" w:rsidRPr="00895D0B" w14:paraId="0CD451DD" w14:textId="77777777" w:rsidTr="008C40FD">
        <w:tc>
          <w:tcPr>
            <w:tcW w:w="2830" w:type="dxa"/>
          </w:tcPr>
          <w:p w14:paraId="6FCCC600" w14:textId="4A7F5850" w:rsidR="00881738" w:rsidRPr="00895D0B" w:rsidRDefault="000442E3" w:rsidP="006B68B5">
            <w:pPr>
              <w:tabs>
                <w:tab w:val="center" w:pos="1307"/>
              </w:tabs>
              <w:spacing w:line="360" w:lineRule="auto"/>
              <w:rPr>
                <w:rFonts w:cs="Times New Roman"/>
                <w:color w:val="000000" w:themeColor="text1"/>
                <w:szCs w:val="24"/>
              </w:rPr>
            </w:pPr>
            <w:r w:rsidRPr="00895D0B">
              <w:rPr>
                <w:rFonts w:cs="Times New Roman"/>
                <w:color w:val="000000" w:themeColor="text1"/>
                <w:szCs w:val="24"/>
              </w:rPr>
              <w:t>UNDP</w:t>
            </w:r>
          </w:p>
        </w:tc>
        <w:tc>
          <w:tcPr>
            <w:tcW w:w="6237" w:type="dxa"/>
          </w:tcPr>
          <w:p w14:paraId="1DD4EEA7" w14:textId="126BCEC1"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United Nations Development Porgramme</w:t>
            </w:r>
            <w:r w:rsidRPr="00895D0B" w:rsidDel="000442E3">
              <w:rPr>
                <w:rFonts w:cs="Times New Roman"/>
                <w:color w:val="000000" w:themeColor="text1"/>
                <w:szCs w:val="24"/>
                <w:lang w:val="en-US"/>
              </w:rPr>
              <w:t xml:space="preserve"> </w:t>
            </w:r>
          </w:p>
        </w:tc>
      </w:tr>
      <w:tr w:rsidR="00895D0B" w:rsidRPr="00895D0B" w14:paraId="12930F92" w14:textId="77777777" w:rsidTr="008C40FD">
        <w:tc>
          <w:tcPr>
            <w:tcW w:w="2830" w:type="dxa"/>
          </w:tcPr>
          <w:p w14:paraId="485552EB" w14:textId="4CE785D9"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UNEP</w:t>
            </w:r>
            <w:r w:rsidRPr="00895D0B" w:rsidDel="000442E3">
              <w:rPr>
                <w:rFonts w:cs="Times New Roman"/>
                <w:color w:val="000000" w:themeColor="text1"/>
                <w:szCs w:val="24"/>
                <w:lang w:val="en-US"/>
              </w:rPr>
              <w:t xml:space="preserve"> </w:t>
            </w:r>
          </w:p>
        </w:tc>
        <w:tc>
          <w:tcPr>
            <w:tcW w:w="6237" w:type="dxa"/>
          </w:tcPr>
          <w:p w14:paraId="0C5ACDBA" w14:textId="6906B776"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United Nation Environmental Programme</w:t>
            </w:r>
            <w:r w:rsidRPr="00895D0B" w:rsidDel="000442E3">
              <w:rPr>
                <w:rFonts w:cs="Times New Roman"/>
                <w:color w:val="000000" w:themeColor="text1"/>
                <w:szCs w:val="24"/>
                <w:lang w:val="en-US"/>
              </w:rPr>
              <w:t xml:space="preserve"> </w:t>
            </w:r>
          </w:p>
        </w:tc>
      </w:tr>
      <w:tr w:rsidR="00895D0B" w:rsidRPr="00895D0B" w14:paraId="2D5C915E" w14:textId="77777777" w:rsidTr="008C40FD">
        <w:tc>
          <w:tcPr>
            <w:tcW w:w="2830" w:type="dxa"/>
          </w:tcPr>
          <w:p w14:paraId="2EC913F4" w14:textId="41B91DB5"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 xml:space="preserve">UNFCCC </w:t>
            </w:r>
          </w:p>
        </w:tc>
        <w:tc>
          <w:tcPr>
            <w:tcW w:w="6237" w:type="dxa"/>
          </w:tcPr>
          <w:p w14:paraId="730F4F27" w14:textId="75B57B8C"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 xml:space="preserve">United Nations Framework Convention on Climate Change </w:t>
            </w:r>
          </w:p>
        </w:tc>
      </w:tr>
      <w:tr w:rsidR="00596101" w:rsidRPr="00895D0B" w14:paraId="4F4AA691" w14:textId="77777777" w:rsidTr="008C40FD">
        <w:tc>
          <w:tcPr>
            <w:tcW w:w="2830" w:type="dxa"/>
          </w:tcPr>
          <w:p w14:paraId="534182E9" w14:textId="4E519F0C"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USAID</w:t>
            </w:r>
            <w:r w:rsidRPr="00895D0B" w:rsidDel="000442E3">
              <w:rPr>
                <w:rFonts w:cs="Times New Roman"/>
                <w:color w:val="000000" w:themeColor="text1"/>
                <w:szCs w:val="24"/>
              </w:rPr>
              <w:t xml:space="preserve"> </w:t>
            </w:r>
          </w:p>
        </w:tc>
        <w:tc>
          <w:tcPr>
            <w:tcW w:w="6237" w:type="dxa"/>
          </w:tcPr>
          <w:p w14:paraId="13481497" w14:textId="2C4F6C7F" w:rsidR="00881738" w:rsidRPr="00895D0B" w:rsidRDefault="000442E3">
            <w:pPr>
              <w:spacing w:line="360" w:lineRule="auto"/>
              <w:rPr>
                <w:rFonts w:cs="Times New Roman"/>
                <w:color w:val="000000" w:themeColor="text1"/>
                <w:szCs w:val="24"/>
              </w:rPr>
            </w:pPr>
            <w:r w:rsidRPr="00895D0B">
              <w:rPr>
                <w:rFonts w:cs="Times New Roman"/>
                <w:color w:val="000000" w:themeColor="text1"/>
                <w:szCs w:val="24"/>
              </w:rPr>
              <w:t>United States Aid in Development</w:t>
            </w:r>
            <w:r w:rsidRPr="00895D0B" w:rsidDel="000442E3">
              <w:rPr>
                <w:rFonts w:cs="Times New Roman"/>
                <w:color w:val="000000" w:themeColor="text1"/>
                <w:szCs w:val="24"/>
              </w:rPr>
              <w:t xml:space="preserve"> </w:t>
            </w:r>
          </w:p>
        </w:tc>
      </w:tr>
    </w:tbl>
    <w:p w14:paraId="48755092" w14:textId="77777777" w:rsidR="001B4ED5" w:rsidRPr="00895D0B" w:rsidRDefault="001B4ED5">
      <w:pPr>
        <w:spacing w:line="360" w:lineRule="auto"/>
        <w:rPr>
          <w:rFonts w:cs="Times New Roman"/>
          <w:color w:val="000000" w:themeColor="text1"/>
          <w:szCs w:val="24"/>
        </w:rPr>
      </w:pPr>
    </w:p>
    <w:p w14:paraId="57A0DC43" w14:textId="77777777" w:rsidR="001B4ED5" w:rsidRPr="00895D0B" w:rsidRDefault="001B4ED5">
      <w:pPr>
        <w:spacing w:line="360" w:lineRule="auto"/>
        <w:rPr>
          <w:rFonts w:cs="Times New Roman"/>
          <w:color w:val="000000" w:themeColor="text1"/>
          <w:szCs w:val="24"/>
        </w:rPr>
      </w:pPr>
    </w:p>
    <w:p w14:paraId="512ECD68" w14:textId="77777777" w:rsidR="001B4ED5" w:rsidRPr="00895D0B" w:rsidRDefault="001B4ED5">
      <w:pPr>
        <w:spacing w:line="360" w:lineRule="auto"/>
        <w:rPr>
          <w:rFonts w:cs="Times New Roman"/>
          <w:color w:val="000000" w:themeColor="text1"/>
          <w:szCs w:val="24"/>
        </w:rPr>
      </w:pPr>
    </w:p>
    <w:p w14:paraId="61621523" w14:textId="2328DDFD" w:rsidR="0072169E" w:rsidRPr="00895D0B" w:rsidRDefault="0072169E" w:rsidP="0072169E">
      <w:pPr>
        <w:rPr>
          <w:rFonts w:cs="Times New Roman"/>
          <w:color w:val="000000" w:themeColor="text1"/>
          <w:szCs w:val="24"/>
        </w:rPr>
      </w:pPr>
    </w:p>
    <w:p w14:paraId="71D8FE0F" w14:textId="40FC17CB" w:rsidR="00596101" w:rsidRPr="00895D0B" w:rsidRDefault="00596101" w:rsidP="0072169E">
      <w:pPr>
        <w:rPr>
          <w:rFonts w:cs="Times New Roman"/>
          <w:color w:val="000000" w:themeColor="text1"/>
          <w:szCs w:val="24"/>
        </w:rPr>
      </w:pPr>
    </w:p>
    <w:p w14:paraId="22299B1E" w14:textId="26C4B311" w:rsidR="00596101" w:rsidRPr="00895D0B" w:rsidRDefault="00596101" w:rsidP="0072169E">
      <w:pPr>
        <w:rPr>
          <w:rFonts w:cs="Times New Roman"/>
          <w:color w:val="000000" w:themeColor="text1"/>
          <w:szCs w:val="24"/>
        </w:rPr>
      </w:pPr>
    </w:p>
    <w:p w14:paraId="631650EA" w14:textId="3D0C7195" w:rsidR="00596101" w:rsidRPr="00895D0B" w:rsidRDefault="00596101" w:rsidP="0072169E">
      <w:pPr>
        <w:rPr>
          <w:rFonts w:cs="Times New Roman"/>
          <w:color w:val="000000" w:themeColor="text1"/>
          <w:szCs w:val="24"/>
        </w:rPr>
      </w:pPr>
    </w:p>
    <w:p w14:paraId="216E459C" w14:textId="1D5FB2A0" w:rsidR="00596101" w:rsidRPr="00895D0B" w:rsidRDefault="00596101" w:rsidP="0072169E">
      <w:pPr>
        <w:rPr>
          <w:rFonts w:cs="Times New Roman"/>
          <w:color w:val="000000" w:themeColor="text1"/>
          <w:szCs w:val="24"/>
        </w:rPr>
      </w:pPr>
    </w:p>
    <w:p w14:paraId="7B5459D8" w14:textId="72702273" w:rsidR="00596101" w:rsidRPr="00895D0B" w:rsidRDefault="00596101" w:rsidP="0072169E">
      <w:pPr>
        <w:rPr>
          <w:rFonts w:cs="Times New Roman"/>
          <w:color w:val="000000" w:themeColor="text1"/>
          <w:szCs w:val="24"/>
        </w:rPr>
      </w:pPr>
    </w:p>
    <w:p w14:paraId="52E68E1D" w14:textId="0FF00641" w:rsidR="00596101" w:rsidRPr="00895D0B" w:rsidRDefault="00596101" w:rsidP="0072169E">
      <w:pPr>
        <w:rPr>
          <w:rFonts w:cs="Times New Roman"/>
          <w:color w:val="000000" w:themeColor="text1"/>
          <w:szCs w:val="24"/>
        </w:rPr>
      </w:pPr>
    </w:p>
    <w:p w14:paraId="062CA7EF" w14:textId="3C209EDD" w:rsidR="00596101" w:rsidRPr="00895D0B" w:rsidRDefault="00596101" w:rsidP="0072169E">
      <w:pPr>
        <w:rPr>
          <w:rFonts w:cs="Times New Roman"/>
          <w:color w:val="000000" w:themeColor="text1"/>
          <w:szCs w:val="24"/>
        </w:rPr>
      </w:pPr>
    </w:p>
    <w:p w14:paraId="4A7B6A30" w14:textId="4D276C8A" w:rsidR="00596101" w:rsidRPr="00895D0B" w:rsidRDefault="00596101" w:rsidP="0072169E">
      <w:pPr>
        <w:rPr>
          <w:rFonts w:cs="Times New Roman"/>
          <w:color w:val="000000" w:themeColor="text1"/>
          <w:szCs w:val="24"/>
        </w:rPr>
      </w:pPr>
    </w:p>
    <w:p w14:paraId="32F602EB" w14:textId="091376C2" w:rsidR="00596101" w:rsidRDefault="00596101" w:rsidP="0072169E">
      <w:pPr>
        <w:rPr>
          <w:rFonts w:cs="Times New Roman"/>
          <w:color w:val="000000" w:themeColor="text1"/>
          <w:szCs w:val="24"/>
        </w:rPr>
      </w:pPr>
    </w:p>
    <w:p w14:paraId="6065EE5D" w14:textId="77777777" w:rsidR="00C80247" w:rsidRDefault="00C80247" w:rsidP="0072169E">
      <w:pPr>
        <w:rPr>
          <w:rFonts w:cs="Times New Roman"/>
          <w:color w:val="000000" w:themeColor="text1"/>
          <w:szCs w:val="24"/>
        </w:rPr>
      </w:pPr>
    </w:p>
    <w:p w14:paraId="634D5418" w14:textId="77777777" w:rsidR="00C80247" w:rsidRPr="00895D0B" w:rsidRDefault="00C80247" w:rsidP="0072169E">
      <w:pPr>
        <w:rPr>
          <w:rFonts w:cs="Times New Roman"/>
          <w:color w:val="000000" w:themeColor="text1"/>
          <w:szCs w:val="24"/>
        </w:rPr>
      </w:pPr>
    </w:p>
    <w:p w14:paraId="0AD1B9C8" w14:textId="77777777" w:rsidR="0072169E" w:rsidRPr="00895D0B" w:rsidRDefault="0072169E" w:rsidP="009745EC">
      <w:pPr>
        <w:pStyle w:val="Heading1"/>
      </w:pPr>
      <w:bookmarkStart w:id="7" w:name="_Toc167379844"/>
      <w:r w:rsidRPr="00895D0B">
        <w:lastRenderedPageBreak/>
        <w:t>ABSTRACT</w:t>
      </w:r>
      <w:bookmarkEnd w:id="7"/>
    </w:p>
    <w:p w14:paraId="2DA9F802" w14:textId="3228DE82" w:rsidR="00877794" w:rsidRPr="00895D0B" w:rsidRDefault="00877794" w:rsidP="001A3B11">
      <w:pPr>
        <w:spacing w:after="100" w:afterAutospacing="1"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Urban agriculture is gaining popularity in the ever-expanding cities in sub-Saharan Africa. Many studies have explored the dynamics of urban agricultural practices in the sub-region. However, the subject matter of climate change's impact on urban agricultural practices and urban farmers</w:t>
      </w:r>
      <w:r w:rsidR="0065142A" w:rsidRPr="00895D0B">
        <w:rPr>
          <w:rFonts w:eastAsia="Times New Roman" w:cs="Times New Roman"/>
          <w:color w:val="000000" w:themeColor="text1"/>
          <w:szCs w:val="24"/>
          <w:lang w:eastAsia="en-GB"/>
        </w:rPr>
        <w:t>’</w:t>
      </w:r>
      <w:r w:rsidRPr="00895D0B">
        <w:rPr>
          <w:rFonts w:eastAsia="Times New Roman" w:cs="Times New Roman"/>
          <w:color w:val="000000" w:themeColor="text1"/>
          <w:szCs w:val="24"/>
          <w:lang w:eastAsia="en-GB"/>
        </w:rPr>
        <w:t xml:space="preserve"> adaptation strategies is under research. This study draws on a mixed methods research approach to assess urban agricultural practices and farmers’ adaptation to climate change and variability stressors in Wa Municipality, Ghana. The study is guided by four (4) specific objectives: (1) to identify the characteristics of urban food crop and livestock production; (2) to analyse the spatial distribution of urban food crop and livestock production and how it influences farmers climate change adaptation; (3) to determine the socio-economic factors that influence urban dwellers’ participation in urban agriculture; and (4) to explore the climate change adaptation strategies of urban farmers. A cross-sectional survey design was adopted to collect data from 362 urban households, supported by spatial data, 12 key informant interviews, and observations. The quantitative data were analysed using descriptive statistics, binary logistic regression, map overlays, and spatial statistics, while the qualitative data were analysed using thematic and content analysis. Results showed that urban agriculture in urban Wa is characterised by the production of staple food crops (e.g., maize, cabbage, okra, beans, yam, pumpkin, etc.) coupled with animal production (e.g., chickens, sheep, goats, cattle, etc.). The spatial distribution of urban agricultural activities in Wa showed a clustered pattern within the inner core and the transition zones. About 52.8% of the sample households engaged in urban agricultural activities. The binary logistics regression model showed that socio-economic variables such as household size and income positively influence urban households' participation in urban agricultural production. Cultivation of indigenous and improved crop varieties, together with the rearing of exotic and local breeds of animals, were the climate change adaptation strategies highlighted. In addition, various soil management and water conservation strategies, as well as regular vaccination of the farm animals, were employed by the farmers</w:t>
      </w:r>
      <w:r w:rsidR="0065142A" w:rsidRPr="00895D0B">
        <w:rPr>
          <w:rFonts w:eastAsia="Times New Roman" w:cs="Times New Roman"/>
          <w:color w:val="000000" w:themeColor="text1"/>
          <w:szCs w:val="24"/>
          <w:lang w:eastAsia="en-GB"/>
        </w:rPr>
        <w:t>’</w:t>
      </w:r>
      <w:r w:rsidRPr="00895D0B">
        <w:rPr>
          <w:rFonts w:eastAsia="Times New Roman" w:cs="Times New Roman"/>
          <w:color w:val="000000" w:themeColor="text1"/>
          <w:szCs w:val="24"/>
          <w:lang w:eastAsia="en-GB"/>
        </w:rPr>
        <w:t xml:space="preserve"> in adapting to climate change and variability stressors. The study concluded that the choice of animals' housing types on urban farms can significantly impact urban farmers' climate change adaptation strategies, influencing factors such as resource efficiency, animal welfare, and adaptation to extreme weather events. Moreover, the clustered distribution of urban farms can facilitate collaborative </w:t>
      </w:r>
      <w:r w:rsidRPr="00895D0B">
        <w:rPr>
          <w:rFonts w:eastAsia="Times New Roman" w:cs="Times New Roman"/>
          <w:color w:val="000000" w:themeColor="text1"/>
          <w:szCs w:val="24"/>
          <w:lang w:eastAsia="en-GB"/>
        </w:rPr>
        <w:lastRenderedPageBreak/>
        <w:t>adaptation strategies among urban farmers, allowing for shared resources, knowledge exchange, and collective action to address climate change impacts effectively. Again, urban household size and monthly income are influential factors in urban households' participation in urban farming production. Lastly, urban crop and livestock farmers, in the face of climate change,</w:t>
      </w:r>
      <w:r w:rsidR="00276448" w:rsidRPr="00895D0B">
        <w:rPr>
          <w:rFonts w:eastAsia="Times New Roman" w:cs="Times New Roman"/>
          <w:color w:val="000000" w:themeColor="text1"/>
          <w:szCs w:val="24"/>
          <w:lang w:eastAsia="en-GB"/>
        </w:rPr>
        <w:t xml:space="preserve"> have demonstrated adaptive </w:t>
      </w:r>
      <w:r w:rsidRPr="00895D0B">
        <w:rPr>
          <w:rFonts w:eastAsia="Times New Roman" w:cs="Times New Roman"/>
          <w:color w:val="000000" w:themeColor="text1"/>
          <w:szCs w:val="24"/>
          <w:lang w:eastAsia="en-GB"/>
        </w:rPr>
        <w:t>and ingenuity by implementing various adaptation strategies to safeguard their livelihoods and production through a combination of innovative practices. There is a diversity of adaptation strategies employed by urban farmers, including the adoption of drought-resistant crop varieties, soil moisture, and nutrient management techniques, and diversified livestock rearing alongside treatment against extreme weather. Promoting urban agricultural production despite climate stressors calls for collaboration and knowledge-sharing among neighbouring farms while implementing resilient and adaptable infrastructure to mitigate climate change risks and enhance sustainability in urban agriculture in Africa, particularly Ghana. Therefore, developmental policies should focus on the integration of urban agriculture and land use planning and zoning by the Town and Country Planning Departments. Policymakers, urban planners, and community stakeholders should harness the potential of urban agriculture by rolling out pro-poor urban development policies. There is also the need to integrate capacity-building initiatives, training programmes, and extension services into urban agricultural policies, which are critical to enhancing farmers' knowledge and skills in climate change adaptation. Future research should explore ways of improving the value chain of urban agricultural production in Ghanaian cities, the perspectives of stakeholders in urban agricultural production, and the quality of crops and animals produced within the urban neighbourhood.</w:t>
      </w:r>
    </w:p>
    <w:p w14:paraId="08E1DEEB" w14:textId="0DBA4B8D" w:rsidR="00FB3E6E" w:rsidRPr="00895D0B" w:rsidRDefault="00FB3E6E" w:rsidP="006B68B5">
      <w:pPr>
        <w:rPr>
          <w:rFonts w:cs="Times New Roman"/>
          <w:color w:val="000000" w:themeColor="text1"/>
          <w:szCs w:val="24"/>
        </w:rPr>
      </w:pPr>
    </w:p>
    <w:p w14:paraId="609C6D35" w14:textId="77777777" w:rsidR="00EA480A" w:rsidRDefault="00EA480A" w:rsidP="006B68B5">
      <w:pPr>
        <w:rPr>
          <w:rFonts w:cs="Times New Roman"/>
          <w:color w:val="000000" w:themeColor="text1"/>
          <w:szCs w:val="24"/>
        </w:rPr>
      </w:pPr>
    </w:p>
    <w:p w14:paraId="6387693C" w14:textId="77777777" w:rsidR="00C80247" w:rsidRDefault="00C80247" w:rsidP="006B68B5">
      <w:pPr>
        <w:rPr>
          <w:rFonts w:cs="Times New Roman"/>
          <w:color w:val="000000" w:themeColor="text1"/>
          <w:szCs w:val="24"/>
        </w:rPr>
      </w:pPr>
    </w:p>
    <w:p w14:paraId="24B24C71" w14:textId="77777777" w:rsidR="00C80247" w:rsidRDefault="00C80247" w:rsidP="006B68B5">
      <w:pPr>
        <w:rPr>
          <w:rFonts w:cs="Times New Roman"/>
          <w:color w:val="000000" w:themeColor="text1"/>
          <w:szCs w:val="24"/>
        </w:rPr>
      </w:pPr>
    </w:p>
    <w:p w14:paraId="62D01536" w14:textId="77777777" w:rsidR="00C80247" w:rsidRPr="00895D0B" w:rsidRDefault="00C80247" w:rsidP="006B68B5">
      <w:pPr>
        <w:rPr>
          <w:rFonts w:cs="Times New Roman"/>
          <w:color w:val="000000" w:themeColor="text1"/>
          <w:szCs w:val="24"/>
        </w:rPr>
        <w:sectPr w:rsidR="00C80247" w:rsidRPr="00895D0B" w:rsidSect="009B7449">
          <w:pgSz w:w="11906" w:h="16838" w:code="9"/>
          <w:pgMar w:top="1440" w:right="1440" w:bottom="1440" w:left="2160" w:header="720" w:footer="720" w:gutter="0"/>
          <w:pgNumType w:fmt="lowerRoman" w:start="1"/>
          <w:cols w:space="720"/>
        </w:sectPr>
      </w:pPr>
    </w:p>
    <w:p w14:paraId="2E2D55B3" w14:textId="416E1C3F" w:rsidR="001B4ED5" w:rsidRPr="00895D0B" w:rsidRDefault="006B41C0" w:rsidP="009745EC">
      <w:pPr>
        <w:pStyle w:val="Heading1"/>
      </w:pPr>
      <w:bookmarkStart w:id="8" w:name="_Toc167379845"/>
      <w:r w:rsidRPr="00895D0B">
        <w:lastRenderedPageBreak/>
        <w:t>CHAPTER ONE</w:t>
      </w:r>
      <w:bookmarkEnd w:id="8"/>
    </w:p>
    <w:p w14:paraId="1C3D7C43" w14:textId="3FBEA5DF" w:rsidR="001B4ED5" w:rsidRPr="00895D0B" w:rsidRDefault="00D97A73" w:rsidP="009745EC">
      <w:pPr>
        <w:pStyle w:val="Heading1"/>
      </w:pPr>
      <w:bookmarkStart w:id="9" w:name="_Toc167379846"/>
      <w:r w:rsidRPr="00895D0B">
        <w:t xml:space="preserve">GENERAL </w:t>
      </w:r>
      <w:r w:rsidR="006B41C0" w:rsidRPr="00895D0B">
        <w:t>INTRODUCTION</w:t>
      </w:r>
      <w:bookmarkEnd w:id="9"/>
    </w:p>
    <w:p w14:paraId="7DD4CDB5" w14:textId="77777777" w:rsidR="001B4ED5" w:rsidRPr="00895D0B" w:rsidRDefault="006B41C0">
      <w:pPr>
        <w:pStyle w:val="Heading2"/>
      </w:pPr>
      <w:bookmarkStart w:id="10" w:name="_Toc167379847"/>
      <w:r w:rsidRPr="00895D0B">
        <w:t>1.1 Background to the Study</w:t>
      </w:r>
      <w:bookmarkEnd w:id="10"/>
    </w:p>
    <w:p w14:paraId="67E4A1DF" w14:textId="2E86851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rPr>
        <w:t xml:space="preserve">Globally, urban agriculture (UA), </w:t>
      </w:r>
      <w:r w:rsidRPr="00895D0B">
        <w:rPr>
          <w:rStyle w:val="Heading1Char"/>
          <w:b w:val="0"/>
        </w:rPr>
        <w:t>which</w:t>
      </w:r>
      <w:r w:rsidRPr="00895D0B">
        <w:rPr>
          <w:rFonts w:cs="Times New Roman"/>
          <w:color w:val="000000" w:themeColor="text1"/>
          <w:szCs w:val="24"/>
        </w:rPr>
        <w:t xml:space="preserve"> is more pronounced in the </w:t>
      </w:r>
      <w:r w:rsidR="00D2609E" w:rsidRPr="00895D0B">
        <w:rPr>
          <w:rFonts w:cs="Times New Roman"/>
          <w:color w:val="000000" w:themeColor="text1"/>
          <w:szCs w:val="24"/>
        </w:rPr>
        <w:t xml:space="preserve">developed </w:t>
      </w:r>
      <w:r w:rsidR="0013231F" w:rsidRPr="00895D0B">
        <w:rPr>
          <w:rFonts w:cs="Times New Roman"/>
          <w:color w:val="000000" w:themeColor="text1"/>
          <w:szCs w:val="24"/>
        </w:rPr>
        <w:t>countries</w:t>
      </w:r>
      <w:r w:rsidRPr="00895D0B">
        <w:rPr>
          <w:rFonts w:cs="Times New Roman"/>
          <w:color w:val="000000" w:themeColor="text1"/>
          <w:szCs w:val="24"/>
        </w:rPr>
        <w:t xml:space="preserve">, provides </w:t>
      </w:r>
      <w:r w:rsidR="0013231F" w:rsidRPr="00895D0B">
        <w:rPr>
          <w:rFonts w:cs="Times New Roman"/>
          <w:color w:val="000000" w:themeColor="text1"/>
          <w:szCs w:val="24"/>
        </w:rPr>
        <w:t xml:space="preserve">livelihood </w:t>
      </w:r>
      <w:r w:rsidRPr="00895D0B">
        <w:rPr>
          <w:rFonts w:cs="Times New Roman"/>
          <w:color w:val="000000" w:themeColor="text1"/>
          <w:szCs w:val="24"/>
        </w:rPr>
        <w:t>sustenance in the form of fresh vegetables and fruits, dairy milk, fish, eggs</w:t>
      </w:r>
      <w:r w:rsidR="0013231F" w:rsidRPr="00895D0B">
        <w:rPr>
          <w:rFonts w:cs="Times New Roman"/>
          <w:color w:val="000000" w:themeColor="text1"/>
          <w:szCs w:val="24"/>
        </w:rPr>
        <w:t>,</w:t>
      </w:r>
      <w:r w:rsidRPr="00895D0B">
        <w:rPr>
          <w:rFonts w:cs="Times New Roman"/>
          <w:color w:val="000000" w:themeColor="text1"/>
          <w:szCs w:val="24"/>
        </w:rPr>
        <w:t xml:space="preserve"> and meat, income to  about 800 million people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{"citationItems":[{"id":"ITEM-1","itemData":{"abstract":"The high-level conferences in agriculture of the late 1990s have provided the political impetus to mandate FAO to support urban agriculture across the world. The agency provides technical expertise and advice to national and local governments on food-related matters through key programs, initiatives and reports, while working closely with the private sector. FAO’s holistic and systemic approach focuses on strengthening the complex linkages between urban, peri-urban and rural agriculture which characterize contemporary food systems, with the goal of enhancing the city region’s food security and resilience. FAO also acknowledges the limitations and opportunities provided by contextual variables and the necessity to adapt programs according to the local populations’ needs and aspirations. If food has not always been authorities’ main priority in policy-making, current changes in the perception of food systems, pushed by societal demands to act against food waste and climate change, have fostered an increased attention to FAO’s activities.","author":[{"dropping-particle":"","family":"Taguchi","given":"M.","non-dropping-particle":"","parse-names":false,"suffix":""},{"dropping-particle":"","family":"Santini","given":"G.","non-dropping-particle":"","parse-names":false,"suffix":""}],"container-title":"The journal of field actions","id":"ITEM-1","issue":"20","issued":{"date-parts":[["2019"]]},"number-of-pages":"12-17","title":"Agriculture in the Global a Perspective","type":"report"},"uris":["http://www.mendeley.com/documents/?uuid=8b80f937-06d3-4b44-b1fb-2aca2842d0b4"]}],"mendeley":{"formattedCitation":"(Taguchi &amp; Santini, 2019)","manualFormatting":"(","plainTextFormattedCitation":"(Taguchi &amp; Santini, 2019)","previouslyFormattedCitation":"(Taguchi &amp; Santini, 2019)"},"properties":{"noteIndex":0},"schema":"https://github.com/citation-style-language/schema/raw/master/csl-citation.json"}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w:t>
      </w:r>
      <w:r w:rsidRPr="00895D0B">
        <w:rPr>
          <w:rFonts w:cs="Times New Roman"/>
          <w:color w:val="000000" w:themeColor="text1"/>
          <w:szCs w:val="24"/>
          <w:shd w:val="clear" w:color="auto" w:fill="FFFFFF"/>
        </w:rPr>
        <w:fldChar w:fldCharType="end"/>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{"citationItems":[{"id":"ITEM-1","itemData":{"DOI":"10.1177/0309132513512542","ISSN":"03091325","abstract":"Urban agriculture is a broad term which describes food cultivation and animal husbandry on urban and peri-urban land. Grassroots as well as institution-led urban agricultural projects are currently mushrooming in the cities of the Global North, reshaping urban landscapes, experimenting with alternatives to the capitalist organization of urban life and sometimes establishing embryonic forms of recreating the Commons. While this renewed interest in land cultivation and food production is attracting increasing interest in a wide range of disciplines - from planning to landscape and cultural studies - it remains a very marginal and almost unexplored field of human geography. Nonetheless, beyond the rhetoric of sustainability and health, urban agriculture raises several relevant questions of interest for a critical geographer. Starting by drawing a map of concepts and theories available in an interdisciplinary literature, and highlighting fields of possible inquiry, this paper aims to define the scope of and an initial agenda for a critical geography of urban agriculture. © The Author(s) 2014.","author":[{"dropping-particle":"","family":"Tornaghi","given":"C.","non-dropping-particle":"","parse-names":false,"suffix":""}],"container-title":"Progress in Human Geography","id":"ITEM-1","issue":"4","issued":{"date-parts":[["2015"]]},"page":"551-567","title":"Critical geography of urban agriculture","type":"article-journal","volume":"38"},"uris":["http://www.mendeley.com/documents/?uuid=e551a8e8-bee8-4dff-8369-b7ad311811a7"]}],"mendeley":{"formattedCitation":"(Tornaghi, 2015)","manualFormatting":"Tornaghi, 2015; Corcoran &amp; Cavin, 2018; Taguchi &amp; Santini, 2019)","plainTextFormattedCitation":"(Tornaghi, 2015)","previouslyFormattedCitation":"(Tornaghi, 2015)"},"properties":{"noteIndex":0},"schema":"https://github.com/citation-style-language/schema/raw/master/csl-citation.json"}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 xml:space="preserve">Tornaghi, 2015; </w:t>
      </w:r>
      <w:r w:rsidRPr="00895D0B">
        <w:rPr>
          <w:rFonts w:cs="Times New Roman"/>
          <w:noProof/>
          <w:color w:val="000000" w:themeColor="text1"/>
          <w:szCs w:val="24"/>
        </w:rPr>
        <w:fldChar w:fldCharType="begin" w:fldLock="1"/>
      </w:r>
      <w:r w:rsidRPr="00895D0B">
        <w:rPr>
          <w:rFonts w:cs="Times New Roman"/>
          <w:noProof/>
          <w:color w:val="000000" w:themeColor="text1"/>
          <w:szCs w:val="24"/>
        </w:rPr>
        <w:instrText>ADDIN CSL_CITATION {"citationItems":[{"id":"ITEM-1","itemData":{"DOI":"10.3167/nc.2018.130101","ISSN":"15585468","abstract":"This special issue comprises articles by social and environmental scientists, most of whom participated in a working group on governance models and policy contexts of the COST Action TD1106 Urban Agriculture Europe during the period 2012-2016. All have a particular interest in the potentialities of urban agriculture as mediated through civil society actors to contribute to, shape, and transform urban policies in the intersecting fields of land use and access; food and urban ecosystems; education and environment; and history, heritage, and cultural practice. The collaborative, interdisciplinary, and bottom-up character of the contributions broadens and deepens our knowledge of urban agricultural practice across Europe.","author":[{"dropping-particle":"","family":"Corcoran","given":"Mary P.","non-dropping-particle":"","parse-names":false,"suffix":""},{"dropping-particle":"","family":"Cavin","given":"Joëlle Salomon","non-dropping-particle":"","parse-names":false,"suffix":""}],"container-title":"Nature and Culture","id":"ITEM-1","issue":"1","issued":{"date-parts":[["2018"]]},"page":"1-16","title":"Introduction: Civil society and urban agriculture in Europe","type":"article-journal","volume":"13"},"uris":["http://www.mendeley.com/documents/?uuid=fb7db9bf-d363-4615-a022-5c21ff0f1d6c"]}],"mendeley":{"formattedCitation":"(Corcoran &amp; Cavin, 2018)","manualFormatting":"Corcoran &amp; Cavin, 2018","plainTextFormattedCitation":"(Corcoran &amp; Cavin, 2018)","previouslyFormattedCitation":"(Corcoran &amp; Cavin, 2018)"},"properties":{"noteIndex":0},"schema":"https://github.com/citation-style-language/schema/raw/master/csl-citation.json"}</w:instrText>
      </w:r>
      <w:r w:rsidRPr="00895D0B">
        <w:rPr>
          <w:rFonts w:cs="Times New Roman"/>
          <w:noProof/>
          <w:color w:val="000000" w:themeColor="text1"/>
          <w:szCs w:val="24"/>
        </w:rPr>
        <w:fldChar w:fldCharType="separate"/>
      </w:r>
      <w:r w:rsidRPr="00895D0B">
        <w:rPr>
          <w:rFonts w:cs="Times New Roman"/>
          <w:noProof/>
          <w:color w:val="000000" w:themeColor="text1"/>
          <w:szCs w:val="24"/>
        </w:rPr>
        <w:t>Corcoran &amp; Cavin, 2018</w:t>
      </w:r>
      <w:r w:rsidRPr="00895D0B">
        <w:rPr>
          <w:rFonts w:cs="Times New Roman"/>
          <w:noProof/>
          <w:color w:val="000000" w:themeColor="text1"/>
          <w:szCs w:val="24"/>
        </w:rPr>
        <w:fldChar w:fldCharType="end"/>
      </w:r>
      <w:r w:rsidRPr="00895D0B">
        <w:rPr>
          <w:rFonts w:cs="Times New Roman"/>
          <w:noProof/>
          <w:color w:val="000000" w:themeColor="text1"/>
          <w:szCs w:val="24"/>
        </w:rPr>
        <w:t>;</w:t>
      </w:r>
      <w:r w:rsidRPr="00895D0B">
        <w:rPr>
          <w:rFonts w:cs="Times New Roman"/>
          <w:noProof/>
          <w:color w:val="000000" w:themeColor="text1"/>
          <w:szCs w:val="24"/>
          <w:shd w:val="clear" w:color="auto" w:fill="FFFFFF"/>
        </w:rPr>
        <w:t xml:space="preserve"> Taguchi &amp; Santini, 2019</w:t>
      </w:r>
      <w:r w:rsidRPr="00895D0B">
        <w:rPr>
          <w:rFonts w:cs="Times New Roman"/>
          <w:noProof/>
          <w:color w:val="000000" w:themeColor="text1"/>
          <w:szCs w:val="24"/>
          <w:lang w:val="en-US"/>
        </w:rPr>
        <w:t>)</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Developed </w:t>
      </w:r>
      <w:r w:rsidRPr="00895D0B">
        <w:rPr>
          <w:rFonts w:cs="Times New Roman"/>
          <w:color w:val="000000" w:themeColor="text1"/>
          <w:szCs w:val="24"/>
        </w:rPr>
        <w:t>countries like the United States of America, the Netherlands, Denmark, France</w:t>
      </w:r>
      <w:r w:rsidR="0013231F" w:rsidRPr="00895D0B">
        <w:rPr>
          <w:rFonts w:cs="Times New Roman"/>
          <w:color w:val="000000" w:themeColor="text1"/>
          <w:szCs w:val="24"/>
        </w:rPr>
        <w:t>,</w:t>
      </w:r>
      <w:r w:rsidRPr="00895D0B">
        <w:rPr>
          <w:rFonts w:cs="Times New Roman"/>
          <w:color w:val="000000" w:themeColor="text1"/>
          <w:szCs w:val="24"/>
        </w:rPr>
        <w:t xml:space="preserve"> and Italy have enormous numbers of urban agriculturalists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{"citationItems":[{"id":"ITEM-1","itemData":{"DOI":"10.1088/1748-9326/9/6/064025","ISSN":"17489326","abstract":"Urban agriculture (UA) has been drawing a lot of attention recently for several reasons: the majority of the world population has shifted from living in rural to urban areas; the environmental impact of agriculture is a matter of rising concern; and food insecurity, especially the accessibility of food, remains a major challenge. UA has often been proposed as a solution to some of these issues, for example by producing food in places where population density is highest, reducing transportation costs, connecting people directly to food systems and using urban areas efficiently. However, to date no study has examined how much food could actually be produced in urban areas at the global scale. Here we use a simple approach, based on different global-scale datasets, to assess to what extent UA is constrained by the existing amount of urban space. Our results suggest that UA would require roughly one third of the total global urban area to meet the global vegetable consumption of urban dwellers. This estimate does not consider how much urban area may actually be suitable and available for UA, which likely varies substantially around the world and according to the type of UA performed. Further, this global average value masks variations of more than two orders of magnitude among individual countries. The variations in the space required across countries derive mostly from variations in urban population density, and much less from variations in yields or per capita consumption. Overall, the space required is regrettably the highest where UA is most needed, i.e., in more food insecure countries. We also show that smaller urban clusters (i.e., &lt;100 km2 each) together represent about two thirds of the global urban extent; thus UA discourse and policies should not focus on large cities exclusively, but should also target smaller urban areas that offer the greatest potential in terms of physical space. © 2014 IOP Publishing Ltd.","author":[{"dropping-particle":"","family":"Martellozzo","given":"F.","non-dropping-particle":"","parse-names":false,"suffix":""},{"dropping-particle":"","family":"Landry","given":"J. S.","non-dropping-particle":"","parse-names":false,"suffix":""},{"dropping-particle":"","family":"Plouffe","given":"D.","non-dropping-particle":"","parse-names":false,"suffix":""},{"dropping-particle":"","family":"Seufert","given":"V.","non-dropping-particle":"","parse-names":false,"suffix":""},{"dropping-particle":"","family":"Rowhani","given":"P.","non-dropping-particle":"","parse-names":false,"suffix":""},{"dropping-particle":"","family":"Ramankutty","given":"N.","non-dropping-particle":"","parse-names":false,"suffix":""}],"container-title":"Environmental Research Letters","id":"ITEM-1","issue":"6","issued":{"date-parts":[["2014"]]},"publisher":"IOP Publishing","title":"Urban agriculture: A global analysis of the space constraint to meet urban vegetable demand","type":"article-journal","volume":"9"},"uris":["http://www.mendeley.com/documents/?uuid=3e7a9734-681b-4acf-8306-9e92d4e843d0"]}],"mendeley":{"formattedCitation":"(Martellozzo et al., 2014)","plainTextFormattedCitation":"(Martellozzo et al., 2014)","previouslyFormattedCitation":"(Martellozzo et al., 2014)"},"properties":{"noteIndex":0},"schema":"https://github.com/citation-style-language/schema/raw/master/csl-citation.json"}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(Martellozzo et al., 2014)</w:t>
      </w:r>
      <w:r w:rsidRPr="00895D0B">
        <w:rPr>
          <w:rFonts w:cs="Times New Roman"/>
          <w:color w:val="000000" w:themeColor="text1"/>
          <w:szCs w:val="24"/>
        </w:rPr>
        <w:fldChar w:fldCharType="end"/>
      </w:r>
      <w:r w:rsidRPr="00895D0B">
        <w:rPr>
          <w:rFonts w:cs="Times New Roman"/>
          <w:color w:val="000000" w:themeColor="text1"/>
          <w:szCs w:val="24"/>
        </w:rPr>
        <w:t xml:space="preserve">. However, </w:t>
      </w:r>
      <w:r w:rsidR="0013231F" w:rsidRPr="00895D0B">
        <w:rPr>
          <w:rFonts w:cs="Times New Roman"/>
          <w:color w:val="000000" w:themeColor="text1"/>
          <w:szCs w:val="24"/>
        </w:rPr>
        <w:t>middle-income</w:t>
      </w:r>
      <w:r w:rsidRPr="00895D0B">
        <w:rPr>
          <w:rFonts w:cs="Times New Roman"/>
          <w:color w:val="000000" w:themeColor="text1"/>
          <w:szCs w:val="24"/>
        </w:rPr>
        <w:t xml:space="preserve"> countries like Argentina, Bosnia and Herzegovina are noted to have </w:t>
      </w:r>
      <w:r w:rsidR="0013231F" w:rsidRPr="00895D0B">
        <w:rPr>
          <w:rFonts w:cs="Times New Roman"/>
          <w:color w:val="000000" w:themeColor="text1"/>
          <w:szCs w:val="24"/>
        </w:rPr>
        <w:t xml:space="preserve">a </w:t>
      </w:r>
      <w:r w:rsidRPr="00895D0B">
        <w:rPr>
          <w:rFonts w:cs="Times New Roman"/>
          <w:color w:val="000000" w:themeColor="text1"/>
          <w:szCs w:val="24"/>
        </w:rPr>
        <w:t>demonstrated strong commitment to expanding agricultural activities in their cities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uthor":[{"dropping-particle":"","family":"Ritchie","given":"H.","non-dropping-particle":"","parse-names":false,"suffix":""},{"dropping-particle":"","family":"Roser","given":"M.","non-dropping-particle":"","parse-names":false,"suffix":""}],"id":"ITEM-1","issue":"September 2018","issued":{"date-parts":[["2019"]]},"title":"Urbanization","type":"article-journal","volume":"000"},"uris":["http://www.mendeley.com/documents/?uuid=aed3312c-ca07-404c-a082-17b9d20d3415"]}],"mendeley":{"formattedCitation":"(Ritchie &amp; Roser, 2019)","manualFormatting":"Ritchie &amp; Roser, 2019)","plainTextFormattedCitation":"(Ritchie &amp; Roser, 2019)","previouslyFormattedCitation":"(Ritchie &amp; Roser, 2019)"},"properties":{"noteIndex":0},"schema":"https://github.com/citation-style-language/schema/raw/master/csl-citation.json"}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Ritchie &amp; Roser, 2019)</w:t>
      </w:r>
      <w:r w:rsidRPr="00895D0B">
        <w:rPr>
          <w:rFonts w:cs="Times New Roman"/>
          <w:color w:val="000000" w:themeColor="text1"/>
          <w:szCs w:val="24"/>
          <w:shd w:val="clear" w:color="auto" w:fill="FFFFFF"/>
        </w:rPr>
        <w:fldChar w:fldCharType="end"/>
      </w:r>
      <w:r w:rsidRPr="00895D0B">
        <w:rPr>
          <w:rFonts w:cs="Times New Roman"/>
          <w:color w:val="000000" w:themeColor="text1"/>
          <w:szCs w:val="24"/>
        </w:rPr>
        <w:t>. In the Global South, particularly sub-Saharan Africa (SSA), UA is yet to be fully embraced by the increasing city dwellers although mounting evidence from the literature highlighted that countries such as Ghana, South Africa, Nigeria, and Rwanda are making stringent efforts through polic</w:t>
      </w:r>
      <w:r w:rsidR="00381016" w:rsidRPr="00895D0B">
        <w:rPr>
          <w:rFonts w:cs="Times New Roman"/>
          <w:color w:val="000000" w:themeColor="text1"/>
          <w:szCs w:val="24"/>
        </w:rPr>
        <w:t xml:space="preserve">ies </w:t>
      </w:r>
      <w:r w:rsidR="00381016" w:rsidRPr="00895D0B">
        <w:rPr>
          <w:rFonts w:cs="Times New Roman"/>
          <w:color w:val="000000" w:themeColor="text1"/>
          <w:szCs w:val="24"/>
        </w:rPr>
        <w:fldChar w:fldCharType="begin" w:fldLock="1"/>
      </w:r>
      <w:r w:rsidR="00381016" w:rsidRPr="00895D0B">
        <w:rPr>
          <w:rFonts w:cs="Times New Roman"/>
          <w:color w:val="000000" w:themeColor="text1"/>
          <w:szCs w:val="24"/>
        </w:rPr>
        <w:instrText>ADDIN CSL_CITATION {"citationItems":[{"id":"ITEM-1","itemData":{"DOI":"10.1080/23311886.2021.1944486","ISSN":"23311886","abstract":"Peri-urban agriculture plays a critical role in sustaining food security and livelihoods in urban communities. In spite of the critical role it plays in food security, peri-urban agriculture has not received adequate attention with regards to its interface with climate change in Zimbabwe. Using a sample of thirty peri-urban plots selected through snowballing, this study investigated the farmers’ perceived effects of climate change on peri-urban agriculture in Bulawayo, and how farmers were adapting to climate change. The findings of the study revealed that peri-urban farmers perceived and observed significant climatic and related changes that were negatively impacting their farming activities. Observed changes included reduced precipitation levels, increased atmospheric temperature and diminishing borehole yields. Farmers were adapting with a variety of methods which included repeated planting, watering plants during the night, renting animal space in other farms with more water sources and purchasing supplementary feed for livestock. Among other issues, this study recommends the promotion of the use of drought tolerant seed varieties, improved water harvesting and a more rationalised system in managing livestock numbers in the plots.","author":[{"dropping-particle":"","family":"Dube","given":"Thulani","non-dropping-particle":"","parse-names":false,"suffix":""},{"dropping-particle":"","family":"Sibanda","given":"Saziso","non-dropping-particle":"","parse-names":false,"suffix":""},{"dropping-particle":"","family":"Chiwara","given":"Phibion","non-dropping-particle":"","parse-names":false,"suffix":""}],"container-title":"Cogent Social Sciences","id":"ITEM-1","issue":"1","issued":{"date-parts":[["2021"]]},"publisher":"Cogent","title":"Adapting peri-urban agriculture to climate change in Bulawayo, Zimbabwe: A qualitative assessment","type":"article-journal","volume":"7"},"uris":["http://www.mendeley.com/documents/?uuid=7b1db45d-c184-47a5-b447-b9544a592059"]}],"mendeley":{"formattedCitation":"(Dube et al., 2021)","plainTextFormattedCitation":"(Dube et al., 2021)","previouslyFormattedCitation":"(Dube et al., 2021)"},"properties":{"noteIndex":0},"schema":"https://github.com/citation-style-language/schema/raw/master/csl-citation.json"}</w:instrText>
      </w:r>
      <w:r w:rsidR="00381016" w:rsidRPr="00895D0B">
        <w:rPr>
          <w:rFonts w:cs="Times New Roman"/>
          <w:color w:val="000000" w:themeColor="text1"/>
          <w:szCs w:val="24"/>
        </w:rPr>
        <w:fldChar w:fldCharType="separate"/>
      </w:r>
      <w:r w:rsidR="00381016" w:rsidRPr="00895D0B">
        <w:rPr>
          <w:rFonts w:cs="Times New Roman"/>
          <w:noProof/>
          <w:color w:val="000000" w:themeColor="text1"/>
          <w:szCs w:val="24"/>
        </w:rPr>
        <w:t>(Dube et al., 2021)</w:t>
      </w:r>
      <w:r w:rsidR="00381016" w:rsidRPr="00895D0B">
        <w:rPr>
          <w:rFonts w:cs="Times New Roman"/>
          <w:color w:val="000000" w:themeColor="text1"/>
          <w:szCs w:val="24"/>
        </w:rPr>
        <w:fldChar w:fldCharType="end"/>
      </w:r>
      <w:r w:rsidR="00381016" w:rsidRPr="00895D0B">
        <w:rPr>
          <w:rFonts w:cs="Times New Roman"/>
          <w:color w:val="000000" w:themeColor="text1"/>
          <w:szCs w:val="24"/>
        </w:rPr>
        <w:t xml:space="preserve">. For instance, </w:t>
      </w:r>
      <w:r w:rsidR="00092121" w:rsidRPr="00895D0B">
        <w:rPr>
          <w:rFonts w:cs="Times New Roman"/>
          <w:color w:val="000000" w:themeColor="text1"/>
          <w:szCs w:val="24"/>
        </w:rPr>
        <w:t>Ghana—the 1972 operation feed yourself, South Africa—the 2007 urban agriculture policy for the city of Cape Town</w:t>
      </w:r>
      <w:r w:rsidR="005E4E69" w:rsidRPr="00895D0B">
        <w:rPr>
          <w:rFonts w:cs="Times New Roman"/>
          <w:color w:val="000000" w:themeColor="text1"/>
          <w:szCs w:val="24"/>
        </w:rPr>
        <w:t>, Nigeria—the 2023 urban farming regulation in Nigeria and Rwanda—the</w:t>
      </w:r>
      <w:r w:rsidR="00381016" w:rsidRPr="00895D0B">
        <w:rPr>
          <w:rFonts w:cs="Times New Roman"/>
          <w:color w:val="000000" w:themeColor="text1"/>
          <w:szCs w:val="24"/>
        </w:rPr>
        <w:t xml:space="preserve"> Rwanda 2017 and 2018 national agriculture policy. Again, based on</w:t>
      </w:r>
      <w:r w:rsidRPr="00895D0B">
        <w:rPr>
          <w:rFonts w:cs="Times New Roman"/>
          <w:color w:val="000000" w:themeColor="text1"/>
          <w:szCs w:val="24"/>
        </w:rPr>
        <w:t xml:space="preserve"> expert recommendations</w:t>
      </w:r>
      <w:r w:rsidR="00205497" w:rsidRPr="00895D0B">
        <w:rPr>
          <w:rFonts w:cs="Times New Roman"/>
          <w:color w:val="000000" w:themeColor="text1"/>
          <w:szCs w:val="24"/>
        </w:rPr>
        <w:t>, namely</w:t>
      </w:r>
      <w:r w:rsidR="0013231F" w:rsidRPr="00895D0B">
        <w:rPr>
          <w:rFonts w:cs="Times New Roman"/>
          <w:color w:val="000000" w:themeColor="text1"/>
          <w:szCs w:val="24"/>
        </w:rPr>
        <w:t xml:space="preserve">; Battersby, Haysom and Marshak </w:t>
      </w:r>
      <w:r w:rsidRPr="00895D0B">
        <w:rPr>
          <w:rFonts w:cs="Times New Roman"/>
          <w:color w:val="000000" w:themeColor="text1"/>
          <w:szCs w:val="24"/>
        </w:rPr>
        <w:t>to expand UA</w:t>
      </w:r>
      <w:r w:rsidR="0013231F" w:rsidRPr="00895D0B">
        <w:rPr>
          <w:rFonts w:cs="Times New Roman"/>
          <w:color w:val="000000" w:themeColor="text1"/>
          <w:szCs w:val="24"/>
        </w:rPr>
        <w:t>.</w:t>
      </w:r>
      <w:r w:rsidRPr="00895D0B">
        <w:rPr>
          <w:rFonts w:cs="Times New Roman"/>
          <w:color w:val="000000" w:themeColor="text1"/>
          <w:szCs w:val="24"/>
        </w:rPr>
        <w:t xml:space="preserve"> </w:t>
      </w:r>
    </w:p>
    <w:p w14:paraId="4922D170" w14:textId="77777777" w:rsidR="001B4ED5" w:rsidRPr="00895D0B" w:rsidRDefault="001B4ED5" w:rsidP="006B52B6">
      <w:pPr>
        <w:pStyle w:val="NoSpacing"/>
      </w:pPr>
    </w:p>
    <w:p w14:paraId="57C97EF7" w14:textId="4D54D97A" w:rsidR="001B4ED5" w:rsidRPr="00895D0B" w:rsidRDefault="006B41C0">
      <w:pPr>
        <w:spacing w:line="360" w:lineRule="auto"/>
        <w:rPr>
          <w:rFonts w:cs="Times New Roman"/>
          <w:color w:val="000000" w:themeColor="text1"/>
          <w:szCs w:val="24"/>
          <w:lang w:val="en-US"/>
        </w:rPr>
      </w:pPr>
      <w:r w:rsidRPr="00895D0B">
        <w:rPr>
          <w:rFonts w:cs="Times New Roman"/>
          <w:color w:val="000000" w:themeColor="text1"/>
          <w:szCs w:val="24"/>
        </w:rPr>
        <w:t xml:space="preserve">Urban agriculture refers to a wide range of farming activities that take place within a city's boundary or its direct zone of influence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{"citationItems":[{"id":"ITEM-1","itemData":{"author":[{"dropping-particle":"","family":"FAO","given":"","non-dropping-particle":"","parse-names":false,"suffix":""}],"id":"ITEM-1","issued":{"date-parts":[["2020"]]},"publisher-place":"Rome","title":"Cities and Local Government at the Forefront in Building Inclusive and Resilient Food Systems","type":"report"},"uris":["http://www.mendeley.com/documents/?uuid=5fbbe77e-bde9-4595-97e7-b2380769f930"]}],"mendeley":{"formattedCitation":"(FAO, 2020)","plainTextFormattedCitation":"(FAO, 2020)","previouslyFormattedCitation":"(FAO,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(FAO, 2020)</w:t>
      </w:r>
      <w:r w:rsidRPr="00895D0B">
        <w:rPr>
          <w:rFonts w:cs="Times New Roman"/>
          <w:color w:val="000000" w:themeColor="text1"/>
          <w:szCs w:val="24"/>
        </w:rPr>
        <w:fldChar w:fldCharType="end"/>
      </w:r>
      <w:r w:rsidRPr="00895D0B">
        <w:rPr>
          <w:rFonts w:cs="Times New Roman"/>
          <w:color w:val="000000" w:themeColor="text1"/>
          <w:szCs w:val="24"/>
        </w:rPr>
        <w:t xml:space="preserve">. This type of agricultural activity leverages residential plots, public green spaces, vacant lands, or residual agricultural lands within the city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{"citationItems":[{"id":"ITEM-1","itemData":{"DOI":"10.1007/978-3-319-75798-8","ISBN":"9783319757988","abstract":"The concept of resilience is increasingly used in scientific and political discourses on sustainable urban development and urban disaster risk reduction. It has its roots in disciplines such as physics, psychology and ecology and is a relatively new concept in the field of urban planning. This chapter aims to explore the implications of integrating resilience thinking into urban planning. It introduces the concept of resilience-oriented urban planning and discusses how it is distinct from conventional urban planning. Extending the theory of adaptive cycle, it is argued that urban planning should not be considered as a static process. Urban systems are dynamic entities characterized by non-equilibrium dynamics and constantly go through the four phases of ‘exploitation’, ‘conservation’, ‘release’, and ‘reorganization’. Resilience-oriented planning is needed to address dynamics and complexities of urban systems. This chapter provides discussions on paradigm shifts that are needed to integrate resilience thinking into urban planning. These paradigm shifts are discussed in the context of different planning themes, namely, strategy making and visioning, public participation, equity and empowerment, learning from traditional local knowledge, institutional reforms, social networks, sectoral and spatio-temporal dynamics, land use planning, and urban infrastructure. The chapter concludes with some discussions on how these paradigm shifts contribute to integrating principles that underpin the concept of resilience into urban planning and design.","author":[{"dropping-particle":"","family":"Sharifi","given":"Ayyoob","non-dropping-particle":"","parse-names":false,"suffix":""}],"container-title":"Resilience-Oriented Urban Planning: Theoretical and Empirical Insights (Lecture Notes in Energy Book 65)","id":"ITEM-1","issue":"April","issued":{"date-parts":[["2018"]]},"page":"2-27","title":"Resilience-Oriented Urban Planning Chapter 1 Resilience-Oriented Urban Planning","type":"article-journal"},"uris":["http://www.mendeley.com/documents/?uuid=4ecf39a0-6f08-46f2-8a33-2d75499b610e"]}],"mendeley":{"formattedCitation":"(Sharifi, 2018)","plainTextFormattedCitation":"(Sharifi, 2018)","previouslyFormattedCitation":"(Sharifi,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(Sharifi, 2018)</w:t>
      </w:r>
      <w:r w:rsidRPr="00895D0B">
        <w:rPr>
          <w:rFonts w:cs="Times New Roman"/>
          <w:color w:val="000000" w:themeColor="text1"/>
          <w:szCs w:val="24"/>
        </w:rPr>
        <w:fldChar w:fldCharType="end"/>
      </w:r>
      <w:r w:rsidRPr="00895D0B">
        <w:rPr>
          <w:rFonts w:cs="Times New Roman"/>
          <w:color w:val="000000" w:themeColor="text1"/>
          <w:szCs w:val="24"/>
        </w:rPr>
        <w:t xml:space="preserve">. The urban farming plots can be temporary or permanent, large or small scale, and monocultures or polycultures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{"citationItems":[{"id":"ITEM-1","itemData":{"author":[{"dropping-particle":"","family":"Alimba","given":"J. O.","non-dropping-particle":"","parse-names":false,"suffix":""},{"dropping-particle":"","family":"Olumba","given":"C. C.","non-dropping-particle":"","parse-names":false,"suffix":""},{"dropping-particle":"","family":"Onunka","given":"C. N.","non-dropping-particle":"","parse-names":false,"suffix":""}],"id":"ITEM-1","issue":"February","issued":{"date-parts":[["2020"]]},"title":"Assessing How Food Production in Urban Areas Contribute To Household Food Security in Southeast Nigeria Assessing How Food Production in Urban Areas Contribute To Household Food Security in Southeast Nigeria","type":"article-journal"},"uris":["http://www.mendeley.com/documents/?uuid=9033b718-e667-45c7-82d1-cbd25ba88927"]}],"mendeley":{"formattedCitation":"(Alimba et al., 2020)","plainTextFormattedCitation":"(Alimba et al., 2020)","previouslyFormattedCitation":"(Alimba et al., 2020)"},"properties":{"noteIndex":0},"schema":"https://github.com/citation-style-language/schema/raw/master/csl-citation.json"}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(Alimba et al., 2020)</w:t>
      </w:r>
      <w:r w:rsidRPr="00895D0B">
        <w:rPr>
          <w:rFonts w:cs="Times New Roman"/>
          <w:color w:val="000000" w:themeColor="text1"/>
          <w:szCs w:val="24"/>
          <w:shd w:val="clear" w:color="auto" w:fill="FFFFFF"/>
        </w:rPr>
        <w:fldChar w:fldCharType="end"/>
      </w:r>
      <w:r w:rsidRPr="00895D0B">
        <w:rPr>
          <w:rFonts w:cs="Times New Roman"/>
          <w:color w:val="000000" w:themeColor="text1"/>
          <w:szCs w:val="24"/>
        </w:rPr>
        <w:t xml:space="preserve">. Urban agriculture is also conceived as a value-chain involving the direct production of food crops and animals, and the marketing of agricultural products within the urban space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{"citationItems":[{"id":"ITEM-1","itemData":{"DOI":"10.1016/j.jclepro.2016.01.082","ISSN":"09596526","abstract":"The article presents urban agriculture as a practice that is gaining attention in many cities worldwide, and focuses in particular on the experiences in Mexico City. It first gives a general description of urban agriculture, introduces some conceptual dimensions and presents a policy framework to stimulate agriculture in cities worldwide. It then discusses current practices in the periurban, suburban and interurban parts of Mexico City, and analyses them in terms of their economic, ecological, social and symbolic dimension. The article shows that Mexico City produces some 20% of its own food, but that its importance in economic terms – seen as employment and income generation – is still limited. Its contribution to the ecological infrastructure of the city equally is limited but has potential, as recent policies firmly integrate urban agriculture in environmental policies of the city. An important challenge is to expand urban agriculture to the 22,000 m2 of green roof gardens recently created in the city. In terms of the social dimension, it is observed that Mexico City clearly follows international policy recommendations, invests in capacity building and has policies to help vulnerable groups and women. Finally it addresses the symbolic dimension and observes that this is very important in Mexico City, as urban agriculture is seen as a way to restore some of the pre-Hispanic practices of the Aztecs especially the Floating gardens or Chinampas that have largely been lost due to colonization. Its final conclusion is that a policy to balance the economic, ecological, social and symbolic dimensions of urban agriculture is missing, and that such a policy is important, especially for the periurban zone of the city, where most of the food is produced.","author":[{"dropping-particle":"","family":"Dieleman","given":"Hans","non-dropping-particle":"","parse-names":false,"suffix":""}],"container-title":"Journal of Cleaner Production","id":"ITEM-1","issued":{"date-parts":[["2017"]]},"page":"S156-S163","title":"Urban agriculture in Mexico City; balancing between ecological, economic, social and symbolic value","type":"article-journal","volume":"163"},"uris":["http://www.mendeley.com/documents/?uuid=17b1a7d6-8e0d-4b7e-afbc-fe8527ae9209"]}],"mendeley":{"formattedCitation":"(Dieleman, 2017)","plainTextFormattedCitation":"(Dieleman, 2017)","previouslyFormattedCitation":"(Dieleman,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(Dieleman, 2017)</w:t>
      </w:r>
      <w:r w:rsidRPr="00895D0B">
        <w:rPr>
          <w:rFonts w:cs="Times New Roman"/>
          <w:color w:val="000000" w:themeColor="text1"/>
          <w:szCs w:val="24"/>
        </w:rPr>
        <w:fldChar w:fldCharType="end"/>
      </w:r>
      <w:r w:rsidRPr="00895D0B">
        <w:rPr>
          <w:rFonts w:cs="Times New Roman"/>
          <w:color w:val="000000" w:themeColor="text1"/>
          <w:szCs w:val="24"/>
        </w:rPr>
        <w:t xml:space="preserve">. Urban agriculture ranges from cultivation, processing, and distribution of food within a city and its peripheries. It </w:t>
      </w:r>
      <w:r w:rsidRPr="00895D0B">
        <w:rPr>
          <w:rFonts w:cs="Times New Roman"/>
          <w:color w:val="000000" w:themeColor="text1"/>
          <w:szCs w:val="24"/>
          <w:lang w:val="en-US"/>
        </w:rPr>
        <w:t xml:space="preserve">offers an opportunity to bring crop and animal production to the doorsteps of city dwellers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{"citationItems":[{"id":"ITEM-1","itemData":{"DOI":"10.1080/19463138.2018.1481069","ISSN":"19463146","abstract":"This paper presents a conceptual exploration of Urban Agriculture in Portugal. We argue that Portuguese Urban Agriculture primarily focuses on food production for self-consumption and that its links with the other components of urban as a system are quite limited. To substantiate our argument several Urban Agriculture international definitions are presented and critically analysed along with: 1) interviews of relevant key actors; and, 2) a web search based on key words. We conclude that there is a need to clarify the very concept of Urban Agriculture among actors involved. This could be achieved through a national network able to raise a must needed debate about this promising sector. Political decision makers, civil society, and planners, among others should be involved in this collaborative process. Finally, the paper brings some reflections on what the Portuguese experience contributes to the broader debate and definitions of Urban Agriculture.","author":[{"dropping-particle":"","family":"Delgado","given":"Cecília","non-dropping-particle":"","parse-names":false,"suffix":""}],"container-title":"International Journal of Urban Sustainable Development","id":"ITEM-1","issue":"2","issued":{"date-parts":[["2018"]]},"page":"170-185","publisher":"Taylor &amp; Francis","title":"Contrasting practices and perceptions of urban agriculture in Portugal","type":"article-journal","volume":"10"},"uris":["http://www.mendeley.com/documents/?uuid=39aa3910-3f94-4a3b-b3b7-f22f3297b2dc"]}],"mendeley":{"formattedCitation":"(Delgado, 2018)","plainTextFormattedCitation":"(Delgado, 2018)","previouslyFormattedCitation":"(Delgado, 2018)"},"properties":{"noteIndex":0},"schema":"https://github.com/citation-style-language/schema/raw/master/csl-citation.json"}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(Delgado, 2018)</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 advantages of UA are numerous. </w:t>
      </w:r>
      <w:r w:rsidRPr="00895D0B">
        <w:rPr>
          <w:rFonts w:cs="Times New Roman"/>
          <w:color w:val="000000" w:themeColor="text1"/>
          <w:szCs w:val="24"/>
        </w:rPr>
        <w:t xml:space="preserve">Producing food and animals in and around cities is encouraged because it reduces the challenges of accessing urban food by reducing the distance covered to access food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{"citationItems":[{"id":"ITEM-1","itemData":{"DOI":"10.2166/bgs.2019.931","author":[{"dropping-particle":"","family":"Skar","given":"S L G","non-dropping-particle":"","parse-names":false,"suffix":""},{"dropping-particle":"","family":"Pineda-martos","given":"R","non-dropping-particle":"","parse-names":false,"suffix":""},{"dropping-particle":"","family":"Timpe","given":"A","non-dropping-particle":"","parse-names":false,"suffix":""},{"dropping-particle":"","family":"Pölling","given":"B","non-dropping-particle":"","parse-names":false,"suffix":""},{"dropping-particle":"","family":"Bohn","given":"K","non-dropping-particle":"","parse-names":false,"suffix":""},{"dropping-particle":"","family":"Külvik","given":"M","non-dropping-particle":"","parse-names":false,"suffix":""}],"id":"ITEM-1","issue":"1","issued":{"date-parts":[["2020"]]},"page":"1-27","title":"Urban agriculture as a keystone contribution towards securing sustainable and healthy development for cities in the future","type":"article-journal","volume":"2"},"uris":["http://www.mendeley.com/documents/?uuid=b784da17-c739-49d8-bad9-932ca23fd046"]}],"mendeley":{"formattedCitation":"(Skar et al., 2020)","plainTextFormattedCitation":"(Skar et al., 2020)","previouslyFormattedCitation":"(Skar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(Skar et al., 2020)</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lastRenderedPageBreak/>
        <w:t xml:space="preserve">Apart from food production to meet households’ nutritional needs, UA is a common source of income and a coping mechanism </w:t>
      </w:r>
      <w:r w:rsidR="00D2609E" w:rsidRPr="00895D0B">
        <w:rPr>
          <w:rFonts w:cs="Times New Roman"/>
          <w:color w:val="000000" w:themeColor="text1"/>
          <w:szCs w:val="24"/>
        </w:rPr>
        <w:t>for</w:t>
      </w:r>
      <w:r w:rsidRPr="00895D0B">
        <w:rPr>
          <w:rFonts w:cs="Times New Roman"/>
          <w:color w:val="000000" w:themeColor="text1"/>
          <w:szCs w:val="24"/>
        </w:rPr>
        <w:t xml:space="preserve"> </w:t>
      </w:r>
      <w:r w:rsidR="00D2609E" w:rsidRPr="00895D0B">
        <w:rPr>
          <w:rFonts w:cs="Times New Roman"/>
          <w:color w:val="000000" w:themeColor="text1"/>
          <w:szCs w:val="24"/>
        </w:rPr>
        <w:t xml:space="preserve">urban </w:t>
      </w:r>
      <w:r w:rsidRPr="00895D0B">
        <w:rPr>
          <w:rFonts w:cs="Times New Roman"/>
          <w:color w:val="000000" w:themeColor="text1"/>
          <w:szCs w:val="24"/>
        </w:rPr>
        <w:t xml:space="preserve">households’ in many cities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rbplan.2021.104055","ISSN":"0169-2046","author":[{"dropping-particle":"","family":"Langemeyer","given":"Johannes","non-dropping-particle":"","parse-names":false,"suffix":""},{"dropping-particle":"","family":"Madrid-lopez","given":"Cristina","non-dropping-particle":"","parse-names":false,"suffix":""},{"dropping-particle":"","family":"Mendoza","given":"Angelica","non-dropping-particle":"","parse-names":false,"suffix":""},{"dropping-particle":"","family":"Villalba","given":"Gara","non-dropping-particle":"","parse-names":false,"suffix":""}],"container-title":"Landscape and Urban Planning","id":"ITEM-1","issued":{"date-parts":[["2021"]]},"page":"104055","publisher":"Elsevier B.V.","title":"Landscape and Urban Planning Urban agriculture — A necessary pathway towards urban resilience and global sustainability ?","type":"article-journal","volume":"210"},"uris":["http://www.mendeley.com/documents/?uuid=458599cd-f1fe-4586-a077-d9d409a908c0"]}],"mendeley":{"formattedCitation":"(Langemeyer, Madrid-lopez, et al., 2021)","manualFormatting":"(Langemeyer, Madrid-Lopez, et al., 2021)","plainTextFormattedCitation":"(Langemeyer, Madrid-lopez, et al., 2021)","previouslyFormattedCitation":"(Langemeyer, Madrid-lopez,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(Langemeyer, Madrid-Lopez, et al., 2021)</w:t>
      </w:r>
      <w:r w:rsidRPr="00895D0B">
        <w:rPr>
          <w:rFonts w:cs="Times New Roman"/>
          <w:color w:val="000000" w:themeColor="text1"/>
          <w:szCs w:val="24"/>
        </w:rPr>
        <w:fldChar w:fldCharType="end"/>
      </w:r>
      <w:r w:rsidRPr="00895D0B">
        <w:rPr>
          <w:rFonts w:cs="Times New Roman"/>
          <w:color w:val="000000" w:themeColor="text1"/>
          <w:szCs w:val="24"/>
        </w:rPr>
        <w:t>.</w:t>
      </w:r>
      <w:r w:rsidRPr="00895D0B">
        <w:rPr>
          <w:rFonts w:cs="Times New Roman"/>
          <w:color w:val="000000" w:themeColor="text1"/>
          <w:szCs w:val="24"/>
          <w:lang w:val="en-US"/>
        </w:rPr>
        <w:t xml:space="preserve"> </w:t>
      </w:r>
      <w:r w:rsidR="00933845" w:rsidRPr="00895D0B">
        <w:rPr>
          <w:rFonts w:cs="Times New Roman"/>
          <w:color w:val="000000" w:themeColor="text1"/>
          <w:szCs w:val="24"/>
          <w:lang w:val="en-US"/>
        </w:rPr>
        <w:t>UA</w:t>
      </w:r>
      <w:r w:rsidRPr="00895D0B">
        <w:rPr>
          <w:rFonts w:cs="Times New Roman"/>
          <w:color w:val="000000" w:themeColor="text1"/>
          <w:szCs w:val="24"/>
          <w:lang w:val="en-US"/>
        </w:rPr>
        <w:t xml:space="preserve"> may contribute to enhance </w:t>
      </w:r>
      <w:r w:rsidRPr="00895D0B">
        <w:rPr>
          <w:rFonts w:cs="Times New Roman"/>
          <w:color w:val="000000" w:themeColor="text1"/>
          <w:szCs w:val="24"/>
        </w:rPr>
        <w:t xml:space="preserve">food security and serve as a pro-poor intervention in developing countries. For instance, according to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{"citationItems":[{"id":"ITEM-1","itemData":{"DOI":"10.1111/1468-2427.12993","ISSN":"14682427","abstract":"As municipalities across the global North highlight urban agriculture as a marker of their ‘greenness’, how can we best understand how the spaces and practices of urban food production are governed? This article develops an analysis of urban agriculture as a complex site of governance in which numerous interests engage. We underscore the politics of governance, through which some actors resist the imposition of a narrowly normative and exclusive notion of urban agriculture and against which they envision and enact alternatives. The article contributes to efforts to transcend the often dichotomous framing of urban agriculture as radical or neoliberal, formal or informal, political or post-political by employing ‘everyday governance’ and ‘everyday resistance’ as lenses through which to focus on the prosaic practices of engaging with, pushing back against, and stepping beyond the imposition of hegemonic models of urban agriculture. We argue that the co-constitutive, ‘braided’ nature of urban agricultural governance is revealed through attention to the manifold forms of negotiation and resistance to formal urban agricultural governance. Moreover, our perspective highlights the ways that some practitioners are excluded by, challenge, or re-vision formal definitions of urban agriculture. We draw on the cases of Portland, OR and Vancouver, BC to illustrate our argument.","author":[{"dropping-particle":"","family":"McClintock","given":"Nathan","non-dropping-particle":"","parse-names":false,"suffix":""},{"dropping-particle":"","family":"Miewald","given":"Christiana","non-dropping-particle":"","parse-names":false,"suffix":""},{"dropping-particle":"","family":"McCann","given":"Eugene","non-dropping-particle":"","parse-names":false,"suffix":""}],"container-title":"International Journal of Urban and Regional Research","id":"ITEM-1","issue":"3","issued":{"date-parts":[["2021"]]},"page":"498-518","title":"GOVERNING URBAN AGRICULTURE: Formalization, Resistance and Re-visioning in Two ‘Green’ Cities","type":"article-journal","volume":"45"},"uris":["http://www.mendeley.com/documents/?uuid=8eda4705-9788-4402-94d8-bae971c346d8"]}],"mendeley":{"formattedCitation":"(McClintock et al., 2021)","manualFormatting":"McClintock et al. (2021)","plainTextFormattedCitation":"(McClintock et al., 2021)","previouslyFormattedCitation":"(McClintock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McClintock et al. (2021)</w:t>
      </w:r>
      <w:r w:rsidRPr="00895D0B">
        <w:rPr>
          <w:rFonts w:cs="Times New Roman"/>
          <w:color w:val="000000" w:themeColor="text1"/>
          <w:szCs w:val="24"/>
        </w:rPr>
        <w:fldChar w:fldCharType="end"/>
      </w:r>
      <w:r w:rsidRPr="00895D0B">
        <w:rPr>
          <w:rFonts w:cs="Times New Roman"/>
          <w:color w:val="000000" w:themeColor="text1"/>
          <w:szCs w:val="24"/>
        </w:rPr>
        <w:t>, a year's worth of agricultural produce from a small parcel of land inside a metropolis at a certain point can feed the entire family. It is worth noting that the urban spaces of under-developed countries are not self-reliant in food security</w:t>
      </w:r>
      <w:r w:rsidR="008B3F1F" w:rsidRPr="00895D0B">
        <w:rPr>
          <w:rFonts w:cs="Times New Roman"/>
          <w:color w:val="000000" w:themeColor="text1"/>
          <w:szCs w:val="24"/>
        </w:rPr>
        <w:t xml:space="preserve"> </w:t>
      </w:r>
      <w:r w:rsidR="008B3F1F" w:rsidRPr="00895D0B">
        <w:rPr>
          <w:rFonts w:cs="Times New Roman"/>
          <w:color w:val="000000" w:themeColor="text1"/>
          <w:szCs w:val="24"/>
        </w:rPr>
        <w:fldChar w:fldCharType="begin" w:fldLock="1"/>
      </w:r>
      <w:r w:rsidR="00E37001" w:rsidRPr="00895D0B">
        <w:rPr>
          <w:rFonts w:cs="Times New Roman"/>
          <w:color w:val="000000" w:themeColor="text1"/>
          <w:szCs w:val="24"/>
        </w:rPr>
        <w:instrText>ADDIN CSL_CITATION {"citationItems":[{"id":"ITEM-1","itemData":{"DOI":"10.1016/j.scitotenv.2019.135930","ISSN":"18791026","PMID":"31837547","abstract":"The process of urbanization has detached a large proportion of the global population from involvement with food production. However, there has been a resurgence in interest in urban agriculture and there is widespread recognition by policy-makers of its potential contribution to food security. Despite this, there is little data on urban agricultural production by non-commercial small-scale growers. We combine citizen science data for self-provisioning crop yields with field-mapping and GIS-based analysis of allotments in Leicester, UK, to provide an estimate of allotment fruit and vegetable production at a city-scale. In addition, we examine city-scale changes in allotment land provision on potential crop production over the past century. The average area of individual allotment plots used to grow crops was 52%. Per unit area yields for the majority of crops grown in allotments were similar to those of UK commercial horticulture. We estimate city-wide allotment production of &gt;1200 t of fruit and vegetables and 200 t of potatoes per annum, equivalent to feeding &gt;8500 people. If the 13% of plots that are completely uncultivated were used this could increase production to &gt;1400 t per annum, feeding ~10,000 people, however this production may not be located in areas where there is greatest need for increased access to fresh fruits and vegetables. The citywide contribution of allotment cultivation peaked in the 1950s when 475 ha of land was allotments, compared to 97 ha currently. This suggests a decline from &gt;45,000 to &lt;10,000 of people fed per annum. We demonstrate that urban allotments make a small but important contribution to the fruit and vegetable diet of a UK city. However, further urban population expansion will exert increasing development pressure on allotment land. Policy-makers should both protect allotments within cities, and embed urban agricultural land within future developments to improve local food security.","author":[{"dropping-particle":"","family":"Edmondson","given":"J L.","non-dropping-particle":"","parse-names":false,"suffix":""},{"dropping-particle":"","family":"Childs","given":"D. Z.","non-dropping-particle":"","parse-names":false,"suffix":""},{"dropping-particle":"","family":"Dobson","given":"M. C.","non-dropping-particle":"","parse-names":false,"suffix":""},{"dropping-particle":"","family":"Gaston","given":"K. J.","non-dropping-particle":"","parse-names":false,"suffix":""},{"dropping-particle":"","family":"Warren","given":"P. H.","non-dropping-particle":"","parse-names":false,"suffix":""},{"dropping-particle":"","family":"Leake","given":"J. R.","non-dropping-particle":"","parse-names":false,"suffix":""}],"container-title":"Science of the Total Environment","id":"ITEM-1","issued":{"date-parts":[["2020"]]},"page":"135930","publisher":"The Authors","title":"Feeding a city – Leicester as a case study of the importance of allotments for horticultural production in the UK","type":"article-journal","volume":"705"},"uris":["http://www.mendeley.com/documents/?uuid=84811ff8-4749-4166-88ec-39b796b0d842"]}],"mendeley":{"formattedCitation":"(Edmondson et al., 2020)","plainTextFormattedCitation":"(Edmondson et al., 2020)","previouslyFormattedCitation":"(Edmondson et al., 2020)"},"properties":{"noteIndex":0},"schema":"https://github.com/citation-style-language/schema/raw/master/csl-citation.json"}</w:instrText>
      </w:r>
      <w:r w:rsidR="008B3F1F" w:rsidRPr="00895D0B">
        <w:rPr>
          <w:rFonts w:cs="Times New Roman"/>
          <w:color w:val="000000" w:themeColor="text1"/>
          <w:szCs w:val="24"/>
        </w:rPr>
        <w:fldChar w:fldCharType="separate"/>
      </w:r>
      <w:r w:rsidR="008B3F1F" w:rsidRPr="00895D0B">
        <w:rPr>
          <w:rFonts w:cs="Times New Roman"/>
          <w:noProof/>
          <w:color w:val="000000" w:themeColor="text1"/>
          <w:szCs w:val="24"/>
        </w:rPr>
        <w:t>(Edmondson et al., 2020)</w:t>
      </w:r>
      <w:r w:rsidR="008B3F1F" w:rsidRPr="00895D0B">
        <w:rPr>
          <w:rFonts w:cs="Times New Roman"/>
          <w:color w:val="000000" w:themeColor="text1"/>
          <w:szCs w:val="24"/>
        </w:rPr>
        <w:fldChar w:fldCharType="end"/>
      </w:r>
      <w:r w:rsidRPr="00895D0B">
        <w:rPr>
          <w:rFonts w:cs="Times New Roman"/>
          <w:color w:val="000000" w:themeColor="text1"/>
          <w:szCs w:val="24"/>
        </w:rPr>
        <w:t>. The urban areas largely depend on the peripheries or the hinterlands for food. In addition, rural agriculture is not independent from the vagaries of climate change and variability stressors</w:t>
      </w:r>
      <w:r w:rsidRPr="00895D0B">
        <w:rPr>
          <w:rFonts w:cs="Times New Roman"/>
          <w:color w:val="000000" w:themeColor="text1"/>
          <w:szCs w:val="24"/>
          <w:lang w:val="en-US"/>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{"citationItems":[{"id":"ITEM-1","itemData":{"DOI":"10.1186/s40100-020-00155-3","ISSN":"21937532","abstract":"The debate about the contribution of urban agriculture to urban household food security has not considered the possible differential effects by geography of production activities, focusing either on urban household’s participation in agriculture irrespective of where the activity takes place, or restricting participation to production within urban and peri-urban areas, or more narrowly, production within build-up urban spaces. Using a sample of 2004 households in a small and a medium-sized city in Ghana, this article contributes by disentangling urban household’s participation in agriculture by geography of production activities and the implications for the food security of urban households. We find no evidence from our sample that participation in agriculture in general matters for the food security of urban households. However, urbanites who produced food in both urban and rural areas had better food security in the medium-sized city.","author":[{"dropping-particle":"","family":"Ayerakwa","given":"H. M.","non-dropping-particle":"","parse-names":false,"suffix":""},{"dropping-particle":"","family":"Dzanku","given":"F. M.","non-dropping-particle":"","parse-names":false,"suffix":""},{"dropping-particle":"","family":"Sarpong","given":"D. B.","non-dropping-particle":"","parse-names":false,"suffix":""}],"container-title":"Agricultural and Food Economics","id":"ITEM-1","issue":"1","issued":{"date-parts":[["2020"]]},"publisher":"Agricultural and Food Economics","title":"The geography of agriculture participation and food security in a small and a medium-sized city in Ghana","type":"article-journal","volume":"8"},"uris":["http://www.mendeley.com/documents/?uuid=1bd56ab1-552d-4297-a7dc-ba948d485f7d"]}],"mendeley":{"formattedCitation":"(Ayerakwa et al., 2020b)","manualFormatting":"Ayerakwa et al., 2020)","plainTextFormattedCitation":"(Ayerakwa et al., 2020b)","previouslyFormattedCitation":"(Ayerakwa et al., 2020b)"},"properties":{"noteIndex":0},"schema":"https://github.com/citation-style-language/schema/raw/master/csl-citation.json"}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Ayerakwa et al., 2020)</w:t>
      </w:r>
      <w:r w:rsidRPr="00895D0B">
        <w:rPr>
          <w:rFonts w:cs="Times New Roman"/>
          <w:color w:val="000000" w:themeColor="text1"/>
          <w:szCs w:val="24"/>
        </w:rPr>
        <w:fldChar w:fldCharType="end"/>
      </w:r>
      <w:r w:rsidRPr="00895D0B">
        <w:rPr>
          <w:rFonts w:cs="Times New Roman"/>
          <w:color w:val="000000" w:themeColor="text1"/>
          <w:szCs w:val="24"/>
          <w:lang w:val="en-US"/>
        </w:rPr>
        <w:t xml:space="preserve">. This has made it significant for urban dwellers to embrace UA as a way of contributing to the urban food basket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10.17645/pag.v9i1.3590","author":[{"dropping-particle":"","family":"Schwindenhammer","given":"Sandra","non-dropping-particle":"","parse-names":false,"suffix":""},{"dropping-particle":"","family":"Gonglach","given":"Denise","non-dropping-particle":"","parse-names":false,"suffix":""}],"id":"ITEM-1","issue":"1","issued":{"date-parts":[["2021"]]},"page":"176-186","title":"SDG Implementation through Technology ? Governing Food-Water-Technology Nexus Challenges in Urban Agriculture","type":"article-journal","volume":"9"},"uris":["http://www.mendeley.com/documents/?uuid=d5dcd406-ba05-48d6-be88-74a4a18e544c"]}],"mendeley":{"formattedCitation":"(Schwindenhammer &amp; Gonglach, 2021)","plainTextFormattedCitation":"(Schwindenhammer &amp; Gonglach, 2021)","previouslyFormattedCitation":"(Schwindenhammer &amp; Gonglach, 2021)"},"properties":{"noteIndex":0},"schema":"https://github.com/citation-style-language/schema/raw/master/csl-citation.json"}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(Schwindenhammer &amp; Gonglach, 2021)</w:t>
      </w:r>
      <w:r w:rsidRPr="00895D0B">
        <w:rPr>
          <w:rFonts w:cs="Times New Roman"/>
          <w:color w:val="000000" w:themeColor="text1"/>
          <w:szCs w:val="24"/>
          <w:lang w:val="en-US"/>
        </w:rPr>
        <w:fldChar w:fldCharType="end"/>
      </w:r>
      <w:r w:rsidRPr="00895D0B">
        <w:rPr>
          <w:rFonts w:cs="Times New Roman"/>
          <w:color w:val="000000" w:themeColor="text1"/>
          <w:szCs w:val="24"/>
          <w:lang w:val="en-US"/>
        </w:rPr>
        <w:t>.</w:t>
      </w:r>
    </w:p>
    <w:p w14:paraId="6818BC4B" w14:textId="77777777" w:rsidR="001B4ED5" w:rsidRPr="00895D0B" w:rsidRDefault="001B4ED5" w:rsidP="001A3B11">
      <w:pPr>
        <w:pStyle w:val="NoSpacing"/>
      </w:pPr>
    </w:p>
    <w:p w14:paraId="17FC7F09" w14:textId="4B27E8D9" w:rsidR="001B4ED5" w:rsidRPr="00895D0B" w:rsidRDefault="006B41C0">
      <w:pPr>
        <w:spacing w:line="360" w:lineRule="auto"/>
        <w:rPr>
          <w:rFonts w:cs="Times New Roman"/>
          <w:color w:val="000000" w:themeColor="text1"/>
          <w:szCs w:val="24"/>
          <w:lang w:val="en-US"/>
        </w:rPr>
      </w:pPr>
      <w:r w:rsidRPr="00895D0B">
        <w:rPr>
          <w:rFonts w:cs="Times New Roman"/>
          <w:color w:val="000000" w:themeColor="text1"/>
          <w:szCs w:val="24"/>
        </w:rPr>
        <w:t xml:space="preserve">In fact, UA is a vital response to the growing food demand, and aims to reduce the risk of food insecurity faced by the urban populace, particularly in low-income urban areas because it enables them to spend less </w:t>
      </w:r>
      <w:r w:rsidR="00933845" w:rsidRPr="00895D0B">
        <w:rPr>
          <w:rFonts w:cs="Times New Roman"/>
          <w:color w:val="000000" w:themeColor="text1"/>
          <w:szCs w:val="24"/>
        </w:rPr>
        <w:t xml:space="preserve">money </w:t>
      </w:r>
      <w:r w:rsidRPr="00895D0B">
        <w:rPr>
          <w:rFonts w:cs="Times New Roman"/>
          <w:color w:val="000000" w:themeColor="text1"/>
          <w:szCs w:val="24"/>
        </w:rPr>
        <w:t xml:space="preserve">on food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https://doi.org/10.4060/ca3151en","ISBN":"9789251312742","author":[{"dropping-particle":"","family":"FAO.","given":"","non-dropping-particle":"","parse-names":false,"suffix":""}],"id":"ITEM-1","issued":{"date-parts":[["2019"]]},"publisher-place":"Rome","title":"FAO framework for the urban food agenda","type":"report"},"uris":["http://www.mendeley.com/documents/?uuid=5f70b264-c073-4b14-9569-62b8ca998f00"]}],"mendeley":{"formattedCitation":"(FAO., 2019)","plainTextFormattedCitation":"(FAO., 2019)","previouslyFormattedCitation":"(FAO.,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(FAO., 2019)</w:t>
      </w:r>
      <w:r w:rsidRPr="00895D0B">
        <w:rPr>
          <w:rFonts w:cs="Times New Roman"/>
          <w:color w:val="000000" w:themeColor="text1"/>
          <w:szCs w:val="24"/>
        </w:rPr>
        <w:fldChar w:fldCharType="end"/>
      </w:r>
      <w:r w:rsidRPr="00895D0B">
        <w:rPr>
          <w:rFonts w:cs="Times New Roman"/>
          <w:color w:val="000000" w:themeColor="text1"/>
          <w:szCs w:val="24"/>
        </w:rPr>
        <w:t xml:space="preserve">. Urban agriculture in recent times is gaining popularity as a means of achieving global food security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{"citationItems":[{"id":"ITEM-1","itemData":{"DOI":"10.1016/j.landusepol.2020.104681","ISSN":"02648377","abstract":"Urban agriculture literature regarding the Global South reveals important knowledge gaps concerning spatial variations of food gardens across cityscapes, gardener motivations, and tensions with urban planning regulations, especially in locales beyond sub-Saharan Africa. In Vietnam, urban agriculture is growing in popularity and gaining media attention but there is little research as to why urban agriculture is practiced in smaller Vietnamese cities, especially those close to rural hinterlands. In this paper we investigate small-scale urban agriculture – or food gardens – in Lào Cai, a small upland city located on the Sino-Vietnamese border. We find a complex diversity of garden sizes and land management arrangements where gardens are built, including on state institutional land, thanks to informal arrangements. Gardener motivations focus predominantly on food safety concerns, contrasting with key motivations found elsewhere in the Global South. Throughout the city, albeit more so in newly urbanising sectors, this urban practice remains precarious due to irregular land access and confusing city authority regulations. We thus examine how urban residents are working to access safe food and contribute to their city's urban food system while state officials tend to focus their priorities elsewhere.","author":[{"dropping-particle":"","family":"Pham","given":"T.","non-dropping-particle":"","parse-names":false,"suffix":""},{"dropping-particle":"","family":"Turner","given":"S.","non-dropping-particle":"","parse-names":false,"suffix":""}],"container-title":"Land Use Policy","id":"ITEM-1","issue":"March","issued":{"date-parts":[["2020"]]},"publisher":"Elsevier","title":"‘If I want safe food I have to grow it myself’: Patterns and motivations of urban agriculture in a small city in Vietnam's northern borderlands","type":"article-journal","volume":"96"},"uris":["http://www.mendeley.com/documents/?uuid=97ae1a88-97d7-4b1c-8313-5f31dc3b0192"]}],"mendeley":{"formattedCitation":"(Pham &amp; Turner, 2020)","plainTextFormattedCitation":"(Pham &amp; Turner, 2020)","previouslyFormattedCitation":"(Pham &amp; Turner, 2020)"},"properties":{"noteIndex":0},"schema":"https://github.com/citation-style-language/schema/raw/master/csl-citation.json"}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(Pham &amp; Turner, 2020)</w:t>
      </w:r>
      <w:r w:rsidRPr="00895D0B">
        <w:rPr>
          <w:rFonts w:cs="Times New Roman"/>
          <w:color w:val="000000" w:themeColor="text1"/>
          <w:szCs w:val="24"/>
          <w:shd w:val="clear" w:color="auto" w:fill="FFFFFF"/>
        </w:rPr>
        <w:fldChar w:fldCharType="end"/>
      </w:r>
      <w:r w:rsidRPr="00895D0B">
        <w:rPr>
          <w:rFonts w:cs="Times New Roman"/>
          <w:color w:val="000000" w:themeColor="text1"/>
          <w:szCs w:val="24"/>
        </w:rPr>
        <w:t xml:space="preserve">. </w:t>
      </w:r>
      <w:r w:rsidRPr="00895D0B">
        <w:rPr>
          <w:rFonts w:cs="Times New Roman"/>
          <w:color w:val="000000" w:themeColor="text1"/>
          <w:szCs w:val="24"/>
          <w:lang w:val="en-US"/>
        </w:rPr>
        <w:t xml:space="preserve">Importantly, the link between global food security and </w:t>
      </w:r>
      <w:r w:rsidRPr="00895D0B">
        <w:rPr>
          <w:rFonts w:cs="Times New Roman"/>
          <w:color w:val="000000" w:themeColor="text1"/>
          <w:szCs w:val="24"/>
        </w:rPr>
        <w:t xml:space="preserve">UA as alternative farming focuses on small-scale local food production in the urban or peri-urban context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{"citationItems":[{"id":"ITEM-1","itemData":{"DOI":"10.1016/j.ufug.2020.126967","ISSN":"16108167","abstract":"Nowadays, food insecurity is intensifying in urban areas of Ethiopia, accompanied by a high food price. This paper aims to explore the capacity of farmlands (field crop areas and vegetable farmlands) to supply food and search for suitable locations for urban and peri-urban agriculture that are low in extent at the moment. Both the capacity assessment and the suitability analysis used overlay analysis with multiple criteria in ArcGIS software. The result shows that 62.4 % of the field crop areas display a medium and 88 % of the vegetable farmlands show high capacity. Furthermore, this paper studied the suitability of bare lands for urban and peri-urban agriculture. The result reveals that 57.2 % of the bare-lands are highly suitable for urban and peri-urban agriculture. Therefore, we recommend the improvement of the capacity of the field crop areas and vegetable farmlands by increasing the potential of each indicator, especially soil fertility, which shows low potential at the moment. We, furthermore, suggest the conversion of suitable bare lands into urban and peri-urban agricultural uses. The implementation of the suggestion might improve food security and contribute to sustainable development, green infrastructure planning, environmental protection, and social cohesion.","author":[{"dropping-particle":"","family":"Nigussie","given":"Senait","non-dropping-particle":"","parse-names":false,"suffix":""},{"dropping-particle":"","family":"Liu","given":"Li","non-dropping-particle":"","parse-names":false,"suffix":""},{"dropping-particle":"","family":"Yeshitela","given":"Kumelachew","non-dropping-particle":"","parse-names":false,"suffix":""}],"container-title":"Urban Forestry and Urban Greening","id":"ITEM-1","issue":"May 2020","issued":{"date-parts":[["2021"]]},"page":"126967","publisher":"Elsevier GmbH","title":"Towards improving food security in urban and peri-urban areas in Ethiopia through map analysis for planning","type":"article-journal","volume":"58"},"uris":["http://www.mendeley.com/documents/?uuid=9bce7b54-6b03-4975-a903-637fc4bc559e"]}],"mendeley":{"formattedCitation":"(Nigussie et al., 2021)","plainTextFormattedCitation":"(Nigussie et al., 2021)","previouslyFormattedCitation":"(Nigussie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(Nigussie et al., 2021)</w:t>
      </w:r>
      <w:r w:rsidRPr="00895D0B">
        <w:rPr>
          <w:rFonts w:cs="Times New Roman"/>
          <w:color w:val="000000" w:themeColor="text1"/>
          <w:szCs w:val="24"/>
        </w:rPr>
        <w:fldChar w:fldCharType="end"/>
      </w:r>
      <w:r w:rsidRPr="00895D0B">
        <w:rPr>
          <w:rFonts w:cs="Times New Roman"/>
          <w:color w:val="000000" w:themeColor="text1"/>
          <w:szCs w:val="24"/>
        </w:rPr>
        <w:t xml:space="preserve">. As a consequence, both policy and scientific literature have called for greater attention to be accorded UA bearing in mind its contribution to meeting the need for global food security </w:t>
      </w:r>
      <w:r w:rsidRPr="00895D0B">
        <w:rPr>
          <w:rFonts w:cs="Times New Roman"/>
          <w:color w:val="000000" w:themeColor="text1"/>
          <w:szCs w:val="24"/>
          <w:lang w:val="en-US"/>
        </w:rPr>
        <w:t>(</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{"citationItems":[{"id":"ITEM-1","itemData":{"DOI":"10.1016/j.foodpol.2020.101999","ISSN":"03069192","abstract":"Trends in urbanization and urban food insecurity in sub-Saharan Africa (SSA) have stimulated critical debates around the potential benefits of urban agriculture (UA) to urban livelihoods. Some scholars suggest that UA can contribute to the food quantity, food quality and income needs of urban households. However, much of the evidence cited comes from single case studies, with particular attention paid to large cities and high-income countries. There is a resulting gap in understanding regarding what role UA plays in the food security of households in smaller African cities and towns. These smaller urban areas are likely to house a large fraction of SSA's urban population in future and are important sites for early intervention by policymakers. Our analysis is based on survey data collected from 2,687 low- and low-middle income households in 18 urban areas with populations of less than 200,000 across Zambia and Kenya. We perform statistical analyses to investigate the association between UA and household food security and assess which types of households are engaged in UA. We found that 33% of households in our sample are engaged in UA and there was limited statistical significance in terms of the relationship between UA and household food security. Our results reveal three key barriers to UA, namely settlement formality, property rights, and distance from food retailers. These barriers imply the need for urban planners and policymakers to revisit how decisions are made about issues such as residential development, land tenure, transport infrastructure, and the use of space in cities, as these affect the ability of households to produce, sell, and access food. Policy and planning mechanisms should further recognize the embeddedness of UA within African urban food systems, in which traditional markets, informal trading, and modern food retail also play an integral role.","author":[{"dropping-particle":"","family":"Davies","given":"J.","non-dropping-particle":"","parse-names":false,"suffix":""},{"dropping-particle":"","family":"Hannah","given":"C.","non-dropping-particle":"","parse-names":false,"suffix":""},{"dropping-particle":"","family":"Guido","given":"Z.","non-dropping-particle":"","parse-names":false,"suffix":""},{"dropping-particle":"","family":"Zimmer","given":"A.","non-dropping-particle":"","parse-names":false,"suffix":""},{"dropping-particle":"","family":"McCann","given":"L.","non-dropping-particle":"","parse-names":false,"suffix":""},{"dropping-particle":"","family":"Battersby","given":"J.","non-dropping-particle":"","parse-names":false,"suffix":""},{"dropping-particle":"","family":"Evans","given":"T.","non-dropping-particle":"","parse-names":false,"suffix":""}],"container-title":"Food Policy","id":"ITEM-1","issue":"November","issued":{"date-parts":[["2021"]]},"page":"101999","publisher":"Elsevier Ltd","title":"Barriers to urban agriculture in Sub-Saharan Africa","type":"article-journal","volume":"103"},"uris":["http://www.mendeley.com/documents/?uuid=9972bc12-6c74-4290-89d3-9a6e106e1a81"]}],"mendeley":{"formattedCitation":"(Davies et al., 2021)","manualFormatting":"Davies et al., 2021)","plainTextFormattedCitation":"(Davies et al., 2021)","previouslyFormattedCitation":"(Davies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Davies et al., 2021)</w:t>
      </w:r>
      <w:r w:rsidRPr="00895D0B">
        <w:rPr>
          <w:rFonts w:cs="Times New Roman"/>
          <w:color w:val="000000" w:themeColor="text1"/>
          <w:szCs w:val="24"/>
        </w:rPr>
        <w:fldChar w:fldCharType="end"/>
      </w:r>
      <w:r w:rsidRPr="00895D0B">
        <w:rPr>
          <w:rFonts w:cs="Times New Roman"/>
          <w:color w:val="000000" w:themeColor="text1"/>
          <w:szCs w:val="24"/>
          <w:lang w:val="en-US"/>
        </w:rPr>
        <w:t xml:space="preserve">. Urban agriculture is widely discussed across several knowledge-driven platforms like international fora and symposiums, scientific conferences among others seeking to find solutions to the rising food insecurity situation in tandem with the growing population. The consensus is that; city dwellers have to work towards producing some of their food requirements by leveraging on the few unbuilt urban spaces to engage in agricultural activities. There is also another group of scholars that argue that city planners should create space for urban agricultural activities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{"citationItems":[{"id":"ITEM-1","itemData":{"DOI":"10.1016/j.foodpol.2020.101999","ISSN":"03069192","abstract":"Trends in urbanization and urban food insecurity in sub-Saharan Africa (SSA) have stimulated critical debates around the potential benefits of urban agriculture (UA) to urban livelihoods. Some scholars suggest that UA can contribute to the food quantity, food quality and income needs of urban households. However, much of the evidence cited comes from single case studies, with particular attention paid to large cities and high-income countries. There is a resulting gap in understanding regarding what role UA plays in the food security of households in smaller African cities and towns. These smaller urban areas are likely to house a large fraction of SSA's urban population in future and are important sites for early intervention by policymakers. Our analysis is based on survey data collected from 2,687 low- and low-middle income households in 18 urban areas with populations of less than 200,000 across Zambia and Kenya. We perform statistical analyses to investigate the association between UA and household food security and assess which types of households are engaged in UA. We found that 33% of households in our sample are engaged in UA and there was limited statistical significance in terms of the relationship between UA and household food security. Our results reveal three key barriers to UA, namely settlement formality, property rights, and distance from food retailers. These barriers imply the need for urban planners and policymakers to revisit how decisions are made about issues such as residential development, land tenure, transport infrastructure, and the use of space in cities, as these affect the ability of households to produce, sell, and access food. Policy and planning mechanisms should further recognize the embeddedness of UA within African urban food systems, in which traditional markets, informal trading, and modern food retail also play an integral role.","author":[{"dropping-particle":"","family":"Davies","given":"J.","non-dropping-particle":"","parse-names":false,"suffix":""},{"dropping-particle":"","family":"Hannah","given":"C.","non-dropping-particle":"","parse-names":false,"suffix":""},{"dropping-particle":"","family":"Guido","given":"Z.","non-dropping-particle":"","parse-names":false,"suffix":""},{"dropping-particle":"","family":"Zimmer","given":"A.","non-dropping-particle":"","parse-names":false,"suffix":""},{"dropping-particle":"","family":"McCann","given":"L.","non-dropping-particle":"","parse-names":false,"suffix":""},{"dropping-particle":"","family":"Battersby","given":"J.","non-dropping-particle":"","parse-names":false,"suffix":""},{"dropping-particle":"","family":"Evans","given":"T.","non-dropping-particle":"","parse-names":false,"suffix":""}],"container-title":"Food Policy","id":"ITEM-1","issue":"November","issued":{"date-parts":[["2021"]]},"page":"101999","publisher":"Elsevier Ltd","title":"Barriers to urban agriculture in Sub-Saharan Africa","type":"article-journal","volume":"103"},"uris":["http://www.mendeley.com/documents/?uuid=9972bc12-6c74-4290-89d3-9a6e106e1a81"]}],"mendeley":{"formattedCitation":"(Davies et al., 2021)","plainTextFormattedCitation":"(Davies et al., 2021)","previouslyFormattedCitation":"(Davies et al., 2021)"},"properties":{"noteIndex":0},"schema":"https://github.com/citation-style-language/schema/raw/master/csl-citation.json"}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(Davies et al., 2021)</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In so doing, it is believed that the overdependence on the countryside to supply the teeming urban populace with all their food requirements would be addressed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{"citationItems":[{"id":"ITEM-1","itemData":{"DOI":"10.1080/10630732.2018.1485368","ISSN":"14661853","abstract":"In the theory of urban development, the evolutionary perspective is becoming dominant. Cities are understood as complex systems shaped by bottom-up processes with outcomes that are hard to foresee and plan for. This perspective is strengthened by the current turn towards smart cities and the intensive use of digital technologies to optimize urban ecosystems. This paper extends the evolutionary thinking and emerging dynamics of cities to smart city planning. It is based on recent efforts for a smart city strategy in Thessaloniki that enhances the economic, environmental, and social sustainability of the city. Taking advantage of opportunities offered by the IBM Smarter Cities Challenge, the Rockefeller 100 Resilient Cities, the World Bank, and the EU Horizon 2020 Program, Thessaloniki shaped a strategy for an inclusive economy, resilient infrastructure, participatory governance, and open data. This process, however, does not have the usual features of planning. It reveals the complex dimension of smart city planning as a synthesis of technologies, user engagement, and windows of opportunity, which are fuzzy at the start of the planning process. The evolutionary features of cities, which until now were ascribed to the working of markets, are now shaping the institutional aspects of planning for smart cities.","author":[{"dropping-particle":"","family":"Komninos","given":"N.","non-dropping-particle":"","parse-names":false,"suffix":""},{"dropping-particle":"","family":"Kakderi","given":"C.","non-dropping-particle":"","parse-names":false,"suffix":""},{"dropping-particle":"","family":"Panori","given":"A.","non-dropping-particle":"","parse-names":false,"suffix":""},{"dropping-particle":"","family":"Tsarchopoulos","given":"P.","non-dropping-particle":"","parse-names":false,"suffix":""}],"container-title":"Journal of Urban Technology","id":"ITEM-1","issue":"2","issued":{"date-parts":[["2019"]]},"page":"3-20","publisher":"Taylor &amp; Francis","title":"Smart City Planning from an Evolutionary Perspective","type":"article-journal","volume":"26"},"uris":["http://www.mendeley.com/documents/?uuid=b3af84f3-5a87-4bcc-beb9-d4048e41c2d0"]}],"mendeley":{"formattedCitation":"(Komninos et al., 2019)","plainTextFormattedCitation":"(Komninos et al., 2019)","previouslyFormattedCitation":"(Komninos et al., 2019)"},"properties":{"noteIndex":0},"schema":"https://github.com/citation-style-language/schema/raw/master/csl-citation.json"}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(Komninos et al., 2019)</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w:t>
      </w:r>
      <w:r w:rsidRPr="00895D0B">
        <w:rPr>
          <w:rFonts w:cs="Times New Roman"/>
          <w:color w:val="000000" w:themeColor="text1"/>
          <w:szCs w:val="24"/>
        </w:rPr>
        <w:t>Urban populations consume</w:t>
      </w:r>
      <w:r w:rsidRPr="00895D0B">
        <w:rPr>
          <w:rFonts w:cs="Times New Roman"/>
          <w:strike/>
          <w:color w:val="000000" w:themeColor="text1"/>
          <w:szCs w:val="24"/>
        </w:rPr>
        <w:t>s</w:t>
      </w:r>
      <w:r w:rsidRPr="00895D0B">
        <w:rPr>
          <w:rFonts w:cs="Times New Roman"/>
          <w:color w:val="000000" w:themeColor="text1"/>
          <w:szCs w:val="24"/>
        </w:rPr>
        <w:t xml:space="preserve"> a larger proportion of the global food produced—feeding the estimated 9 billion people in the world by 2050 will be a challenge considering the fact that about 66 </w:t>
      </w:r>
      <w:r w:rsidR="00605A60" w:rsidRPr="00895D0B">
        <w:rPr>
          <w:rFonts w:cs="Times New Roman"/>
          <w:color w:val="000000" w:themeColor="text1"/>
          <w:szCs w:val="24"/>
        </w:rPr>
        <w:t xml:space="preserve">% </w:t>
      </w:r>
      <w:r w:rsidRPr="00895D0B">
        <w:rPr>
          <w:rFonts w:cs="Times New Roman"/>
          <w:color w:val="000000" w:themeColor="text1"/>
          <w:szCs w:val="24"/>
        </w:rPr>
        <w:t xml:space="preserve">of this population is expected to live in cities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{"citationItems":[{"id":"ITEM-1","itemData":{"DOI":"10.1017/aae.2017.30","ISSN":"20567405","abstract":"In developing countries, problems such as malnutrition and food insecurity are shifting from rural to urban areas because of rapid urbanization. However, regional variations in alimental food consumption within urban settings have often been ignored. Using survey data, our study examines regional patterns of expenditure on fresh vegetables, fruits, and peanut products in urban households of Ghana. After accounting for socioeconomic and demographic factors, food expenditure on fresh vegetables and peanut products and income elasticity vary significantly across major cities. Food distributors may adjust their marketing strategies, while policy makers should pay attention to possible disparities in urban areas.","author":[{"dropping-particle":"","family":"Meng","given":"Ting","non-dropping-particle":"","parse-names":false,"suffix":""},{"dropping-particle":"","family":"Florkowski","given":"Wojciech J.","non-dropping-particle":"","parse-names":false,"suffix":""},{"dropping-particle":"","family":"Sarpong","given":"Daniel B.","non-dropping-particle":"","parse-names":false,"suffix":""},{"dropping-particle":"","family":"Chinnan","given":"Manjeet S.","non-dropping-particle":"","parse-names":false,"suffix":""},{"dropping-particle":"","family":"Resurreccion","given":"Anna V.A.","non-dropping-particle":"","parse-names":false,"suffix":""}],"container-title":"Journal of Agricultural and Applied Economics","id":"ITEM-1","issue":"2","issued":{"date-parts":[["2018"]]},"page":"188-211","title":"Alimental food consumption among urban households: An empirical study of Ghana","type":"article-journal","volume":"50"},"uris":["http://www.mendeley.com/documents/?uuid=836c4e58-a6f2-4474-b2f1-d62c4bad62ab"]}],"mendeley":{"formattedCitation":"(Meng et al., 2018)","plainTextFormattedCitation":"(Meng et al., 2018)","previouslyFormattedCitation":"(Meng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(Meng et al., 2018)</w:t>
      </w:r>
      <w:r w:rsidRPr="00895D0B">
        <w:rPr>
          <w:rFonts w:cs="Times New Roman"/>
          <w:color w:val="000000" w:themeColor="text1"/>
          <w:szCs w:val="24"/>
        </w:rPr>
        <w:fldChar w:fldCharType="end"/>
      </w:r>
      <w:r w:rsidRPr="00895D0B">
        <w:rPr>
          <w:rFonts w:cs="Times New Roman"/>
          <w:color w:val="000000" w:themeColor="text1"/>
          <w:szCs w:val="24"/>
        </w:rPr>
        <w:t>.</w:t>
      </w:r>
      <w:r w:rsidRPr="00895D0B">
        <w:rPr>
          <w:rFonts w:cs="Times New Roman"/>
          <w:color w:val="000000" w:themeColor="text1"/>
          <w:szCs w:val="24"/>
          <w:lang w:val="en-US"/>
        </w:rPr>
        <w:t xml:space="preserve"> </w:t>
      </w:r>
      <w:r w:rsidRPr="00895D0B">
        <w:rPr>
          <w:rFonts w:cs="Times New Roman"/>
          <w:color w:val="000000" w:themeColor="text1"/>
          <w:szCs w:val="24"/>
          <w:lang w:val="en-US"/>
        </w:rPr>
        <w:lastRenderedPageBreak/>
        <w:t>Indeed, if there is any sub-region that needs to emphasize increased participation in UA towards meeting the food requirement of the rising urban population, Africa should be the first point of call. In Africa, population growth continues unabated with</w:t>
      </w:r>
      <w:r w:rsidRPr="00895D0B">
        <w:rPr>
          <w:rFonts w:cs="Times New Roman"/>
          <w:color w:val="000000" w:themeColor="text1"/>
          <w:szCs w:val="24"/>
          <w:lang w:eastAsia="en-GB"/>
        </w:rPr>
        <w:t xml:space="preserve"> </w:t>
      </w:r>
      <w:r w:rsidRPr="00895D0B">
        <w:rPr>
          <w:rFonts w:cs="Times New Roman"/>
          <w:color w:val="000000" w:themeColor="text1"/>
          <w:szCs w:val="24"/>
          <w:lang w:val="en-US"/>
        </w:rPr>
        <w:t xml:space="preserve">the </w:t>
      </w:r>
      <w:r w:rsidRPr="00895D0B">
        <w:rPr>
          <w:rFonts w:cs="Times New Roman"/>
          <w:color w:val="000000" w:themeColor="text1"/>
          <w:szCs w:val="24"/>
          <w:lang w:eastAsia="en-GB"/>
        </w:rPr>
        <w:t xml:space="preserve">cities being the major areas of attraction to the youth </w:t>
      </w:r>
      <w:r w:rsidRPr="00895D0B">
        <w:rPr>
          <w:rFonts w:cs="Times New Roman"/>
          <w:color w:val="000000" w:themeColor="text1"/>
          <w:szCs w:val="24"/>
          <w:lang w:eastAsia="en-GB"/>
        </w:rPr>
        <w:fldChar w:fldCharType="begin" w:fldLock="1"/>
      </w:r>
      <w:r w:rsidRPr="00895D0B">
        <w:rPr>
          <w:rFonts w:cs="Times New Roman"/>
          <w:color w:val="000000" w:themeColor="text1"/>
          <w:szCs w:val="24"/>
          <w:lang w:eastAsia="en-GB"/>
        </w:rPr>
        <w:instrText>ADDIN CSL_CITATION {"citationItems":[{"id":"ITEM-1","itemData":{"author":[{"dropping-particle":"","family":"Saleh","given":"M.","non-dropping-particle":"","parse-names":false,"suffix":""}],"id":"ITEM-1","issued":{"date-parts":[["2021"]]},"page":"1267863","title":"TThe number of people living in urban areas in Africa from 2000 to 2026.","type":"article-journal"},"uris":["http://www.mendeley.com/documents/?uuid=287dd527-1b78-4dea-843f-d700a397f6b0"]}],"mendeley":{"formattedCitation":"(Saleh, 2021)","plainTextFormattedCitation":"(Saleh, 2021)","previouslyFormattedCitation":"(Saleh, 2021)"},"properties":{"noteIndex":0},"schema":"https://github.com/citation-style-language/schema/raw/master/csl-citation.json"}</w:instrText>
      </w:r>
      <w:r w:rsidRPr="00895D0B">
        <w:rPr>
          <w:rFonts w:cs="Times New Roman"/>
          <w:color w:val="000000" w:themeColor="text1"/>
          <w:szCs w:val="24"/>
          <w:lang w:eastAsia="en-GB"/>
        </w:rPr>
        <w:fldChar w:fldCharType="separate"/>
      </w:r>
      <w:r w:rsidRPr="00895D0B">
        <w:rPr>
          <w:rFonts w:cs="Times New Roman"/>
          <w:noProof/>
          <w:color w:val="000000" w:themeColor="text1"/>
          <w:szCs w:val="24"/>
          <w:lang w:eastAsia="en-GB"/>
        </w:rPr>
        <w:t>(Saleh, 2021)</w:t>
      </w:r>
      <w:r w:rsidRPr="00895D0B">
        <w:rPr>
          <w:rFonts w:cs="Times New Roman"/>
          <w:color w:val="000000" w:themeColor="text1"/>
          <w:szCs w:val="24"/>
          <w:lang w:eastAsia="en-GB"/>
        </w:rPr>
        <w:fldChar w:fldCharType="end"/>
      </w:r>
      <w:r w:rsidRPr="00895D0B">
        <w:rPr>
          <w:rFonts w:cs="Times New Roman"/>
          <w:color w:val="000000" w:themeColor="text1"/>
          <w:szCs w:val="24"/>
          <w:lang w:val="en-US"/>
        </w:rPr>
        <w:t xml:space="preserve">. In fact, Africa’s population has demonstrated an increasing trend for the past two decades (i.e., from 2000 to 2021). </w:t>
      </w:r>
      <w:r w:rsidRPr="00895D0B">
        <w:rPr>
          <w:rFonts w:cs="Times New Roman"/>
          <w:color w:val="000000" w:themeColor="text1"/>
          <w:szCs w:val="24"/>
          <w:lang w:eastAsia="en-GB"/>
        </w:rPr>
        <w:t xml:space="preserve">In 2000, the population increased by 285, 998,  and by 630,148 in 2021, and it is projected to increase by 722,047 in 2026  </w:t>
      </w:r>
      <w:r w:rsidRPr="00895D0B">
        <w:rPr>
          <w:rFonts w:cs="Times New Roman"/>
          <w:color w:val="000000" w:themeColor="text1"/>
          <w:szCs w:val="24"/>
          <w:lang w:eastAsia="en-GB"/>
        </w:rPr>
        <w:fldChar w:fldCharType="begin" w:fldLock="1"/>
      </w:r>
      <w:r w:rsidRPr="00895D0B">
        <w:rPr>
          <w:rFonts w:cs="Times New Roman"/>
          <w:color w:val="000000" w:themeColor="text1"/>
          <w:szCs w:val="24"/>
          <w:lang w:eastAsia="en-GB"/>
        </w:rPr>
        <w:instrText>ADDIN CSL_CITATION {"citationItems":[{"id":"ITEM-1","itemData":{"author":[{"dropping-particle":"","family":"Saleh","given":"M.","non-dropping-particle":"","parse-names":false,"suffix":""}],"id":"ITEM-1","issued":{"date-parts":[["2021"]]},"page":"1267863","title":"TThe number of people living in urban areas in Africa from 2000 to 2026.","type":"article-journal"},"uris":["http://www.mendeley.com/documents/?uuid=287dd527-1b78-4dea-843f-d700a397f6b0"]}],"mendeley":{"formattedCitation":"(Saleh, 2021)","plainTextFormattedCitation":"(Saleh, 2021)","previouslyFormattedCitation":"(Saleh, 2021)"},"properties":{"noteIndex":0},"schema":"https://github.com/citation-style-language/schema/raw/master/csl-citation.json"}</w:instrText>
      </w:r>
      <w:r w:rsidRPr="00895D0B">
        <w:rPr>
          <w:rFonts w:cs="Times New Roman"/>
          <w:color w:val="000000" w:themeColor="text1"/>
          <w:szCs w:val="24"/>
          <w:lang w:eastAsia="en-GB"/>
        </w:rPr>
        <w:fldChar w:fldCharType="separate"/>
      </w:r>
      <w:r w:rsidRPr="00895D0B">
        <w:rPr>
          <w:rFonts w:cs="Times New Roman"/>
          <w:noProof/>
          <w:color w:val="000000" w:themeColor="text1"/>
          <w:szCs w:val="24"/>
          <w:lang w:eastAsia="en-GB"/>
        </w:rPr>
        <w:t>(Saleh, 2021)</w:t>
      </w:r>
      <w:r w:rsidRPr="00895D0B">
        <w:rPr>
          <w:rFonts w:cs="Times New Roman"/>
          <w:color w:val="000000" w:themeColor="text1"/>
          <w:szCs w:val="24"/>
          <w:lang w:eastAsia="en-GB"/>
        </w:rPr>
        <w:fldChar w:fldCharType="end"/>
      </w:r>
      <w:r w:rsidRPr="00895D0B">
        <w:rPr>
          <w:rFonts w:cs="Times New Roman"/>
          <w:color w:val="000000" w:themeColor="text1"/>
          <w:szCs w:val="24"/>
        </w:rPr>
        <w:t xml:space="preserve">. </w:t>
      </w:r>
    </w:p>
    <w:p w14:paraId="11977CAF" w14:textId="6ECE6AF3" w:rsidR="00971216" w:rsidRPr="00895D0B" w:rsidRDefault="00971216" w:rsidP="001A3B11">
      <w:pPr>
        <w:pStyle w:val="NoSpacing"/>
        <w:rPr>
          <w:lang w:val="en-US"/>
        </w:rPr>
      </w:pPr>
    </w:p>
    <w:p w14:paraId="39E35BC4" w14:textId="3C5C15F1" w:rsidR="00971216" w:rsidRPr="00895D0B" w:rsidRDefault="00971216" w:rsidP="006B68B5">
      <w:pPr>
        <w:spacing w:line="360" w:lineRule="auto"/>
        <w:rPr>
          <w:rFonts w:cs="Times New Roman"/>
          <w:color w:val="000000" w:themeColor="text1"/>
          <w:szCs w:val="24"/>
        </w:rPr>
      </w:pPr>
      <w:r w:rsidRPr="00895D0B">
        <w:rPr>
          <w:rFonts w:cs="Times New Roman"/>
          <w:color w:val="000000" w:themeColor="text1"/>
          <w:szCs w:val="24"/>
        </w:rPr>
        <w:t xml:space="preserve">Urban agriculture production is confronted with several challenges. One of them is land grabbing in urban agriculture refers to the acquisition of land, often through coercive or exploitative means, for commercial or speculative purposes, leading to the displacement of urban farmers and loss of agricultural </w:t>
      </w:r>
      <w:r w:rsidR="00E37001" w:rsidRPr="00895D0B">
        <w:rPr>
          <w:rFonts w:cs="Times New Roman"/>
          <w:color w:val="000000" w:themeColor="text1"/>
          <w:szCs w:val="24"/>
        </w:rPr>
        <w:fldChar w:fldCharType="begin" w:fldLock="1"/>
      </w:r>
      <w:r w:rsidR="00E37001" w:rsidRPr="00895D0B">
        <w:rPr>
          <w:rFonts w:cs="Times New Roman"/>
          <w:color w:val="000000" w:themeColor="text1"/>
          <w:szCs w:val="24"/>
        </w:rPr>
        <w:instrText>ADDIN CSL_CITATION {"citationItems":[{"id":"ITEM-1","itemData":{"author":[{"dropping-particle":"","family":"Borras","given":"S. M.","non-dropping-particle":"","parse-names":false,"suffix":""},{"dropping-particle":"","family":"F.","given":"Jennifer C.","non-dropping-particle":"","parse-names":false,"suffix":""},{"dropping-particle":"","family":"K.","given":"Sergio G. C.","non-dropping-particle":"","parse-names":false,"suffix":""},{"dropping-particle":"","family":"Max","given":"S.","non-dropping-particle":"","parse-names":false,"suffix":""}],"container-title":"The Journal of Peasant Studies","id":"ITEM-1","issue":"October","issued":{"date-parts":[["2020"]]},"page":"845-872","title":"Land grabbing in Latin America and the Caribbean Saturnino","type":"article-journal","volume":"39"},"uris":["http://www.mendeley.com/documents/?uuid=bd62888a-dce9-42e6-abaf-03c63242f42c"]}],"mendeley":{"formattedCitation":"(Borras et al., 2020)","plainTextFormattedCitation":"(Borras et al., 2020)","previouslyFormattedCitation":"(Borras et al., 2020)"},"properties":{"noteIndex":0},"schema":"https://github.com/citation-style-language/schema/raw/master/csl-citation.json"}</w:instrText>
      </w:r>
      <w:r w:rsidR="00E37001" w:rsidRPr="00895D0B">
        <w:rPr>
          <w:rFonts w:cs="Times New Roman"/>
          <w:color w:val="000000" w:themeColor="text1"/>
          <w:szCs w:val="24"/>
        </w:rPr>
        <w:fldChar w:fldCharType="separate"/>
      </w:r>
      <w:r w:rsidR="00E37001" w:rsidRPr="00895D0B">
        <w:rPr>
          <w:rFonts w:cs="Times New Roman"/>
          <w:noProof/>
          <w:color w:val="000000" w:themeColor="text1"/>
          <w:szCs w:val="24"/>
        </w:rPr>
        <w:t>(Borras et al., 2020)</w:t>
      </w:r>
      <w:r w:rsidR="00E37001" w:rsidRPr="00895D0B">
        <w:rPr>
          <w:rFonts w:cs="Times New Roman"/>
          <w:color w:val="000000" w:themeColor="text1"/>
          <w:szCs w:val="24"/>
        </w:rPr>
        <w:fldChar w:fldCharType="end"/>
      </w:r>
      <w:r w:rsidR="00E37001" w:rsidRPr="00895D0B">
        <w:rPr>
          <w:rFonts w:cs="Times New Roman"/>
          <w:color w:val="000000" w:themeColor="text1"/>
          <w:szCs w:val="24"/>
        </w:rPr>
        <w:t xml:space="preserve">. </w:t>
      </w:r>
      <w:r w:rsidRPr="00895D0B">
        <w:rPr>
          <w:rFonts w:cs="Times New Roman"/>
          <w:color w:val="000000" w:themeColor="text1"/>
          <w:szCs w:val="24"/>
        </w:rPr>
        <w:t>Land grabbing not only displaces urban farmers but also exacerbates food insecurity, undermines local food systems, and contributes to social inequality</w:t>
      </w:r>
      <w:r w:rsidR="00B64ADC" w:rsidRPr="00895D0B">
        <w:rPr>
          <w:rFonts w:cs="Times New Roman"/>
          <w:color w:val="000000" w:themeColor="text1"/>
          <w:szCs w:val="24"/>
        </w:rPr>
        <w:t xml:space="preserve"> and this calls for</w:t>
      </w:r>
      <w:r w:rsidRPr="00895D0B">
        <w:rPr>
          <w:rFonts w:cs="Times New Roman"/>
          <w:color w:val="000000" w:themeColor="text1"/>
          <w:szCs w:val="24"/>
        </w:rPr>
        <w:t xml:space="preserve"> policies </w:t>
      </w:r>
      <w:r w:rsidR="00B64ADC" w:rsidRPr="00895D0B">
        <w:rPr>
          <w:rFonts w:cs="Times New Roman"/>
          <w:color w:val="000000" w:themeColor="text1"/>
          <w:szCs w:val="24"/>
        </w:rPr>
        <w:t>on</w:t>
      </w:r>
      <w:r w:rsidRPr="00895D0B">
        <w:rPr>
          <w:rFonts w:cs="Times New Roman"/>
          <w:color w:val="000000" w:themeColor="text1"/>
          <w:szCs w:val="24"/>
        </w:rPr>
        <w:t xml:space="preserve"> land rights of urban farmers, promote equitable access to land </w:t>
      </w:r>
      <w:r w:rsidR="00E37001" w:rsidRPr="00895D0B">
        <w:rPr>
          <w:rFonts w:cs="Times New Roman"/>
          <w:color w:val="000000" w:themeColor="text1"/>
          <w:szCs w:val="24"/>
        </w:rPr>
        <w:fldChar w:fldCharType="begin" w:fldLock="1"/>
      </w:r>
      <w:r w:rsidR="00E37001" w:rsidRPr="00895D0B">
        <w:rPr>
          <w:rFonts w:cs="Times New Roman"/>
          <w:color w:val="000000" w:themeColor="text1"/>
          <w:szCs w:val="24"/>
        </w:rPr>
        <w:instrText>ADDIN CSL_CITATION {"citationItems":[{"id":"ITEM-1","itemData":{"DOI":"10.4324/9781003080916-1","ISBN":"9781000902358","author":[{"dropping-particle":"","family":"Neef","given":"A.","non-dropping-particle":"","parse-names":false,"suffix":""},{"dropping-particle":"","family":"Ngin","given":"C.","non-dropping-particle":"","parse-names":false,"suffix":""},{"dropping-particle":"","family":"Moreda","given":"T.","non-dropping-particle":"","parse-names":false,"suffix":""},{"dropping-particle":"","family":"Mollett","given":"S.","non-dropping-particle":"","parse-names":false,"suffix":""}],"container-title":"Routledge Handbook of Global Land and Resource Grabbing","id":"ITEM-1","issued":{"date-parts":[["2023"]]},"page":"1-17","title":"Global land and resource grabbing: An introduction","type":"article-journal"},"uris":["http://www.mendeley.com/documents/?uuid=507b3c48-05b8-4266-8f81-9d1a1b3efa36"]}],"mendeley":{"formattedCitation":"(Neef et al., 2023)","plainTextFormattedCitation":"(Neef et al., 2023)","previouslyFormattedCitation":"(Neef et al., 2023)"},"properties":{"noteIndex":0},"schema":"https://github.com/citation-style-language/schema/raw/master/csl-citation.json"}</w:instrText>
      </w:r>
      <w:r w:rsidR="00E37001" w:rsidRPr="00895D0B">
        <w:rPr>
          <w:rFonts w:cs="Times New Roman"/>
          <w:color w:val="000000" w:themeColor="text1"/>
          <w:szCs w:val="24"/>
        </w:rPr>
        <w:fldChar w:fldCharType="separate"/>
      </w:r>
      <w:r w:rsidR="00E37001" w:rsidRPr="00895D0B">
        <w:rPr>
          <w:rFonts w:cs="Times New Roman"/>
          <w:noProof/>
          <w:color w:val="000000" w:themeColor="text1"/>
          <w:szCs w:val="24"/>
        </w:rPr>
        <w:t>(Neef et al., 2023)</w:t>
      </w:r>
      <w:r w:rsidR="00E37001" w:rsidRPr="00895D0B">
        <w:rPr>
          <w:rFonts w:cs="Times New Roman"/>
          <w:color w:val="000000" w:themeColor="text1"/>
          <w:szCs w:val="24"/>
        </w:rPr>
        <w:fldChar w:fldCharType="end"/>
      </w:r>
      <w:r w:rsidRPr="00895D0B">
        <w:rPr>
          <w:rFonts w:cs="Times New Roman"/>
          <w:color w:val="000000" w:themeColor="text1"/>
          <w:szCs w:val="24"/>
          <w:shd w:val="clear" w:color="auto" w:fill="FFFFFF"/>
        </w:rPr>
        <w:t xml:space="preserve">. </w:t>
      </w:r>
      <w:r w:rsidR="00593183" w:rsidRPr="00895D0B">
        <w:rPr>
          <w:rFonts w:cs="Times New Roman"/>
          <w:color w:val="000000" w:themeColor="text1"/>
          <w:szCs w:val="24"/>
        </w:rPr>
        <w:t>land</w:t>
      </w:r>
      <w:r w:rsidRPr="00895D0B">
        <w:rPr>
          <w:rFonts w:cs="Times New Roman"/>
          <w:color w:val="000000" w:themeColor="text1"/>
          <w:szCs w:val="24"/>
        </w:rPr>
        <w:t xml:space="preserve"> grabbing </w:t>
      </w:r>
      <w:r w:rsidR="00593183" w:rsidRPr="00895D0B">
        <w:rPr>
          <w:rFonts w:cs="Times New Roman"/>
          <w:color w:val="000000" w:themeColor="text1"/>
          <w:szCs w:val="24"/>
        </w:rPr>
        <w:t>leads to la</w:t>
      </w:r>
      <w:r w:rsidRPr="00895D0B">
        <w:rPr>
          <w:rFonts w:cs="Times New Roman"/>
          <w:color w:val="000000" w:themeColor="text1"/>
          <w:szCs w:val="24"/>
        </w:rPr>
        <w:t>nd acquisition insecurity</w:t>
      </w:r>
      <w:r w:rsidR="00593183" w:rsidRPr="00895D0B">
        <w:rPr>
          <w:rFonts w:cs="Times New Roman"/>
          <w:color w:val="000000" w:themeColor="text1"/>
          <w:szCs w:val="24"/>
        </w:rPr>
        <w:t xml:space="preserve"> through </w:t>
      </w:r>
      <w:r w:rsidRPr="00895D0B">
        <w:rPr>
          <w:rFonts w:cs="Times New Roman"/>
          <w:color w:val="000000" w:themeColor="text1"/>
          <w:szCs w:val="24"/>
        </w:rPr>
        <w:t xml:space="preserve">informal land tenure arrangements, unclear property rights, and the threat of eviction undermine the sustainability and productivity of urban agriculture initiatives </w:t>
      </w:r>
      <w:r w:rsidR="00E37001" w:rsidRPr="00895D0B">
        <w:rPr>
          <w:rFonts w:cs="Times New Roman"/>
          <w:color w:val="000000" w:themeColor="text1"/>
          <w:szCs w:val="24"/>
        </w:rPr>
        <w:fldChar w:fldCharType="begin" w:fldLock="1"/>
      </w:r>
      <w:r w:rsidR="00E37001" w:rsidRPr="00895D0B">
        <w:rPr>
          <w:rFonts w:cs="Times New Roman"/>
          <w:color w:val="000000" w:themeColor="text1"/>
          <w:szCs w:val="24"/>
        </w:rPr>
        <w:instrText>ADDIN CSL_CITATION {"citationItems":[{"id":"ITEM-1","itemData":{"DOI":"10.3828/idpr.2023.3","ISSN":"14783401","abstract":"The study investigates the neo-customary regulation of mixed-use development and tenure in informal development around public housing (RDP housing) developments in Cape Town townships, South Africa. Informal mixed-use development occurs outside the direct influence of the state but is informally regulated through customary land management systems (CLMS). The study used an ethnomethodological research method to analyse these problems using in-depth interviews. The research results indicate that the street committees, business forums and taxi associations, all local CLMS organisations, self-regulate mixed land uses and tenure informally in the region. The street committee system replicates many other functions of local authorities, limiting the infringement of property rights and equitably distributing income. However, since membership is mostly exclusive to property owners, this system disincentivises active property development in disputed properties, enables land usurpation over property boundaries and does not accommodate tenants to an equal degree to property owners.","author":[{"dropping-particle":"","family":"Geyer","given":"H.","non-dropping-particle":"","parse-names":false,"suffix":""}],"container-title":"International Development Planning Review","id":"ITEM-1","issue":"3","issued":{"date-parts":[["2023"]]},"page":"321-343","title":"The self-regulation of informal land uses and tenure through customary land management systems","type":"article-journal","volume":"45"},"uris":["http://www.mendeley.com/documents/?uuid=ffd88448-c768-4adb-8159-bba7753c9a39"]}],"mendeley":{"formattedCitation":"(Geyer, 2023)","plainTextFormattedCitation":"(Geyer, 2023)","previouslyFormattedCitation":"(Geyer, 2023)"},"properties":{"noteIndex":0},"schema":"https://github.com/citation-style-language/schema/raw/master/csl-citation.json"}</w:instrText>
      </w:r>
      <w:r w:rsidR="00E37001" w:rsidRPr="00895D0B">
        <w:rPr>
          <w:rFonts w:cs="Times New Roman"/>
          <w:color w:val="000000" w:themeColor="text1"/>
          <w:szCs w:val="24"/>
        </w:rPr>
        <w:fldChar w:fldCharType="separate"/>
      </w:r>
      <w:r w:rsidR="00E37001" w:rsidRPr="00895D0B">
        <w:rPr>
          <w:rFonts w:cs="Times New Roman"/>
          <w:noProof/>
          <w:color w:val="000000" w:themeColor="text1"/>
          <w:szCs w:val="24"/>
        </w:rPr>
        <w:t>(Geyer, 2023)</w:t>
      </w:r>
      <w:r w:rsidR="00E37001" w:rsidRPr="00895D0B">
        <w:rPr>
          <w:rFonts w:cs="Times New Roman"/>
          <w:color w:val="000000" w:themeColor="text1"/>
          <w:szCs w:val="24"/>
        </w:rPr>
        <w:fldChar w:fldCharType="end"/>
      </w:r>
      <w:r w:rsidRPr="00895D0B">
        <w:rPr>
          <w:rFonts w:cs="Times New Roman"/>
          <w:color w:val="000000" w:themeColor="text1"/>
          <w:szCs w:val="24"/>
          <w:shd w:val="clear" w:color="auto" w:fill="FFFFFF"/>
        </w:rPr>
        <w:t xml:space="preserve">. </w:t>
      </w:r>
      <w:r w:rsidRPr="00895D0B">
        <w:rPr>
          <w:rFonts w:cs="Times New Roman"/>
          <w:color w:val="000000" w:themeColor="text1"/>
          <w:szCs w:val="24"/>
        </w:rPr>
        <w:t>Community-led initiatives that resist land grabbing, assert land rights, and promote sustainable urban agriculture practices are ways of addressing land insecurity in urban agriculture</w:t>
      </w:r>
      <w:r w:rsidR="00E37001" w:rsidRPr="00895D0B">
        <w:rPr>
          <w:rFonts w:cs="Times New Roman"/>
          <w:color w:val="000000" w:themeColor="text1"/>
          <w:szCs w:val="24"/>
        </w:rPr>
        <w:t xml:space="preserve"> </w:t>
      </w:r>
      <w:r w:rsidR="00E37001" w:rsidRPr="00895D0B">
        <w:rPr>
          <w:rFonts w:cs="Times New Roman"/>
          <w:color w:val="000000" w:themeColor="text1"/>
          <w:szCs w:val="24"/>
        </w:rPr>
        <w:fldChar w:fldCharType="begin" w:fldLock="1"/>
      </w:r>
      <w:r w:rsidR="00E37001" w:rsidRPr="00895D0B">
        <w:rPr>
          <w:rFonts w:cs="Times New Roman"/>
          <w:color w:val="000000" w:themeColor="text1"/>
          <w:szCs w:val="24"/>
        </w:rPr>
        <w:instrText>ADDIN CSL_CITATION {"citationItems":[{"id":"ITEM-1","itemData":{"author":[{"dropping-particle":"","family":"Elizabeth","given":"E.","non-dropping-particle":"","parse-names":false,"suffix":""}],"id":"ITEM-1","issued":{"date-parts":[["2024"]]},"title":"Building Resilience of Food Production in Calgary ’ s Community Gardens to an Increasing Number of Extreme Weather Events","type":"article-journal"},"uris":["http://www.mendeley.com/documents/?uuid=d0fd3c2e-2792-435a-a771-c29f7b091ea7"]}],"mendeley":{"formattedCitation":"(Elizabeth, 2024)","plainTextFormattedCitation":"(Elizabeth, 2024)","previouslyFormattedCitation":"(Elizabeth, 2024)"},"properties":{"noteIndex":0},"schema":"https://github.com/citation-style-language/schema/raw/master/csl-citation.json"}</w:instrText>
      </w:r>
      <w:r w:rsidR="00E37001" w:rsidRPr="00895D0B">
        <w:rPr>
          <w:rFonts w:cs="Times New Roman"/>
          <w:color w:val="000000" w:themeColor="text1"/>
          <w:szCs w:val="24"/>
        </w:rPr>
        <w:fldChar w:fldCharType="separate"/>
      </w:r>
      <w:r w:rsidR="00E37001" w:rsidRPr="00895D0B">
        <w:rPr>
          <w:rFonts w:cs="Times New Roman"/>
          <w:noProof/>
          <w:color w:val="000000" w:themeColor="text1"/>
          <w:szCs w:val="24"/>
        </w:rPr>
        <w:t>(Elizabeth, 2024)</w:t>
      </w:r>
      <w:r w:rsidR="00E37001" w:rsidRPr="00895D0B">
        <w:rPr>
          <w:rFonts w:cs="Times New Roman"/>
          <w:color w:val="000000" w:themeColor="text1"/>
          <w:szCs w:val="24"/>
        </w:rPr>
        <w:fldChar w:fldCharType="end"/>
      </w:r>
      <w:r w:rsidR="00E37001" w:rsidRPr="00895D0B">
        <w:rPr>
          <w:rFonts w:cs="Times New Roman"/>
          <w:color w:val="000000" w:themeColor="text1"/>
          <w:szCs w:val="24"/>
        </w:rPr>
        <w:t>.</w:t>
      </w:r>
      <w:r w:rsidRPr="00895D0B">
        <w:rPr>
          <w:rFonts w:cs="Times New Roman"/>
          <w:color w:val="000000" w:themeColor="text1"/>
          <w:szCs w:val="24"/>
        </w:rPr>
        <w:t xml:space="preserve"> In terms of planning deficiencies, urban agriculture is affected by inadequate land use policies, zoning regulations prioritizing non-agricultural uses, and failure to integrate urban agriculture into broader urban development strategies </w:t>
      </w:r>
      <w:r w:rsidR="00E37001" w:rsidRPr="00895D0B">
        <w:rPr>
          <w:rFonts w:cs="Times New Roman"/>
          <w:color w:val="000000" w:themeColor="text1"/>
          <w:szCs w:val="24"/>
        </w:rPr>
        <w:fldChar w:fldCharType="begin" w:fldLock="1"/>
      </w:r>
      <w:r w:rsidR="00E37001" w:rsidRPr="00895D0B">
        <w:rPr>
          <w:rFonts w:cs="Times New Roman"/>
          <w:color w:val="000000" w:themeColor="text1"/>
          <w:szCs w:val="24"/>
        </w:rPr>
        <w:instrText>ADDIN CSL_CITATION {"citationItems":[{"id":"ITEM-1","itemData":{"DOI":"10.3390/land11060769","abstract":"Food security is becoming an increasingly important issue worldwide, and in this respect, urban agriculture has a substantial role. Nonetheless, pressure for agricultural land conversion and fragmentation is highest in peri-urban areas. In order to respond to these challenges, urban farmers use different adaptation strategies and business models, including product differentiation based on geographical indications (GIs). The paper considers land take (LT) issues in Futog, the settlement of the City of Novi Sad, registered as the GI of Futog cabbage, as an illustrative example which reflects the attitude of land use policy and planning in Serbia towards the specific conditions and requirements that growers of GIs have to meet. The purpose of this study is to identify the role of urban land use planning within LT processes and the implications this has on urban agriculture, accordingly. The supporting framework used for quantifying LT in the period 2000–2018 was CORINE Land Cover (CLC), specifically Urban Atlas (UA) datasets for two time series between 2012 and 2018. Since a significant part of agricultural land registered as a GI in Futog was planned for conversion into construction land, the authors conclude that current forms of land use planning in Serbia are not adequate to ensure the protection of either urban agriculture or GIs. Given that there is a clear correlation between GI products and their place of origin, this study recognized the necessary inclusion of all protected agricultural areas, as well as areas with GIs, into legislation binding for land use planning in Serbia, with limitations in terms of new LT.","author":[{"dropping-particle":"","family":"Živanović Miljković","given":"J.","non-dropping-particle":"","parse-names":false,"suffix":""},{"dropping-particle":"","family":"Popović","given":"V.","non-dropping-particle":"","parse-names":false,"suffix":""},{"dropping-particle":"","family":"Gajić","given":"A.","non-dropping-particle":"","parse-names":false,"suffix":""}],"container-title":"Land","id":"ITEM-1","issue":"6","issued":{"date-parts":[["2022"]]},"page":"769","title":"Land Take Processes and Challenges for Urban Agriculture: A Spatial Analysis for Novi Sad, Serbia","type":"article-journal","volume":"11"},"uris":["http://www.mendeley.com/documents/?uuid=d33590de-3ef0-4ae8-b65e-756a4bf8050a"]}],"mendeley":{"formattedCitation":"(Živanović Miljković et al., 2022)","plainTextFormattedCitation":"(Živanović Miljković et al., 2022)","previouslyFormattedCitation":"(Živanović Miljković et al., 2022)"},"properties":{"noteIndex":0},"schema":"https://github.com/citation-style-language/schema/raw/master/csl-citation.json"}</w:instrText>
      </w:r>
      <w:r w:rsidR="00E37001" w:rsidRPr="00895D0B">
        <w:rPr>
          <w:rFonts w:cs="Times New Roman"/>
          <w:color w:val="000000" w:themeColor="text1"/>
          <w:szCs w:val="24"/>
        </w:rPr>
        <w:fldChar w:fldCharType="separate"/>
      </w:r>
      <w:r w:rsidR="00E37001" w:rsidRPr="00895D0B">
        <w:rPr>
          <w:rFonts w:cs="Times New Roman"/>
          <w:noProof/>
          <w:color w:val="000000" w:themeColor="text1"/>
          <w:szCs w:val="24"/>
        </w:rPr>
        <w:t>(Živanović Miljković et al., 2022)</w:t>
      </w:r>
      <w:r w:rsidR="00E37001" w:rsidRPr="00895D0B">
        <w:rPr>
          <w:rFonts w:cs="Times New Roman"/>
          <w:color w:val="000000" w:themeColor="text1"/>
          <w:szCs w:val="24"/>
        </w:rPr>
        <w:fldChar w:fldCharType="end"/>
      </w:r>
      <w:r w:rsidR="00E37001" w:rsidRPr="00895D0B">
        <w:rPr>
          <w:rFonts w:cs="Times New Roman"/>
          <w:color w:val="000000" w:themeColor="text1"/>
          <w:szCs w:val="24"/>
          <w:shd w:val="clear" w:color="auto" w:fill="FFFFFF"/>
        </w:rPr>
        <w:t>.</w:t>
      </w:r>
      <w:r w:rsidRPr="00895D0B">
        <w:rPr>
          <w:rFonts w:cs="Times New Roman"/>
          <w:color w:val="000000" w:themeColor="text1"/>
          <w:szCs w:val="24"/>
          <w:shd w:val="clear" w:color="auto" w:fill="FFFFFF"/>
        </w:rPr>
        <w:t xml:space="preserve"> </w:t>
      </w:r>
      <w:r w:rsidRPr="00895D0B">
        <w:rPr>
          <w:rFonts w:cs="Times New Roman"/>
          <w:color w:val="000000" w:themeColor="text1"/>
          <w:szCs w:val="24"/>
        </w:rPr>
        <w:t xml:space="preserve">There are no coordinated efforts among urban planners, water managers, and agricultural stakeholders to develop policies and interventions that promote sustainable urban agriculture </w:t>
      </w:r>
      <w:r w:rsidR="00E37001" w:rsidRPr="00895D0B">
        <w:rPr>
          <w:rFonts w:cs="Times New Roman"/>
          <w:color w:val="000000" w:themeColor="text1"/>
          <w:szCs w:val="24"/>
        </w:rPr>
        <w:fldChar w:fldCharType="begin" w:fldLock="1"/>
      </w:r>
      <w:r w:rsidR="00E37001" w:rsidRPr="00895D0B">
        <w:rPr>
          <w:rFonts w:cs="Times New Roman"/>
          <w:color w:val="000000" w:themeColor="text1"/>
          <w:szCs w:val="24"/>
        </w:rPr>
        <w:instrText>ADDIN CSL_CITATION {"citationItems":[{"id":"ITEM-1","itemData":{"DOI":"10.5751/ES-10650-240218","ISSN":"17083087","abstract":"Urban agriculture is a significant driver of urban sustainability and resilience, yet the contribution of urban agriculture to resilience is complicated by governance systems that require further investigation. This study deploys a mixed-methods approach to investigate the agricultural values and understandings of urban agricultural governance among farmers, garden leaders, and other actors in urban agriculture in Lansing, Michigan. Drawing from semistructured interviews and Q-methodology, agricultural values are used to identify four types of urban agriculture stakeholders: Urban agricultural stewards, risk managers, food desert irrigators, and urban agricultural contextualists. These groups differ in terms of their agricultural values as well as their participation in local governance and general understandings of the purpose of governance. Urban agricultural stewards place comparatively higher priority on community building, environmental sustainability, and food sovereignty; they participate in the city’s formal governance systems and view governance as an opportunity to codify shared norms. Risk managers place comparatively higher priority on safety, and they largely view governance in the traditional mold of state-legislated regulations to which stakeholders should comply. Food desert irrigators place comparatively higher priority on environmental sustainability, health, food access, and convenience; they expect governance to support stakeholders with the greatest needs, and though not active in formal governance, work to craft empathetic policies in their particular organizations. Urban agricultural contextualists place comparatively higher priority on community building and health, and hold that the prioritization of additional values should be determined through local and inclusive governance. The coupling of agricultural values with understandings of governance can support effective and legitimate policy making attentive to the process through which, and scale at which, stakeholders expect their values to inform decision making.","author":[{"dropping-particle":"","family":"Piso","given":"Z.","non-dropping-particle":"","parse-names":false,"suffix":""},{"dropping-particle":"","family":"Goralnik","given":"L.","non-dropping-particle":"","parse-names":false,"suffix":""},{"dropping-particle":"","family":"Libarkin","given":"J. C.","non-dropping-particle":"","parse-names":false,"suffix":""},{"dropping-particle":"","family":"Lopez","given":"M. C.","non-dropping-particle":"","parse-names":false,"suffix":""}],"container-title":"Ecology and Society","id":"ITEM-1","issue":"2","issued":{"date-parts":[["2019"]]},"title":"Types of Urban agricultural stakeholders and their understandings of governance","type":"article-journal","volume":"24"},"uris":["http://www.mendeley.com/documents/?uuid=dd112db9-c234-488e-8923-dd8d0c4b0055"]}],"mendeley":{"formattedCitation":"(Piso et al., 2019)","plainTextFormattedCitation":"(Piso et al., 2019)","previouslyFormattedCitation":"(Piso et al., 2019)"},"properties":{"noteIndex":0},"schema":"https://github.com/citation-style-language/schema/raw/master/csl-citation.json"}</w:instrText>
      </w:r>
      <w:r w:rsidR="00E37001" w:rsidRPr="00895D0B">
        <w:rPr>
          <w:rFonts w:cs="Times New Roman"/>
          <w:color w:val="000000" w:themeColor="text1"/>
          <w:szCs w:val="24"/>
        </w:rPr>
        <w:fldChar w:fldCharType="separate"/>
      </w:r>
      <w:r w:rsidR="00E37001" w:rsidRPr="00895D0B">
        <w:rPr>
          <w:rFonts w:cs="Times New Roman"/>
          <w:noProof/>
          <w:color w:val="000000" w:themeColor="text1"/>
          <w:szCs w:val="24"/>
        </w:rPr>
        <w:t>(Piso et al., 2019)</w:t>
      </w:r>
      <w:r w:rsidR="00E37001" w:rsidRPr="00895D0B">
        <w:rPr>
          <w:rFonts w:cs="Times New Roman"/>
          <w:color w:val="000000" w:themeColor="text1"/>
          <w:szCs w:val="24"/>
        </w:rPr>
        <w:fldChar w:fldCharType="end"/>
      </w:r>
      <w:r w:rsidRPr="00895D0B">
        <w:rPr>
          <w:rFonts w:cs="Times New Roman"/>
          <w:color w:val="000000" w:themeColor="text1"/>
          <w:szCs w:val="24"/>
          <w:shd w:val="clear" w:color="auto" w:fill="FFFFFF"/>
        </w:rPr>
        <w:t xml:space="preserve">. </w:t>
      </w:r>
      <w:r w:rsidRPr="00895D0B">
        <w:rPr>
          <w:rFonts w:cs="Times New Roman"/>
          <w:color w:val="000000" w:themeColor="text1"/>
          <w:szCs w:val="24"/>
        </w:rPr>
        <w:t>Access to water for agricultural purposes is a critical challenge in urban areas, where competition for water resources is high and infrastructure for irrigation may be lacking and urban farmers use waste water for irrigation</w:t>
      </w:r>
      <w:r w:rsidR="00E37001" w:rsidRPr="00895D0B">
        <w:rPr>
          <w:rFonts w:cs="Times New Roman"/>
          <w:color w:val="000000" w:themeColor="text1"/>
          <w:szCs w:val="24"/>
        </w:rPr>
        <w:t xml:space="preserve"> </w:t>
      </w:r>
      <w:r w:rsidR="00E37001" w:rsidRPr="00895D0B">
        <w:rPr>
          <w:rFonts w:cs="Times New Roman"/>
          <w:color w:val="000000" w:themeColor="text1"/>
          <w:szCs w:val="24"/>
        </w:rPr>
        <w:fldChar w:fldCharType="begin" w:fldLock="1"/>
      </w:r>
      <w:r w:rsidR="00E37001" w:rsidRPr="00895D0B">
        <w:rPr>
          <w:rFonts w:cs="Times New Roman"/>
          <w:color w:val="000000" w:themeColor="text1"/>
          <w:szCs w:val="24"/>
        </w:rPr>
        <w:instrText>ADDIN CSL_CITATION {"citationItems":[{"id":"ITEM-1","itemData":{"DOI":"10.1016/j.scitotenv.2019.134154","ISSN":"18791026","PMID":"31505342","abstract":"Water scarcity, nutrient-depleted soils and pollution continue to be a major challenge worldwide and these are likely to worsen with increasing global populations particularly, in urban areas. As a result, environmental and public health problems may arise from the insufficient provision of sanitation and wastewater disposal facilities. Because of this, a paradigm shifts with regard to the sustainable management of waste disposal in a manner that could protect the environment at the same time benefits society by allowing nutrient recovery and reuse for food production is required. Hence, the use of urban wastewater for agricultural irrigation has more potential, especially when incorporating the reuse of nutrients like nitrogen and phosphorous, which are essential for crop production. Among the current treatment technologies applied in urban wastewater reuse for agriculture, hydroponic system is identified as one of the alternative technology that can be integrated with wastewater treatment. The integration of hydroponic system with municipal wastewater treatment has the advantage of reducing costs in terms of pollutants removal while reducing maintenance and energy costs required for conventional wastewater treatment. The efficiency of a hydroponic system with regard to municipal wastewater reuse is mainly linked to its capacity to allow continuous use of wastewater through the production of agricultural crops and the removal of pollutants/nutrients (nitrogen and phosphorus), resulting to increased food security and environmental protection. Moreover, the suitability of hydroponic system for wastewater treatment is derived from its capacity to minimize associated health risks to farmers, harvested crop and consumers, that may arise through contact with wastewater.","author":[{"dropping-particle":"","family":"Magwaza","given":"S. T.","non-dropping-particle":"","parse-names":false,"suffix":""},{"dropping-particle":"","family":"Magwaza","given":"L. S.","non-dropping-particle":"","parse-names":false,"suffix":""},{"dropping-particle":"","family":"Odindo","given":"A. O.","non-dropping-particle":"","parse-names":false,"suffix":""},{"dropping-particle":"","family":"Mditshwa","given":"A.","non-dropping-particle":"","parse-names":false,"suffix":""}],"container-title":"Science of the Total Environment","id":"ITEM-1","issued":{"date-parts":[["2020"]]},"page":"134154","publisher":"Elsevier B.V.","title":"Hydroponic technology as decentralised system for domestic wastewater treatment and vegetable production in urban agriculture: A review","type":"article-journal","volume":"698"},"uris":["http://www.mendeley.com/documents/?uuid=e206c88f-7be0-47fb-ba15-3650dddb5488"]}],"mendeley":{"formattedCitation":"(Magwaza et al., 2020)","plainTextFormattedCitation":"(Magwaza et al., 2020)","previouslyFormattedCitation":"(Magwaza et al., 2020)"},"properties":{"noteIndex":0},"schema":"https://github.com/citation-style-language/schema/raw/master/csl-citation.json"}</w:instrText>
      </w:r>
      <w:r w:rsidR="00E37001" w:rsidRPr="00895D0B">
        <w:rPr>
          <w:rFonts w:cs="Times New Roman"/>
          <w:color w:val="000000" w:themeColor="text1"/>
          <w:szCs w:val="24"/>
        </w:rPr>
        <w:fldChar w:fldCharType="separate"/>
      </w:r>
      <w:r w:rsidR="00E37001" w:rsidRPr="00895D0B">
        <w:rPr>
          <w:rFonts w:cs="Times New Roman"/>
          <w:noProof/>
          <w:color w:val="000000" w:themeColor="text1"/>
          <w:szCs w:val="24"/>
        </w:rPr>
        <w:t>(Magwaza et al., 2020)</w:t>
      </w:r>
      <w:r w:rsidR="00E37001" w:rsidRPr="00895D0B">
        <w:rPr>
          <w:rFonts w:cs="Times New Roman"/>
          <w:color w:val="000000" w:themeColor="text1"/>
          <w:szCs w:val="24"/>
        </w:rPr>
        <w:fldChar w:fldCharType="end"/>
      </w:r>
      <w:r w:rsidR="00E37001" w:rsidRPr="00895D0B">
        <w:rPr>
          <w:rFonts w:cs="Times New Roman"/>
          <w:color w:val="000000" w:themeColor="text1"/>
          <w:szCs w:val="24"/>
          <w:shd w:val="clear" w:color="auto" w:fill="FFFFFF"/>
        </w:rPr>
        <w:t>.</w:t>
      </w:r>
      <w:r w:rsidRPr="00895D0B">
        <w:rPr>
          <w:rFonts w:cs="Times New Roman"/>
          <w:color w:val="000000" w:themeColor="text1"/>
          <w:szCs w:val="24"/>
        </w:rPr>
        <w:t xml:space="preserve">Participatory decision-making processes that engage diverse stakeholders in shaping urban agriculture policies is needed </w:t>
      </w:r>
      <w:r w:rsidR="00E37001" w:rsidRPr="00895D0B">
        <w:rPr>
          <w:rFonts w:cs="Times New Roman"/>
          <w:color w:val="000000" w:themeColor="text1"/>
          <w:szCs w:val="24"/>
        </w:rPr>
        <w:fldChar w:fldCharType="begin" w:fldLock="1"/>
      </w:r>
      <w:r w:rsidR="009E5038" w:rsidRPr="00895D0B">
        <w:rPr>
          <w:rFonts w:cs="Times New Roman"/>
          <w:color w:val="000000" w:themeColor="text1"/>
          <w:szCs w:val="24"/>
        </w:rPr>
        <w:instrText>ADDIN CSL_CITATION {"citationItems":[{"id":"ITEM-1","itemData":{"DOI":"10.1080/21683565.2021.1917471","ISSN":"21683573","abstract":"Humanity must face the challenge of making viable a world of environmentally, socially, and economically sustainable cities, as it is recognized by the UN 2030 Agenda for Sustainable Development in its Goal 11. This problem is so wide and complex that it does not admit a short-term solution; rather, it must be addressed through measures in a process with long-term results. One of these measures may come from the urban agriculture, applied under the principles of agroecology. Urban agriculture is a complex activity that is currently associated with the idea of multifunctionality, placing emphasis on the various ecosystem services that it generates. However, urban agriculture continues to lack sufficient consideration in urban planning and management. This paper includes a thorough review of the literature on urban agriculture to reveal its benefits, and potential, moving toward the implementation of urban agriculture, under an agroecological approach, in the city.","author":[{"dropping-particle":"","family":"Gómez-Villarino","given":"M. T.","non-dropping-particle":"","parse-names":false,"suffix":""},{"dropping-particle":"","family":"Urquijo","given":"J.","non-dropping-particle":"","parse-names":false,"suffix":""},{"dropping-particle":"","family":"Gómez Villarino","given":"M.","non-dropping-particle":"","parse-names":false,"suffix":""},{"dropping-particle":"","family":"García","given":"A. I.","non-dropping-particle":"","parse-names":false,"suffix":""}],"container-title":"Agroecology and Sustainable Food Systems","id":"ITEM-1","issue":"10","issued":{"date-parts":[["2021"]]},"page":"1441-1469","publisher":"Taylor &amp; Francis","title":"Key insights of urban agriculture for sustainable urban development","type":"article-journal","volume":"45"},"uris":["http://www.mendeley.com/documents/?uuid=3d4633da-738c-4eee-ad17-3b9aa077dfe2"]}],"mendeley":{"formattedCitation":"(Gómez-Villarino et al., 2021)","plainTextFormattedCitation":"(Gómez-Villarino et al., 2021)","previouslyFormattedCitation":"(Gómez-Villarino et al., 2021)"},"properties":{"noteIndex":0},"schema":"https://github.com/citation-style-language/schema/raw/master/csl-citation.json"}</w:instrText>
      </w:r>
      <w:r w:rsidR="00E37001" w:rsidRPr="00895D0B">
        <w:rPr>
          <w:rFonts w:cs="Times New Roman"/>
          <w:color w:val="000000" w:themeColor="text1"/>
          <w:szCs w:val="24"/>
        </w:rPr>
        <w:fldChar w:fldCharType="separate"/>
      </w:r>
      <w:r w:rsidR="00E37001" w:rsidRPr="00895D0B">
        <w:rPr>
          <w:rFonts w:cs="Times New Roman"/>
          <w:noProof/>
          <w:color w:val="000000" w:themeColor="text1"/>
          <w:szCs w:val="24"/>
        </w:rPr>
        <w:t>(Gómez-Villarino et al., 2021)</w:t>
      </w:r>
      <w:r w:rsidR="00E37001" w:rsidRPr="00895D0B">
        <w:rPr>
          <w:rFonts w:cs="Times New Roman"/>
          <w:color w:val="000000" w:themeColor="text1"/>
          <w:szCs w:val="24"/>
        </w:rPr>
        <w:fldChar w:fldCharType="end"/>
      </w:r>
      <w:r w:rsidR="00E37001" w:rsidRPr="00895D0B">
        <w:rPr>
          <w:rFonts w:cs="Times New Roman"/>
          <w:color w:val="000000" w:themeColor="text1"/>
          <w:szCs w:val="24"/>
        </w:rPr>
        <w:t>.</w:t>
      </w:r>
    </w:p>
    <w:p w14:paraId="7FE9F086" w14:textId="77777777" w:rsidR="00971216" w:rsidRPr="00895D0B" w:rsidRDefault="00971216" w:rsidP="006B52B6">
      <w:pPr>
        <w:pStyle w:val="NoSpacing"/>
        <w:rPr>
          <w:lang w:val="en-US"/>
        </w:rPr>
      </w:pPr>
    </w:p>
    <w:p w14:paraId="0827E05E" w14:textId="6675244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lang w:val="en-US"/>
        </w:rPr>
        <w:t>In Ghana, many cities are becoming more urbanized than before. Currently, Ghana’s population stands at</w:t>
      </w:r>
      <w:r w:rsidRPr="00895D0B">
        <w:rPr>
          <w:rFonts w:cs="Times New Roman"/>
          <w:color w:val="000000" w:themeColor="text1"/>
          <w:szCs w:val="24"/>
          <w:shd w:val="clear" w:color="auto" w:fill="FFFFFF"/>
        </w:rPr>
        <w:t xml:space="preserve"> 30,832,019 people and about </w:t>
      </w:r>
      <w:r w:rsidRPr="00895D0B">
        <w:rPr>
          <w:rFonts w:cs="Times New Roman"/>
          <w:color w:val="000000" w:themeColor="text1"/>
          <w:szCs w:val="24"/>
        </w:rPr>
        <w:t xml:space="preserve">17,472,530 of them live in urban </w:t>
      </w:r>
      <w:r w:rsidRPr="00895D0B">
        <w:rPr>
          <w:rFonts w:cs="Times New Roman"/>
          <w:color w:val="000000" w:themeColor="text1"/>
          <w:szCs w:val="24"/>
        </w:rPr>
        <w:lastRenderedPageBreak/>
        <w:t xml:space="preserve">settlements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2021)","plainTextFormattedCitation":"(Ghana Statistical Service, 2021)","previouslyFormattedCitation":"(Ghana Statistical Service,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(Ghana Statistical Service, 2021)</w:t>
      </w:r>
      <w:r w:rsidRPr="00895D0B">
        <w:rPr>
          <w:rFonts w:cs="Times New Roman"/>
          <w:color w:val="000000" w:themeColor="text1"/>
          <w:szCs w:val="24"/>
        </w:rPr>
        <w:fldChar w:fldCharType="end"/>
      </w:r>
      <w:r w:rsidRPr="00895D0B">
        <w:rPr>
          <w:rFonts w:cs="Times New Roman"/>
          <w:color w:val="000000" w:themeColor="text1"/>
          <w:szCs w:val="24"/>
        </w:rPr>
        <w:t xml:space="preserve">, and depend much on the rural areas for their food needs. The Upper West Region’s population is about 901,502 and the Wa Municipality has about 200,672 residents with 143,358 urban dwellers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2021)","plainTextFormattedCitation":"(Ghana Statistical Service, 2021)","previouslyFormattedCitation":"(Ghana Statistical Service,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(Ghana Statistical Service, 2021)</w:t>
      </w:r>
      <w:r w:rsidRPr="00895D0B">
        <w:rPr>
          <w:rFonts w:cs="Times New Roman"/>
          <w:color w:val="000000" w:themeColor="text1"/>
          <w:szCs w:val="24"/>
        </w:rPr>
        <w:fldChar w:fldCharType="end"/>
      </w:r>
      <w:r w:rsidRPr="00895D0B">
        <w:rPr>
          <w:rFonts w:cs="Times New Roman"/>
          <w:color w:val="000000" w:themeColor="text1"/>
          <w:szCs w:val="24"/>
        </w:rPr>
        <w:t xml:space="preserve">. The continuous increase in population of the Wa Municipality is  associated with high food demand, and the rural areas are looked up to, to provide the food requirements of the city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{"citationItems":[{"id":"ITEM-1","itemData":{"DOI":"10.1007/s12132-018-9341-8","ISSN":"1015-3802","abstract":"This article examined the mutation of Wa from patches of villages to a Municipality in Ghana and how the expansion has affected land use/land cover changes. The study was approached by first observing population growth trends over the years and overlaying satellite imageries of 1986, 2001, 2014 and 2016 to determine the extent of expansion and land use changes. Additionally, historical perspectives were explored from indigenes with accumulated knowledge to unpack the factors responsible for the expansion over space and time. The evidence revealed a continuous outward expansion while the built-up area and the population growth rate had increased over 1,130 times and 110% respectively within the period under study. The evidence further laid bare the intricate political, social and economic factors that have contributed to the changing size and morphology of the Municipality. It is argued that the trend of expansion calls for proper land use planning and proper anti-sprawl policies.","author":[{"dropping-particle":"","family":"Osumanu","given":"Issaka Kanton","non-dropping-particle":"","parse-names":false,"suffix":""},{"dropping-particle":"","family":"Akongbangre","given":"Joseph Nyaaba","non-dropping-particle":"","parse-names":false,"suffix":""},{"dropping-particle":"","family":"Tuu","given":"Gordon N.Yelkabo","non-dropping-particle":"","parse-names":false,"suffix":""},{"dropping-particle":"","family":"Owusu-Sekyere","given":"Ebenezer","non-dropping-particle":"","parse-names":false,"suffix":""}],"container-title":"Urban Forum","id":"ITEM-1","issue":"1","issued":{"date-parts":[["2019","3","10"]]},"page":"57-74","publisher":"Urban Forum","title":"From Patches of Villages to a Municipality: Time, Space, and Expansion of Wa, Ghana","type":"article-journal","volume":"30"},"uris":["http://www.mendeley.com/documents/?uuid=186cc78a-8d93-4796-81dc-2924456a73ba"]}],"mendeley":{"formattedCitation":"(Osumanu et al., 2019)","manualFormatting":"(Osumanu et al., 2019","plainTextFormattedCitation":"(Osumanu et al., 2019)","previouslyFormattedCitation":"(Osumanu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(Osumanu et al., 2019</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{"citationItems":[{"id":"ITEM-1","itemData":{"DOI":"10.1016/j.cities.2019.102524","ISSN":"02642751","abstract":"The UN-Habitat III has placed secondary cities at the centre of the new urban agenda, given their roles in global development trajectories in the future. Wa, though a small city, is an important growth pole in North-western Ghana. Wa emerged as a trading town in the colonial era and since independence in 1957 has become a key growth centre in the development of North-western Ghana. However, the confluence of environmental vulnerabilities and pre-existing social inequalities resulting from centuries of colonial and post-colonial neglects, have led to increasing contestations and socio-ecological challenges. We profiled Wa through the lens of Southern urbanism and highlight its socio-economic, ecological and spatial development dynamics as an ordinary city of the Global South. The dynamics reflect a disconnection between capital and labour as well as contested resource flows, and these have implications for a transformative and sustainable urban future. Through this profile, postcolonial urban studies of the Global South must reconsider deepening empirical methods and theories in addressing this unique problem-space. A transformative and sustainable urban future of Wa remains counterproductive if postcolonial urban studies do not engage with unique paradigms of the Global South in understanding and planning cities of the South.","author":[{"dropping-particle":"","family":"Ahmed","given":"Abubakari","non-dropping-particle":"","parse-names":false,"suffix":""},{"dropping-particle":"","family":"Korah","given":"Prosper Issahaku","non-dropping-particle":"","parse-names":false,"suffix":""},{"dropping-particle":"","family":"Dongzagla","given":"Alfred","non-dropping-particle":"","parse-names":false,"suffix":""},{"dropping-particle":"","family":"Nunbogu","given":"Abraham Marshall","non-dropping-particle":"","parse-names":false,"suffix":""},{"dropping-particle":"","family":"Niminga-Beka","given":"Rockson","non-dropping-particle":"","parse-names":false,"suffix":""},{"dropping-particle":"","family":"Kuusaana","given":"Elias Danyi","non-dropping-particle":"","parse-names":false,"suffix":""},{"dropping-particle":"","family":"Abubakari","given":"Zaid","non-dropping-particle":"","parse-names":false,"suffix":""}],"container-title":"Cities","id":"ITEM-1","issued":{"date-parts":[["2020"]]},"page":"1-14","title":"City profile: Wa, Ghana","type":"article-journal","volume":"97"},"uris":["http://www.mendeley.com/documents/?uuid=878113b6-ff10-4d2b-96f6-898f23018793"]}],"mendeley":{"formattedCitation":"(A. Ahmed et al., 2020)","manualFormatting":"Ahmed et al., 2020)","plainTextFormattedCitation":"(A. Ahmed et al., 2020)","previouslyFormattedCitation":"(A. Ahmed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Ahmed et al., 2020)</w:t>
      </w:r>
      <w:r w:rsidRPr="00895D0B">
        <w:rPr>
          <w:rFonts w:cs="Times New Roman"/>
          <w:color w:val="000000" w:themeColor="text1"/>
          <w:szCs w:val="24"/>
        </w:rPr>
        <w:fldChar w:fldCharType="end"/>
      </w:r>
      <w:r w:rsidRPr="00895D0B">
        <w:rPr>
          <w:rFonts w:cs="Times New Roman"/>
          <w:color w:val="000000" w:themeColor="text1"/>
          <w:szCs w:val="24"/>
        </w:rPr>
        <w:t>. I</w:t>
      </w:r>
      <w:r w:rsidRPr="00895D0B">
        <w:rPr>
          <w:rFonts w:cs="Times New Roman"/>
          <w:color w:val="000000" w:themeColor="text1"/>
          <w:szCs w:val="24"/>
          <w:lang w:val="en-US"/>
        </w:rPr>
        <w:t xml:space="preserve">n addition, some urban dwellers in the Municipality are making efforts to produce food using backyard gardening and other available lands </w:t>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2021)","plainTextFormattedCitation":"(Ghana Statistical Service, 2021)","previouslyFormattedCitation":"(Ghana Statistical Service,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(Ghana Statistical Service, 2021)</w:t>
      </w:r>
      <w:r w:rsidRPr="00895D0B">
        <w:rPr>
          <w:rFonts w:cs="Times New Roman"/>
          <w:color w:val="000000" w:themeColor="text1"/>
          <w:szCs w:val="24"/>
        </w:rPr>
        <w:fldChar w:fldCharType="end"/>
      </w:r>
      <w:r w:rsidRPr="00895D0B">
        <w:rPr>
          <w:rFonts w:cs="Times New Roman"/>
          <w:color w:val="000000" w:themeColor="text1"/>
          <w:szCs w:val="24"/>
          <w:lang w:val="en-US"/>
        </w:rPr>
        <w:t>. Staple food crops are usually cultivated in support of urban food demands including the rearing of farm animals. Nevertheless, these urban farmers are not free from the effect of climatic change and variability. The rainfall pattern in northern Ghana, particularly the Upper West Region is quite erratic coupled with rising temperatures, and the outbreak of pests and diseases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{"citationItems":[{"id":"ITEM-1","itemData":{"DOI":"10.1016/j.cities.2019.102524","ISSN":"02642751","abstract":"The UN-Habitat III has placed secondary cities at the centre of the new urban agenda, given their roles in global development trajectories in the future. Wa, though a small city, is an important growth pole in North-western Ghana. Wa emerged as a trading town in the colonial era and since independence in 1957 has become a key growth centre in the development of North-western Ghana. However, the confluence of environmental vulnerabilities and pre-existing social inequalities resulting from centuries of colonial and post-colonial neglects, have led to increasing contestations and socio-ecological challenges. We profiled Wa through the lens of Southern urbanism and highlight its socio-economic, ecological and spatial development dynamics as an ordinary city of the Global South. The dynamics reflect a disconnection between capital and labour as well as contested resource flows, and these have implications for a transformative and sustainable urban future. Through this profile, postcolonial urban studies of the Global South must reconsider deepening empirical methods and theories in addressing this unique problem-space. A transformative and sustainable urban future of Wa remains counterproductive if postcolonial urban studies do not engage with unique paradigms of the Global South in understanding and planning cities of the South.","author":[{"dropping-particle":"","family":"Ahmed","given":"Abubakari","non-dropping-particle":"","parse-names":false,"suffix":""},{"dropping-particle":"","family":"Korah","given":"Prosper Issahaku","non-dropping-particle":"","parse-names":false,"suffix":""},{"dropping-particle":"","family":"Dongzagla","given":"Alfred","non-dropping-particle":"","parse-names":false,"suffix":""},{"dropping-particle":"","family":"Nunbogu","given":"Abraham Marshall","non-dropping-particle":"","parse-names":false,"suffix":""},{"dropping-particle":"","family":"Niminga-Beka","given":"Rockson","non-dropping-particle":"","parse-names":false,"suffix":""},{"dropping-particle":"","family":"Kuusaana","given":"Elias Danyi","non-dropping-particle":"","parse-names":false,"suffix":""},{"dropping-particle":"","family":"Abubakari","given":"Zaid","non-dropping-particle":"","parse-names":false,"suffix":""}],"container-title":"Cities","id":"ITEM-1","issued":{"date-parts":[["2020"]]},"page":"1-14","title":"City profile: Wa, Ghana","type":"article-journal","volume":"97"},"uris":["http://www.mendeley.com/documents/?uuid=878113b6-ff10-4d2b-96f6-898f23018793"]}],"mendeley":{"formattedCitation":"(A. Ahmed et al., 2020)","manualFormatting":"Ahmed et al., 2020)","plainTextFormattedCitation":"(A. Ahmed et al., 2020)","previouslyFormattedCitation":"(A. Ahmed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Ahmed et al., 2020)</w:t>
      </w:r>
      <w:r w:rsidRPr="00895D0B">
        <w:rPr>
          <w:rFonts w:cs="Times New Roman"/>
          <w:color w:val="000000" w:themeColor="text1"/>
          <w:szCs w:val="24"/>
        </w:rPr>
        <w:fldChar w:fldCharType="end"/>
      </w:r>
      <w:r w:rsidRPr="00895D0B">
        <w:rPr>
          <w:rFonts w:cs="Times New Roman"/>
          <w:color w:val="000000" w:themeColor="text1"/>
          <w:szCs w:val="24"/>
          <w:lang w:val="en-US"/>
        </w:rPr>
        <w:t xml:space="preserve">, and this </w:t>
      </w:r>
      <w:r w:rsidRPr="00895D0B">
        <w:rPr>
          <w:rFonts w:cs="Times New Roman"/>
          <w:color w:val="000000" w:themeColor="text1"/>
          <w:szCs w:val="24"/>
        </w:rPr>
        <w:t xml:space="preserve">affects food crops such as maize, groundnuts and millets and animal production including goat, sheep and poultry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{"citationItems":[{"id":"ITEM-1","itemData":{"DOI":"10.1038/s41893-018-0114-0","ISSN":"23989629","abstract":"The sustainable intensification of agricultural systems offers synergistic opportunities for the co-production of agricultural and natural capital outcomes. Efficiency and substitution are steps towards sustainable intensification, but system redesign is essential to deliver optimum outcomes as ecological and economic conditions change. We show global progress towards sustainable intensification by farms and hectares, using seven sustainable intensification sub-types: integrated pest management, conservation agriculture, integrated crop and biodiversity, pasture and forage, trees, irrigation management and small or patch systems. From 47 sustainable intensification initiatives at scale (each &gt;104 farms or hectares), we estimate 163 million farms (29% of all worldwide) have crossed a redesign threshold, practising forms of sustainable intensification on 453 Mha of agricultural land (9% of worldwide total). Key challenges include investment to integrate more forms of sustainable intensification in farming systems, creating agricultural knowledge economies and establishing policy measures to scale sustainable intensification further. We conclude that sustainable intensification may be approaching a tipping point where it could be transformative.","author":[{"dropping-particle":"","family":"Pretty","given":"Jules","non-dropping-particle":"","parse-names":false,"suffix":""},{"dropping-particle":"","family":"Benton","given":"Tim G.","non-dropping-particle":"","parse-names":false,"suffix":""},{"dropping-particle":"","family":"Bharucha","given":"Zareen Pervez","non-dropping-particle":"","parse-names":false,"suffix":""},{"dropping-particle":"V.","family":"Dicks","given":"Lynn","non-dropping-particle":"","parse-names":false,"suffix":""},{"dropping-particle":"","family":"Flora","given":"Cornelia Butler","non-dropping-particle":"","parse-names":false,"suffix":""},{"dropping-particle":"","family":"Godfray","given":"H. Charles J.","non-dropping-particle":"","parse-names":false,"suffix":""},{"dropping-particle":"","family":"Goulson","given":"Dave","non-dropping-particle":"","parse-names":false,"suffix":""},{"dropping-particle":"","family":"Hartley","given":"Sue","non-dropping-particle":"","parse-names":false,"suffix":""},{"dropping-particle":"","family":"Lampkin","given":"Nic","non-dropping-particle":"","parse-names":false,"suffix":""},{"dropping-particle":"","family":"Morris","given":"Carol","non-dropping-particle":"","parse-names":false,"suffix":""},{"dropping-particle":"","family":"Pierzynski","given":"Gary","non-dropping-particle":"","parse-names":false,"suffix":""},{"dropping-particle":"","family":"Prasad","given":"P. V.Vara","non-dropping-particle":"","parse-names":false,"suffix":""},{"dropping-particle":"","family":"Reganold","given":"John","non-dropping-particle":"","parse-names":false,"suffix":""},{"dropping-particle":"","family":"Rockström","given":"Johan","non-dropping-particle":"","parse-names":false,"suffix":""},{"dropping-particle":"","family":"Smith","given":"Pete","non-dropping-particle":"","parse-names":false,"suffix":""},{"dropping-particle":"","family":"Thorne","given":"Peter","non-dropping-particle":"","parse-names":false,"suffix":""},{"dropping-particle":"","family":"Wratten","given":"Steve","non-dropping-particle":"","parse-names":false,"suffix":""}],"container-title":"Nature Sustainability","id":"ITEM-1","issue":"8","issued":{"date-parts":[["2018"]]},"page":"441-446","title":"Global assessment of agricultural system redesign for sustainable intensification","type":"article-journal","volume":"1"},"uris":["http://www.mendeley.com/documents/?uuid=6270b67e-05ce-4ff5-84fc-a15cf1cdde81"]}],"mendeley":{"formattedCitation":"(Pretty et al., 2018)","manualFormatting":"(Pretty, et al., 2018","plainTextFormattedCitation":"(Pretty et al., 2018)","previouslyFormattedCitation":"(Pretty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(Pretty, et al., 2018</w:t>
      </w:r>
      <w:r w:rsidRPr="00895D0B">
        <w:rPr>
          <w:rFonts w:cs="Times New Roman"/>
          <w:color w:val="000000" w:themeColor="text1"/>
          <w:szCs w:val="24"/>
        </w:rPr>
        <w:fldChar w:fldCharType="end"/>
      </w:r>
      <w:r w:rsidRPr="00895D0B">
        <w:rPr>
          <w:rFonts w:cs="Times New Roman"/>
          <w:color w:val="000000" w:themeColor="text1"/>
          <w:szCs w:val="24"/>
        </w:rPr>
        <w:t xml:space="preserve">; Akoto-Danso et al., 2019;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{"citationItems":[{"id":"ITEM-1","itemData":{"DOI":"10.2166/wcc.2020.236","ISSN":"24089354","abstract":"Given rising concerns about climate change and development in Africa, this paper draws on Community Risk Assessment for mapping the risks of Fulani Herders to climate change in North Western Ghana. Herder communities are seldom explored in climate change related studies although their livelihoods largely depend on the natural environment. Thus, a case study of the Fulani Herder Community of Kpongu in the Wa Municipality was conducted. The design employed Participatory Rural Appraisal instruments for data collection and analysis. The results reveal multiple indicators of climate change, including longer dry seasons and dry spells, shrinking sizes of water bodies, formation of iron pans on top soils, stunted growth of grass species, smaller grass stalks and less concentration of grasses. These have culminated into scarcity of fodder and water and increased distances of cattle herding under excruciating sunshine and temperatures in search of feed and water as an adaptive mechanism. The paper underscores that herder knowledge of climate change reveals a drying trend in climate and de-concentration in vegetation, especially grass species. The paper advocates climate change adaptation planning and policy attention to providing supplementary sources of water and feed in support of cattle herding and herder communities for climate change adaptation.","author":[{"dropping-particle":"","family":"Napogbong","given":"Lambert Abatanie","non-dropping-particle":"","parse-names":false,"suffix":""},{"dropping-particle":"","family":"Domapielle","given":"Maximillian Kolbe","non-dropping-particle":"","parse-names":false,"suffix":""},{"dropping-particle":"","family":"Derbile","given":"Emmanuel Kanchebe","non-dropping-particle":"","parse-names":false,"suffix":""}],"container-title":"Journal of Water and Climate Change","id":"ITEM-1","issue":"2","issued":{"date-parts":[["2021"]]},"page":"484-501","title":"Indigenous knowledge and community-based risk assessment of climate change among the fulani herder community of Kpongu, North-Western Ghana","type":"article-journal","volume":"12"},"uris":["http://www.mendeley.com/documents/?uuid=d842a788-602c-4fbe-aaf5-1f5ac4ca6eb3"]}],"mendeley":{"formattedCitation":"(Napogbong et al., 2021)","manualFormatting":"Napogbong et al., 2021)","plainTextFormattedCitation":"(Napogbong et al., 2021)","previouslyFormattedCitation":"(Napogbong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Napogbong et al., 2021)</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lang w:val="en-US"/>
        </w:rPr>
        <w:t xml:space="preserve">This requires critical attention from development partners including the Government of Ghana to include urban farmers in climate change and variability adaptation programmes and projects. Over the years, Ghana has implemented several policies and programmes towards promoting agricultural growth; some of these include the </w:t>
      </w:r>
      <w:r w:rsidRPr="00895D0B">
        <w:rPr>
          <w:rFonts w:cs="Times New Roman"/>
          <w:color w:val="000000" w:themeColor="text1"/>
          <w:szCs w:val="24"/>
        </w:rPr>
        <w:t xml:space="preserve">Food and Agriculture Sector Development Policy (FASDEP I and II), the Medium-Term Agricultural Sector Investment Plan (METASIP I) (2011-2015) and METASIP II (2014-2017), the Planting for Food and Jobs (PFJ), Rearing for Food and Jobs (RFJ) and Planting for Export and Rural Development (PERD). In fact, of the six major components that constitute METASIP I, it was only one component that emphasised urban agricultural activities—calling for “support to urban and peri-urban agriculture”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{"citationItems":[{"id":"ITEM-1","itemData":{"DOI":"10.1080/23322039.2019.1693121","ISSN":"23322039","abstract":"This research examined the effect of the Government of Ghana’s agricultural policy of Planting for Food and Jobs (PFJ) on rice farmers` productivity and welfare in Northern Ghana. The study used survey data collected from beneficiaries and non-beneficiaries of the programme who cultivated rice in 2018 production season. Respondents were randomly selected, and data analysed using empirical methods of Inverse Propensity Weighting Estimation and the Local Average Treatment Effect. The results indicate an insignificant increase in income levels from rice production, but a significant reduction in farm expenditure, an increase in per capita monthly spending and a decrease in income poverty of households. The findings reveal a positive impact of the agricultural technologies implemented under Planting for Food and Jobs programme on rice productivity and welfare of rice farmers in Northern Ghana. The research recommends the need for government to expand the beneficiaries using local media and the policy instrument of input subsidies to promote the use of fertiliser and improved rice varieties.","author":[{"dropping-particle":"","family":"Tanko","given":"M.","non-dropping-particle":"","parse-names":false,"suffix":""},{"dropping-particle":"","family":"Ismaila","given":"S.","non-dropping-particle":"","parse-names":false,"suffix":""},{"dropping-particle":"","family":"Sadiq","given":"S. A.","non-dropping-particle":"","parse-names":false,"suffix":""}],"container-title":"Cogent Economics and Finance","id":"ITEM-1","issue":"1","issued":{"date-parts":[["2019"]]},"title":"Planting for Food and Jobs (PFJ): A panacea for productivity and welfare of rice farmers in Northern Ghana","type":"article-journal","volume":"7"},"uris":["http://www.mendeley.com/documents/?uuid=30afb004-383a-4453-90f8-e3b5db3a18b6"]}],"mendeley":{"formattedCitation":"(Tanko et al., 2019a)","plainTextFormattedCitation":"(Tanko et al., 2019a)","previouslyFormattedCitation":"(Tanko et al., 2019a)"},"properties":{"noteIndex":0},"schema":"https://github.com/citation-style-language/schema/raw/master/csl-citation.json"}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(Tanko et al., 2019a)</w:t>
      </w:r>
      <w:r w:rsidRPr="00895D0B">
        <w:rPr>
          <w:rFonts w:cs="Times New Roman"/>
          <w:color w:val="000000" w:themeColor="text1"/>
          <w:szCs w:val="24"/>
        </w:rPr>
        <w:fldChar w:fldCharType="end"/>
      </w:r>
      <w:r w:rsidRPr="00895D0B">
        <w:rPr>
          <w:rFonts w:cs="Times New Roman"/>
          <w:color w:val="000000" w:themeColor="text1"/>
          <w:szCs w:val="24"/>
        </w:rPr>
        <w:t xml:space="preserve"> as supplementary means to meeting the food demand of the rising urban population in Ghana</w:t>
      </w:r>
      <w:bookmarkStart w:id="11" w:name="_Hlk117438316"/>
      <w:r w:rsidRPr="00895D0B">
        <w:rPr>
          <w:rFonts w:cs="Times New Roman"/>
          <w:color w:val="000000" w:themeColor="text1"/>
          <w:szCs w:val="24"/>
        </w:rPr>
        <w:t xml:space="preserve">. Also, the METASIP II policy document mentioned urban agriculture in just a paragraph with a focus on food safety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{"citationItems":[{"id":"ITEM-1","itemData":{"DOI":"10.1007/s12571-022-01287-8","ISBN":"0123456789","ISSN":"18764525","abstract":"Farm input subsidies are widely used in Sub-Saharan African countries as a response to low adoption of fertilizers and seeds. While subsidy programs traditionally focused on helping farmers access inputs, new generation market smart subsidies additionally emphasize careful targeting, development of input supply systems, and complementary production and marketing support mechanisms. Ghana’s Planting for Food and Jobs (PFJ) initiative, launched in 2017, is one example of such an evolved subsidy program; yet, despite its scale and prominence, the current government monitoring and evaluation system is not well equipped to accurately assess its impacts. This paper triangulates evidence from multiple public sources and independent evaluations to develop a simple and effective impact assessment model for PFJ that can easily be adopted by the government. It can also be adapted to other contexts with minimal adjustment. Model results reveal that maize and rice production levels are more than 40 percent higher than they would have been in the absence of PFJ, thus contributing significantly to food and calorie availability in Ghana. However, there is much room for efficiency improvements that would increase the return on investment-currently, program benefits roughly equal public and private costs of the program. In this regard, several recommendations are made relating to beneficiary targeting, crowding out of commercial input sales, input use efficiency, marketing support to farmers, and improvements in the monitoring and evaluation system, all of which have relevance for other countries implementing or considering similar programs.","author":[{"dropping-particle":"","family":"Pauw","given":"K.","non-dropping-particle":"","parse-names":false,"suffix":""}],"container-title":"Food Security","id":"ITEM-1","issue":"5","issued":{"date-parts":[["2022"]]},"page":"1321-1335","publisher":"Springer Netherlands","title":"A review of Ghana’s planting for food and jobs program: implementation, impacts, benefits, and costs","type":"article-journal","volume":"14"},"uris":["http://www.mendeley.com/documents/?uuid=7e4e6ac7-24d9-4346-b3ac-209105402eb7"]}],"mendeley":{"formattedCitation":"(Pauw, 2022)","plainTextFormattedCitation":"(Pauw, 2022)","previouslyFormattedCitation":"(Pauw,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(Pauw, 2022)</w:t>
      </w:r>
      <w:r w:rsidRPr="00895D0B">
        <w:rPr>
          <w:rFonts w:cs="Times New Roman"/>
          <w:color w:val="000000" w:themeColor="text1"/>
          <w:szCs w:val="24"/>
        </w:rPr>
        <w:fldChar w:fldCharType="end"/>
      </w:r>
      <w:r w:rsidRPr="00895D0B">
        <w:rPr>
          <w:rFonts w:cs="Times New Roman"/>
          <w:color w:val="000000" w:themeColor="text1"/>
          <w:szCs w:val="24"/>
        </w:rPr>
        <w:t>. Further, although the PF</w:t>
      </w:r>
      <w:r w:rsidR="001E599C" w:rsidRPr="00895D0B">
        <w:rPr>
          <w:rFonts w:cs="Times New Roman"/>
          <w:color w:val="000000" w:themeColor="text1"/>
          <w:szCs w:val="24"/>
        </w:rPr>
        <w:t>J</w:t>
      </w:r>
      <w:r w:rsidRPr="00895D0B">
        <w:rPr>
          <w:rFonts w:cs="Times New Roman"/>
          <w:color w:val="000000" w:themeColor="text1"/>
          <w:szCs w:val="24"/>
        </w:rPr>
        <w:t xml:space="preserve">, which is presently Ghana’s major agricultural policy directive </w:t>
      </w:r>
      <w:r w:rsidRPr="00895D0B">
        <w:rPr>
          <w:rFonts w:cs="Times New Roman"/>
          <w:color w:val="000000" w:themeColor="text1"/>
          <w:szCs w:val="24"/>
        </w:rPr>
        <w:fldChar w:fldCharType="begin" w:fldLock="1"/>
      </w:r>
      <w:r w:rsidR="00A1464A" w:rsidRPr="00895D0B">
        <w:rPr>
          <w:rFonts w:cs="Times New Roman"/>
          <w:color w:val="000000" w:themeColor="text1"/>
          <w:szCs w:val="24"/>
        </w:rPr>
        <w:instrText>ADDIN CSL_CITATION {"citationItems":[{"id":"ITEM-1","itemData":{"DOI":"10.1080/23322039.2019.1693121","author":[{"dropping-particle":"","family":"Tanko","given":"Mohammed","non-dropping-particle":"","parse-names":false,"suffix":""},{"dropping-particle":"","family":"Ismaila","given":"Salifu","non-dropping-particle":"","parse-names":false,"suffix":""},{"dropping-particle":"","family":"Sadiq","given":"Saeed Abu","non-dropping-particle":"","parse-names":false,"suffix":""}],"container-title":"Cogent Economics &amp; Finance","id":"ITEM-1","issue":"1693121","issued":{"date-parts":[["2019"]]},"page":"1-14","title":"Planting for Food and Jobs (PFJ): A panacea for productivity and welfare of rice farmers in Northern Ghana","type":"article-journal","volume":"7"},"uris":["http://www.mendeley.com/documents/?uuid=9038fcf9-928a-49e1-a516-361f3af47e4b","http://www.mendeley.com/documents/?uuid=942cc5e1-e5c1-4d65-96bd-356dda74759e"]}],"mendeley":{"formattedCitation":"(Tanko et al., 2019b)","manualFormatting":"(Tanko et al., 2019b)","plainTextFormattedCitation":"(Tanko et al., 2019b)","previouslyFormattedCitation":"(Tanko et al., 2019b)"},"properties":{"noteIndex":0},"schema":"https://github.com/citation-style-language/schema/raw/master/csl-citation.json"}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(Tanko et al., 2019</w:t>
      </w:r>
      <w:r w:rsidR="00A1464A" w:rsidRPr="00895D0B">
        <w:rPr>
          <w:rFonts w:cs="Times New Roman"/>
          <w:noProof/>
          <w:color w:val="000000" w:themeColor="text1"/>
          <w:szCs w:val="24"/>
        </w:rPr>
        <w:t>b</w:t>
      </w:r>
      <w:r w:rsidRPr="00895D0B">
        <w:rPr>
          <w:rFonts w:cs="Times New Roman"/>
          <w:noProof/>
          <w:color w:val="000000" w:themeColor="text1"/>
          <w:szCs w:val="24"/>
        </w:rPr>
        <w:t>)</w:t>
      </w:r>
      <w:r w:rsidRPr="00895D0B">
        <w:rPr>
          <w:rFonts w:cs="Times New Roman"/>
          <w:color w:val="000000" w:themeColor="text1"/>
          <w:szCs w:val="24"/>
        </w:rPr>
        <w:fldChar w:fldCharType="end"/>
      </w:r>
      <w:r w:rsidRPr="00895D0B">
        <w:rPr>
          <w:rFonts w:cs="Times New Roman"/>
          <w:color w:val="000000" w:themeColor="text1"/>
          <w:szCs w:val="24"/>
        </w:rPr>
        <w:t xml:space="preserve">, has some dimensions of urban agricultural activities in the policy document, greater emphasis is placed on supporting rural farmers with farm input, such as subsidized fertilizer, pesticides, improved seeds, livestock among others. Against this backdrop, some urban scholars like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{"citationItems":[{"id":"ITEM-1","itemData":{"author":[{"dropping-particle":"","family":"Ayerakwa","given":"Hayford Mensah","non-dropping-particle":"","parse-names":false,"suffix":""},{"dropping-particle":"","family":"Dzanku","given":"Fred Mawunyo","non-dropping-particle":"","parse-names":false,"suffix":""},{"dropping-particle":"","family":"Sarpong","given":"Daniel Bruce","non-dropping-particle":"","parse-names":false,"suffix":""}],"container-title":"Agricultural and Food Economics","id":"ITEM-1","issue":"10","issued":{"date-parts":[["2020"]]},"page":"1-21","publisher":"Agricultural and Food Economics","title":"The geography of agriculture participation and food security in a small and a medium- sized city in Ghana","type":"article-journal","volume":"8"},"uris":["http://www.mendeley.com/documents/?uuid=c331ec45-9ad3-40ab-9d2e-769e6c803bd0","http://www.mendeley.com/documents/?uuid=b8efc035-b3e5-48a7-bf0a-471eba260715"]}],"mendeley":{"formattedCitation":"(Ayerakwa et al., 2020a)","manualFormatting":"Ayerakwa et al. (2020)","plainTextFormattedCitation":"(Ayerakwa et al., 2020a)","previouslyFormattedCitation":"(Ayerakwa et al., 2020a)"},"properties":{"noteIndex":0},"schema":"https://github.com/citation-style-language/schema/raw/master/csl-citation.json"}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Ayerakwa et al. (2020)</w:t>
      </w:r>
      <w:r w:rsidRPr="00895D0B">
        <w:rPr>
          <w:rFonts w:cs="Times New Roman"/>
          <w:color w:val="000000" w:themeColor="text1"/>
          <w:szCs w:val="24"/>
        </w:rPr>
        <w:fldChar w:fldCharType="end"/>
      </w:r>
      <w:bookmarkEnd w:id="11"/>
      <w:r w:rsidRPr="00895D0B">
        <w:rPr>
          <w:rFonts w:cs="Times New Roman"/>
          <w:color w:val="000000" w:themeColor="text1"/>
          <w:szCs w:val="24"/>
        </w:rPr>
        <w:t xml:space="preserve"> posited that urban agriculture has not been prioritized in Ghana’s agricultural policy </w:t>
      </w:r>
      <w:r w:rsidRPr="00895D0B">
        <w:rPr>
          <w:rFonts w:cs="Times New Roman"/>
          <w:color w:val="000000" w:themeColor="text1"/>
          <w:szCs w:val="24"/>
        </w:rPr>
        <w:lastRenderedPageBreak/>
        <w:t xml:space="preserve">trajectory. In addition, </w:t>
      </w:r>
      <w:r w:rsidR="00A1464A" w:rsidRPr="00895D0B">
        <w:rPr>
          <w:rFonts w:cs="Times New Roman"/>
          <w:color w:val="000000" w:themeColor="text1"/>
          <w:szCs w:val="24"/>
        </w:rPr>
        <w:t xml:space="preserve">the Government of Ghana agriculture </w:t>
      </w:r>
      <w:r w:rsidR="004E4784" w:rsidRPr="00895D0B">
        <w:rPr>
          <w:rFonts w:cs="Times New Roman"/>
          <w:color w:val="000000" w:themeColor="text1"/>
          <w:szCs w:val="24"/>
        </w:rPr>
        <w:t xml:space="preserve">adaptation </w:t>
      </w:r>
      <w:r w:rsidR="00A1464A" w:rsidRPr="00895D0B">
        <w:rPr>
          <w:rFonts w:cs="Times New Roman"/>
          <w:color w:val="000000" w:themeColor="text1"/>
          <w:szCs w:val="24"/>
        </w:rPr>
        <w:t xml:space="preserve">to climate change polices like </w:t>
      </w:r>
      <w:r w:rsidRPr="00895D0B">
        <w:rPr>
          <w:rFonts w:cs="Times New Roman"/>
          <w:color w:val="000000" w:themeColor="text1"/>
          <w:szCs w:val="24"/>
        </w:rPr>
        <w:t>the National Adaptation Plan (NAP)</w:t>
      </w:r>
      <w:r w:rsidR="00A1464A" w:rsidRPr="00895D0B">
        <w:rPr>
          <w:rFonts w:cs="Times New Roman"/>
          <w:color w:val="000000" w:themeColor="text1"/>
          <w:szCs w:val="24"/>
        </w:rPr>
        <w:t xml:space="preserve"> has climate adaption strategies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{"citationItems":[{"id":"ITEM-1","itemData":{"author":[{"dropping-particle":"","family":"Environmental Protection Agency","given":"","non-dropping-particle":"","parse-names":false,"suffix":""}],"id":"ITEM-1","issue":"October","issued":{"date-parts":[["2018"]]},"number-of-pages":"1-146","publisher-place":"Accra, Ghana","title":"Ghana's national adaptation plan framework","type":"report"},"uris":["http://www.mendeley.com/documents/?uuid=953d5d9f-fef3-4b81-b975-f7975aa0dd60"]}],"mendeley":{"formattedCitation":"(Environmental Protection Agency, 2018)","plainTextFormattedCitation":"(Environmental Protection Agency, 2018)","previouslyFormattedCitation":"(Environmental Protection Agency,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(Environmental Protection Agency, 2018)</w:t>
      </w:r>
      <w:r w:rsidRPr="00895D0B">
        <w:rPr>
          <w:rFonts w:cs="Times New Roman"/>
          <w:color w:val="000000" w:themeColor="text1"/>
          <w:szCs w:val="24"/>
        </w:rPr>
        <w:fldChar w:fldCharType="end"/>
      </w:r>
      <w:r w:rsidR="00A1464A" w:rsidRPr="00895D0B">
        <w:rPr>
          <w:rFonts w:cs="Times New Roman"/>
          <w:color w:val="000000" w:themeColor="text1"/>
          <w:szCs w:val="24"/>
        </w:rPr>
        <w:t>. However,</w:t>
      </w:r>
      <w:r w:rsidRPr="00895D0B">
        <w:rPr>
          <w:rFonts w:cs="Times New Roman"/>
          <w:color w:val="000000" w:themeColor="text1"/>
          <w:szCs w:val="24"/>
        </w:rPr>
        <w:t xml:space="preserve"> little attention is accorded to how urban farmers are adapting to the ravaging effect of climate change on the agricultural practices.</w:t>
      </w:r>
    </w:p>
    <w:p w14:paraId="0DAC2651" w14:textId="77777777" w:rsidR="002A7245" w:rsidRPr="00895D0B" w:rsidRDefault="002A7245" w:rsidP="006B52B6">
      <w:pPr>
        <w:pStyle w:val="NoSpacing"/>
        <w:rPr>
          <w:highlight w:val="yellow"/>
        </w:rPr>
      </w:pPr>
    </w:p>
    <w:p w14:paraId="6758DA4B" w14:textId="5D48D49C"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color w:val="000000" w:themeColor="text1"/>
          <w:szCs w:val="24"/>
          <w:lang w:val="en-US"/>
        </w:rPr>
        <w:t xml:space="preserve">Considering the dire consequences of climate change and variability on food production, urban farmers have to devise adaptation strategies to avert </w:t>
      </w:r>
      <w:r w:rsidR="00BF1846" w:rsidRPr="00895D0B">
        <w:rPr>
          <w:rFonts w:cs="Times New Roman"/>
          <w:color w:val="000000" w:themeColor="text1"/>
          <w:szCs w:val="24"/>
          <w:lang w:val="en-US"/>
        </w:rPr>
        <w:t>climatic stressors</w:t>
      </w:r>
      <w:r w:rsidRPr="00895D0B">
        <w:rPr>
          <w:rFonts w:cs="Times New Roman"/>
          <w:color w:val="000000" w:themeColor="text1"/>
          <w:szCs w:val="24"/>
          <w:lang w:val="en-US"/>
        </w:rPr>
        <w:t xml:space="preserve">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10.17645/pag.v9i1.3590","author":[{"dropping-particle":"","family":"Schwindenhammer","given":"Sandra","non-dropping-particle":"","parse-names":false,"suffix":""},{"dropping-particle":"","family":"Gonglach","given":"Denise","non-dropping-particle":"","parse-names":false,"suffix":""}],"id":"ITEM-1","issue":"1","issued":{"date-parts":[["2021"]]},"page":"176-186","title":"SDG Implementation through Technology ? Governing Food-Water-Technology Nexus Challenges in Urban Agriculture","type":"article-journal","volume":"9"},"uris":["http://www.mendeley.com/documents/?uuid=d5dcd406-ba05-48d6-be88-74a4a18e544c"]}],"mendeley":{"formattedCitation":"(Schwindenhammer &amp; Gonglach, 2021)","plainTextFormattedCitation":"(Schwindenhammer &amp; Gonglach, 2021)","previouslyFormattedCitation":"(Schwindenhammer &amp; Gonglach, 2021)"},"properties":{"noteIndex":0},"schema":"https://github.com/citation-style-language/schema/raw/master/csl-citation.json"}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(Schwindenhammer &amp; Gonglach, 2021)</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w:t>
      </w:r>
      <w:r w:rsidRPr="00895D0B">
        <w:rPr>
          <w:rFonts w:cs="Times New Roman"/>
          <w:color w:val="000000" w:themeColor="text1"/>
          <w:szCs w:val="24"/>
        </w:rPr>
        <w:t xml:space="preserve">To enable urban farmers to adapt to climate change and variability impacts, </w:t>
      </w:r>
      <w:r w:rsidRPr="00895D0B">
        <w:rPr>
          <w:rFonts w:cs="Times New Roman"/>
          <w:color w:val="000000" w:themeColor="text1"/>
          <w:szCs w:val="24"/>
          <w:lang w:val="en-US"/>
        </w:rPr>
        <w:t xml:space="preserve">there is a need to critically understand the characteristics and prospects of urban agriculture and its key dimensions to help sustain it by opening up opportunities for crops and animal production in </w:t>
      </w:r>
      <w:r w:rsidR="00A66623" w:rsidRPr="00895D0B">
        <w:rPr>
          <w:rFonts w:cs="Times New Roman"/>
          <w:color w:val="000000" w:themeColor="text1"/>
          <w:szCs w:val="24"/>
          <w:lang w:val="en-US"/>
        </w:rPr>
        <w:t xml:space="preserve">the </w:t>
      </w:r>
      <w:r w:rsidRPr="00895D0B">
        <w:rPr>
          <w:rFonts w:cs="Times New Roman"/>
          <w:color w:val="000000" w:themeColor="text1"/>
          <w:szCs w:val="24"/>
          <w:lang w:val="en-US"/>
        </w:rPr>
        <w:t xml:space="preserve">Ghanaian cities in a resilient way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{"citationItems":[{"id":"ITEM-1","itemData":{"DOI":"10.2166/wcc.2020.236","ISSN":"24089354","abstract":"Given rising concerns about climate change and development in Africa, this paper draws on Community Risk Assessment for mapping the risks of Fulani Herders to climate change in North Western Ghana. Herder communities are seldom explored in climate change related studies although their livelihoods largely depend on the natural environment. Thus, a case study of the Fulani Herder Community of Kpongu in the Wa Municipality was conducted. The design employed Participatory Rural Appraisal instruments for data collection and analysis. The results reveal multiple indicators of climate change, including longer dry seasons and dry spells, shrinking sizes of water bodies, formation of iron pans on top soils, stunted growth of grass species, smaller grass stalks and less concentration of grasses. These have culminated into scarcity of fodder and water and increased distances of cattle herding under excruciating sunshine and temperatures in search of feed and water as an adaptive mechanism. The paper underscores that herder knowledge of climate change reveals a drying trend in climate and de-concentration in vegetation, especially grass species. The paper advocates climate change adaptation planning and policy attention to providing supplementary sources of water and feed in support of cattle herding and herder communities for climate change adaptation.","author":[{"dropping-particle":"","family":"Napogbong","given":"Lambert Abatanie","non-dropping-particle":"","parse-names":false,"suffix":""},{"dropping-particle":"","family":"Domapielle","given":"Maximillian Kolbe","non-dropping-particle":"","parse-names":false,"suffix":""},{"dropping-particle":"","family":"Derbile","given":"Emmanuel Kanchebe","non-dropping-particle":"","parse-names":false,"suffix":""}],"container-title":"Journal of Water and Climate Change","id":"ITEM-1","issue":"2","issued":{"date-parts":[["2021"]]},"page":"484-501","title":"Indigenous knowledge and community-based risk assessment of climate change among the fulani herder community of Kpongu, North-Western Ghana","type":"article-journal","volume":"12"},"uris":["http://www.mendeley.com/documents/?uuid=d842a788-602c-4fbe-aaf5-1f5ac4ca6eb3"]}],"mendeley":{"formattedCitation":"(Napogbong et al., 2021)","plainTextFormattedCitation":"(Napogbong et al., 2021)","previouslyFormattedCitation":"(Napogbong et al., 2021)"},"properties":{"noteIndex":0},"schema":"https://github.com/citation-style-language/schema/raw/master/csl-citation.json"}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(Napogbong et al., 2021)</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w:t>
      </w:r>
      <w:r w:rsidR="00B86552" w:rsidRPr="00895D0B">
        <w:rPr>
          <w:rFonts w:cs="Times New Roman"/>
          <w:color w:val="000000" w:themeColor="text1"/>
          <w:szCs w:val="24"/>
          <w:lang w:val="en-US"/>
        </w:rPr>
        <w:t xml:space="preserve">The adaptability of urban food production </w:t>
      </w:r>
      <w:r w:rsidRPr="00895D0B">
        <w:rPr>
          <w:rFonts w:cs="Times New Roman"/>
          <w:color w:val="000000" w:themeColor="text1"/>
          <w:szCs w:val="24"/>
          <w:lang w:val="en-US"/>
        </w:rPr>
        <w:t xml:space="preserve">is a bridging concept in the age of climate change/variability in light of urban agricultural production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{"citationItems":[{"id":"ITEM-1","itemData":{"DOI":"10.3389/fsufs.2021.667546","ISSN":"2571581X","abstract":"Growing environmental concerns are potentially narrowing global yield capacity of agricultural systems. Climate change is the most significant problem the world is currently facing. To meet global food demand, food production must be doubled by 2050; over exploitation of arable lands using unsustainable techniques might resolve food demand issues, but they have negative environmental effects. Current crop production systems are a major reason for changing global climate through diminishing biodiversity, physical and chemical soil degradation, and water pollution. The over application of fertilizers and pesticides contribute to climate change through greenhouse gas emissions (GHG) and toxic soil depositions. At this crucial time, there is a pressing need to transition to more sustainable crop production practices, ones that concentrate more on promoting sustainable mechanisms, which enable crops to grow well in resource limited and environmentally challenging environments, and also develop crops with greater resource use efficiency that have optimum sustainable yields across a wider array of environmental conditions. The phytomicrobiome is considered as one of the best strategies; a better alternative for sustainable agriculture, and a viable solution to meet the twin challenges of global food security and environmental stability. Use of the phytomicrobiome, due to its sustainable and environmentally friendly mechanisms of plant growth promotion, is becoming more widespread in the agricultural industry. Therefore, in this review, we emphasize the contribution of beneficial phytomicrobiome members, particularly plant growth promoting rhizobacteria (PGPR), as a strategy to sustainable improvement of plant growth and production in the face of climate change. Also, the roles of soil dwelling microbes in stress amelioration, nutrient supply (nitrogen fixation, phosphorus solubilization), and phytohormone production along with the factors that could potentially affect their efficiency have been discussed extensively. Lastly, limitations to expansion and use of biobased techniques, for instance, the perspective of crop producers, indigenous microbial competition and regulatory approval are discussed. This review largely focusses on the importance and need of sustainable and environmentally friendly approaches such as biobased/PGPR-based techniques in our agricultural systems, especially in the context of current climate change conditions, which are almost certa…","author":[{"dropping-particle":"","family":"Shah","given":"Ateeq","non-dropping-particle":"","parse-names":false,"suffix":""},{"dropping-particle":"","family":"Nazari","given":"Mahtab","non-dropping-particle":"","parse-names":false,"suffix":""},{"dropping-particle":"","family":"Antar","given":"Mohammad","non-dropping-particle":"","parse-names":false,"suffix":""},{"dropping-particle":"","family":"Msimbira","given":"Levini A.","non-dropping-particle":"","parse-names":false,"suffix":""},{"dropping-particle":"","family":"Naamala","given":"Judith","non-dropping-particle":"","parse-names":false,"suffix":""},{"dropping-particle":"","family":"Lyu","given":"Dongmei","non-dropping-particle":"","parse-names":false,"suffix":""},{"dropping-particle":"","family":"Rabileh","given":"Mahamoud","non-dropping-particle":"","parse-names":false,"suffix":""},{"dropping-particle":"","family":"Zajonc","given":"Jonathan","non-dropping-particle":"","parse-names":false,"suffix":""},{"dropping-particle":"","family":"Smith","given":"Donald L.","non-dropping-particle":"","parse-names":false,"suffix":""}],"container-title":"Frontiers in Sustainable Food Systems","id":"ITEM-1","issue":"July","issued":{"date-parts":[["2021"]]},"page":"1-22","title":"PGPR in Agriculture: A Sustainable Approach to Increasing Climate Change Resilience","type":"article-journal","volume":"5"},"uris":["http://www.mendeley.com/documents/?uuid=e45753a2-673a-420e-b6e5-72fde6b353a7"]}],"mendeley":{"formattedCitation":"(Shah et al., 2021)","manualFormatting":"(Shah et al., 2021","plainTextFormattedCitation":"(Shah et al., 2021)","previouslyFormattedCitation":"(Shah et al., 2021)"},"properties":{"noteIndex":0},"schema":"https://github.com/citation-style-language/schema/raw/master/csl-citation.json"}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(Shah et al., 2021</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{"citationItems":[{"id":"ITEM-1","itemData":{"DOI":"10.15835/nsb13110859","ISSN":"20673264","abstract":"Livestock farming with sheep represents an important income stream. With climate change, domestic sheep are being exposed to heat stress which can have adverse effects on growth. Here, data regarding sheep behaviour in response to high temperature stress was analysed using the Euclidean distance method to integrate all variables into a single representative outcome that could summarize sheep behaviour. We studied the effects of two shepherding conditions either with or without the provision of shade. The number of animals eating grass, ruminating and resting either in the shade or directly in the sun were recorded over one year at two-week intervals. As the ideal behaviour (expert’s criteria), the following conditions were considered: maximum numbers of animals eating grass, ruminating and resting under shaded conditions were desirable; while the numbers of animals ruminating or resting under direct sunlight should be at a minimum. The statistical evaluation undertaken integrated these variables to identify the most significant effects of heat stress. Sheep spent most of the daylight hours engaged in eating and this activity was more intensive where shaded conditions were available. The Euclidean distance calculated for the group of animals maintained under shaded conditions was statistically lower (indicating better behaviour). Based on this, it is possible to accurately rank the treatments in terms of severity. The analysis indicates that the use of the Euclidean distance could be used to summarize a simplified outcome for observational data collected in behavioural studies in response to differing climatic conditions.","author":[{"dropping-particle":"","family":"Serrano","given":"Jorge O.","non-dropping-particle":"","parse-names":false,"suffix":""},{"dropping-particle":"","family":"Villares","given":"Asiel","non-dropping-particle":"","parse-names":false,"suffix":""},{"dropping-particle":"","family":"Manuel-Malamba","given":"Francisco D.","non-dropping-particle":"","parse-names":false,"suffix":""},{"dropping-particle":"","family":"Martínez-Melo","given":"Jorge","non-dropping-particle":"","parse-names":false,"suffix":""},{"dropping-particle":"","family":"Mazorra","given":"Carlos","non-dropping-particle":"","parse-names":false,"suffix":""},{"dropping-particle":"","family":"Borroto","given":"Ángela","non-dropping-particle":"","parse-names":false,"suffix":""},{"dropping-particle":"","family":"Hajari","given":"Elliosha","non-dropping-particle":"","parse-names":false,"suffix":""},{"dropping-particle":"","family":"Fonseca-Fuentes","given":"Norge","non-dropping-particle":"","parse-names":false,"suffix":""},{"dropping-particle":"","family":"Lorenzo","given":"José C.","non-dropping-particle":"","parse-names":false,"suffix":""}],"container-title":"Notulae Scientia Biologicae","id":"ITEM-1","issue":"1","issued":{"date-parts":[["2021"]]},"page":"1-8","title":"Euclidean distance: Integrated criteria to study sheep behaviour under heat stress","type":"article-journal","volume":"13"},"uris":["http://www.mendeley.com/documents/?uuid=39c3dd01-5436-4b93-8355-a7fd639ce4da"]}],"mendeley":{"formattedCitation":"(Serrano et al., 2021)","manualFormatting":"Serrano et al., 2021)","plainTextFormattedCitation":"(Serrano et al., 2021)","previouslyFormattedCitation":"(Serrano et al., 2021)"},"properties":{"noteIndex":0},"schema":"https://github.com/citation-style-language/schema/raw/master/csl-citation.json"}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Serrano et al., 2021)</w:t>
      </w:r>
      <w:r w:rsidRPr="00895D0B">
        <w:rPr>
          <w:rFonts w:cs="Times New Roman"/>
          <w:color w:val="000000" w:themeColor="text1"/>
          <w:szCs w:val="24"/>
          <w:lang w:val="en-US"/>
        </w:rPr>
        <w:fldChar w:fldCharType="end"/>
      </w:r>
      <w:r w:rsidRPr="00895D0B">
        <w:rPr>
          <w:rFonts w:cs="Times New Roman"/>
          <w:color w:val="000000" w:themeColor="text1"/>
          <w:szCs w:val="24"/>
          <w:lang w:val="en-US"/>
        </w:rPr>
        <w:t>.</w:t>
      </w:r>
      <w:r w:rsidRPr="00895D0B">
        <w:rPr>
          <w:rFonts w:cs="Times New Roman"/>
          <w:color w:val="000000" w:themeColor="text1"/>
          <w:szCs w:val="24"/>
        </w:rPr>
        <w:t xml:space="preserve"> Unfortunately, in most cases, interest is placed on farmers in rural areas for sustainable and resilient food production against climatic variability</w:t>
      </w:r>
      <w:r w:rsidR="00325449" w:rsidRPr="00895D0B">
        <w:rPr>
          <w:rFonts w:cs="Times New Roman"/>
          <w:color w:val="000000" w:themeColor="text1"/>
          <w:szCs w:val="24"/>
        </w:rPr>
        <w:t xml:space="preserve"> because their work is considered significant in contributing to the food basket</w:t>
      </w:r>
      <w:r w:rsidR="009E5038" w:rsidRPr="00895D0B">
        <w:rPr>
          <w:rFonts w:cs="Times New Roman"/>
          <w:color w:val="000000" w:themeColor="text1"/>
          <w:szCs w:val="24"/>
        </w:rPr>
        <w:t xml:space="preserve"> </w:t>
      </w:r>
      <w:r w:rsidR="009E5038" w:rsidRPr="00895D0B">
        <w:rPr>
          <w:rFonts w:cs="Times New Roman"/>
          <w:color w:val="000000" w:themeColor="text1"/>
          <w:szCs w:val="24"/>
        </w:rPr>
        <w:fldChar w:fldCharType="begin" w:fldLock="1"/>
      </w:r>
      <w:r w:rsidR="00A01211" w:rsidRPr="00895D0B">
        <w:rPr>
          <w:rFonts w:cs="Times New Roman"/>
          <w:color w:val="000000" w:themeColor="text1"/>
          <w:szCs w:val="24"/>
        </w:rPr>
        <w:instrText>ADDIN CSL_CITATION {"citationItems":[{"id":"ITEM-1","itemData":{"DOI":"10.3390/su13031465","ISSN":"20711050","abstract":"Cities, which now host the majority of the global population, are vulnerable to environmental and socio-economic disturbances, which are likely to increase in number and severity in the near future. Urban agriculture (UA) could help increase the resilience of cities to a range of pressures and acute shocks by improving food security and public health, building social capital, and promoting circular economies. However, comprehensive assessments of its potential are still lacking. Here, we use a systematic review of the literature on UA in the global North to identify factors that determine its success in providing resilience benefits, explore challenges that can limit this, and develop a conceptual model to highlight the ways in which it could be enhanced through research, policy, and practice. We define the success of UA in increasing city resilience as determined by five factors, which in turn depend on the amount of institutional and public support for UA, the presence of a sufficient knowledge base, communication and collaboration among different actors, and resourcefulness in finding alternative ways to use space and other resources efficiently. We close with a discussion of specific directions for research and practice based on the conceptual model developed here.","author":[{"dropping-particle":"","family":"Gulyas","given":"B. Z.","non-dropping-particle":"","parse-names":false,"suffix":""},{"dropping-particle":"","family":"Edmondson","given":"J. L.","non-dropping-particle":"","parse-names":false,"suffix":""}],"container-title":"Sustainability (Switzerland)","id":"ITEM-1","issue":"3","issued":{"date-parts":[["2021"]]},"page":"1-19","title":"Increasing city resilience through urban agriculture: Challenges and solutions in the global north","type":"article-journal","volume":"13"},"uris":["http://www.mendeley.com/documents/?uuid=90a37883-efa6-4fe2-90cf-4ef68e4daea7"]}],"mendeley":{"formattedCitation":"(Gulyas &amp; Edmondson, 2021)","plainTextFormattedCitation":"(Gulyas &amp; Edmondson, 2021)","previouslyFormattedCitation":"(Gulyas &amp; Edmondson, 2021)"},"properties":{"noteIndex":0},"schema":"https://github.com/citation-style-language/schema/raw/master/csl-citation.json"}</w:instrText>
      </w:r>
      <w:r w:rsidR="009E5038" w:rsidRPr="00895D0B">
        <w:rPr>
          <w:rFonts w:cs="Times New Roman"/>
          <w:color w:val="000000" w:themeColor="text1"/>
          <w:szCs w:val="24"/>
        </w:rPr>
        <w:fldChar w:fldCharType="separate"/>
      </w:r>
      <w:r w:rsidR="009E5038" w:rsidRPr="00895D0B">
        <w:rPr>
          <w:rFonts w:cs="Times New Roman"/>
          <w:noProof/>
          <w:color w:val="000000" w:themeColor="text1"/>
          <w:szCs w:val="24"/>
        </w:rPr>
        <w:t>(Gulyas &amp; Edmondson, 2021)</w:t>
      </w:r>
      <w:r w:rsidR="009E5038" w:rsidRPr="00895D0B">
        <w:rPr>
          <w:rFonts w:cs="Times New Roman"/>
          <w:color w:val="000000" w:themeColor="text1"/>
          <w:szCs w:val="24"/>
        </w:rPr>
        <w:fldChar w:fldCharType="end"/>
      </w:r>
      <w:r w:rsidRPr="00895D0B">
        <w:rPr>
          <w:rFonts w:cs="Times New Roman"/>
          <w:color w:val="000000" w:themeColor="text1"/>
          <w:szCs w:val="24"/>
        </w:rPr>
        <w:t xml:space="preserve">. However, some scholars have argued that if actors commit to supporting and promoting climate change adaption strategies among urban farmers, urban food crops and animal production has the potential to increase despite the increasing climate change and variability impacts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{"citationItems":[{"id":"ITEM-1","itemData":{"DOI":"10.1016/j.agsy.2019.05.007","ISSN":"0308-521X","author":[{"dropping-particle":"","family":"Sullivan","given":"C A O","non-dropping-particle":"","parse-names":false,"suffix":""},{"dropping-particle":"","family":"Bonnett","given":"G D","non-dropping-particle":"","parse-names":false,"suffix":""},{"dropping-particle":"","family":"Mcintyre","given":"C L","non-dropping-particle":"","parse-names":false,"suffix":""},{"dropping-particle":"","family":"Hochman","given":"Z","non-dropping-particle":"","parse-names":false,"suffix":""},{"dropping-particle":"","family":"Wasson","given":"A P","non-dropping-particle":"","parse-names":false,"suffix":""}],"container-title":"Agricultural Systems","id":"ITEM-1","issue":"May","issued":{"date-parts":[["2019"]]},"page":"133-144","publisher":"Elsevier","title":"Strategies to improve the productivity , product diversity and pro fi tability of urban agriculture","type":"article-journal","volume":"174"},"uris":["http://www.mendeley.com/documents/?uuid=0a7c1c57-6f0a-4e5e-b369-d25c1c443552"]}],"mendeley":{"formattedCitation":"(Sullivan et al., 2019)","plainTextFormattedCitation":"(Sullivan et al., 2019)","previouslyFormattedCitation":"(Sullivan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(Sullivan et al., 2019)</w:t>
      </w:r>
      <w:r w:rsidRPr="00895D0B">
        <w:rPr>
          <w:rFonts w:cs="Times New Roman"/>
          <w:color w:val="000000" w:themeColor="text1"/>
          <w:szCs w:val="24"/>
        </w:rPr>
        <w:fldChar w:fldCharType="end"/>
      </w:r>
      <w:r w:rsidRPr="00895D0B">
        <w:rPr>
          <w:rFonts w:cs="Times New Roman"/>
          <w:color w:val="000000" w:themeColor="text1"/>
          <w:szCs w:val="24"/>
        </w:rPr>
        <w:t>. This can be achieved through the integration of  crops and animal production</w:t>
      </w:r>
      <w:r w:rsidR="00C96AF7" w:rsidRPr="00895D0B">
        <w:rPr>
          <w:rFonts w:cs="Times New Roman"/>
          <w:color w:val="000000" w:themeColor="text1"/>
          <w:szCs w:val="24"/>
        </w:rPr>
        <w:t xml:space="preserve"> in urban neighbourhoods</w:t>
      </w:r>
      <w:r w:rsidRPr="00895D0B">
        <w:rPr>
          <w:rFonts w:cs="Times New Roman"/>
          <w:color w:val="000000" w:themeColor="text1"/>
          <w:szCs w:val="24"/>
        </w:rPr>
        <w:t xml:space="preserve"> by mainstream urban agriculture into development planning and climate change and variability adaptation strategies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{"citationItems":[{"id":"ITEM-1","itemData":{"DOI":"10.1177/0885412217737340","ISSN":"15526593","abstract":"The concept of informality has often been misunderstood. Its, especially, urban character is rarely appreciated. With respect to urban development, it was once thought to distinguish the Global South, a view that is changing, but an alternative has not been systematically articulated. Based on an extensive survey of literatures, this article clarifies the urban character of informality, articulates its global relevance, and proposes a framework for understanding its major modes: latent, diffuse, embedded, overt, and dominant. Their relative frequency distinguishes cities, regions, and nations while their identification facilitates the comparison of places.","author":[{"dropping-particle":"","family":"Harris","given":"Richard","non-dropping-particle":"","parse-names":false,"suffix":""}],"container-title":"Journal of Planning Literature","id":"ITEM-1","issue":"3","issued":{"date-parts":[["2018"]]},"page":"267-286","title":"Modes of Informal Urban Development: A Global Phenomenon","type":"article-journal","volume":"33"},"uris":["http://www.mendeley.com/documents/?uuid=cbf613d0-8bb4-40c9-9494-7dc0d99f57c5"]}],"mendeley":{"formattedCitation":"(Harris, 2018)","manualFormatting":"(Harris, 2018","plainTextFormattedCitation":"(Harris, 2018)","previouslyFormattedCitation":"(Harris,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(Harris, 2018</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{"citationItems":[{"id":"ITEM-1","itemData":{"DOI":"10.1080/10630732.2018.1485368","ISSN":"14661853","abstract":"In the theory of urban development, the evolutionary perspective is becoming dominant. Cities are understood as complex systems shaped by bottom-up processes with outcomes that are hard to foresee and plan for. This perspective is strengthened by the current turn towards smart cities and the intensive use of digital technologies to optimize urban ecosystems. This paper extends the evolutionary thinking and emerging dynamics of cities to smart city planning. It is based on recent efforts for a smart city strategy in Thessaloniki that enhances the economic, environmental, and social sustainability of the city. Taking advantage of opportunities offered by the IBM Smarter Cities Challenge, the Rockefeller 100 Resilient Cities, the World Bank, and the EU Horizon 2020 Program, Thessaloniki shaped a strategy for an inclusive economy, resilient infrastructure, participatory governance, and open data. This process, however, does not have the usual features of planning. It reveals the complex dimension of smart city planning as a synthesis of technologies, user engagement, and windows of opportunity, which are fuzzy at the start of the planning process. The evolutionary features of cities, which until now were ascribed to the working of markets, are now shaping the institutional aspects of planning for smart cities.","author":[{"dropping-particle":"","family":"Komninos","given":"N.","non-dropping-particle":"","parse-names":false,"suffix":""},{"dropping-particle":"","family":"Kakderi","given":"C.","non-dropping-particle":"","parse-names":false,"suffix":""},{"dropping-particle":"","family":"Panori","given":"A.","non-dropping-particle":"","parse-names":false,"suffix":""},{"dropping-particle":"","family":"Tsarchopoulos","given":"P.","non-dropping-particle":"","parse-names":false,"suffix":""}],"container-title":"Journal of Urban Technology","id":"ITEM-1","issue":"2","issued":{"date-parts":[["2019"]]},"page":"3-20","publisher":"Taylor &amp; Francis","title":"Smart City Planning from an Evolutionary Perspective","type":"article-journal","volume":"26"},"uris":["http://www.mendeley.com/documents/?uuid=b3af84f3-5a87-4bcc-beb9-d4048e41c2d0"]}],"mendeley":{"formattedCitation":"(Komninos et al., 2019)","manualFormatting":"Komninos et al., 2019)","plainTextFormattedCitation":"(Komninos et al., 2019)","previouslyFormattedCitation":"(Komninos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Komninos et al., 2019)</w:t>
      </w:r>
      <w:r w:rsidRPr="00895D0B">
        <w:rPr>
          <w:rFonts w:cs="Times New Roman"/>
          <w:color w:val="000000" w:themeColor="text1"/>
          <w:szCs w:val="24"/>
        </w:rPr>
        <w:fldChar w:fldCharType="end"/>
      </w:r>
      <w:r w:rsidRPr="00895D0B">
        <w:rPr>
          <w:rFonts w:cs="Times New Roman"/>
          <w:color w:val="000000" w:themeColor="text1"/>
          <w:szCs w:val="24"/>
        </w:rPr>
        <w:t xml:space="preserve">. Urban food crops and animal production and climate change adaptation strategies by urban farmers are less prioritized by policymakers, particularly in Ghana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{"citationItems":[{"id":"ITEM-1","itemData":{"DOI":"10.1177/0885412217737340","ISSN":"15526593","abstract":"The concept of informality has often been misunderstood. Its, especially, urban character is rarely appreciated. With respect to urban development, it was once thought to distinguish the Global South, a view that is changing, but an alternative has not been systematically articulated. Based on an extensive survey of literatures, this article clarifies the urban character of informality, articulates its global relevance, and proposes a framework for understanding its major modes: latent, diffuse, embedded, overt, and dominant. Their relative frequency distinguishes cities, regions, and nations while their identification facilitates the comparison of places.","author":[{"dropping-particle":"","family":"Harris","given":"Richard","non-dropping-particle":"","parse-names":false,"suffix":""}],"container-title":"Journal of Planning Literature","id":"ITEM-1","issue":"3","issued":{"date-parts":[["2018"]]},"page":"267-286","title":"Modes of Informal Urban Development: A Global Phenomenon","type":"article-journal","volume":"33"},"uris":["http://www.mendeley.com/documents/?uuid=cbf613d0-8bb4-40c9-9494-7dc0d99f57c5"]}],"mendeley":{"formattedCitation":"(Harris, 2018)","plainTextFormattedCitation":"(Harris, 2018)","previouslyFormattedCitation":"(Harris,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(Harris, 2018)</w:t>
      </w:r>
      <w:r w:rsidRPr="00895D0B">
        <w:rPr>
          <w:rFonts w:cs="Times New Roman"/>
          <w:color w:val="000000" w:themeColor="text1"/>
          <w:szCs w:val="24"/>
        </w:rPr>
        <w:fldChar w:fldCharType="end"/>
      </w:r>
      <w:r w:rsidRPr="00895D0B">
        <w:rPr>
          <w:rFonts w:cs="Times New Roman"/>
          <w:color w:val="000000" w:themeColor="text1"/>
          <w:szCs w:val="24"/>
        </w:rPr>
        <w:t xml:space="preserve">. There is therefore the need to incorporate the issues of urban farmers’ climate change adaptation strategies </w:t>
      </w:r>
      <w:r w:rsidR="00B47975" w:rsidRPr="00895D0B">
        <w:rPr>
          <w:rFonts w:cs="Times New Roman"/>
          <w:color w:val="000000" w:themeColor="text1"/>
          <w:szCs w:val="24"/>
        </w:rPr>
        <w:t xml:space="preserve">to farming </w:t>
      </w:r>
      <w:r w:rsidRPr="00895D0B">
        <w:rPr>
          <w:rFonts w:cs="Times New Roman"/>
          <w:color w:val="000000" w:themeColor="text1"/>
          <w:szCs w:val="24"/>
        </w:rPr>
        <w:t xml:space="preserve">in the realm of affairs in Ghana’s agricultural policy discourses. This is a useful approach in the </w:t>
      </w:r>
      <w:r w:rsidRPr="00895D0B">
        <w:rPr>
          <w:rFonts w:cs="Times New Roman"/>
          <w:bCs/>
          <w:iCs/>
          <w:color w:val="000000" w:themeColor="text1"/>
          <w:szCs w:val="24"/>
          <w:lang w:val="en-US"/>
        </w:rPr>
        <w:t xml:space="preserve">sustainable </w:t>
      </w:r>
      <w:r w:rsidRPr="00895D0B">
        <w:rPr>
          <w:rFonts w:cs="Times New Roman"/>
          <w:color w:val="000000" w:themeColor="text1"/>
          <w:szCs w:val="24"/>
        </w:rPr>
        <w:t xml:space="preserve">utilization of </w:t>
      </w:r>
      <w:r w:rsidR="00517C77" w:rsidRPr="00895D0B">
        <w:rPr>
          <w:rFonts w:cs="Times New Roman"/>
          <w:color w:val="000000" w:themeColor="text1"/>
          <w:szCs w:val="24"/>
        </w:rPr>
        <w:t>land</w:t>
      </w:r>
      <w:r w:rsidRPr="00895D0B">
        <w:rPr>
          <w:rFonts w:cs="Times New Roman"/>
          <w:bCs/>
          <w:iCs/>
          <w:color w:val="000000" w:themeColor="text1"/>
          <w:szCs w:val="24"/>
          <w:lang w:val="en-US"/>
        </w:rPr>
        <w:t xml:space="preserve"> in an urban environment  and a more healthier way to promote education and a better understanding of the prospects of urban food production  </w:t>
      </w:r>
      <w:r w:rsidRPr="00895D0B">
        <w:rPr>
          <w:rFonts w:cs="Times New Roman"/>
          <w:bCs/>
          <w:iCs/>
          <w:color w:val="000000" w:themeColor="text1"/>
          <w:szCs w:val="24"/>
          <w:lang w:val="en-US"/>
        </w:rPr>
        <w:fldChar w:fldCharType="begin" w:fldLock="1"/>
      </w:r>
      <w:r w:rsidRPr="00895D0B">
        <w:rPr>
          <w:rFonts w:cs="Times New Roman"/>
          <w:bCs/>
          <w:iCs/>
          <w:color w:val="000000" w:themeColor="text1"/>
          <w:szCs w:val="24"/>
          <w:lang w:val="en-US"/>
        </w:rPr>
        <w:instrText>ADDIN CSL_CITATION {"citationItems":[{"id":"ITEM-1","itemData":{"abstract":"Agriculture","author":[{"dropping-particle":"","family":"Lohrberg","given":"F.","non-dropping-particle":"","parse-names":false,"suffix":""},{"dropping-particle":"","family":"Lička","given":"L.","non-dropping-particle":"","parse-names":false,"suffix":""},{"dropping-particle":"","family":"Scazzosi","given":"L.","non-dropping-particle":"","parse-names":false,"suffix":""},{"dropping-particle":"","family":"Timpe","given":"A.","non-dropping-particle":"","parse-names":false,"suffix":""}],"container-title":"European Union","id":"ITEM-1","issued":{"date-parts":[["2016"]]},"title":"Agriculture - EUROPA","type":"report"},"uris":["http://www.mendeley.com/documents/?uuid=900dcd26-49c6-46a6-8595-5d7da0d22a66"]}],"mendeley":{"formattedCitation":"(Lohrberg et al., 2016)","plainTextFormattedCitation":"(Lohrberg et al., 2016)","previouslyFormattedCitation":"(Lohrberg et al., 2016)"},"properties":{"noteIndex":0},"schema":"https://github.com/citation-style-language/schema/raw/master/csl-citation.json"}</w:instrText>
      </w:r>
      <w:r w:rsidRPr="00895D0B">
        <w:rPr>
          <w:rFonts w:cs="Times New Roman"/>
          <w:bCs/>
          <w:iCs/>
          <w:color w:val="000000" w:themeColor="text1"/>
          <w:szCs w:val="24"/>
          <w:lang w:val="en-US"/>
        </w:rPr>
        <w:fldChar w:fldCharType="separate"/>
      </w:r>
      <w:r w:rsidRPr="00895D0B">
        <w:rPr>
          <w:rFonts w:cs="Times New Roman"/>
          <w:bCs/>
          <w:iCs/>
          <w:noProof/>
          <w:color w:val="000000" w:themeColor="text1"/>
          <w:szCs w:val="24"/>
          <w:lang w:val="en-US"/>
        </w:rPr>
        <w:t>(Lohrberg et al., 2016)</w:t>
      </w:r>
      <w:r w:rsidRPr="00895D0B">
        <w:rPr>
          <w:rFonts w:cs="Times New Roman"/>
          <w:bCs/>
          <w:iCs/>
          <w:color w:val="000000" w:themeColor="text1"/>
          <w:szCs w:val="24"/>
          <w:lang w:val="en-US"/>
        </w:rPr>
        <w:fldChar w:fldCharType="end"/>
      </w:r>
      <w:r w:rsidRPr="00895D0B">
        <w:rPr>
          <w:rFonts w:cs="Times New Roman"/>
          <w:bCs/>
          <w:iCs/>
          <w:color w:val="000000" w:themeColor="text1"/>
          <w:szCs w:val="24"/>
          <w:lang w:val="en-US"/>
        </w:rPr>
        <w:t xml:space="preserve">. Indeed, there is limited data and empirical studies on urban farmers’ adaptation practices in the era of climate change and variability. </w:t>
      </w:r>
      <w:r w:rsidRPr="00895D0B">
        <w:rPr>
          <w:rFonts w:cs="Times New Roman"/>
          <w:color w:val="000000" w:themeColor="text1"/>
          <w:szCs w:val="24"/>
        </w:rPr>
        <w:t xml:space="preserve">To accentuate </w:t>
      </w:r>
      <w:r w:rsidRPr="00895D0B">
        <w:rPr>
          <w:rFonts w:cs="Times New Roman"/>
          <w:color w:val="000000" w:themeColor="text1"/>
          <w:szCs w:val="24"/>
        </w:rPr>
        <w:lastRenderedPageBreak/>
        <w:t xml:space="preserve">this, </w:t>
      </w:r>
      <w:r w:rsidRPr="00895D0B">
        <w:rPr>
          <w:rFonts w:cs="Times New Roman"/>
          <w:color w:val="000000" w:themeColor="text1"/>
          <w:szCs w:val="24"/>
          <w:lang w:val="en-US"/>
        </w:rPr>
        <w:t xml:space="preserve">it is therefore imperative to assess how urban agricultural producers are adapting to climate change and variability in meeting the food needs of Ghana’s city residents. </w:t>
      </w:r>
    </w:p>
    <w:p w14:paraId="56BB5479" w14:textId="77777777" w:rsidR="001B4ED5" w:rsidRPr="00895D0B" w:rsidRDefault="001B4ED5" w:rsidP="006B52B6">
      <w:pPr>
        <w:pStyle w:val="NoSpacing"/>
      </w:pPr>
    </w:p>
    <w:p w14:paraId="6BA48F01" w14:textId="77777777" w:rsidR="001B4ED5" w:rsidRPr="00895D0B" w:rsidRDefault="006B41C0">
      <w:pPr>
        <w:pStyle w:val="Heading2"/>
      </w:pPr>
      <w:bookmarkStart w:id="12" w:name="_Toc167379848"/>
      <w:r w:rsidRPr="00895D0B">
        <w:t>1.2 Problem Statement</w:t>
      </w:r>
      <w:bookmarkEnd w:id="12"/>
    </w:p>
    <w:p w14:paraId="230F0C88" w14:textId="4E11525E"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Urban agriculture is gaining popularity in the ever-expanding cities in Ghana such as Accra, Kumasi, Tamale, and Wa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{"citationItems":[{"id":"ITEM-1","itemData":{"DOI":"10.1016/j.landusepol.2017.10.031","ISSN":"02648377","abstract":"Extending beyond previous research biases towards large cities or analyses based largely on one type of urban agriculture (UA) (such as market gardening, or home gardening), this research aimed to investigate all forms of UA within two intermediate-sized Ghanaian cities (Techiman and Tamale). Where was being farmed? For whom, and why? The paper considers how findings compare to Ghana's larger cities, and possible implications for theory and for planning. Methods included remote sensing, field mapping, interviews and a 1000-household per city questionnaire. The most common reason for farming was food supplementation. This was often via staple foods, particularly maize, rather than the leafy vegetables common in larger cities’ market gardening. Farming was predominantly via home gardening, particularly for the better off. The larger city of Tamale also sustained organised irrigated-vegetable market gardens. Findings suggest a picture not dissimilar to Ghana's larger cities but with greater prevalence of home gardening, and a dominance of staple foods rather than perishable or high value crops. A compelling finding, which has received less attention in the literature, is the extent of, and roles played by, what this study refers to as ‘institutional land. Both Ghanaian Ministry of Food and Agriculture's policy framing, and market crisis theorising, of the drivers and role of UA were not found to be an accurate reflection of Techiman and Tamale's UA. Rather than being a localised survival activity of the poor or marginalised, of recent migrants, or of predominantly women, these cities contained a large scale and diverse spatiality of UA mainly for non-poor and non-migrants’ supplementation of their staple food larder. Results emphasise the context-specific nature of a city's urban agriculture, and underline the need for researchers and UA advocates to be specific about the form of UA under the microscope when making claims for ‘an urban agriculture’.","author":[{"dropping-particle":"","family":"Mackay","given":"H.","non-dropping-particle":"","parse-names":false,"suffix":""}],"container-title":"Land Use Policy","id":"ITEM-1","issue":"October 2017","issued":{"date-parts":[["2018"]]},"page":"182-197","publisher":"Elsevier","title":"Mapping and characterising the urban agricultural landscape of two intermediate-sized Ghanaian cities","type":"article-journal","volume":"70"},"uris":["http://www.mendeley.com/documents/?uuid=db4df694-c6b9-4c30-8d0e-77c510eebe8b"]},{"id":"ITEM-2","itemData":{"DOI":"10.3390/su9112090","ISSN":"20711050","abstract":"Urban farming takes advantage of its proximity to market, transport and other urban infrastructure to provide food for the city and sustain the livelihoods of urban and peri-urban dwellers. It is an agricultural activity which employs more than 50% of the local urban population with positive and negative impacts on local and national development. Urban agriculture is an informal activity not supported by law but in practice is regulated to a certain extent by state institutions, traditional rulers, farmers and national and international non-governmental organisations. Tamale's rapid population growth, exacerbated by the unplanned development system and institutional conflicts, are factors contributing to the present bottlenecks in the urban agricultural system. In this paper, these bottlenecks are conceptualised as problems of governance. These issues will be illustrated using ethnographic data from land sales, crop-livestock competition, waste-water irrigation, and markets. I will explain how conflicts which arise from these different situations are resolved through the interactions of various governance systems. Informal governance arrangements are widespread, but neither they nor formal systems are always successful in resolving governance issues. A participatory governance does not seem possible due to actors' divergent interests. A governance solution for this sector is not yet apparent, contributing to food and nutritional insecurity.","author":[{"dropping-particle":"","family":"Nchanji","given":"E. B.","non-dropping-particle":"","parse-names":false,"suffix":""}],"container-title":"Sustainability (Switzerland)","id":"ITEM-2","issue":"11","issued":{"date-parts":[["2017"]]},"page":"1-18","title":"Sustainable urban agriculture in Ghana: What governance systemworks?","type":"article-journal","volume":"9"},"uris":["http://www.mendeley.com/documents/?uuid=85935b70-1de6-4bec-857f-9e94e2645443"]},{"id":"ITEM-3","itemData":{"DOI":"10.5337/2018.224","ISBN":"9789290908753","author":[{"dropping-particle":"","family":"Karg","given":"H.","non-dropping-particle":"","parse-names":false,"suffix":""},{"dropping-particle":"","family":"Drechsel","given":"P.","non-dropping-particle":"","parse-names":false,"suffix":""}],"container-title":"Atlas of West African urban food systems: examples from Ghana and Burkina Faso","editor":[{"dropping-particle":"","family":"Hanna Karg and Pay Drechsel","given":"","non-dropping-particle":"","parse-names":false,"suffix":""}],"id":"ITEM-3","issued":{"date-parts":[["2018"]]},"title":"Atlas of West African urban food systems: examples from Ghana and Burkina Faso","type":"report"},"uris":["http://www.mendeley.com/documents/?uuid=32f25dcd-37b6-462d-8534-9fb45b1e7beb"]}],"mendeley":{"formattedCitation":"(Karg &amp; Drechsel, 2018; Mackay, 2018; Nchanji, 2017)","manualFormatting":"(Karg &amp; Drechsel, 2018; Mackay, 2018","plainTextFormattedCitation":"(Karg &amp; Drechsel, 2018; Mackay, 2018; Nchanji, 2017)","previouslyFormattedCitation":"(Karg &amp; Drechsel, 2018; Mackay, 2018; Nchanji,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(Karg &amp; Drechsel, 2018; Mackay, 2018</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Osman","given":"A.","non-dropping-particle":"","parse-names":false,"suffix":""},{"dropping-particle":"","family":"Karikari","given":"P.K.","non-dropping-particle":"","parse-names":false,"suffix":""},{"dropping-particle":"","family":"Osafo","given":"E.L.K.","non-dropping-particle":"","parse-names":false,"suffix":""},{"dropping-particle":"","family":"Attoh-Kotoku","given":"V.","non-dropping-particle":"","parse-names":false,"suffix":""}],"container-title":"Journal of Animal Science and Biotechnology","id":"ITEM-1","issue":"January","issued":{"date-parts":[["2018"]]},"page":"98–110","title":"Smallholder Urban Cattle Production : Prospects and Challenges in the Kumasi Metropolis and Asokore Mampong Municipality of the Ashanti Region of Ghana","type":"article-journal","volume":"9"},"uris":["http://www.mendeley.com/documents/?uuid=c62525d4-fc6e-4e78-ac3a-74831cd2b6f9"]}],"mendeley":{"formattedCitation":"(Osman et al., 2018)","manualFormatting":"Osman et al., 2018)","plainTextFormattedCitation":"(Osman et al., 2018)","previouslyFormattedCitation":"(Osman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Osman et al., 2018)</w:t>
      </w:r>
      <w:r w:rsidRPr="00895D0B">
        <w:rPr>
          <w:rFonts w:cs="Times New Roman"/>
          <w:color w:val="000000" w:themeColor="text1"/>
          <w:szCs w:val="24"/>
        </w:rPr>
        <w:fldChar w:fldCharType="end"/>
      </w:r>
      <w:r w:rsidRPr="00895D0B">
        <w:rPr>
          <w:rFonts w:cs="Times New Roman"/>
          <w:color w:val="000000" w:themeColor="text1"/>
          <w:szCs w:val="24"/>
        </w:rPr>
        <w:t>. Nonetheless, urban farmers receive less attention in policy discourses in the country. Urban farmers in the Wa Municipality use the available undeveloped spaces, either close to their neighbourhoods or in distant locations within the urban core zone for growing crops and rearing animals. The</w:t>
      </w:r>
      <w:r w:rsidR="00E64E76" w:rsidRPr="00895D0B">
        <w:rPr>
          <w:rFonts w:cs="Times New Roman"/>
          <w:color w:val="000000" w:themeColor="text1"/>
          <w:szCs w:val="24"/>
        </w:rPr>
        <w:t xml:space="preserve">y </w:t>
      </w:r>
      <w:r w:rsidRPr="00895D0B">
        <w:rPr>
          <w:rFonts w:cs="Times New Roman"/>
          <w:color w:val="000000" w:themeColor="text1"/>
          <w:szCs w:val="24"/>
        </w:rPr>
        <w:t xml:space="preserve">cultivate </w:t>
      </w:r>
      <w:r w:rsidR="00517C77" w:rsidRPr="00895D0B">
        <w:rPr>
          <w:rFonts w:cs="Times New Roman"/>
          <w:color w:val="000000" w:themeColor="text1"/>
          <w:szCs w:val="24"/>
        </w:rPr>
        <w:t xml:space="preserve">staple food </w:t>
      </w:r>
      <w:r w:rsidRPr="00895D0B">
        <w:rPr>
          <w:rFonts w:cs="Times New Roman"/>
          <w:color w:val="000000" w:themeColor="text1"/>
          <w:szCs w:val="24"/>
        </w:rPr>
        <w:t xml:space="preserve">crops </w:t>
      </w:r>
      <w:r w:rsidR="00517C77" w:rsidRPr="00895D0B">
        <w:rPr>
          <w:rFonts w:cs="Times New Roman"/>
          <w:color w:val="000000" w:themeColor="text1"/>
          <w:szCs w:val="24"/>
        </w:rPr>
        <w:t xml:space="preserve">such as vegatebales, legumes and cereals as well as raising of livestock </w:t>
      </w:r>
      <w:r w:rsidRPr="00895D0B">
        <w:rPr>
          <w:rFonts w:cs="Times New Roman"/>
          <w:color w:val="000000" w:themeColor="text1"/>
          <w:szCs w:val="24"/>
        </w:rPr>
        <w:t xml:space="preserve">The aim is to contribute to addressing the increasing urban food demands, boost incomes, and improve wellbeing. Notwithstanding, these urban farmers are faced with a host of challenges of which prominent among them is the impact of climate change on their agricultural activities.  </w:t>
      </w:r>
    </w:p>
    <w:p w14:paraId="136077EE" w14:textId="77777777" w:rsidR="001B4ED5" w:rsidRPr="00895D0B" w:rsidRDefault="001B4ED5" w:rsidP="006B52B6">
      <w:pPr>
        <w:pStyle w:val="NoSpacing"/>
      </w:pPr>
    </w:p>
    <w:p w14:paraId="76E5939D" w14:textId="69884A9F"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Urban farmers in the Upper West Region, particularly the urban core of Wa are vulnerable to climate change and variability stressors such as unreliable rainfall and high temperatures.</w:t>
      </w:r>
      <w:r w:rsidR="00AE25B7" w:rsidRPr="00895D0B">
        <w:rPr>
          <w:rFonts w:cs="Times New Roman"/>
          <w:color w:val="000000" w:themeColor="text1"/>
          <w:szCs w:val="24"/>
        </w:rPr>
        <w:t xml:space="preserve"> The humidity in region is about 48.5%. `Consequently, the average annual precipitation is 58.0 millimetres (2.28in). </w:t>
      </w:r>
      <w:r w:rsidR="00833571" w:rsidRPr="00895D0B">
        <w:rPr>
          <w:rFonts w:cs="Times New Roman"/>
          <w:color w:val="000000" w:themeColor="text1"/>
          <w:szCs w:val="24"/>
        </w:rPr>
        <w:t>T</w:t>
      </w:r>
      <w:r w:rsidR="00AE25B7" w:rsidRPr="00895D0B">
        <w:rPr>
          <w:rFonts w:cs="Times New Roman"/>
          <w:color w:val="000000" w:themeColor="text1"/>
          <w:szCs w:val="24"/>
        </w:rPr>
        <w:t xml:space="preserve">he region records 5 months of active rainfall which is between mid-April to ending of September. This followed by 7 months of no rain—October to mid-April </w:t>
      </w:r>
      <w:r w:rsidR="00004DAA" w:rsidRPr="00895D0B">
        <w:rPr>
          <w:rFonts w:cs="Times New Roman"/>
          <w:color w:val="000000" w:themeColor="text1"/>
          <w:szCs w:val="24"/>
        </w:rPr>
        <w:fldChar w:fldCharType="begin" w:fldLock="1"/>
      </w:r>
      <w:r w:rsidR="00235EBD" w:rsidRPr="00895D0B">
        <w:rPr>
          <w:rFonts w:cs="Times New Roman"/>
          <w:color w:val="000000" w:themeColor="text1"/>
          <w:szCs w:val="24"/>
        </w:rPr>
        <w:instrText>ADDIN CSL_CITATION {"citationItems":[{"id":"ITEM-1","itemData":{"author":[{"dropping-particle":"","family":"Agency","given":"The Ghana Meteorological","non-dropping-particle":"","parse-names":false,"suffix":""}],"id":"ITEM-1","issued":{"date-parts":[["2022"]]},"number-of-pages":"4","title":"Climate and average weather year round in Wa, Ghana","type":"report"},"uris":["http://www.mendeley.com/documents/?uuid=2cea7c5c-7be0-4996-838e-1ce38ffd02eb"]}],"mendeley":{"formattedCitation":"(Agency, 2022)","plainTextFormattedCitation":"(Agency, 2022)","previouslyFormattedCitation":"(Agency, 2022)"},"properties":{"noteIndex":0},"schema":"https://github.com/citation-style-language/schema/raw/master/csl-citation.json"}</w:instrText>
      </w:r>
      <w:r w:rsidR="00004DAA" w:rsidRPr="00895D0B">
        <w:rPr>
          <w:rFonts w:cs="Times New Roman"/>
          <w:color w:val="000000" w:themeColor="text1"/>
          <w:szCs w:val="24"/>
        </w:rPr>
        <w:fldChar w:fldCharType="separate"/>
      </w:r>
      <w:r w:rsidR="00235EBD" w:rsidRPr="00895D0B">
        <w:rPr>
          <w:rFonts w:cs="Times New Roman"/>
          <w:noProof/>
          <w:color w:val="000000" w:themeColor="text1"/>
          <w:szCs w:val="24"/>
        </w:rPr>
        <w:t>(Agency, 2022)</w:t>
      </w:r>
      <w:r w:rsidR="00004DAA" w:rsidRPr="00895D0B">
        <w:rPr>
          <w:rFonts w:cs="Times New Roman"/>
          <w:color w:val="000000" w:themeColor="text1"/>
          <w:szCs w:val="24"/>
        </w:rPr>
        <w:fldChar w:fldCharType="end"/>
      </w:r>
      <w:r w:rsidR="00AE25B7" w:rsidRPr="00895D0B">
        <w:rPr>
          <w:rFonts w:cs="Times New Roman"/>
          <w:color w:val="000000" w:themeColor="text1"/>
          <w:szCs w:val="24"/>
        </w:rPr>
        <w:t xml:space="preserve">. </w:t>
      </w:r>
      <w:r w:rsidR="00833571" w:rsidRPr="00895D0B">
        <w:rPr>
          <w:rFonts w:cs="Times New Roman"/>
          <w:color w:val="000000" w:themeColor="text1"/>
          <w:szCs w:val="24"/>
        </w:rPr>
        <w:t>Meanwhile t</w:t>
      </w:r>
      <w:r w:rsidR="00F90D7C" w:rsidRPr="00895D0B">
        <w:rPr>
          <w:rFonts w:cs="Times New Roman"/>
          <w:color w:val="000000" w:themeColor="text1"/>
          <w:szCs w:val="24"/>
        </w:rPr>
        <w:t>he Wa town experienced climate variability within the Savanna Ecological Zone as temperature increased from 17</w:t>
      </w:r>
      <w:r w:rsidR="00F90D7C" w:rsidRPr="00895D0B">
        <w:rPr>
          <w:rFonts w:cs="Times New Roman"/>
          <w:color w:val="000000" w:themeColor="text1"/>
          <w:szCs w:val="24"/>
          <w:vertAlign w:val="superscript"/>
        </w:rPr>
        <w:t>0</w:t>
      </w:r>
      <w:r w:rsidR="00F90D7C" w:rsidRPr="00895D0B">
        <w:rPr>
          <w:rFonts w:cs="Times New Roman"/>
          <w:color w:val="000000" w:themeColor="text1"/>
          <w:szCs w:val="24"/>
        </w:rPr>
        <w:t>C to 27</w:t>
      </w:r>
      <w:r w:rsidR="00F90D7C" w:rsidRPr="00895D0B">
        <w:rPr>
          <w:rFonts w:cs="Times New Roman"/>
          <w:color w:val="000000" w:themeColor="text1"/>
          <w:szCs w:val="24"/>
          <w:vertAlign w:val="superscript"/>
        </w:rPr>
        <w:t>0</w:t>
      </w:r>
      <w:r w:rsidR="00F90D7C" w:rsidRPr="00895D0B">
        <w:rPr>
          <w:rFonts w:cs="Times New Roman"/>
          <w:color w:val="000000" w:themeColor="text1"/>
          <w:szCs w:val="24"/>
        </w:rPr>
        <w:t xml:space="preserve">C over the past 53 years </w:t>
      </w:r>
      <w:r w:rsidR="00F90D7C" w:rsidRPr="00895D0B">
        <w:rPr>
          <w:rFonts w:cs="Times New Roman"/>
          <w:color w:val="000000" w:themeColor="text1"/>
          <w:szCs w:val="24"/>
        </w:rPr>
        <w:fldChar w:fldCharType="begin" w:fldLock="1"/>
      </w:r>
      <w:r w:rsidR="00F90D7C" w:rsidRPr="00895D0B">
        <w:rPr>
          <w:rFonts w:cs="Times New Roman"/>
          <w:color w:val="000000" w:themeColor="text1"/>
          <w:szCs w:val="24"/>
        </w:rPr>
        <w:instrText>ADDIN CSL_CITATION {"citationItems":[{"id":"ITEM-1","itemData":{"abstract":"Climate change and variability are major challenges to rain-fed crop production in Africa. This paper presents a report on a pilot project to test a concept for operationalizing weather index crop insurance as a social adaptation to the climate change and variability problem in the Upper West Region of Ghana. An analysis of long-term weather variables showed rising temperature of 1.7 oC over a period of 53 years as well as major shifts in rainfall patterns. Farmers face a new reality that cannot be addressed with their indigenous knowledge alone. The weather-index based crop insurance concept discussed herein was developed by combined effort of University of Ghana, the German International Cooperation (GIZ) and the Ghana National Insurance Commission (NIC) since 2010. This development was carried out via their filial, the Ghana Agricultural Insurance Pool (GAIP). The proposed concept sought to link various agricultural stakeholders such weather technical persons, farmers, agricultural extension officer, input dealers and other aggregators, and financial institutions as well as the insurance industry and focused on a participatory farmer led approach. The piloting of the concept was supported by the Climate Change and Food Security (CCAFs) project and was tested in the years 2012 and 2013 using a theatrical drama sketch in two districts in the Upper West Region of Ghana: Jirapa and Lawra. It was observed that training of farmers in the basic principles of weather (data collection, interpretation, etc.) facilitated the discussions on drought insurance, adding to the body of evidence supporting participatory design tools. The aim of this paper is to record this process and to put the results into recent context, through discussing them through the lens of insurance operations and research in Ghana. Ensuing discussions showed that although all stakeholders considered the participatory design tools to be meritorious, a number of logistical challenges were identified that need to be addressed for effective scaling. The study also highlighted the high spatial variability of rainfall in the Upper West region of Ghana, showing the necessity of satellite-derived rainfall products. Finally, the framework suggested in this report highlights the complexity and the institutional structures required to implement an effective insurance. In effect, our simple study has exposed the complexities and intricacies that must be overcome in establishing a sustainable insurance…","author":[{"dropping-particle":"","family":"Adiku","given":"S. G. K.","non-dropping-particle":"","parse-names":false,"suffix":""},{"dropping-particle":"","family":"Debrah-afanyede","given":"E.","non-dropping-particle":"","parse-names":false,"suffix":""},{"dropping-particle":"","family":"Greatrex","given":"Helen","non-dropping-particle":"","parse-names":false,"suffix":""},{"dropping-particle":"","family":"Zougmore","given":"R.","non-dropping-particle":"","parse-names":false,"suffix":""},{"dropping-particle":"","family":"Maccarthy","given":"D. S.","non-dropping-particle":"","parse-names":false,"suffix":""}],"container-title":"CCAFS Working Paper","id":"ITEM-1","issue":"No.189","issued":{"date-parts":[["2017"]]},"page":"44 p.","title":"Weather-index based crop insurance as a social adaptation to climate change and variability in the Upper West Region of Ghana Developing a participatory approach.","type":"article-journal"},"uris":["http://www.mendeley.com/documents/?uuid=6850a264-d786-49a1-b133-01cf19cfefdc"]}],"mendeley":{"formattedCitation":"(Adiku et al., 2017)","plainTextFormattedCitation":"(Adiku et al., 2017)","previouslyFormattedCitation":"(Adiku et al., 2017)"},"properties":{"noteIndex":0},"schema":"https://github.com/citation-style-language/schema/raw/master/csl-citation.json"}</w:instrText>
      </w:r>
      <w:r w:rsidR="00F90D7C" w:rsidRPr="00895D0B">
        <w:rPr>
          <w:rFonts w:cs="Times New Roman"/>
          <w:color w:val="000000" w:themeColor="text1"/>
          <w:szCs w:val="24"/>
        </w:rPr>
        <w:fldChar w:fldCharType="separate"/>
      </w:r>
      <w:r w:rsidR="00F90D7C" w:rsidRPr="00895D0B">
        <w:rPr>
          <w:rFonts w:cs="Times New Roman"/>
          <w:noProof/>
          <w:color w:val="000000" w:themeColor="text1"/>
          <w:szCs w:val="24"/>
        </w:rPr>
        <w:t>(Adiku et al., 2017)</w:t>
      </w:r>
      <w:r w:rsidR="00F90D7C" w:rsidRPr="00895D0B">
        <w:rPr>
          <w:rFonts w:cs="Times New Roman"/>
          <w:color w:val="000000" w:themeColor="text1"/>
          <w:szCs w:val="24"/>
        </w:rPr>
        <w:fldChar w:fldCharType="end"/>
      </w:r>
      <w:r w:rsidR="00F90D7C" w:rsidRPr="00895D0B">
        <w:rPr>
          <w:rFonts w:cs="Times New Roman"/>
          <w:color w:val="000000" w:themeColor="text1"/>
          <w:szCs w:val="24"/>
        </w:rPr>
        <w:t xml:space="preserve">. </w:t>
      </w:r>
      <w:r w:rsidR="00833571" w:rsidRPr="00895D0B">
        <w:rPr>
          <w:rFonts w:cs="Times New Roman"/>
          <w:color w:val="000000" w:themeColor="text1"/>
          <w:szCs w:val="24"/>
        </w:rPr>
        <w:t xml:space="preserve">Furthermore, </w:t>
      </w:r>
      <w:r w:rsidR="00AE25B7" w:rsidRPr="00895D0B">
        <w:rPr>
          <w:rFonts w:cs="Times New Roman"/>
          <w:color w:val="000000" w:themeColor="text1"/>
          <w:szCs w:val="24"/>
        </w:rPr>
        <w:t xml:space="preserve"> in the past decade, the average </w:t>
      </w:r>
      <w:r w:rsidR="002C77A8" w:rsidRPr="00895D0B">
        <w:rPr>
          <w:rFonts w:cs="Times New Roman"/>
          <w:color w:val="000000" w:themeColor="text1"/>
          <w:szCs w:val="24"/>
        </w:rPr>
        <w:t xml:space="preserve">minimum temperature </w:t>
      </w:r>
      <w:r w:rsidR="00AE25B7" w:rsidRPr="00895D0B">
        <w:rPr>
          <w:rFonts w:cs="Times New Roman"/>
          <w:color w:val="000000" w:themeColor="text1"/>
          <w:szCs w:val="24"/>
        </w:rPr>
        <w:t xml:space="preserve">is </w:t>
      </w:r>
      <w:r w:rsidR="002C77A8" w:rsidRPr="00895D0B">
        <w:rPr>
          <w:rFonts w:cs="Times New Roman"/>
          <w:color w:val="000000" w:themeColor="text1"/>
          <w:szCs w:val="24"/>
        </w:rPr>
        <w:t>28.0</w:t>
      </w:r>
      <w:r w:rsidR="002C77A8" w:rsidRPr="00895D0B">
        <w:rPr>
          <w:rFonts w:cs="Times New Roman"/>
          <w:color w:val="000000" w:themeColor="text1"/>
          <w:szCs w:val="24"/>
          <w:vertAlign w:val="superscript"/>
        </w:rPr>
        <w:t>0</w:t>
      </w:r>
      <w:r w:rsidR="00AE25B7" w:rsidRPr="00895D0B">
        <w:rPr>
          <w:rFonts w:cs="Times New Roman"/>
          <w:color w:val="000000" w:themeColor="text1"/>
          <w:szCs w:val="24"/>
          <w:vertAlign w:val="superscript"/>
        </w:rPr>
        <w:t xml:space="preserve"> </w:t>
      </w:r>
      <w:r w:rsidR="002C77A8" w:rsidRPr="00895D0B">
        <w:rPr>
          <w:rFonts w:cs="Times New Roman"/>
          <w:color w:val="000000" w:themeColor="text1"/>
          <w:szCs w:val="24"/>
        </w:rPr>
        <w:t>C</w:t>
      </w:r>
      <w:r w:rsidR="00AE25B7" w:rsidRPr="00895D0B">
        <w:rPr>
          <w:rFonts w:cs="Times New Roman"/>
          <w:color w:val="000000" w:themeColor="text1"/>
          <w:szCs w:val="24"/>
        </w:rPr>
        <w:t xml:space="preserve"> while the a</w:t>
      </w:r>
      <w:r w:rsidR="002C77A8" w:rsidRPr="00895D0B">
        <w:rPr>
          <w:rFonts w:cs="Times New Roman"/>
          <w:color w:val="000000" w:themeColor="text1"/>
          <w:szCs w:val="24"/>
        </w:rPr>
        <w:t>verage maximum temperature is 41.0</w:t>
      </w:r>
      <w:r w:rsidR="002C77A8" w:rsidRPr="00895D0B">
        <w:rPr>
          <w:rFonts w:cs="Times New Roman"/>
          <w:color w:val="000000" w:themeColor="text1"/>
          <w:szCs w:val="24"/>
          <w:vertAlign w:val="superscript"/>
        </w:rPr>
        <w:t xml:space="preserve">0 </w:t>
      </w:r>
      <w:r w:rsidR="002C77A8" w:rsidRPr="00895D0B">
        <w:rPr>
          <w:rFonts w:cs="Times New Roman"/>
          <w:color w:val="000000" w:themeColor="text1"/>
          <w:szCs w:val="24"/>
        </w:rPr>
        <w:t>C</w:t>
      </w:r>
      <w:r w:rsidR="00AE25B7" w:rsidRPr="00895D0B">
        <w:rPr>
          <w:rFonts w:cs="Times New Roman"/>
          <w:color w:val="000000" w:themeColor="text1"/>
          <w:szCs w:val="24"/>
        </w:rPr>
        <w:t>. In recent times the region records an a</w:t>
      </w:r>
      <w:r w:rsidR="002C77A8" w:rsidRPr="00895D0B">
        <w:rPr>
          <w:rFonts w:cs="Times New Roman"/>
          <w:color w:val="000000" w:themeColor="text1"/>
          <w:szCs w:val="24"/>
        </w:rPr>
        <w:t xml:space="preserve">verage annual higher temperature </w:t>
      </w:r>
      <w:r w:rsidR="00AE25B7" w:rsidRPr="00895D0B">
        <w:rPr>
          <w:rFonts w:cs="Times New Roman"/>
          <w:color w:val="000000" w:themeColor="text1"/>
          <w:szCs w:val="24"/>
        </w:rPr>
        <w:t>of</w:t>
      </w:r>
      <w:r w:rsidR="002C77A8" w:rsidRPr="00895D0B">
        <w:rPr>
          <w:rFonts w:cs="Times New Roman"/>
          <w:color w:val="000000" w:themeColor="text1"/>
          <w:szCs w:val="24"/>
        </w:rPr>
        <w:t xml:space="preserve"> 35.4</w:t>
      </w:r>
      <w:r w:rsidR="002C77A8" w:rsidRPr="00895D0B">
        <w:rPr>
          <w:rFonts w:cs="Times New Roman"/>
          <w:color w:val="000000" w:themeColor="text1"/>
          <w:szCs w:val="24"/>
          <w:vertAlign w:val="superscript"/>
        </w:rPr>
        <w:t xml:space="preserve">0 </w:t>
      </w:r>
      <w:r w:rsidR="002C77A8" w:rsidRPr="00895D0B">
        <w:rPr>
          <w:rFonts w:cs="Times New Roman"/>
          <w:color w:val="000000" w:themeColor="text1"/>
          <w:szCs w:val="24"/>
        </w:rPr>
        <w:t>C</w:t>
      </w:r>
      <w:r w:rsidR="00AE25B7" w:rsidRPr="00895D0B">
        <w:rPr>
          <w:rFonts w:cs="Times New Roman"/>
          <w:color w:val="000000" w:themeColor="text1"/>
          <w:szCs w:val="24"/>
        </w:rPr>
        <w:t xml:space="preserve"> and a</w:t>
      </w:r>
      <w:r w:rsidR="002C77A8" w:rsidRPr="00895D0B">
        <w:rPr>
          <w:rFonts w:cs="Times New Roman"/>
          <w:color w:val="000000" w:themeColor="text1"/>
          <w:szCs w:val="24"/>
        </w:rPr>
        <w:t>verage annual minimum temperature is 23.5</w:t>
      </w:r>
      <w:r w:rsidR="002C77A8" w:rsidRPr="00895D0B">
        <w:rPr>
          <w:rFonts w:cs="Times New Roman"/>
          <w:color w:val="000000" w:themeColor="text1"/>
          <w:szCs w:val="24"/>
          <w:vertAlign w:val="superscript"/>
        </w:rPr>
        <w:t xml:space="preserve">0 </w:t>
      </w:r>
      <w:r w:rsidR="002C77A8" w:rsidRPr="00895D0B">
        <w:rPr>
          <w:rFonts w:cs="Times New Roman"/>
          <w:color w:val="000000" w:themeColor="text1"/>
          <w:szCs w:val="24"/>
        </w:rPr>
        <w:t>C</w:t>
      </w:r>
      <w:r w:rsidR="00184706" w:rsidRPr="00895D0B">
        <w:rPr>
          <w:rFonts w:cs="Times New Roman"/>
          <w:color w:val="000000" w:themeColor="text1"/>
          <w:szCs w:val="24"/>
        </w:rPr>
        <w:t xml:space="preserve"> </w:t>
      </w:r>
      <w:r w:rsidR="00184706" w:rsidRPr="00895D0B">
        <w:rPr>
          <w:rFonts w:cs="Times New Roman"/>
          <w:color w:val="000000" w:themeColor="text1"/>
          <w:szCs w:val="24"/>
        </w:rPr>
        <w:fldChar w:fldCharType="begin" w:fldLock="1"/>
      </w:r>
      <w:r w:rsidR="00004DAA" w:rsidRPr="00895D0B">
        <w:rPr>
          <w:rFonts w:cs="Times New Roman"/>
          <w:color w:val="000000" w:themeColor="text1"/>
          <w:szCs w:val="24"/>
        </w:rPr>
        <w:instrText>ADDIN CSL_CITATION {"citationItems":[{"id":"ITEM-1","itemData":{"author":[{"dropping-particle":"","family":"Wa Municipal Assembly","given":"","non-dropping-particle":"","parse-names":false,"suffix":""}],"id":"ITEM-1","issued":{"date-parts":[["2021"]]},"publisher-place":"Wa","title":"Municipal composite budget for 2021-2024","type":"report"},"uris":["http://www.mendeley.com/documents/?uuid=3c09ef17-eadb-461d-ac29-7ad28bb95a81"]}],"mendeley":{"formattedCitation":"(Wa Municipal Assembly, 2021)","plainTextFormattedCitation":"(Wa Municipal Assembly, 2021)","previouslyFormattedCitation":"(Wa Municipal Assembly, 2021)"},"properties":{"noteIndex":0},"schema":"https://github.com/citation-style-language/schema/raw/master/csl-citation.json"}</w:instrText>
      </w:r>
      <w:r w:rsidR="00184706" w:rsidRPr="00895D0B">
        <w:rPr>
          <w:rFonts w:cs="Times New Roman"/>
          <w:color w:val="000000" w:themeColor="text1"/>
          <w:szCs w:val="24"/>
        </w:rPr>
        <w:fldChar w:fldCharType="separate"/>
      </w:r>
      <w:r w:rsidR="00184706" w:rsidRPr="00895D0B">
        <w:rPr>
          <w:rFonts w:cs="Times New Roman"/>
          <w:noProof/>
          <w:color w:val="000000" w:themeColor="text1"/>
          <w:szCs w:val="24"/>
        </w:rPr>
        <w:t>(Wa Municipal Assembly, 2021)</w:t>
      </w:r>
      <w:r w:rsidR="00184706" w:rsidRPr="00895D0B">
        <w:rPr>
          <w:rFonts w:cs="Times New Roman"/>
          <w:color w:val="000000" w:themeColor="text1"/>
          <w:szCs w:val="24"/>
        </w:rPr>
        <w:fldChar w:fldCharType="end"/>
      </w:r>
      <w:r w:rsidR="00184706" w:rsidRPr="00895D0B">
        <w:rPr>
          <w:rFonts w:cs="Times New Roman"/>
          <w:color w:val="000000" w:themeColor="text1"/>
          <w:szCs w:val="24"/>
        </w:rPr>
        <w:t>.</w:t>
      </w:r>
      <w:r w:rsidR="00F90D7C" w:rsidRPr="00895D0B">
        <w:rPr>
          <w:rFonts w:cs="Times New Roman"/>
          <w:color w:val="000000" w:themeColor="text1"/>
          <w:szCs w:val="24"/>
        </w:rPr>
        <w:t xml:space="preserve"> </w:t>
      </w:r>
      <w:r w:rsidRPr="00895D0B">
        <w:rPr>
          <w:rFonts w:cs="Times New Roman"/>
          <w:color w:val="000000" w:themeColor="text1"/>
          <w:szCs w:val="24"/>
        </w:rPr>
        <w:t xml:space="preserve">Due to the aforementioned climatic variability experienced in Wa, urban farmers are unable to accurately predict the rainfall pattern and plan for productive cropping. While climate change adaptation strategies are highlighted in the literature as ways of overcoming the adverse effect of climate change on agricultural production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{"citationItems":[{"id":"ITEM-1","itemData":{"DOI":"10.1007/s42452-021-04503-w","ISBN":"0123456789","ISSN":"25233971","abstract":"The erratic rainfall patterns and decline in crop production are due to the threat of climate change. The responses of farm households to climate change play a very essential role in addressing the risk of climate change. This study investigated factors influencing adaptation strategies to climate change in the Black Volta Basin of Ghana. Survey questions were administered to 450 households sampled from eight districts using a multistage sampling technique. Out of the six adaptation strategies, four major identified adaptation strategies were subsequently used as the dependent variable in the multivariate (MV) probit and binary logit models. The results revealed that factors such as gender, age, household size, farmer-based-organizations membership, farm income, years of education, districts of location of respondents, farm size and climate change awareness—statistically and significantly—influenced households’ adaptation to the changing climate. However, the positive correlation matrix from the MV probit model showed complementarities among all the adaptation strategies adopted by household heads. Priority should be given to improving household heads’ adaptive capacity. Also, governmental and non-governmental organizations should invest in climate-resilient programmes. Finally, programmes aimed at sensitizing household heads on climate change adaptation strategies such as changing planting time, changing farming methods, and planting early maturing and drought-resistant varieties through pieces of trainings and workshops may be duly supported by the Government; particularly, for household heads in the Black Volta Basin.","author":[{"dropping-particle":"","family":"Mwinkom","given":"F. X.K.","non-dropping-particle":"","parse-names":false,"suffix":""},{"dropping-particle":"","family":"Damnyag","given":"L.","non-dropping-particle":"","parse-names":false,"suffix":""},{"dropping-particle":"","family":"Abugre","given":"S.","non-dropping-particle":"","parse-names":false,"suffix":""},{"dropping-particle":"","family":"Alhassan","given":"S. I.","non-dropping-particle":"","parse-names":false,"suffix":""}],"container-title":"SN Applied Sciences","id":"ITEM-1","issue":"5","issued":{"date-parts":[["2021"]]},"page":"1-20","publisher":"Springer International Publishing","title":"Factors influencing climate change adaptation strategies in North-Western Ghana: evidence of farmers in the Black Volta Basin in Upper West region","type":"article-journal","volume":"3"},"uris":["http://www.mendeley.com/documents/?uuid=6b0ee2e9-4f80-4d25-bd1f-041b2ccc97ab"]}],"mendeley":{"formattedCitation":"(Mwinkom et al., 2021)","plainTextFormattedCitation":"(Mwinkom et al., 2021)","previouslyFormattedCitation":"(Mwinkom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(Mwinkom et al., 2021)</w:t>
      </w:r>
      <w:r w:rsidRPr="00895D0B">
        <w:rPr>
          <w:rFonts w:cs="Times New Roman"/>
          <w:color w:val="000000" w:themeColor="text1"/>
          <w:szCs w:val="24"/>
        </w:rPr>
        <w:fldChar w:fldCharType="end"/>
      </w:r>
      <w:r w:rsidRPr="00895D0B">
        <w:rPr>
          <w:rFonts w:cs="Times New Roman"/>
          <w:color w:val="000000" w:themeColor="text1"/>
          <w:szCs w:val="24"/>
        </w:rPr>
        <w:t xml:space="preserve">, policy interest and attention is always on the rural smallholder farmers. Mounting evidence from the scientific literature shows that agriculturalists with less knowledge and information about the </w:t>
      </w:r>
      <w:r w:rsidRPr="00895D0B">
        <w:rPr>
          <w:rFonts w:cs="Times New Roman"/>
          <w:color w:val="000000" w:themeColor="text1"/>
          <w:szCs w:val="24"/>
        </w:rPr>
        <w:lastRenderedPageBreak/>
        <w:t xml:space="preserve">prevailing climatic dynamics are more vulnerable to climate change, and this affects their agricultural production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{"citationItems":[{"id":"ITEM-1","itemData":{"abstract":"Getting a better understanding of how climate variability affects rural men and women differently, and in different regions, is challenging. Since their ability to respond to change and take action that will make them more resilient and able to adapt to a changing climate (alongside all the other social and economic change they are dealing with) differs, we need to focus more research efforts on enhancing this understanding and linking this knowledge with actions aimed at enhancing livelihoods and food security. The global CGIAR Research Program on Climate Change, Agriculture and Food Security (CCAFS) and the Food and Agriculture Organization (FAO) joined forces to examine how well existing participatory gender-sensitive research approaches address some key climate change-related research issues that CCAFS has prioritized. Bringing together gender experts and experienced agricultural research teams from Bangladesh, Ghana, and Uganda, multiple methods were tested in the field, and refined through the lessons learned, to help inform future action research and development efforts towards enhancing communities’ and individuals’ (particularly women’s) access to, and use of, information and knowledge to help them adapt to climate variability through more resilient livelihoods and agro-ecosystems. CCAFS research teams have developed an adaptation tool called ‘climate analogues’, an approach aimed at helping people visualize what their climate and environment is likely to look like in the future. The idea behind the analogue tool is to connect a particular location with places that have climates similar (analogous) to what climate scientists predict the climate will be like in 2030 and beyond in that location. The climate analogue approach can enable farmers to better visualize and understand what their agricultural future might look like and what kinds of changes and options they need to be considering now. The results of the pilot studies in three regions suggest that farmer-to-farmer visits to analogue sites will be more challenging and problematic for women than for men, and for the elderly. For men and women who are unable to travel, more innovative means of communicating the ideas behind climate analogues and what information can be gained  suggest that information on climate change adaptation strategies could be effectively shared in central locations that are already co…","author":[{"dropping-particle":"","family":"Djido","given":"A.","non-dropping-particle":"","parse-names":false,"suffix":""},{"dropping-particle":"","family":"Houessionon","given":"P.","non-dropping-particle":"","parse-names":false,"suffix":""},{"dropping-particle":"","family":"Nikoi","given":"G.","non-dropping-particle":"","parse-names":false,"suffix":""},{"dropping-particle":"","family":"Ouédraogo","given":"I.","non-dropping-particle":"","parse-names":false,"suffix":""},{"dropping-particle":"","family":"Ouédraogo","given":"M.","non-dropping-particle":"","parse-names":false,"suffix":""},{"dropping-particle":"","family":"Segnon","given":"A. C.","non-dropping-particle":"","parse-names":false,"suffix":""},{"dropping-particle":"","family":"Zougmoré","given":"R. B.","non-dropping-particle":"","parse-names":false,"suffix":""}],"container-title":"Ccafs","id":"ITEM-1","issued":{"date-parts":[["2021"]]},"page":"1-38","title":"The impacts of weather and climate information services on technical efficiency and farm productivity among smallholder farmers in the Upper West Region of Ghana","type":"article-journal"},"uris":["http://www.mendeley.com/documents/?uuid=b123c2ea-16cc-4739-ac19-bd879eecf360"]}],"mendeley":{"formattedCitation":"(Djido et al., 2021)","plainTextFormattedCitation":"(Djido et al., 2021)","previouslyFormattedCitation":"(Djido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(Djido et al., 2021)</w:t>
      </w:r>
      <w:r w:rsidRPr="00895D0B">
        <w:rPr>
          <w:rFonts w:cs="Times New Roman"/>
          <w:color w:val="000000" w:themeColor="text1"/>
          <w:szCs w:val="24"/>
        </w:rPr>
        <w:fldChar w:fldCharType="end"/>
      </w:r>
      <w:r w:rsidRPr="00895D0B">
        <w:rPr>
          <w:rFonts w:cs="Times New Roman"/>
          <w:color w:val="000000" w:themeColor="text1"/>
          <w:szCs w:val="24"/>
        </w:rPr>
        <w:t xml:space="preserve">. It is therefore imperative for urban farmers’ knowledge of climate change and adaptation strategies to be given critical attention in both policy and scientific discourses. </w:t>
      </w:r>
    </w:p>
    <w:p w14:paraId="605CEA0A" w14:textId="77777777" w:rsidR="001B4ED5" w:rsidRPr="00895D0B" w:rsidRDefault="001B4ED5" w:rsidP="006B52B6">
      <w:pPr>
        <w:pStyle w:val="NoSpacing"/>
      </w:pPr>
    </w:p>
    <w:p w14:paraId="678B7326" w14:textId="7CCC9264"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Indeed, many empirical studies have been conducted on the urban landscape in Ghana with a focus on thematic areas such as the spatial-temporal growth and expansion of urban areas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{"citationItems":[{"id":"ITEM-1","itemData":{"DOI":"10.1007/s12132-018-9341-8","ISSN":"1015-3802","abstract":"This article examined the mutation of Wa from patches of villages to a Municipality in Ghana and how the expansion has affected land use/land cover changes. The study was approached by first observing population growth trends over the years and overlaying satellite imageries of 1986, 2001, 2014 and 2016 to determine the extent of expansion and land use changes. Additionally, historical perspectives were explored from indigenes with accumulated knowledge to unpack the factors responsible for the expansion over space and time. The evidence revealed a continuous outward expansion while the built-up area and the population growth rate had increased over 1,130 times and 110% respectively within the period under study. The evidence further laid bare the intricate political, social and economic factors that have contributed to the changing size and morphology of the Municipality. It is argued that the trend of expansion calls for proper land use planning and proper anti-sprawl policies.","author":[{"dropping-particle":"","family":"Osumanu","given":"Issaka Kanton","non-dropping-particle":"","parse-names":false,"suffix":""},{"dropping-particle":"","family":"Akongbangre","given":"Joseph Nyaaba","non-dropping-particle":"","parse-names":false,"suffix":""},{"dropping-particle":"","family":"Tuu","given":"Gordon N.Yelkabo","non-dropping-particle":"","parse-names":false,"suffix":""},{"dropping-particle":"","family":"Owusu-Sekyere","given":"Ebenezer","non-dropping-particle":"","parse-names":false,"suffix":""}],"container-title":"Urban Forum","id":"ITEM-1","issue":"1","issued":{"date-parts":[["2019","3","10"]]},"page":"57-74","publisher":"Urban Forum","title":"From Patches of Villages to a Municipality: Time, Space, and Expansion of Wa, Ghana","type":"article-journal","volume":"30"},"uris":["http://www.mendeley.com/documents/?uuid=186cc78a-8d93-4796-81dc-2924456a73ba"]}],"mendeley":{"formattedCitation":"(Osumanu et al., 2019)","manualFormatting":"(Osumanu et al., 2019","plainTextFormattedCitation":"(Osumanu et al., 2019)","previouslyFormattedCitation":"(Osumanu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(Osumanu et al., 2019</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{"citationItems":[{"id":"ITEM-1","itemData":{"DOI":"10.1016/j.cities.2019.102524","ISSN":"02642751","abstract":"The UN-Habitat III has placed secondary cities at the centre of the new urban agenda, given their roles in global development trajectories in the future. Wa, though a small city, is an important growth pole in North-western Ghana. Wa emerged as a trading town in the colonial era and since independence in 1957 has become a key growth centre in the development of North-western Ghana. However, the confluence of environmental vulnerabilities and pre-existing social inequalities resulting from centuries of colonial and post-colonial neglects, have led to increasing contestations and socio-ecological challenges. We profiled Wa through the lens of Southern urbanism and highlight its socio-economic, ecological and spatial development dynamics as an ordinary city of the Global South. The dynamics reflect a disconnection between capital and labour as well as contested resource flows, and these have implications for a transformative and sustainable urban future. Through this profile, postcolonial urban studies of the Global South must reconsider deepening empirical methods and theories in addressing this unique problem-space. A transformative and sustainable urban future of Wa remains counterproductive if postcolonial urban studies do not engage with unique paradigms of the Global South in understanding and planning cities of the South.","author":[{"dropping-particle":"","family":"Ahmed","given":"Abubakari","non-dropping-particle":"","parse-names":false,"suffix":""},{"dropping-particle":"","family":"Korah","given":"Prosper Issahaku","non-dropping-particle":"","parse-names":false,"suffix":""},{"dropping-particle":"","family":"Dongzagla","given":"Alfred","non-dropping-particle":"","parse-names":false,"suffix":""},{"dropping-particle":"","family":"Nunbogu","given":"Abraham Marshall","non-dropping-particle":"","parse-names":false,"suffix":""},{"dropping-particle":"","family":"Niminga-Beka","given":"Rockson","non-dropping-particle":"","parse-names":false,"suffix":""},{"dropping-particle":"","family":"Kuusaana","given":"Elias Danyi","non-dropping-particle":"","parse-names":false,"suffix":""},{"dropping-particle":"","family":"Abubakari","given":"Zaid","non-dropping-particle":"","parse-names":false,"suffix":""}],"container-title":"Cities","id":"ITEM-1","issued":{"date-parts":[["2020"]]},"page":"1-14","title":"City profile: Wa, Ghana","type":"article-journal","volume":"97"},"uris":["http://www.mendeley.com/documents/?uuid=878113b6-ff10-4d2b-96f6-898f23018793"]}],"mendeley":{"formattedCitation":"(A. Ahmed et al., 2020)","manualFormatting":"Ahmed et al., 2020)","plainTextFormattedCitation":"(A. Ahmed et al., 2020)","previouslyFormattedCitation":"(A. Ahmed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Ahmed et al., 2020)</w:t>
      </w:r>
      <w:r w:rsidRPr="00895D0B">
        <w:rPr>
          <w:rFonts w:cs="Times New Roman"/>
          <w:color w:val="000000" w:themeColor="text1"/>
          <w:szCs w:val="24"/>
        </w:rPr>
        <w:fldChar w:fldCharType="end"/>
      </w:r>
      <w:r w:rsidRPr="00895D0B">
        <w:rPr>
          <w:rFonts w:cs="Times New Roman"/>
          <w:color w:val="000000" w:themeColor="text1"/>
          <w:szCs w:val="24"/>
        </w:rPr>
        <w:t>, land use land cover change and consequential implications, impact of urban growth on peri-urban agricultural activities and livelihood dynamics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43545-021-00136-3","ISBN":"4354502100","ISSN":"2662-9283","author":[{"dropping-particle":"","family":"Toku","given":"A.","non-dropping-particle":"","parse-names":false,"suffix":""},{"dropping-particle":"","family":"Osumanu","given":"I. K.","non-dropping-particle":"","parse-names":false,"suffix":""},{"dropping-particle":"","family":"Owusu-Sekyere","given":"E.","non-dropping-particle":"","parse-names":false,"suffix":""},{"dropping-particle":"","family":"Amoah","given":"S. T.","non-dropping-particle":"","parse-names":false,"suffix":""}],"container-title":"SN Social Sciences","id":"ITEM-1","issue":"7","issued":{"date-parts":[["2021"]]},"page":"1-23","publisher":"Springer International Publishing","title":"Conflicting urban land uses at the fringes: issues and experiences of peri-urban farmers in an urbanizing city in Ghana","type":"article-journal","volume":"1"},"uris":["http://www.mendeley.com/documents/?uuid=b3efef8f-a0f1-44a0-975b-e5060b89347d"]}],"mendeley":{"formattedCitation":"(Toku et al., 2021)","manualFormatting":"Toku et al., 2021","plainTextFormattedCitation":"(Toku et al., 2021)","previouslyFormattedCitation":"(Toku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Toku et al., 2021</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{"citationItems":[{"id":"ITEM-1","itemData":{"DOI":"10.1080/09640568.2020.1852916","ISSN":"13600559","abstract":"This paper provides a meta-synthesis review of land conflict management measures in peri-urban areas and categorizes them into: (a) containment measures; (b) controller measures; (c) moderator measures and (d) intensifier measures. This paper argues that, despite these measures, the peri-urban areas are still plagued by complex land conflicts from different aspects. Such a process requires effective management measures to deal with these conflicts which are at the heart of strategic measures. These measures emphasize the productive potential of development, institutional governance, cooperative approaches, and the self-sufficiency of peri-urban areas, and outline the future outlook for peri-urban areas in the form of productive, democratic, self-sufficient and accountable areas. Certainly, such a view can improve the performance and ability of peri-urban areas and create desirable socio-economic development and environmental quality, by modifying land conflict-generating forces.","author":[{"dropping-particle":"","family":"Ahani","given":"Somayeh","non-dropping-particle":"","parse-names":false,"suffix":""},{"dropping-particle":"","family":"Dadashpoor","given":"Hashem","non-dropping-particle":"","parse-names":false,"suffix":""}],"container-title":"Journal of Environmental Planning and Management","id":"ITEM-1","issue":"11","issued":{"date-parts":[["2021"]]},"page":"1909-1939","publisher":"Routledge","title":"Land conflict management measures in peri-urban areas: a meta-synthesis review","type":"article-journal","volume":"64"},"uris":["http://www.mendeley.com/documents/?uuid=8f62996f-9e2c-4ef4-b280-12979c8e8840"]}],"mendeley":{"formattedCitation":"(Ahani &amp; Dadashpoor, 2021)","manualFormatting":"Ahani &amp; Dadashpoor, 2021","plainTextFormattedCitation":"(Ahani &amp; Dadashpoor, 2021)","previouslyFormattedCitation":"(Ahani &amp; Dadashpoor,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Ahani &amp; Dadashpoor, 2021</w:t>
      </w:r>
      <w:r w:rsidRPr="00895D0B">
        <w:rPr>
          <w:rFonts w:cs="Times New Roman"/>
          <w:color w:val="000000" w:themeColor="text1"/>
          <w:szCs w:val="24"/>
        </w:rPr>
        <w:fldChar w:fldCharType="end"/>
      </w:r>
      <w:r w:rsidRPr="00895D0B">
        <w:rPr>
          <w:rFonts w:cs="Times New Roman"/>
          <w:color w:val="000000" w:themeColor="text1"/>
          <w:szCs w:val="24"/>
        </w:rPr>
        <w:t xml:space="preserve">), urbanization and urban livelihood transformation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{"citationItems":[{"id":"ITEM-1","itemData":{"DOI":"10.1080/19376812.2021.1919532","ISSN":"1937-6812","abstract":"This study draws on the patch-mosaic model and uses geospatial and statistical methods to assess vegetation fragmentation specifically from built-up area expansion between 1990 and 2018 in the Wa Municipality of Ghana. The study finds that 0.19% and 0.33% annual expansion in the built-up area from 1990-2006 and 2006-2018 contributed to annual vegetation patch size variability (coefficient of variation in the patch size) of 1.82% and 120.97% from 1990-2006 and 2006-2018, respectively. Our results suggest that a higher rate of increase in built-up area would likely create larger quantities of intermixed vegetation and built-up patches.","author":[{"dropping-particle":"","family":"Oduro-Appiah","given":"J.","non-dropping-particle":"","parse-names":false,"suffix":""},{"dropping-particle":"","family":"Kpienbaareh","given":"D.","non-dropping-particle":"","parse-names":false,"suffix":""},{"dropping-particle":"","family":"Adomako","given":"J. A. A.","non-dropping-particle":"","parse-names":false,"suffix":""}],"container-title":"African Geographical Review","id":"ITEM-1","issue":"3","issued":{"date-parts":[["2022","7","3"]]},"page":"364-384","publisher":"Routledge","title":"Built-up area expansion in the Wa Municipality of Ghana: implications for vegetation cover loss and fragmentation","type":"article-journal","volume":"41"},"uris":["http://www.mendeley.com/documents/?uuid=253bf63e-d97b-4244-94d5-fc08ae8b415d"]},{"id":"ITEM-2","itemData":{"DOI":"10.1016/j.landusepol.2018.05.039","ISSN":"02648377","abstract":"This paper examines how indigenous peri-urban households in Wa, one of the fastest growing towns in Ghana are adapting to the effects of physical transformation of their environment. By analysing Landsat satellite images and using social research methods, the paper discusses the nature and extent of urban growth, its impact on peri-urban livelihoods, and the coping strategies of peri-urban households. Findings show that urban land in Wa increased by 5.73 times—from 5.75 km2 in 1986 to 32.93 km2 in 2016 with an annual growth rate of 5.9%. This growth led to the conversion of agricultural lands into residential and other uses. As a result, many indigenous peri-urban households are abandoning agriculture in search for urban-based employment as a safety net. The study recommends partnership between local government and landowners to identify and protect high potential agricultural lands in Wa; modernisation of the land governance and management processes in view of the loss of cultural and spiritual values associated with land; prioritisation of physical and spatial planning at the district level; and equipping indigenous peri-urban households with skills to assist them create sustainable livelihoods to compensate for the loss of their agriculture lands.","author":[{"dropping-particle":"","family":"Korah","given":"Prosper Issahaku","non-dropping-particle":"","parse-names":false,"suffix":""},{"dropping-particle":"","family":"Nunbogu","given":"Abraham Marshall","non-dropping-particle":"","parse-names":false,"suffix":""},{"dropping-particle":"","family":"Akanbang","given":"Bernard Afiik Akanpabadai","non-dropping-particle":"","parse-names":false,"suffix":""}],"container-title":"Land Use Policy","id":"ITEM-2","issue":"May","issued":{"date-parts":[["2018"]]},"page":"174-185","title":"Spatio-temporal dynamics and livelihoods transformation in Wa, Ghana","type":"article-journal","volume":"77"},"uris":["http://www.mendeley.com/documents/?uuid=2154669c-6260-45a7-acec-9d963cf732b1"]}],"mendeley":{"formattedCitation":"(Korah et al., 2018; Oduro-Appiah et al., 2022)","manualFormatting":"(Korah et al., 2018; ","plainTextFormattedCitation":"(Korah et al., 2018; Oduro-Appiah et al., 2022)","previouslyFormattedCitation":"(Korah et al., 2018; Oduro-Appiah et al.,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 xml:space="preserve">(Korah et al., 2018; </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{"citationItems":[{"id":"ITEM-1","itemData":{"DOI":"10.1007/s43545-020-00017-1","ISBN":"0123456789","ISSN":"2662-9283","abstract":"… taking a rapid and major toll on livelihoods through the annexing of agricultural lands for … to peri-urban dwellers in the Wa Municipality who depend on agriculture for their … The questionnaires are analyzed descriptively using the Statistical Package for Social Sciences version 22 …","author":[{"dropping-particle":"","family":"Bonye","given":"S. Z.","non-dropping-particle":"","parse-names":false,"suffix":""},{"dropping-particle":"","family":"Aasoglenang","given":"T. A.","non-dropping-particle":"","parse-names":false,"suffix":""},{"dropping-particle":"","family":"Yiridomoh","given":"G. Y.","non-dropping-particle":"","parse-names":false,"suffix":""}],"container-title":"SN Social Sciences","id":"ITEM-1","issue":"1","issued":{"date-parts":[["2021"]]},"page":"1-23","publisher":"Springer International Publishing","title":"Urbanization, agricultural land use change and livelihood adaptation strategies in peri-urban Wa, Ghana","type":"article-journal","volume":"1"},"uris":["http://www.mendeley.com/documents/?uuid=07720b37-be66-487a-93b9-9a9bf055b034"]}],"mendeley":{"formattedCitation":"(Bonye et al., 2021)","manualFormatting":"Bonye et al., 2021)","plainTextFormattedCitation":"(Bonye et al., 2021)","previouslyFormattedCitation":"(Bonye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Bonye et al., 2021)</w:t>
      </w:r>
      <w:r w:rsidRPr="00895D0B">
        <w:rPr>
          <w:rFonts w:cs="Times New Roman"/>
          <w:color w:val="000000" w:themeColor="text1"/>
          <w:szCs w:val="24"/>
        </w:rPr>
        <w:fldChar w:fldCharType="end"/>
      </w:r>
      <w:r w:rsidR="00962550" w:rsidRPr="00895D0B">
        <w:rPr>
          <w:rFonts w:cs="Times New Roman"/>
          <w:color w:val="000000" w:themeColor="text1"/>
          <w:szCs w:val="24"/>
        </w:rPr>
        <w:t xml:space="preserve"> </w:t>
      </w:r>
      <w:r w:rsidRPr="00895D0B">
        <w:rPr>
          <w:rFonts w:cs="Times New Roman"/>
          <w:color w:val="000000" w:themeColor="text1"/>
          <w:szCs w:val="24"/>
        </w:rPr>
        <w:t xml:space="preserve">and the impact of urban growth on terreterial ecosystems degradation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{"citationItems":[{"id":"ITEM-1","itemData":{"DOI":"10.1080/19376812.2021.1919532","ISSN":"1937-6812","abstract":"This study draws on the patch-mosaic model and uses geospatial and statistical methods to assess vegetation fragmentation specifically from built-up area expansion between 1990 and 2018 in the Wa Municipality of Ghana. The study finds that 0.19% and 0.33% annual expansion in the built-up area from 1990-2006 and 2006-2018 contributed to annual vegetation patch size variability (coefficient of variation in the patch size) of 1.82% and 120.97% from 1990-2006 and 2006-2018, respectively. Our results suggest that a higher rate of increase in built-up area would likely create larger quantities of intermixed vegetation and built-up patches.","author":[{"dropping-particle":"","family":"Oduro-Appiah","given":"J.","non-dropping-particle":"","parse-names":false,"suffix":""},{"dropping-particle":"","family":"Kpienbaareh","given":"D.","non-dropping-particle":"","parse-names":false,"suffix":""},{"dropping-particle":"","family":"Adomako","given":"J. A. A.","non-dropping-particle":"","parse-names":false,"suffix":""}],"container-title":"African Geographical Review","id":"ITEM-1","issue":"3","issued":{"date-parts":[["2022","7","3"]]},"page":"364-384","publisher":"Routledge","title":"Built-up area expansion in the Wa Municipality of Ghana: implications for vegetation cover loss and fragmentation","type":"article-journal","volume":"41"},"uris":["http://www.mendeley.com/documents/?uuid=253bf63e-d97b-4244-94d5-fc08ae8b415d"]}],"mendeley":{"formattedCitation":"(Oduro-Appiah et al., 2022)","plainTextFormattedCitation":"(Oduro-Appiah et al., 2022)","previouslyFormattedCitation":"(Oduro-Appiah et al.,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(Oduro-Appiah et al., 2022)</w:t>
      </w:r>
      <w:r w:rsidRPr="00895D0B">
        <w:rPr>
          <w:rFonts w:cs="Times New Roman"/>
          <w:color w:val="000000" w:themeColor="text1"/>
          <w:szCs w:val="24"/>
        </w:rPr>
        <w:fldChar w:fldCharType="end"/>
      </w:r>
      <w:r w:rsidRPr="00895D0B">
        <w:rPr>
          <w:rFonts w:cs="Times New Roman"/>
          <w:color w:val="000000" w:themeColor="text1"/>
          <w:szCs w:val="24"/>
        </w:rPr>
        <w:t xml:space="preserve">. However, the broader subject matter of climate change impact on urban agricultural activities and urban </w:t>
      </w:r>
      <w:r w:rsidR="007378E8" w:rsidRPr="00895D0B">
        <w:rPr>
          <w:rFonts w:cs="Times New Roman"/>
          <w:color w:val="000000" w:themeColor="text1"/>
          <w:szCs w:val="24"/>
        </w:rPr>
        <w:t>farmers’</w:t>
      </w:r>
      <w:r w:rsidRPr="00895D0B">
        <w:rPr>
          <w:rFonts w:cs="Times New Roman"/>
          <w:color w:val="000000" w:themeColor="text1"/>
          <w:szCs w:val="24"/>
        </w:rPr>
        <w:t xml:space="preserve"> adaptation strategies </w:t>
      </w:r>
      <w:r w:rsidR="00962550" w:rsidRPr="00895D0B">
        <w:rPr>
          <w:rFonts w:cs="Times New Roman"/>
          <w:color w:val="000000" w:themeColor="text1"/>
          <w:szCs w:val="24"/>
        </w:rPr>
        <w:t>are</w:t>
      </w:r>
      <w:r w:rsidRPr="00895D0B">
        <w:rPr>
          <w:rFonts w:cs="Times New Roman"/>
          <w:color w:val="000000" w:themeColor="text1"/>
          <w:szCs w:val="24"/>
        </w:rPr>
        <w:t xml:space="preserve"> under</w:t>
      </w:r>
      <w:r w:rsidR="00962550" w:rsidRPr="00895D0B">
        <w:rPr>
          <w:rFonts w:cs="Times New Roman"/>
          <w:color w:val="000000" w:themeColor="text1"/>
          <w:szCs w:val="24"/>
        </w:rPr>
        <w:t>-</w:t>
      </w:r>
      <w:r w:rsidRPr="00895D0B">
        <w:rPr>
          <w:rFonts w:cs="Times New Roman"/>
          <w:color w:val="000000" w:themeColor="text1"/>
          <w:szCs w:val="24"/>
        </w:rPr>
        <w:t xml:space="preserve">research. In addition, scientific studies on the characteristics and spatial distribution patterns of urban agricultural </w:t>
      </w:r>
      <w:r w:rsidR="007378E8" w:rsidRPr="00895D0B">
        <w:rPr>
          <w:rFonts w:cs="Times New Roman"/>
          <w:color w:val="000000" w:themeColor="text1"/>
          <w:szCs w:val="24"/>
        </w:rPr>
        <w:t>activities</w:t>
      </w:r>
      <w:r w:rsidRPr="00895D0B">
        <w:rPr>
          <w:rFonts w:cs="Times New Roman"/>
          <w:color w:val="000000" w:themeColor="text1"/>
          <w:szCs w:val="24"/>
        </w:rPr>
        <w:t xml:space="preserve"> are limited. Also, little is known in the steadily growing scientific literature about the socio-economic determinants of urban dwellers’ participation in urban </w:t>
      </w:r>
      <w:r w:rsidR="007378E8" w:rsidRPr="00895D0B">
        <w:rPr>
          <w:rFonts w:cs="Times New Roman"/>
          <w:color w:val="000000" w:themeColor="text1"/>
          <w:szCs w:val="24"/>
        </w:rPr>
        <w:t>agricultural</w:t>
      </w:r>
      <w:r w:rsidRPr="00895D0B">
        <w:rPr>
          <w:rFonts w:cs="Times New Roman"/>
          <w:color w:val="000000" w:themeColor="text1"/>
          <w:szCs w:val="24"/>
        </w:rPr>
        <w:t xml:space="preserve"> activities. This study therefore seeks to bridge the knowledge gap by </w:t>
      </w:r>
      <w:r w:rsidR="007378E8" w:rsidRPr="00895D0B">
        <w:rPr>
          <w:rFonts w:cs="Times New Roman"/>
          <w:color w:val="000000" w:themeColor="text1"/>
          <w:szCs w:val="24"/>
        </w:rPr>
        <w:t>investigating</w:t>
      </w:r>
      <w:r w:rsidRPr="00895D0B">
        <w:rPr>
          <w:rFonts w:cs="Times New Roman"/>
          <w:color w:val="000000" w:themeColor="text1"/>
          <w:szCs w:val="24"/>
        </w:rPr>
        <w:t xml:space="preserve"> the urban agricultural practices and how urban farmers are adapting to climate change and variability stressors in the Wa Municipality. This study </w:t>
      </w:r>
      <w:r w:rsidR="007378E8" w:rsidRPr="00895D0B">
        <w:rPr>
          <w:rFonts w:cs="Times New Roman"/>
          <w:color w:val="000000" w:themeColor="text1"/>
          <w:szCs w:val="24"/>
        </w:rPr>
        <w:t xml:space="preserve">also </w:t>
      </w:r>
      <w:r w:rsidRPr="00895D0B">
        <w:rPr>
          <w:rFonts w:cs="Times New Roman"/>
          <w:color w:val="000000" w:themeColor="text1"/>
          <w:szCs w:val="24"/>
        </w:rPr>
        <w:t>assesses</w:t>
      </w:r>
      <w:r w:rsidRPr="00895D0B">
        <w:rPr>
          <w:rFonts w:cs="Times New Roman"/>
          <w:color w:val="000000" w:themeColor="text1"/>
          <w:szCs w:val="24"/>
          <w:lang w:val="en-US"/>
        </w:rPr>
        <w:t xml:space="preserve"> the dynamics of urban agricultural activities, the challenges, and implications for food supply in urban Wa. It placed emphasis </w:t>
      </w:r>
      <w:r w:rsidRPr="00895D0B">
        <w:rPr>
          <w:rFonts w:cs="Times New Roman"/>
          <w:color w:val="000000" w:themeColor="text1"/>
          <w:szCs w:val="24"/>
        </w:rPr>
        <w:t xml:space="preserve">on how crop and animal producers in the city of Wa, the regional capital of the Upper West Region are practicing urban farming and their strategies of adaption to climate change and variability. </w:t>
      </w:r>
    </w:p>
    <w:p w14:paraId="6BCD59C2" w14:textId="77777777" w:rsidR="001B4ED5" w:rsidRPr="00895D0B" w:rsidRDefault="001B4ED5" w:rsidP="006B52B6">
      <w:pPr>
        <w:pStyle w:val="NoSpacing"/>
      </w:pPr>
    </w:p>
    <w:p w14:paraId="3FF96954" w14:textId="77777777" w:rsidR="001B4ED5" w:rsidRPr="00895D0B" w:rsidRDefault="006B41C0">
      <w:pPr>
        <w:pStyle w:val="Heading2"/>
      </w:pPr>
      <w:bookmarkStart w:id="13" w:name="_Toc167379849"/>
      <w:r w:rsidRPr="00895D0B">
        <w:t>1.3 Research Questions</w:t>
      </w:r>
      <w:bookmarkEnd w:id="13"/>
    </w:p>
    <w:p w14:paraId="5E4A8D1C" w14:textId="77777777" w:rsidR="001B4ED5" w:rsidRPr="00895D0B" w:rsidRDefault="006B41C0" w:rsidP="009864E3">
      <w:pPr>
        <w:pStyle w:val="Heading3"/>
      </w:pPr>
      <w:bookmarkStart w:id="14" w:name="_Toc167379850"/>
      <w:r w:rsidRPr="00895D0B">
        <w:t>1.3.1 Main research question</w:t>
      </w:r>
      <w:bookmarkEnd w:id="14"/>
    </w:p>
    <w:p w14:paraId="6D1463F4" w14:textId="1557F46A" w:rsidR="001B4ED5" w:rsidRPr="00895D0B" w:rsidRDefault="006B41C0" w:rsidP="007378E8">
      <w:pPr>
        <w:spacing w:after="240" w:line="360" w:lineRule="auto"/>
        <w:rPr>
          <w:rFonts w:cs="Times New Roman"/>
          <w:color w:val="000000" w:themeColor="text1"/>
          <w:szCs w:val="24"/>
          <w:lang w:val="en-US"/>
        </w:rPr>
      </w:pPr>
      <w:r w:rsidRPr="00895D0B">
        <w:rPr>
          <w:rFonts w:cs="Times New Roman"/>
          <w:color w:val="000000" w:themeColor="text1"/>
          <w:szCs w:val="24"/>
          <w:lang w:val="en-US"/>
        </w:rPr>
        <w:t xml:space="preserve">The main research question is how urban farmers </w:t>
      </w:r>
      <w:r w:rsidR="007378E8" w:rsidRPr="00895D0B">
        <w:rPr>
          <w:rFonts w:cs="Times New Roman"/>
          <w:color w:val="000000" w:themeColor="text1"/>
          <w:szCs w:val="24"/>
          <w:lang w:val="en-US"/>
        </w:rPr>
        <w:t xml:space="preserve">are adapting their </w:t>
      </w:r>
      <w:r w:rsidRPr="00895D0B">
        <w:rPr>
          <w:rFonts w:cs="Times New Roman"/>
          <w:color w:val="000000" w:themeColor="text1"/>
          <w:szCs w:val="24"/>
          <w:lang w:val="en-US"/>
        </w:rPr>
        <w:t xml:space="preserve">agricultural practices to climatic stressors in the Wa Municipality?  </w:t>
      </w:r>
    </w:p>
    <w:p w14:paraId="424B805A" w14:textId="77777777" w:rsidR="001B4ED5" w:rsidRPr="00895D0B" w:rsidRDefault="006B41C0" w:rsidP="009864E3">
      <w:pPr>
        <w:pStyle w:val="Heading3"/>
      </w:pPr>
      <w:bookmarkStart w:id="15" w:name="_Toc167379851"/>
      <w:r w:rsidRPr="00895D0B">
        <w:t>1.3.2 Sub-research questions</w:t>
      </w:r>
      <w:bookmarkEnd w:id="15"/>
    </w:p>
    <w:p w14:paraId="6587C825" w14:textId="77777777" w:rsidR="001B4ED5" w:rsidRPr="00895D0B" w:rsidRDefault="006B41C0">
      <w:pPr>
        <w:pStyle w:val="ListParagraph"/>
        <w:numPr>
          <w:ilvl w:val="0"/>
          <w:numId w:val="1"/>
        </w:numPr>
        <w:spacing w:line="360" w:lineRule="auto"/>
        <w:rPr>
          <w:rFonts w:cs="Times New Roman"/>
          <w:color w:val="000000" w:themeColor="text1"/>
          <w:szCs w:val="24"/>
          <w:lang w:val="en-US"/>
        </w:rPr>
      </w:pPr>
      <w:r w:rsidRPr="00895D0B">
        <w:rPr>
          <w:rFonts w:eastAsia="Times New Roman" w:cs="Times New Roman"/>
          <w:color w:val="000000" w:themeColor="text1"/>
          <w:szCs w:val="24"/>
          <w:lang w:val="en-US"/>
        </w:rPr>
        <w:t>What are the characteristics of urban food crop and livestock production?</w:t>
      </w:r>
    </w:p>
    <w:p w14:paraId="25163046" w14:textId="06E43F49" w:rsidR="001B4ED5" w:rsidRPr="00895D0B" w:rsidRDefault="006B41C0">
      <w:pPr>
        <w:pStyle w:val="ListParagraph"/>
        <w:numPr>
          <w:ilvl w:val="0"/>
          <w:numId w:val="1"/>
        </w:numPr>
        <w:spacing w:line="360" w:lineRule="auto"/>
        <w:rPr>
          <w:rFonts w:cs="Times New Roman"/>
          <w:color w:val="000000" w:themeColor="text1"/>
          <w:szCs w:val="24"/>
          <w:lang w:val="en-US"/>
        </w:rPr>
      </w:pPr>
      <w:r w:rsidRPr="00895D0B">
        <w:rPr>
          <w:rFonts w:eastAsia="Times New Roman" w:cs="Times New Roman"/>
          <w:color w:val="000000" w:themeColor="text1"/>
          <w:szCs w:val="24"/>
          <w:lang w:val="en-US"/>
        </w:rPr>
        <w:t>What are the spatial dimension of urban food crop and livestock production?</w:t>
      </w:r>
    </w:p>
    <w:p w14:paraId="5F46B86E" w14:textId="77777777" w:rsidR="001B4ED5" w:rsidRPr="00895D0B" w:rsidRDefault="006B41C0">
      <w:pPr>
        <w:pStyle w:val="ListParagraph"/>
        <w:numPr>
          <w:ilvl w:val="0"/>
          <w:numId w:val="1"/>
        </w:numPr>
        <w:spacing w:line="360" w:lineRule="auto"/>
        <w:rPr>
          <w:rFonts w:cs="Times New Roman"/>
          <w:color w:val="000000" w:themeColor="text1"/>
          <w:szCs w:val="24"/>
          <w:lang w:val="en-US"/>
        </w:rPr>
      </w:pPr>
      <w:r w:rsidRPr="00895D0B">
        <w:rPr>
          <w:rFonts w:cs="Times New Roman"/>
          <w:color w:val="000000" w:themeColor="text1"/>
          <w:szCs w:val="24"/>
          <w:lang w:val="en-US"/>
        </w:rPr>
        <w:lastRenderedPageBreak/>
        <w:t>How do socio-economic factors influence urban dwellers' participation in urban agriculture?</w:t>
      </w:r>
    </w:p>
    <w:p w14:paraId="371E4D58" w14:textId="77777777" w:rsidR="001B4ED5" w:rsidRPr="00895D0B" w:rsidRDefault="006B41C0">
      <w:pPr>
        <w:pStyle w:val="ListParagraph"/>
        <w:numPr>
          <w:ilvl w:val="0"/>
          <w:numId w:val="1"/>
        </w:numPr>
        <w:spacing w:line="360" w:lineRule="auto"/>
        <w:rPr>
          <w:rFonts w:cs="Times New Roman"/>
          <w:color w:val="000000" w:themeColor="text1"/>
          <w:szCs w:val="24"/>
          <w:lang w:val="en-US"/>
        </w:rPr>
      </w:pPr>
      <w:r w:rsidRPr="00895D0B">
        <w:rPr>
          <w:rFonts w:cs="Times New Roman"/>
          <w:color w:val="000000" w:themeColor="text1"/>
          <w:szCs w:val="24"/>
          <w:lang w:val="en-US"/>
        </w:rPr>
        <w:t>How do urban farmers adapt to climate change/variability stressors?</w:t>
      </w:r>
    </w:p>
    <w:p w14:paraId="208A0CB3" w14:textId="77777777" w:rsidR="001B4ED5" w:rsidRPr="00895D0B" w:rsidRDefault="001B4ED5" w:rsidP="006B52B6">
      <w:pPr>
        <w:pStyle w:val="NoSpacing"/>
        <w:rPr>
          <w:lang w:val="en-US"/>
        </w:rPr>
      </w:pPr>
    </w:p>
    <w:p w14:paraId="6B15FFCC" w14:textId="77777777" w:rsidR="001B4ED5" w:rsidRPr="00895D0B" w:rsidRDefault="006B41C0">
      <w:pPr>
        <w:pStyle w:val="Heading2"/>
      </w:pPr>
      <w:bookmarkStart w:id="16" w:name="_Toc167379852"/>
      <w:r w:rsidRPr="00895D0B">
        <w:t>1.4 Research Objectives</w:t>
      </w:r>
      <w:bookmarkEnd w:id="16"/>
    </w:p>
    <w:p w14:paraId="46032DF8" w14:textId="77777777" w:rsidR="001B4ED5" w:rsidRPr="00895D0B" w:rsidRDefault="006B41C0" w:rsidP="009864E3">
      <w:pPr>
        <w:pStyle w:val="Heading3"/>
      </w:pPr>
      <w:bookmarkStart w:id="17" w:name="_Toc167379853"/>
      <w:r w:rsidRPr="00895D0B">
        <w:t>1.4.1 Main research objective</w:t>
      </w:r>
      <w:bookmarkEnd w:id="17"/>
    </w:p>
    <w:p w14:paraId="03075C7D" w14:textId="3A60D35E" w:rsidR="001B4ED5" w:rsidRPr="00895D0B" w:rsidRDefault="006B41C0">
      <w:pPr>
        <w:spacing w:after="240" w:line="360" w:lineRule="auto"/>
        <w:rPr>
          <w:rFonts w:cs="Times New Roman"/>
          <w:color w:val="000000" w:themeColor="text1"/>
          <w:szCs w:val="24"/>
          <w:lang w:val="en-US"/>
        </w:rPr>
      </w:pPr>
      <w:r w:rsidRPr="00895D0B">
        <w:rPr>
          <w:rFonts w:cs="Times New Roman"/>
          <w:color w:val="000000" w:themeColor="text1"/>
          <w:szCs w:val="24"/>
          <w:lang w:val="en-US"/>
        </w:rPr>
        <w:t xml:space="preserve">The main objective is to assess urban agricultural practices and </w:t>
      </w:r>
      <w:r w:rsidR="0080114D" w:rsidRPr="00895D0B">
        <w:rPr>
          <w:rFonts w:cs="Times New Roman"/>
          <w:color w:val="000000" w:themeColor="text1"/>
          <w:szCs w:val="24"/>
          <w:lang w:val="en-US"/>
        </w:rPr>
        <w:t>farmers’</w:t>
      </w:r>
      <w:r w:rsidRPr="00895D0B">
        <w:rPr>
          <w:rFonts w:cs="Times New Roman"/>
          <w:color w:val="000000" w:themeColor="text1"/>
          <w:szCs w:val="24"/>
          <w:lang w:val="en-US"/>
        </w:rPr>
        <w:t xml:space="preserve"> adaption to climatic stressors in the Wa Municipality</w:t>
      </w:r>
    </w:p>
    <w:p w14:paraId="4C73CF46" w14:textId="77777777" w:rsidR="001B4ED5" w:rsidRPr="00895D0B" w:rsidRDefault="006B41C0" w:rsidP="009864E3">
      <w:pPr>
        <w:pStyle w:val="Heading3"/>
      </w:pPr>
      <w:bookmarkStart w:id="18" w:name="_Toc167379854"/>
      <w:r w:rsidRPr="00895D0B">
        <w:t>1.4.2 Specific objectives</w:t>
      </w:r>
      <w:bookmarkEnd w:id="18"/>
    </w:p>
    <w:p w14:paraId="11E37C30" w14:textId="77777777" w:rsidR="001B4ED5" w:rsidRPr="00895D0B" w:rsidRDefault="006B41C0">
      <w:pPr>
        <w:pStyle w:val="ListParagraph"/>
        <w:numPr>
          <w:ilvl w:val="0"/>
          <w:numId w:val="2"/>
        </w:numPr>
        <w:spacing w:line="360" w:lineRule="auto"/>
        <w:rPr>
          <w:rFonts w:cs="Times New Roman"/>
          <w:color w:val="000000" w:themeColor="text1"/>
          <w:szCs w:val="24"/>
          <w:lang w:val="en-US"/>
        </w:rPr>
      </w:pPr>
      <w:r w:rsidRPr="00895D0B">
        <w:rPr>
          <w:rFonts w:eastAsia="Times New Roman" w:cs="Times New Roman"/>
          <w:color w:val="000000" w:themeColor="text1"/>
          <w:szCs w:val="24"/>
          <w:lang w:val="en-US"/>
        </w:rPr>
        <w:t>To identify the characteristics of urban food crop and livestock production</w:t>
      </w:r>
    </w:p>
    <w:p w14:paraId="5F1FFA0E" w14:textId="77777777" w:rsidR="001B4ED5" w:rsidRPr="00895D0B" w:rsidRDefault="006B41C0">
      <w:pPr>
        <w:pStyle w:val="ListParagraph"/>
        <w:numPr>
          <w:ilvl w:val="0"/>
          <w:numId w:val="2"/>
        </w:numPr>
        <w:spacing w:line="360" w:lineRule="auto"/>
        <w:rPr>
          <w:rFonts w:cs="Times New Roman"/>
          <w:color w:val="000000" w:themeColor="text1"/>
          <w:szCs w:val="24"/>
          <w:lang w:val="en-US"/>
        </w:rPr>
      </w:pPr>
      <w:r w:rsidRPr="00895D0B">
        <w:rPr>
          <w:rFonts w:eastAsia="Times New Roman" w:cs="Times New Roman"/>
          <w:color w:val="000000" w:themeColor="text1"/>
          <w:szCs w:val="24"/>
          <w:lang w:val="en-US"/>
        </w:rPr>
        <w:t xml:space="preserve">To analyze the spatial distributions and patterns of urban food crop and livestock production </w:t>
      </w:r>
    </w:p>
    <w:p w14:paraId="68C8C2E6" w14:textId="77777777" w:rsidR="001B4ED5" w:rsidRPr="00895D0B" w:rsidRDefault="006B41C0">
      <w:pPr>
        <w:pStyle w:val="ListParagraph"/>
        <w:numPr>
          <w:ilvl w:val="0"/>
          <w:numId w:val="2"/>
        </w:numPr>
        <w:spacing w:line="360" w:lineRule="auto"/>
        <w:rPr>
          <w:rFonts w:cs="Times New Roman"/>
          <w:color w:val="000000" w:themeColor="text1"/>
          <w:szCs w:val="24"/>
          <w:lang w:val="en-US"/>
        </w:rPr>
      </w:pPr>
      <w:r w:rsidRPr="00895D0B">
        <w:rPr>
          <w:rFonts w:cs="Times New Roman"/>
          <w:color w:val="000000" w:themeColor="text1"/>
          <w:szCs w:val="24"/>
          <w:lang w:val="en-US"/>
        </w:rPr>
        <w:t>To determine the socio-economic factors that influence urban dwellers' participation in urban agriculture.</w:t>
      </w:r>
    </w:p>
    <w:p w14:paraId="78E9ED42" w14:textId="77777777" w:rsidR="001B4ED5" w:rsidRPr="00895D0B" w:rsidRDefault="006B41C0">
      <w:pPr>
        <w:pStyle w:val="ListParagraph"/>
        <w:numPr>
          <w:ilvl w:val="0"/>
          <w:numId w:val="2"/>
        </w:numPr>
        <w:spacing w:line="360" w:lineRule="auto"/>
        <w:rPr>
          <w:rFonts w:cs="Times New Roman"/>
          <w:color w:val="000000" w:themeColor="text1"/>
          <w:szCs w:val="24"/>
          <w:lang w:val="en-US"/>
        </w:rPr>
      </w:pPr>
      <w:r w:rsidRPr="00895D0B">
        <w:rPr>
          <w:rFonts w:cs="Times New Roman"/>
          <w:color w:val="000000" w:themeColor="text1"/>
          <w:szCs w:val="24"/>
          <w:lang w:val="en-US"/>
        </w:rPr>
        <w:t>To explore the climate change adaptation strategies of urban farmers.</w:t>
      </w:r>
    </w:p>
    <w:p w14:paraId="413FF8E9" w14:textId="77777777" w:rsidR="001B4ED5" w:rsidRPr="00895D0B" w:rsidRDefault="001B4ED5" w:rsidP="006B52B6">
      <w:pPr>
        <w:pStyle w:val="NoSpacing"/>
        <w:rPr>
          <w:lang w:val="en-US"/>
        </w:rPr>
      </w:pPr>
    </w:p>
    <w:p w14:paraId="4E3CC6E7" w14:textId="77777777" w:rsidR="001B4ED5" w:rsidRPr="00895D0B" w:rsidRDefault="006B41C0">
      <w:pPr>
        <w:pStyle w:val="Heading2"/>
      </w:pPr>
      <w:bookmarkStart w:id="19" w:name="_Toc167379855"/>
      <w:r w:rsidRPr="00895D0B">
        <w:t>1.5 Scope of the Study</w:t>
      </w:r>
      <w:bookmarkEnd w:id="19"/>
      <w:r w:rsidRPr="00895D0B">
        <w:t xml:space="preserve"> </w:t>
      </w:r>
    </w:p>
    <w:p w14:paraId="0CA777F8" w14:textId="0F38F46E" w:rsidR="001B4ED5" w:rsidRPr="00895D0B" w:rsidRDefault="006B41C0">
      <w:pPr>
        <w:spacing w:line="360" w:lineRule="auto"/>
        <w:rPr>
          <w:rFonts w:cs="Times New Roman"/>
          <w:color w:val="000000" w:themeColor="text1"/>
          <w:szCs w:val="24"/>
          <w:lang w:val="en-US"/>
        </w:rPr>
      </w:pPr>
      <w:r w:rsidRPr="00895D0B">
        <w:rPr>
          <w:rFonts w:cs="Times New Roman"/>
          <w:bCs/>
          <w:color w:val="000000" w:themeColor="text1"/>
          <w:szCs w:val="24"/>
          <w:lang w:val="en-US"/>
        </w:rPr>
        <w:t>Geographic</w:t>
      </w:r>
      <w:r w:rsidRPr="00895D0B">
        <w:rPr>
          <w:rFonts w:cs="Times New Roman"/>
          <w:color w:val="000000" w:themeColor="text1"/>
          <w:szCs w:val="24"/>
          <w:lang w:val="en-US"/>
        </w:rPr>
        <w:t>ally, the study took place in Wa, the capital of the Upper West Region of Ghana. The study area, Wa is found in the North-western part of the country and is located in the Wa Municipality of the Upper West Region. The study emphasized smallholder farmers’ production activities within the urban setting. The activities include crop and animal production. Specifically, the study focuses on the characteristics of urban agriculture, the spatial patterns of urban agricultural production, the socio-economic drivers of participating in urban agricultural activities and urban farmers’ climate change adaptation strategies. The study spanned January 2021 to December 2023.</w:t>
      </w:r>
    </w:p>
    <w:p w14:paraId="0FB215BA" w14:textId="77777777" w:rsidR="001B4ED5" w:rsidRPr="00895D0B" w:rsidRDefault="001B4ED5" w:rsidP="006B52B6">
      <w:pPr>
        <w:pStyle w:val="NoSpacing"/>
        <w:rPr>
          <w:lang w:val="en-US"/>
        </w:rPr>
      </w:pPr>
    </w:p>
    <w:p w14:paraId="3DF82FA0" w14:textId="77777777" w:rsidR="001B4ED5" w:rsidRPr="00895D0B" w:rsidRDefault="006B41C0">
      <w:pPr>
        <w:pStyle w:val="Heading2"/>
      </w:pPr>
      <w:bookmarkStart w:id="20" w:name="_Toc167379856"/>
      <w:r w:rsidRPr="00895D0B">
        <w:t>1.6 Significance of the Study</w:t>
      </w:r>
      <w:bookmarkEnd w:id="20"/>
    </w:p>
    <w:p w14:paraId="05331098" w14:textId="7D906F62" w:rsidR="00A678F2" w:rsidRPr="00895D0B" w:rsidRDefault="006B41C0">
      <w:pPr>
        <w:spacing w:line="360" w:lineRule="auto"/>
        <w:rPr>
          <w:rFonts w:cs="Times New Roman"/>
          <w:color w:val="000000" w:themeColor="text1"/>
          <w:szCs w:val="24"/>
          <w:lang w:val="en-US"/>
        </w:rPr>
      </w:pPr>
      <w:r w:rsidRPr="00895D0B">
        <w:rPr>
          <w:rFonts w:cs="Times New Roman"/>
          <w:color w:val="000000" w:themeColor="text1"/>
          <w:szCs w:val="24"/>
          <w:lang w:val="en-US"/>
        </w:rPr>
        <w:t xml:space="preserve">The significance of urban agriculture is unmatched. For instance, the findings </w:t>
      </w:r>
      <w:r w:rsidR="0032066F" w:rsidRPr="00895D0B">
        <w:rPr>
          <w:rFonts w:cs="Times New Roman"/>
          <w:color w:val="000000" w:themeColor="text1"/>
          <w:szCs w:val="24"/>
          <w:lang w:val="en-US"/>
        </w:rPr>
        <w:t xml:space="preserve">would </w:t>
      </w:r>
      <w:r w:rsidRPr="00895D0B">
        <w:rPr>
          <w:rFonts w:cs="Times New Roman"/>
          <w:color w:val="000000" w:themeColor="text1"/>
          <w:szCs w:val="24"/>
          <w:lang w:val="en-US"/>
        </w:rPr>
        <w:t>go a long way to enhance the attainment of the Sustainable Development Goals (goal 1 – ending all forms of poverty</w:t>
      </w:r>
      <w:r w:rsidR="00A43080" w:rsidRPr="00895D0B">
        <w:rPr>
          <w:rFonts w:cs="Times New Roman"/>
          <w:color w:val="000000" w:themeColor="text1"/>
          <w:szCs w:val="24"/>
          <w:lang w:val="en-US"/>
        </w:rPr>
        <w:t xml:space="preserve">. For instance, urban agriculture serves as source of urban farmers’ income and livelihood </w:t>
      </w:r>
      <w:r w:rsidR="00A43080" w:rsidRPr="00895D0B">
        <w:rPr>
          <w:rFonts w:cs="Times New Roman"/>
          <w:color w:val="000000" w:themeColor="text1"/>
          <w:szCs w:val="24"/>
          <w:lang w:val="en-US"/>
        </w:rPr>
        <w:fldChar w:fldCharType="begin" w:fldLock="1"/>
      </w:r>
      <w:r w:rsidR="00A43080" w:rsidRPr="00895D0B">
        <w:rPr>
          <w:rFonts w:cs="Times New Roman"/>
          <w:color w:val="000000" w:themeColor="text1"/>
          <w:szCs w:val="24"/>
          <w:lang w:val="en-US"/>
        </w:rPr>
        <w:instrText>ADDIN CSL_CITATION {"citationItems":[{"id":"ITEM-1","itemData":{"DOI":"10.1186/s40100-020-00155-3","ISSN":"21937532","abstract":"The debate about the contribution of urban agriculture to urban household food security has not considered the possible differential effects by geography of production activities, focusing either on urban household’s participation in agriculture irrespective of where the activity takes place, or restricting participation to production within urban and peri-urban areas, or more narrowly, production within build-up urban spaces. Using a sample of 2004 households in a small and a medium-sized city in Ghana, this article contributes by disentangling urban household’s participation in agriculture by geography of production activities and the implications for the food security of urban households. We find no evidence from our sample that participation in agriculture in general matters for the food security of urban households. However, urbanites who produced food in both urban and rural areas had better food security in the medium-sized city.","author":[{"dropping-particle":"","family":"Ayerakwa","given":"H. M.","non-dropping-particle":"","parse-names":false,"suffix":""},{"dropping-particle":"","family":"Dzanku","given":"F. M.","non-dropping-particle":"","parse-names":false,"suffix":""},{"dropping-particle":"","family":"Sarpong","given":"D. B.","non-dropping-particle":"","parse-names":false,"suffix":""}],"container-title":"Agricultural and Food Economics","id":"ITEM-1","issue":"1","issued":{"date-parts":[["2020"]]},"publisher":"Agricultural and Food Economics","title":"The geography of agriculture participation and food security in a small and a medium-sized city in Ghana","type":"article-journal","volume":"8"},"uris":["http://www.mendeley.com/documents/?uuid=1bd56ab1-552d-4297-a7dc-ba948d485f7d"]},{"id":"ITEM-2","itemData":{"author":[{"dropping-particle":"","family":"Alimba","given":"J. O.","non-dropping-particle":"","parse-names":false,"suffix":""},{"dropping-particle":"","family":"Olumba","given":"C. C.","non-dropping-particle":"","parse-names":false,"suffix":""},{"dropping-particle":"","family":"Onunka","given":"C. N.","non-dropping-particle":"","parse-names":false,"suffix":""}],"id":"ITEM-2","issue":"February","issued":{"date-parts":[["2020"]]},"title":"Assessing How Food Production in Urban Areas Contribute To Household Food Security in Southeast Nigeria Assessing How Food Production in Urban Areas Contribute To Household Food Security in Southeast Nigeria","type":"article-journal"},"uris":["http://www.mendeley.com/documents/?uuid=9033b718-e667-45c7-82d1-cbd25ba88927"]}],"mendeley":{"formattedCitation":"(Alimba et al., 2020; Ayerakwa et al., 2020b)","plainTextFormattedCitation":"(Alimba et al., 2020; Ayerakwa et al., 2020b)","previouslyFormattedCitation":"(Alimba et al., 2020; Ayerakwa et al., 2020b)"},"properties":{"noteIndex":0},"schema":"https://github.com/citation-style-language/schema/raw/master/csl-citation.json"}</w:instrText>
      </w:r>
      <w:r w:rsidR="00A43080" w:rsidRPr="00895D0B">
        <w:rPr>
          <w:rFonts w:cs="Times New Roman"/>
          <w:color w:val="000000" w:themeColor="text1"/>
          <w:szCs w:val="24"/>
          <w:lang w:val="en-US"/>
        </w:rPr>
        <w:fldChar w:fldCharType="separate"/>
      </w:r>
      <w:r w:rsidR="00A43080" w:rsidRPr="00895D0B">
        <w:rPr>
          <w:rFonts w:cs="Times New Roman"/>
          <w:noProof/>
          <w:color w:val="000000" w:themeColor="text1"/>
          <w:szCs w:val="24"/>
          <w:lang w:val="en-US"/>
        </w:rPr>
        <w:t>(Alimba et al., 2020; Ayerakwa et al., 2020b)</w:t>
      </w:r>
      <w:r w:rsidR="00A43080" w:rsidRPr="00895D0B">
        <w:rPr>
          <w:rFonts w:cs="Times New Roman"/>
          <w:color w:val="000000" w:themeColor="text1"/>
          <w:szCs w:val="24"/>
          <w:lang w:val="en-US"/>
        </w:rPr>
        <w:fldChar w:fldCharType="end"/>
      </w:r>
      <w:r w:rsidR="00A43080" w:rsidRPr="00895D0B">
        <w:rPr>
          <w:rFonts w:cs="Times New Roman"/>
          <w:color w:val="000000" w:themeColor="text1"/>
          <w:szCs w:val="24"/>
          <w:lang w:val="en-US"/>
        </w:rPr>
        <w:t xml:space="preserve">. Also, </w:t>
      </w:r>
      <w:r w:rsidRPr="00895D0B">
        <w:rPr>
          <w:rFonts w:cs="Times New Roman"/>
          <w:color w:val="000000" w:themeColor="text1"/>
          <w:szCs w:val="24"/>
          <w:lang w:val="en-US"/>
        </w:rPr>
        <w:t>goal 2- zero hunger</w:t>
      </w:r>
      <w:r w:rsidR="00A43080" w:rsidRPr="00895D0B">
        <w:rPr>
          <w:rFonts w:cs="Times New Roman"/>
          <w:color w:val="000000" w:themeColor="text1"/>
          <w:szCs w:val="24"/>
          <w:lang w:val="en-US"/>
        </w:rPr>
        <w:t xml:space="preserve"> can be achieved as urban agriculture ranges from contributing to </w:t>
      </w:r>
      <w:r w:rsidR="00A43080" w:rsidRPr="00895D0B">
        <w:rPr>
          <w:rFonts w:cs="Times New Roman"/>
          <w:color w:val="000000" w:themeColor="text1"/>
          <w:szCs w:val="24"/>
          <w:lang w:val="en-US"/>
        </w:rPr>
        <w:lastRenderedPageBreak/>
        <w:t xml:space="preserve">food security </w:t>
      </w:r>
      <w:r w:rsidR="00A43080" w:rsidRPr="00895D0B">
        <w:rPr>
          <w:rFonts w:cs="Times New Roman"/>
          <w:color w:val="000000" w:themeColor="text1"/>
          <w:szCs w:val="24"/>
          <w:lang w:val="en-US"/>
        </w:rPr>
        <w:fldChar w:fldCharType="begin" w:fldLock="1"/>
      </w:r>
      <w:r w:rsidR="00A43080" w:rsidRPr="00895D0B">
        <w:rPr>
          <w:rFonts w:cs="Times New Roman"/>
          <w:color w:val="000000" w:themeColor="text1"/>
          <w:szCs w:val="24"/>
          <w:lang w:val="en-US"/>
        </w:rPr>
        <w:instrText>ADDIN CSL_CITATION {"citationItems":[{"id":"ITEM-1","itemData":{"DOI":"10.1016/j.geoforum.2015.07.009","ISSN":"00167185","abstract":"Urban agriculture is gaining increasing recognition as a key urban survival strategy in the rapidly growing, but food insecure, cities of the South, and in Africa in particular. The overall significance of the activity has been the subject of considerable academic debate. This paper contributes to this debate through the presentation of the findings from recent field-based research in the Copperbelt province of Zambia, a region where the practice of urban agriculture and the role it plays in urban livelihoods appears to be more significant than in many other urban contexts. The region was characterised by a historical dependence on copper mining and associated industries which experienced a severe economic downturn from the late 1980s. In this context, urban agriculture has become a key livelihood strategy and a means to assure food security. Participation rates in urban agriculture in the region are much higher than in other African urban centres and experiences in the Copperbelt province could inform policy and practice in other areas which are experiencing economic crises.","author":[{"dropping-particle":"","family":"Smart","given":"J.","non-dropping-particle":"","parse-names":false,"suffix":""},{"dropping-particle":"","family":"Nel","given":"E.","non-dropping-particle":"","parse-names":false,"suffix":""},{"dropping-particle":"","family":"Binns","given":"T.","non-dropping-particle":"","parse-names":false,"suffix":""}],"container-title":"Geoforum","id":"ITEM-1","issued":{"date-parts":[["2015"]]},"page":"37-45","publisher":"Elsevier Ltd","title":"Economic crisis and food security in Africa: Exploring the significance of urban agriculture in Zambia's Copperbelt province","type":"article-journal","volume":"65"},"uris":["http://www.mendeley.com/documents/?uuid=45e7ce22-8c9a-45c2-89ef-a098494ebd23"]},{"id":"ITEM-2","itemData":{"DOI":"10.3390/challe10010006","abstract":"Renewed interest in the nexus between sustainability and food security has led to growing discussions on the use of food sovereignty principles in agricultural practice. As a result of the transfiguration of the urban and socioeconomic landscape in the global South, urban and peri-urban agriculture has been touted as a potential response to increasing food insecurity in cities. Yet, both urban and peri-urban agriculture and food sovereignty have attracted cursory scholarship and programming in Zimbabwe due to fixation on more dominant rural and conventional agriculture. Beyond the rudimentary idea that the urban landscape is unfit for food production, literature has demonstrated that urban households have ingrained urban and peri-urban agriculture into their livelihoods. Regardless, institutional arrangements governing the practice remain ambivalent towards the practice, bringing to question the ability of households to fully exploit the benefits of the practice. This review underscores that failure to involve of all stakeholders undermines urban and peri-urban agriculture, consequently leading to heightened food insecurity and use of unsustainable practices. By delving into the political economy of food, we hope to stimulate discussion centered on food sovereignty within and urban spaces and beyond.","author":[{"dropping-particle":"","family":"Chihambakwe","given":"M.","non-dropping-particle":"","parse-names":false,"suffix":""},{"dropping-particle":"","family":"Mafongoya","given":"P.","non-dropping-particle":"","parse-names":false,"suffix":""},{"dropping-particle":"","family":"Jiri","given":"O.","non-dropping-particle":"","parse-names":false,"suffix":""}],"container-title":"Challenges","id":"ITEM-2","issue":"1","issued":{"date-parts":[["2018"]]},"page":"6","title":"Urban and Peri-Urban Agriculture as A Pathway to Food Security: A Review Mapping the Use of Food Sovereignty","type":"article-journal","volume":"10"},"uris":["http://www.mendeley.com/documents/?uuid=d7745eec-d15d-43a8-8fc4-67941ea921c1"]},{"id":"ITEM-3","itemData":{"DOI":"10.1111/1745-5871.12234","ISSN":"17455871","abstract":"Kenya is rapidly urbanising. In the growing cities and towns, there is an increasing need for food supplies, creating demand for agricultural products. High unemployment rates, urban poverty, and food and nutrition insecurity force some urban dwellers to partly adopt livelihood strategies based on urban agriculture. Presently in Kenya, urban and peri-urban agriculture plays an important role in urban food system, because it enhances livelihood strategies for urban households, not least the poor. Using a sample of 2,009 households, this study characterised urban farming and urban-based rural farming in medium-sized towns of Thika and Kisumu, Kenya. It further assessed food security levels of urban households engaged in farming and households that do not farm. Results demonstrate that more than half of the households produced part of their food, either in urban or rural areas. About 37 per cent and 25 per cent of the respondents produced food in rural and urban areas, respectively. Generally, more of the households engaged in both urban farming and urban-based rural agriculture are more food secure compared with the non-farming households. Urban farming has a potential of improving household food security and provision of fungible income; hence, the practice should be included in the urban food policies.","author":[{"dropping-particle":"","family":"Omondi","given":"S. O.","non-dropping-particle":"","parse-names":false,"suffix":""},{"dropping-particle":"","family":"Oluoch-Kosura","given":"W.","non-dropping-particle":"","parse-names":false,"suffix":""},{"dropping-particle":"","family":"Jirström","given":"M.","non-dropping-particle":"","parse-names":false,"suffix":""}],"container-title":"Geographical Research","id":"ITEM-3","issue":"2","issued":{"date-parts":[["2017"]]},"page":"231-241","title":"The role of urban-based agriculture on food security: Kenyan case studies","type":"article-journal","volume":"55"},"uris":["http://www.mendeley.com/documents/?uuid=f50ff584-5868-4d26-ac4e-8c298812c759"]},{"id":"ITEM-4","itemData":{"DOI":"10.1038/s41893-018-0051-y","ISSN":"23989629","abstract":"In sub-Saharan Africa, the food system impacts on a number of urban development issues such as poverty, unemployment and poor health. Informal traders meet the food needs of many poor urban households. However, supermarket chains are changing this, demanding particular policy and planning responses.","author":[{"dropping-particle":"","family":"Battersby","given":"J.","non-dropping-particle":"","parse-names":false,"suffix":""},{"dropping-particle":"","family":"Watson","given":"V.","non-dropping-particle":"","parse-names":false,"suffix":""}],"container-title":"Nature Sustainability","id":"ITEM-4","issue":"4","issued":{"date-parts":[["2018"]]},"page":"153-155","title":"Addressing food security in African cities","type":"article-journal","volume":"1"},"uris":["http://www.mendeley.com/documents/?uuid=43b0ae6e-f3c3-4bb4-8710-23c57df7c4c7"]},{"id":"ITEM-5","itemData":{"author":[{"dropping-particle":"","family":"Alimba","given":"J. O.","non-dropping-particle":"","parse-names":false,"suffix":""},{"dropping-particle":"","family":"Olumba","given":"C. C.","non-dropping-particle":"","parse-names":false,"suffix":""},{"dropping-particle":"","family":"Onunka","given":"C. N.","non-dropping-particle":"","parse-names":false,"suffix":""}],"id":"ITEM-5","issue":"February","issued":{"date-parts":[["2020"]]},"title":"Assessing How Food Production in Urban Areas Contribute To Household Food Security in Southeast Nigeria Assessing How Food Production in Urban Areas Contribute To Household Food Security in Southeast Nigeria","type":"article-journal"},"uris":["http://www.mendeley.com/documents/?uuid=9033b718-e667-45c7-82d1-cbd25ba88927"]}],"mendeley":{"formattedCitation":"(Alimba et al., 2020; Battersby &amp; Watson, 2018; Chihambakwe et al., 2018; Omondi et al., 2017; Smart et al., 2015)","manualFormatting":"(Smart et al., 2015; Omondi et al., 2017; Battersby &amp; Watson, 2018; Chihambakwe et al., 2018; Alimba et al., 2020)","plainTextFormattedCitation":"(Alimba et al., 2020; Battersby &amp; Watson, 2018; Chihambakwe et al., 2018; Omondi et al., 2017; Smart et al., 2015)","previouslyFormattedCitation":"(Alimba et al., 2020; Battersby &amp; Watson, 2018; Chihambakwe et al., 2018; Omondi et al., 2017; Smart et al., 2015)"},"properties":{"noteIndex":0},"schema":"https://github.com/citation-style-language/schema/raw/master/csl-citation.json"}</w:instrText>
      </w:r>
      <w:r w:rsidR="00A43080" w:rsidRPr="00895D0B">
        <w:rPr>
          <w:rFonts w:cs="Times New Roman"/>
          <w:color w:val="000000" w:themeColor="text1"/>
          <w:szCs w:val="24"/>
          <w:lang w:val="en-US"/>
        </w:rPr>
        <w:fldChar w:fldCharType="separate"/>
      </w:r>
      <w:r w:rsidR="00A43080" w:rsidRPr="00895D0B">
        <w:rPr>
          <w:rFonts w:cs="Times New Roman"/>
          <w:noProof/>
          <w:color w:val="000000" w:themeColor="text1"/>
          <w:szCs w:val="24"/>
          <w:lang w:val="en-US"/>
        </w:rPr>
        <w:t>(Smart et al., 2015; Omondi et al., 2017; Battersby &amp; Watson, 2018; Chihambakwe et al., 2018; Alimba et al., 2020)</w:t>
      </w:r>
      <w:r w:rsidR="00A43080" w:rsidRPr="00895D0B">
        <w:rPr>
          <w:rFonts w:cs="Times New Roman"/>
          <w:color w:val="000000" w:themeColor="text1"/>
          <w:szCs w:val="24"/>
          <w:lang w:val="en-US"/>
        </w:rPr>
        <w:fldChar w:fldCharType="end"/>
      </w:r>
      <w:r w:rsidR="00A43080" w:rsidRPr="00895D0B">
        <w:rPr>
          <w:rFonts w:cs="Times New Roman"/>
          <w:color w:val="000000" w:themeColor="text1"/>
          <w:szCs w:val="24"/>
          <w:lang w:val="en-US"/>
        </w:rPr>
        <w:t xml:space="preserve">. Again, </w:t>
      </w:r>
      <w:r w:rsidRPr="00895D0B">
        <w:rPr>
          <w:rFonts w:cs="Times New Roman"/>
          <w:color w:val="000000" w:themeColor="text1"/>
          <w:szCs w:val="24"/>
          <w:lang w:val="en-US"/>
        </w:rPr>
        <w:t xml:space="preserve">goal 11- achieving resilient and sustainable cities and communities, and goal 13- combating climate change and variability impacts). </w:t>
      </w:r>
      <w:r w:rsidR="00A43080" w:rsidRPr="00895D0B">
        <w:rPr>
          <w:rFonts w:cs="Times New Roman"/>
          <w:color w:val="000000" w:themeColor="text1"/>
          <w:szCs w:val="24"/>
          <w:lang w:val="en-US"/>
        </w:rPr>
        <w:t xml:space="preserve">The achievement of this goal is seen in term of </w:t>
      </w:r>
      <w:r w:rsidRPr="00895D0B">
        <w:rPr>
          <w:rFonts w:cs="Times New Roman"/>
          <w:color w:val="000000" w:themeColor="text1"/>
          <w:szCs w:val="24"/>
          <w:lang w:val="en-US"/>
        </w:rPr>
        <w:t xml:space="preserve">waste assimilation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{"citationItems":[{"id":"ITEM-1","itemData":{"DOI":"10.1177/0956247817738201","ISSN":"17460301","abstract":"This article explores the way land tenure, water flows, and water quality are legally, politically and socially framed in a site in Ouagadougou. It shows that urban agriculture is an important source of revenue for various individuals and groups, and a socio-political arena for state representatives, experts and farmers. The main stakes in these power relationships are the regulation, control and use of natural resources (especially water and land), but also residents’ nutrition and health interests. Public authorities produce and monitor the enforcement of legal standards of water use and hygiene, while farmers struggle individually and collectively to ensure efficient use of land and multiple water sources, sometimes challenging official norms. These competing interests lead sometimes to conflicts – over the use of the resources or the legitimacy of rules that regulate urban farming processes – that are negotiated through institutional or informal bargaining. Urban farming is thus a marker of socio-political and economic dynamics in Ouagadougou.","author":[{"dropping-particle":"","family":"Korbéogo","given":"G.","non-dropping-particle":"","parse-names":false,"suffix":""}],"container-title":"Environment and Urbanization","id":"ITEM-1","issue":"1","issued":{"date-parts":[["2018"]]},"page":"283-300","title":"Ordering urban agriculture: farmers, experts, the state and the collective management of resources in Ouagadougou, Burkina Faso","type":"article-journal","volume":"30"},"uris":["http://www.mendeley.com/documents/?uuid=5b7d40aa-4cd2-4690-99df-203261463258"]}],"mendeley":{"formattedCitation":"(Korbéogo, 2018)","plainTextFormattedCitation":"(Korbéogo, 2018)","previouslyFormattedCitation":"(Korbéogo, 2018)"},"properties":{"noteIndex":0},"schema":"https://github.com/citation-style-language/schema/raw/master/csl-citation.json"}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(Korbéogo, 2018)</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to ecosystem restoration </w:t>
      </w:r>
      <w:r w:rsidRPr="00895D0B">
        <w:rPr>
          <w:rFonts w:cs="Times New Roman"/>
          <w:color w:val="000000" w:themeColor="text1"/>
          <w:szCs w:val="24"/>
          <w:lang w:val="en-US"/>
        </w:rPr>
        <w:fldChar w:fldCharType="begin" w:fldLock="1"/>
      </w:r>
      <w:r w:rsidR="007D58FF" w:rsidRPr="00895D0B">
        <w:rPr>
          <w:rFonts w:cs="Times New Roman"/>
          <w:color w:val="000000" w:themeColor="text1"/>
          <w:szCs w:val="24"/>
          <w:lang w:val="en-US"/>
        </w:rPr>
        <w:instrText>ADDIN CSL_CITATION {"citationItems":[{"id":"ITEM-1","itemData":{"DOI":"10.1016/j.coesh.2018.06.004","ISSN":"24685844","abstract":"Urban agriculture is seen as having the potential to contribute to more sustainable and resilient urban communities, for its pivotal role in the implementation of circular economy strategies at the city level, closing energy and mass loops, while contributing to restore natural cycles and ecosystems’ environmental services. In addition, Urban agriculture can contribute to higher food sovereignty levels, and can be used as leitmotif to implement new education, participatory and citizenship strategies. There are nevertheless some problems in deploying urban agriculture, that has to do with the high level of pollutants in urban areas that may cause health problems if the pollutants enter the food chain. This paper discusses the risks and addresses the potential of urban agriculture for more sustainable and resilient cities.","author":[{"dropping-particle":"","family":"Ferreira","given":"A. J. D.","non-dropping-particle":"","parse-names":false,"suffix":""},{"dropping-particle":"","family":"Guilherme","given":"R. I.","non-dropping-particle":"","parse-names":false,"suffix":""},{"dropping-particle":"","family":"Mendes","given":"M.","non-dropping-particle":"","parse-names":false,"suffix":""},{"dropping-particle":"","family":"Ferreira","given":"C. S. S.","non-dropping-particle":"","parse-names":false,"suffix":""},{"dropping-particle":"","family":"Oliveira","given":"M. F. M. L.","non-dropping-particle":"","parse-names":false,"suffix":""}],"container-title":"Current Opinion in Environmental Science and Health","id":"ITEM-1","issued":{"date-parts":[["2018"]]},"page":"93-97","publisher":"Elsevier B.V.","title":"Urban agriculture, a tool towards more resilient urban communities?","type":"article-journal","volume":"5"},"uris":["http://www.mendeley.com/documents/?uuid=d6e7d407-2949-410e-95be-503c41faa826"]}],"mendeley":{"formattedCitation":"(Ferreira, Guilherme, Mendes, et al., 2018)","plainTextFormattedCitation":"(Ferreira, Guilherme, Mendes, et al., 2018)","previouslyFormattedCitation":"(Ferreira, Guilherme, Mendes, et al., 2018)"},"properties":{"noteIndex":0},"schema":"https://github.com/citation-style-language/schema/raw/master/csl-citation.json"}</w:instrText>
      </w:r>
      <w:r w:rsidRPr="00895D0B">
        <w:rPr>
          <w:rFonts w:cs="Times New Roman"/>
          <w:color w:val="000000" w:themeColor="text1"/>
          <w:szCs w:val="24"/>
          <w:lang w:val="en-US"/>
        </w:rPr>
        <w:fldChar w:fldCharType="separate"/>
      </w:r>
      <w:r w:rsidR="00235EBD" w:rsidRPr="00895D0B">
        <w:rPr>
          <w:rFonts w:cs="Times New Roman"/>
          <w:noProof/>
          <w:color w:val="000000" w:themeColor="text1"/>
          <w:szCs w:val="24"/>
          <w:lang w:val="en-US"/>
        </w:rPr>
        <w:t>(Ferreira, Guilherme, Mendes, et al., 2018)</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w:t>
      </w:r>
    </w:p>
    <w:p w14:paraId="2371D7F2" w14:textId="77777777" w:rsidR="00A678F2" w:rsidRPr="00895D0B" w:rsidRDefault="00A678F2" w:rsidP="006B52B6">
      <w:pPr>
        <w:pStyle w:val="NoSpacing"/>
        <w:rPr>
          <w:lang w:val="en-US"/>
        </w:rPr>
      </w:pPr>
    </w:p>
    <w:p w14:paraId="7547E9A9" w14:textId="23DA3514" w:rsidR="001B4ED5" w:rsidRPr="00895D0B" w:rsidRDefault="006B41C0">
      <w:pPr>
        <w:spacing w:line="360" w:lineRule="auto"/>
        <w:rPr>
          <w:rFonts w:cs="Times New Roman"/>
          <w:color w:val="000000" w:themeColor="text1"/>
          <w:szCs w:val="24"/>
          <w:lang w:val="en-US"/>
        </w:rPr>
      </w:pPr>
      <w:r w:rsidRPr="00895D0B">
        <w:rPr>
          <w:rFonts w:cs="Times New Roman"/>
          <w:color w:val="000000" w:themeColor="text1"/>
          <w:szCs w:val="24"/>
          <w:lang w:val="en-US"/>
        </w:rPr>
        <w:t xml:space="preserve">The study significantly contributes to the understanding of the spatial distribution of urban food production across the urban space for the purpose of urban planning policies. Understanding the socio-economic dynamics that enable the participation in urban agriculture gives insight on the steps to promote urban crops and animal production. It gives directions on policy formulation on agriculture and climate change adaptations strategies in light of urban agricultural practices. Again, the findings of the study are useful for urban planning and agricultural policies by way of integrating agricultural practice into urban land use planning. To add to the above, the findings will also serve as an opportunity for non-governmental organizations (NGOs) and civil society organizations (CSOs) to give the needed support to urban farmers to increase production while sustaining environmental integrity. It will be useful for future research as a reference material for agriculture, climate change, and urban planning, especially in the interdisciplinary research fields. It will also guide future researchers to explore knowledge gaps in the area of urban planning and agricultural production. </w:t>
      </w:r>
    </w:p>
    <w:p w14:paraId="62DBDEBF" w14:textId="77777777" w:rsidR="001B4ED5" w:rsidRPr="00895D0B" w:rsidRDefault="001B4ED5" w:rsidP="006B52B6">
      <w:pPr>
        <w:pStyle w:val="NoSpacing"/>
        <w:rPr>
          <w:lang w:val="en-US"/>
        </w:rPr>
      </w:pPr>
    </w:p>
    <w:p w14:paraId="27FD2406" w14:textId="77777777" w:rsidR="001B4ED5" w:rsidRPr="00895D0B" w:rsidRDefault="006B41C0">
      <w:pPr>
        <w:pStyle w:val="Heading2"/>
      </w:pPr>
      <w:bookmarkStart w:id="21" w:name="_Toc167379857"/>
      <w:r w:rsidRPr="00895D0B">
        <w:t>1.7 Organization of the Study</w:t>
      </w:r>
      <w:bookmarkEnd w:id="21"/>
    </w:p>
    <w:p w14:paraId="355BBD77" w14:textId="70537506" w:rsidR="001B4ED5" w:rsidRPr="00895D0B" w:rsidRDefault="006B41C0">
      <w:pPr>
        <w:spacing w:line="360" w:lineRule="auto"/>
        <w:rPr>
          <w:rFonts w:cs="Times New Roman"/>
          <w:color w:val="000000" w:themeColor="text1"/>
          <w:szCs w:val="24"/>
          <w:lang w:val="en-US"/>
        </w:rPr>
      </w:pPr>
      <w:r w:rsidRPr="00895D0B">
        <w:rPr>
          <w:rFonts w:cs="Times New Roman"/>
          <w:color w:val="000000" w:themeColor="text1"/>
          <w:szCs w:val="24"/>
          <w:lang w:val="en-US"/>
        </w:rPr>
        <w:t>The thesis is organized into eight chapters. Firstly, chapter one contains the background of the study, problem statement, research objectives and questions, scope and the significance of the study. Chapter two of the study consists of a review of scholarly literature based on the research objectives outlined above, the theoretical underpinning of the study, and conceptual issues to follow. Chapter three is made up of the study methodology consisting of the study area profile, the philosophical debate underpinning the study which informs the research approach and design, methods and tools of data collection and analysis as well as ethical considerations. Chapter Four presents the results and discussions of objective one which is on the characteristics of urban agriculture. In chapter five, the results and discussion of objective two; that is, the spatial distribution patterns and dynamics of urban agriculture are presented. Chapter six presents the results and discussions of objective three which looked at the socio-</w:t>
      </w:r>
      <w:r w:rsidRPr="00895D0B">
        <w:rPr>
          <w:rFonts w:cs="Times New Roman"/>
          <w:color w:val="000000" w:themeColor="text1"/>
          <w:szCs w:val="24"/>
          <w:lang w:val="en-US"/>
        </w:rPr>
        <w:lastRenderedPageBreak/>
        <w:t xml:space="preserve">economic determinants of participating in urban agriculture.  In chapter seven, the results of objective four which is on urban farmers’ climate change adaptation strategies are presented and discussed. Lastly, chapter eight contains a summary of the major findings, conclusions, and recommendations. The recommendations are in two sections; recommendations for policy actions and practices as well as recommendations for future research. </w:t>
      </w:r>
    </w:p>
    <w:p w14:paraId="4CBD4A4F" w14:textId="77777777" w:rsidR="00EA0DF7" w:rsidRPr="00895D0B" w:rsidRDefault="00EA0DF7" w:rsidP="006B52B6">
      <w:pPr>
        <w:pStyle w:val="NoSpacing"/>
        <w:rPr>
          <w:lang w:val="en-US"/>
        </w:rPr>
      </w:pPr>
    </w:p>
    <w:p w14:paraId="3CD814F5" w14:textId="77777777" w:rsidR="00EA0DF7" w:rsidRPr="00895D0B" w:rsidRDefault="00EA0DF7" w:rsidP="00EA0DF7">
      <w:pPr>
        <w:pStyle w:val="Heading2"/>
      </w:pPr>
      <w:bookmarkStart w:id="22" w:name="_Toc167379858"/>
      <w:r w:rsidRPr="00895D0B">
        <w:t>1.8 Limitations of the Study</w:t>
      </w:r>
      <w:bookmarkEnd w:id="22"/>
    </w:p>
    <w:p w14:paraId="1B805C6B" w14:textId="13609F49" w:rsidR="001B4ED5" w:rsidRDefault="00135FE2">
      <w:pPr>
        <w:spacing w:line="360" w:lineRule="auto"/>
        <w:rPr>
          <w:rFonts w:cs="Times New Roman"/>
          <w:color w:val="000000" w:themeColor="text1"/>
          <w:szCs w:val="24"/>
        </w:rPr>
      </w:pPr>
      <w:r w:rsidRPr="00895D0B">
        <w:rPr>
          <w:rFonts w:cs="Times New Roman"/>
          <w:color w:val="000000" w:themeColor="text1"/>
          <w:szCs w:val="24"/>
        </w:rPr>
        <w:t xml:space="preserve">This study is limited in the following ways: Firstly, the study did not quantify the production level of urban farmers in the era of climate change and variablility stressors. Secondly, the study did not look at food security issues among urban farming households which is critical in a study of this nature. </w:t>
      </w:r>
    </w:p>
    <w:p w14:paraId="7CCB6605" w14:textId="2821C54F" w:rsidR="0031020B" w:rsidRDefault="0031020B">
      <w:pPr>
        <w:spacing w:line="360" w:lineRule="auto"/>
        <w:rPr>
          <w:rFonts w:cs="Times New Roman"/>
          <w:color w:val="000000" w:themeColor="text1"/>
          <w:szCs w:val="24"/>
        </w:rPr>
      </w:pPr>
    </w:p>
    <w:p w14:paraId="329B2B10" w14:textId="44C5D29C" w:rsidR="0031020B" w:rsidRDefault="0031020B">
      <w:pPr>
        <w:spacing w:line="360" w:lineRule="auto"/>
        <w:rPr>
          <w:rFonts w:cs="Times New Roman"/>
          <w:color w:val="000000" w:themeColor="text1"/>
          <w:szCs w:val="24"/>
        </w:rPr>
      </w:pPr>
    </w:p>
    <w:p w14:paraId="742D80C3" w14:textId="6E5F713E" w:rsidR="0031020B" w:rsidRDefault="0031020B">
      <w:pPr>
        <w:spacing w:line="360" w:lineRule="auto"/>
        <w:rPr>
          <w:rFonts w:cs="Times New Roman"/>
          <w:color w:val="000000" w:themeColor="text1"/>
          <w:szCs w:val="24"/>
        </w:rPr>
      </w:pPr>
    </w:p>
    <w:p w14:paraId="5E884F2F" w14:textId="6E51AD1F" w:rsidR="0031020B" w:rsidRDefault="0031020B">
      <w:pPr>
        <w:spacing w:line="360" w:lineRule="auto"/>
        <w:rPr>
          <w:rFonts w:cs="Times New Roman"/>
          <w:color w:val="000000" w:themeColor="text1"/>
          <w:szCs w:val="24"/>
        </w:rPr>
      </w:pPr>
    </w:p>
    <w:p w14:paraId="4E6B7027" w14:textId="72E323AA" w:rsidR="0031020B" w:rsidRDefault="0031020B">
      <w:pPr>
        <w:spacing w:line="360" w:lineRule="auto"/>
        <w:rPr>
          <w:rFonts w:cs="Times New Roman"/>
          <w:color w:val="000000" w:themeColor="text1"/>
          <w:szCs w:val="24"/>
        </w:rPr>
      </w:pPr>
    </w:p>
    <w:p w14:paraId="0EDC1B89" w14:textId="4E94C29F" w:rsidR="0031020B" w:rsidRDefault="0031020B">
      <w:pPr>
        <w:spacing w:line="360" w:lineRule="auto"/>
        <w:rPr>
          <w:rFonts w:cs="Times New Roman"/>
          <w:color w:val="000000" w:themeColor="text1"/>
          <w:szCs w:val="24"/>
        </w:rPr>
      </w:pPr>
    </w:p>
    <w:p w14:paraId="3BFB3E88" w14:textId="6CF3B147" w:rsidR="0031020B" w:rsidRDefault="0031020B">
      <w:pPr>
        <w:spacing w:line="360" w:lineRule="auto"/>
        <w:rPr>
          <w:rFonts w:cs="Times New Roman"/>
          <w:color w:val="000000" w:themeColor="text1"/>
          <w:szCs w:val="24"/>
        </w:rPr>
      </w:pPr>
    </w:p>
    <w:p w14:paraId="5BE4F078" w14:textId="55AB5BA2" w:rsidR="0031020B" w:rsidRDefault="0031020B">
      <w:pPr>
        <w:spacing w:line="360" w:lineRule="auto"/>
        <w:rPr>
          <w:rFonts w:cs="Times New Roman"/>
          <w:color w:val="000000" w:themeColor="text1"/>
          <w:szCs w:val="24"/>
        </w:rPr>
      </w:pPr>
    </w:p>
    <w:p w14:paraId="29E72846" w14:textId="786CD5CA" w:rsidR="0031020B" w:rsidRDefault="0031020B">
      <w:pPr>
        <w:spacing w:line="360" w:lineRule="auto"/>
        <w:rPr>
          <w:rFonts w:cs="Times New Roman"/>
          <w:color w:val="000000" w:themeColor="text1"/>
          <w:szCs w:val="24"/>
        </w:rPr>
      </w:pPr>
    </w:p>
    <w:p w14:paraId="0252986E" w14:textId="430FC8AB" w:rsidR="0031020B" w:rsidRDefault="0031020B">
      <w:pPr>
        <w:spacing w:line="360" w:lineRule="auto"/>
        <w:rPr>
          <w:rFonts w:cs="Times New Roman"/>
          <w:color w:val="000000" w:themeColor="text1"/>
          <w:szCs w:val="24"/>
        </w:rPr>
      </w:pPr>
    </w:p>
    <w:p w14:paraId="4F922435" w14:textId="7A99AE3F" w:rsidR="0031020B" w:rsidRDefault="0031020B">
      <w:pPr>
        <w:spacing w:line="360" w:lineRule="auto"/>
        <w:rPr>
          <w:rFonts w:cs="Times New Roman"/>
          <w:color w:val="000000" w:themeColor="text1"/>
          <w:szCs w:val="24"/>
        </w:rPr>
      </w:pPr>
    </w:p>
    <w:p w14:paraId="74BE9208" w14:textId="2FE865E1" w:rsidR="0031020B" w:rsidRDefault="0031020B">
      <w:pPr>
        <w:spacing w:line="360" w:lineRule="auto"/>
        <w:rPr>
          <w:rFonts w:cs="Times New Roman"/>
          <w:color w:val="000000" w:themeColor="text1"/>
          <w:szCs w:val="24"/>
        </w:rPr>
      </w:pPr>
    </w:p>
    <w:p w14:paraId="571AC56D" w14:textId="77777777" w:rsidR="006B52B6" w:rsidRDefault="006B52B6">
      <w:pPr>
        <w:spacing w:line="360" w:lineRule="auto"/>
        <w:rPr>
          <w:rFonts w:cs="Times New Roman"/>
          <w:color w:val="000000" w:themeColor="text1"/>
          <w:szCs w:val="24"/>
        </w:rPr>
      </w:pPr>
    </w:p>
    <w:p w14:paraId="3AC7FE0B" w14:textId="77777777" w:rsidR="006B52B6" w:rsidRDefault="006B52B6">
      <w:pPr>
        <w:spacing w:line="360" w:lineRule="auto"/>
        <w:rPr>
          <w:rFonts w:cs="Times New Roman"/>
          <w:color w:val="000000" w:themeColor="text1"/>
          <w:szCs w:val="24"/>
        </w:rPr>
      </w:pPr>
    </w:p>
    <w:p w14:paraId="63D09BCB" w14:textId="77777777" w:rsidR="006B52B6" w:rsidRDefault="006B52B6">
      <w:pPr>
        <w:spacing w:line="360" w:lineRule="auto"/>
        <w:rPr>
          <w:rFonts w:cs="Times New Roman"/>
          <w:color w:val="000000" w:themeColor="text1"/>
          <w:szCs w:val="24"/>
        </w:rPr>
      </w:pPr>
    </w:p>
    <w:p w14:paraId="019932C6" w14:textId="42FC55FB" w:rsidR="0031020B" w:rsidRDefault="0031020B">
      <w:pPr>
        <w:spacing w:line="360" w:lineRule="auto"/>
        <w:rPr>
          <w:rFonts w:cs="Times New Roman"/>
          <w:color w:val="000000" w:themeColor="text1"/>
          <w:szCs w:val="24"/>
        </w:rPr>
      </w:pPr>
    </w:p>
    <w:p w14:paraId="657B503A" w14:textId="55B9AC4A" w:rsidR="0031020B" w:rsidRDefault="0031020B">
      <w:pPr>
        <w:spacing w:line="360" w:lineRule="auto"/>
        <w:rPr>
          <w:rFonts w:cs="Times New Roman"/>
          <w:color w:val="000000" w:themeColor="text1"/>
          <w:szCs w:val="24"/>
        </w:rPr>
      </w:pPr>
    </w:p>
    <w:p w14:paraId="59A6C2AE" w14:textId="77777777" w:rsidR="001B4ED5" w:rsidRPr="00895D0B" w:rsidRDefault="006B41C0" w:rsidP="009745EC">
      <w:pPr>
        <w:pStyle w:val="Heading1"/>
      </w:pPr>
      <w:bookmarkStart w:id="23" w:name="_Toc167379859"/>
      <w:r w:rsidRPr="00895D0B">
        <w:lastRenderedPageBreak/>
        <w:t>CHAPTER TWO</w:t>
      </w:r>
      <w:bookmarkEnd w:id="23"/>
      <w:r w:rsidRPr="00895D0B">
        <w:t xml:space="preserve"> </w:t>
      </w:r>
    </w:p>
    <w:p w14:paraId="6D87622D" w14:textId="77777777" w:rsidR="001B4ED5" w:rsidRPr="00895D0B" w:rsidRDefault="006B41C0" w:rsidP="009745EC">
      <w:pPr>
        <w:pStyle w:val="Heading1"/>
      </w:pPr>
      <w:bookmarkStart w:id="24" w:name="_Toc167379860"/>
      <w:r w:rsidRPr="00895D0B">
        <w:t>LITERATURE REVIEW</w:t>
      </w:r>
      <w:bookmarkEnd w:id="24"/>
      <w:r w:rsidRPr="00895D0B">
        <w:t xml:space="preserve"> </w:t>
      </w:r>
    </w:p>
    <w:p w14:paraId="7DCE57CC" w14:textId="77777777" w:rsidR="001B4ED5" w:rsidRPr="00895D0B" w:rsidRDefault="006B41C0">
      <w:pPr>
        <w:pStyle w:val="Heading2"/>
      </w:pPr>
      <w:bookmarkStart w:id="25" w:name="_Toc167379861"/>
      <w:r w:rsidRPr="00895D0B">
        <w:t>2.1 Introduction</w:t>
      </w:r>
      <w:bookmarkEnd w:id="25"/>
      <w:r w:rsidRPr="00895D0B">
        <w:t xml:space="preserve"> </w:t>
      </w:r>
    </w:p>
    <w:p w14:paraId="700B2C43"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This chapter of the thesis presents the empirical literature review of thematic areas about understanding and identifying gaps in the realm of urban agricultural production in the era of climate change. It covers sustainable urban development and livelihood implications, the impacts of urban land and uses on urban agricultural productions. Others include the impact of climate change on urban food production, and the missing links between urban food production and climate change adaptations. Emphasis is also laid on dimensions of urban agriculture, urban agriculture, and food production. The chapte</w:t>
      </w:r>
      <w:r w:rsidRPr="00895D0B">
        <w:rPr>
          <w:rFonts w:cs="Times New Roman"/>
          <w:strike/>
          <w:color w:val="000000" w:themeColor="text1"/>
          <w:szCs w:val="24"/>
        </w:rPr>
        <w:t>r</w:t>
      </w:r>
      <w:r w:rsidRPr="00895D0B">
        <w:rPr>
          <w:rFonts w:cs="Times New Roman"/>
          <w:color w:val="000000" w:themeColor="text1"/>
          <w:szCs w:val="24"/>
        </w:rPr>
        <w:t xml:space="preserve"> ends with some conclusions made from the review exercise. </w:t>
      </w:r>
    </w:p>
    <w:p w14:paraId="77ADE99E" w14:textId="77777777" w:rsidR="001B4ED5" w:rsidRPr="00895D0B" w:rsidRDefault="001B4ED5" w:rsidP="006B52B6">
      <w:pPr>
        <w:pStyle w:val="NoSpacing"/>
      </w:pPr>
    </w:p>
    <w:p w14:paraId="65E84629" w14:textId="77777777" w:rsidR="001B4ED5" w:rsidRPr="00895D0B" w:rsidRDefault="006B41C0">
      <w:pPr>
        <w:pStyle w:val="Heading2"/>
      </w:pPr>
      <w:bookmarkStart w:id="26" w:name="_Toc167379862"/>
      <w:r w:rsidRPr="00895D0B">
        <w:t>2.2 Conceptual Overview</w:t>
      </w:r>
      <w:bookmarkEnd w:id="26"/>
      <w:r w:rsidRPr="00895D0B">
        <w:t xml:space="preserve"> </w:t>
      </w:r>
    </w:p>
    <w:p w14:paraId="1AD8852A" w14:textId="77777777" w:rsidR="001B4ED5" w:rsidRPr="00895D0B" w:rsidRDefault="006B41C0" w:rsidP="009864E3">
      <w:pPr>
        <w:pStyle w:val="Heading3"/>
      </w:pPr>
      <w:bookmarkStart w:id="27" w:name="_Toc167379863"/>
      <w:r w:rsidRPr="00895D0B">
        <w:t>2.2.1 Urban and urban agriculture</w:t>
      </w:r>
      <w:bookmarkEnd w:id="27"/>
      <w:r w:rsidRPr="00895D0B">
        <w:t xml:space="preserve"> </w:t>
      </w:r>
    </w:p>
    <w:p w14:paraId="128854BC" w14:textId="2D71248D" w:rsidR="0032066F" w:rsidRPr="00895D0B" w:rsidRDefault="006B41C0">
      <w:pPr>
        <w:spacing w:line="360" w:lineRule="auto"/>
        <w:rPr>
          <w:rFonts w:cs="Times New Roman"/>
          <w:color w:val="000000" w:themeColor="text1"/>
          <w:szCs w:val="24"/>
          <w:shd w:val="clear" w:color="auto" w:fill="FFFFFF"/>
        </w:rPr>
      </w:pPr>
      <w:r w:rsidRPr="00895D0B">
        <w:rPr>
          <w:rFonts w:cs="Times New Roman"/>
          <w:color w:val="000000" w:themeColor="text1"/>
          <w:szCs w:val="24"/>
          <w:shd w:val="clear" w:color="auto" w:fill="FFFFFF"/>
        </w:rPr>
        <w:t xml:space="preserve">An urban area </w:t>
      </w:r>
      <w:r w:rsidR="005425D5" w:rsidRPr="00895D0B">
        <w:rPr>
          <w:rFonts w:cs="Times New Roman"/>
          <w:color w:val="000000" w:themeColor="text1"/>
          <w:szCs w:val="24"/>
          <w:shd w:val="clear" w:color="auto" w:fill="FFFFFF"/>
        </w:rPr>
        <w:t xml:space="preserve">according to Wikipedia Encyclopedia </w:t>
      </w:r>
      <w:r w:rsidRPr="00895D0B">
        <w:rPr>
          <w:rFonts w:cs="Times New Roman"/>
          <w:color w:val="000000" w:themeColor="text1"/>
          <w:szCs w:val="24"/>
          <w:shd w:val="clear" w:color="auto" w:fill="FFFFFF"/>
        </w:rPr>
        <w:t xml:space="preserve">is considered to be a human community with a high population density and built-up area, or urban agglomeration. Due to urbanization, urban areas can be classified as cities, towns, conurbations, or suburbs. The terminology, "urban area" in the study of urbanism differs from rural areas like villages and hamlets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{"citationItems":[{"id":"ITEM-1","itemData":{"DOI":"10.1016/j.landurbplan.2017.02.014","ISSN":"01692046","abstract":"Urban agglomeration is a highly developed spatial form of integrated cities. It occurs when the relationships among cities shift from mainly competition to both competition and cooperation. Cities are highly integrated within an urban agglomeration, which renders the agglomeration one of the most important carriers for global economic development. Studies on urban agglomerations have increased in recent decades. In the research community, a consensus with regard to what an urban agglomeration is, how an urban agglomeration is delineated in geographic space, what efficient models for urban agglomeration management are, etc. is not reached. The current review examines 32,231 urban agglomeration-related works from the past 120 years in an attempt to provide a theoretically supported and practically based definition of urban agglomeration. In addition, through this extensive literature review and fieldwork in China, the current research identifies the four stages of an urban agglomeration's spatial expansion and further proposes operable approaches and standards to define urban agglomerations. The study aims to provide a scientifically sound basis for the healthy and sustainable development of urban agglomerations.","author":[{"dropping-particle":"","family":"Fang","given":"C.","non-dropping-particle":"","parse-names":false,"suffix":""},{"dropping-particle":"","family":"Yu","given":"D.","non-dropping-particle":"","parse-names":false,"suffix":""}],"container-title":"Landscape and Urban Planning","id":"ITEM-1","issued":{"date-parts":[["2017"]]},"page":"126-136","publisher":"Elsevier B.V.","title":"Urban agglomeration: An evolving concept of an emerging phenomenon","type":"article-journal","volume":"162"},"uris":["http://www.mendeley.com/documents/?uuid=84740ee8-1478-4a4c-91ad-47da7edd5b86"]}],"mendeley":{"formattedCitation":"(Fang &amp; Yu, 2017)","plainTextFormattedCitation":"(Fang &amp; Yu, 2017)","previouslyFormattedCitation":"(Fang &amp; Yu, 2017)"},"properties":{"noteIndex":0},"schema":"https://github.com/citation-style-language/schema/raw/master/csl-citation.json"}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(Fang &amp; Yu, 2017)</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Therefore, the urban concept is debatable. In many countries, an area's criteria differ according to the statistical definitions in terms of population size and economic engagements. For instance,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uthor":[{"dropping-particle":"","family":"Ritchie","given":"H.","non-dropping-particle":"","parse-names":false,"suffix":""},{"dropping-particle":"","family":"Roser","given":"M.","non-dropping-particle":"","parse-names":false,"suffix":""}],"id":"ITEM-1","issue":"September 2018","issued":{"date-parts":[["2019"]]},"title":"Urbanization","type":"article-journal","volume":"000"},"uris":["http://www.mendeley.com/documents/?uuid=aed3312c-ca07-404c-a082-17b9d20d3415"]}],"mendeley":{"formattedCitation":"(Ritchie &amp; Roser, 2019)","manualFormatting":"Ritchie and Roser (2019)","plainTextFormattedCitation":"(Ritchie &amp; Roser, 2019)","previouslyFormattedCitation":"(Ritchie &amp; Roser, 2019)"},"properties":{"noteIndex":0},"schema":"https://github.com/citation-style-language/schema/raw/master/csl-citation.json"}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Ritchie and Roser (2019)</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said a locality that qualifies as an urban area in Argentina is an area that has not less than 2,000 inhabitants; in Sweden, it is localities having more than 200 people with houses spaced 200 meters apart. Similarly, they also indicated that within the African context, some urban areas in Zimbabwe are localities with less than 2,500 inhabitants living in compact settlement where 50% or more of the people are engaged by the non-agricultural sector. For this study, the Ghana census definition is used, and an urban area is said to be taken as a geographical area with a population of 5000 people or more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2021)","plainTextFormattedCitation":"(Ghana Statistical Service, 2021)","previouslyFormattedCitation":"(Ghana Statistical Service, 2021)"},"properties":{"noteIndex":0},"schema":"https://github.com/citation-style-language/schema/raw/master/csl-citation.json"}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(Ghana Statistical Service, 2021)</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w:t>
      </w:r>
    </w:p>
    <w:p w14:paraId="6893F4D6" w14:textId="77777777" w:rsidR="00E67C90" w:rsidRPr="00895D0B" w:rsidRDefault="00E67C90" w:rsidP="006B52B6">
      <w:pPr>
        <w:pStyle w:val="NoSpacing"/>
        <w:rPr>
          <w:shd w:val="clear" w:color="auto" w:fill="FFFFFF"/>
        </w:rPr>
      </w:pPr>
    </w:p>
    <w:p w14:paraId="7F794FCE" w14:textId="3060F449" w:rsidR="001B4ED5" w:rsidRPr="00895D0B" w:rsidRDefault="006B41C0">
      <w:pPr>
        <w:spacing w:line="360" w:lineRule="auto"/>
        <w:rPr>
          <w:rFonts w:cs="Times New Roman"/>
          <w:color w:val="000000" w:themeColor="text1"/>
          <w:szCs w:val="24"/>
          <w:shd w:val="clear" w:color="auto" w:fill="FFFFFF"/>
        </w:rPr>
      </w:pPr>
      <w:r w:rsidRPr="00895D0B">
        <w:rPr>
          <w:rFonts w:cs="Times New Roman"/>
          <w:color w:val="000000" w:themeColor="text1"/>
          <w:szCs w:val="24"/>
          <w:shd w:val="clear" w:color="auto" w:fill="FFFFFF"/>
        </w:rPr>
        <w:t xml:space="preserve">The term urban agriculture (UA) represents different meanings in terms of explanations but in reality, they all boil down to the same idea. For example, UA is the cultivation of crops and raising of farm animals in small urban spaces for own consumption or sale </w:t>
      </w:r>
      <w:r w:rsidRPr="00895D0B">
        <w:rPr>
          <w:rFonts w:cs="Times New Roman"/>
          <w:color w:val="000000" w:themeColor="text1"/>
          <w:szCs w:val="24"/>
          <w:shd w:val="clear" w:color="auto" w:fill="FFFFFF"/>
        </w:rPr>
        <w:lastRenderedPageBreak/>
        <w:t xml:space="preserve">for income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{"citationItems":[{"id":"ITEM-1","itemData":{"author":[{"dropping-particle":"","family":"FAO","given":"","non-dropping-particle":"","parse-names":false,"suffix":""}],"id":"ITEM-1","issued":{"date-parts":[["2020"]]},"publisher-place":"Rome","title":"Cities and Local Government at the Forefront in Building Inclusive and Resilient Food Systems","type":"report"},"uris":["http://www.mendeley.com/documents/?uuid=5fbbe77e-bde9-4595-97e7-b2380769f930"]}],"mendeley":{"formattedCitation":"(FAO, 2020)","plainTextFormattedCitation":"(FAO, 2020)","previouslyFormattedCitation":"(FAO, 2020)"},"properties":{"noteIndex":0},"schema":"https://github.com/citation-style-language/schema/raw/master/csl-citation.json"}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(FAO, 2020)</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Also, UA is the growing of crops or rearing of livestock, or both within cities either on large or small scales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{"citationItems":[{"id":"ITEM-1","itemData":{"abstract":"The high-level conferences in agriculture of the late 1990s have provided the political impetus to mandate FAO to support urban agriculture across the world. The agency provides technical expertise and advice to national and local governments on food-related matters through key programs, initiatives and reports, while working closely with the private sector. FAO’s holistic and systemic approach focuses on strengthening the complex linkages between urban, peri-urban and rural agriculture which characterize contemporary food systems, with the goal of enhancing the city region’s food security and resilience. FAO also acknowledges the limitations and opportunities provided by contextual variables and the necessity to adapt programs according to the local populations’ needs and aspirations. If food has not always been authorities’ main priority in policy-making, current changes in the perception of food systems, pushed by societal demands to act against food waste and climate change, have fostered an increased attention to FAO’s activities.","author":[{"dropping-particle":"","family":"Taguchi","given":"M.","non-dropping-particle":"","parse-names":false,"suffix":""},{"dropping-particle":"","family":"Santini","given":"G.","non-dropping-particle":"","parse-names":false,"suffix":""}],"container-title":"The journal of field actions","id":"ITEM-1","issue":"20","issued":{"date-parts":[["2019"]]},"number-of-pages":"12-17","title":"Agriculture in the Global a Perspective","type":"report"},"uris":["http://www.mendeley.com/documents/?uuid=8b80f937-06d3-4b44-b1fb-2aca2842d0b4"]}],"mendeley":{"formattedCitation":"(Taguchi &amp; Santini, 2019)","plainTextFormattedCitation":"(Taguchi &amp; Santini, 2019)","previouslyFormattedCitation":"(Taguchi &amp; Santini, 2019)"},"properties":{"noteIndex":0},"schema":"https://github.com/citation-style-language/schema/raw/master/csl-citation.json"}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(Taguchi &amp; Santini, 2019)</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Similarly,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{"citationItems":[{"id":"ITEM-1","itemData":{"DOI":"10.1017/S174217051300046X","ISSN":"17421713","abstract":"Despite the surge of interest in urban agriculture, there have been few studies that address the biophysical challenges and opportunities of food production in urban environments. This study aims to determine the relative influence of atmospheric pollutants and microclimatic factors on the physiological response and productivity of vegetable crops across an urban-to-rural latitudinal transect in the greater Chicago metropolitan region. Data collected at each of six sites include continuous measures of atmospheric pollutants and microclimatic factors, and biweekly measures of physiological response and yield of various vegetable crops and cultivars. Preliminary data collected in early 2013 suggest that there is substantial variability in environmental factors and crop yield across this urban-to-rural transect. Results of this study will provide a scientific basis for crop adaptation to the urban environment and establish practical crop and cultivar recommendations for urban and peri-urban farmers in the North Central US.","author":[{"dropping-particle":"","family":"Wagstaff","given":"Ross K.","non-dropping-particle":"","parse-names":false,"suffix":""},{"dropping-particle":"","family":"Wortman","given":"Sam E.","non-dropping-particle":"","parse-names":false,"suffix":""}],"container-title":"Renewable Agriculture and Food Systems","id":"ITEM-1","issue":"1","issued":{"date-parts":[["2015"]]},"page":"8-14","title":"Crop physiological response across the Chicago metropolitan region: Developing recommendations for urban and peri-urban farmers in the North Central US","type":"article-journal","volume":"30"},"uris":["http://www.mendeley.com/documents/?uuid=cfde8a6c-79e9-4611-9036-409d633061cc"]}],"mendeley":{"formattedCitation":"(Wagstaff &amp; Wortman, 2015)","manualFormatting":"Wagstaff and Wortman (2015)","plainTextFormattedCitation":"(Wagstaff &amp; Wortman, 2015)","previouslyFormattedCitation":"(Wagstaff &amp; Wortman, 2015)"},"properties":{"noteIndex":0},"schema":"https://github.com/citation-style-language/schema/raw/master/csl-citation.json"}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Wagstaff and Wortman (2015)</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argued that urban agriculture represents all activities in agricultural production within cities including production and non-production. Urban agriculture is the production, processing, and supply of foods in urban neighbourhoods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{"citationItems":[{"id":"ITEM-1","itemData":{"author":[{"dropping-particle":"","family":"Alimba","given":"J. O.","non-dropping-particle":"","parse-names":false,"suffix":""},{"dropping-particle":"","family":"Olumba","given":"C. C.","non-dropping-particle":"","parse-names":false,"suffix":""},{"dropping-particle":"","family":"Onunka","given":"C. N.","non-dropping-particle":"","parse-names":false,"suffix":""}],"id":"ITEM-1","issue":"February","issued":{"date-parts":[["2020"]]},"title":"Assessing How Food Production in Urban Areas Contribute To Household Food Security in Southeast Nigeria Assessing How Food Production in Urban Areas Contribute To Household Food Security in Southeast Nigeria","type":"article-journal"},"uris":["http://www.mendeley.com/documents/?uuid=9033b718-e667-45c7-82d1-cbd25ba88927"]}],"mendeley":{"formattedCitation":"(Alimba et al., 2020)","plainTextFormattedCitation":"(Alimba et al., 2020)","previouslyFormattedCitation":"(Alimba et al., 2020)"},"properties":{"noteIndex":0},"schema":"https://github.com/citation-style-language/schema/raw/master/csl-citation.json"}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(Alimba et al., 2020)</w:t>
      </w:r>
      <w:r w:rsidRPr="00895D0B">
        <w:rPr>
          <w:rFonts w:cs="Times New Roman"/>
          <w:color w:val="000000" w:themeColor="text1"/>
          <w:szCs w:val="24"/>
          <w:shd w:val="clear" w:color="auto" w:fill="FFFFFF"/>
        </w:rPr>
        <w:fldChar w:fldCharType="end"/>
      </w:r>
      <w:r w:rsidRPr="00895D0B">
        <w:rPr>
          <w:rFonts w:cs="Times New Roman"/>
          <w:color w:val="000000" w:themeColor="text1"/>
          <w:szCs w:val="24"/>
        </w:rPr>
        <w:t xml:space="preserve">. </w:t>
      </w:r>
      <w:r w:rsidRPr="00895D0B">
        <w:rPr>
          <w:rFonts w:cs="Times New Roman"/>
          <w:color w:val="000000" w:themeColor="text1"/>
          <w:szCs w:val="24"/>
          <w:shd w:val="clear" w:color="auto" w:fill="FFFFFF"/>
        </w:rPr>
        <w:t xml:space="preserve">Urban agriculture takes many forms such as ground-based outdoor gardens and farms, indoor production using rooftop gardens, businesses in the form of landscaping nursery as well as livestock production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{"citationItems":[{"id":"ITEM-1","itemData":{"DOI":"10.1016/j.landusepol.2020.104681","ISSN":"02648377","abstract":"Urban agriculture literature regarding the Global South reveals important knowledge gaps concerning spatial variations of food gardens across cityscapes, gardener motivations, and tensions with urban planning regulations, especially in locales beyond sub-Saharan Africa. In Vietnam, urban agriculture is growing in popularity and gaining media attention but there is little research as to why urban agriculture is practiced in smaller Vietnamese cities, especially those close to rural hinterlands. In this paper we investigate small-scale urban agriculture – or food gardens – in Lào Cai, a small upland city located on the Sino-Vietnamese border. We find a complex diversity of garden sizes and land management arrangements where gardens are built, including on state institutional land, thanks to informal arrangements. Gardener motivations focus predominantly on food safety concerns, contrasting with key motivations found elsewhere in the Global South. Throughout the city, albeit more so in newly urbanising sectors, this urban practice remains precarious due to irregular land access and confusing city authority regulations. We thus examine how urban residents are working to access safe food and contribute to their city's urban food system while state officials tend to focus their priorities elsewhere.","author":[{"dropping-particle":"","family":"Pham","given":"T.","non-dropping-particle":"","parse-names":false,"suffix":""},{"dropping-particle":"","family":"Turner","given":"S.","non-dropping-particle":"","parse-names":false,"suffix":""}],"container-title":"Land Use Policy","id":"ITEM-1","issue":"March","issued":{"date-parts":[["2020"]]},"publisher":"Elsevier","title":"‘If I want safe food I have to grow it myself’: Patterns and motivations of urban agriculture in a small city in Vietnam's northern borderlands","type":"article-journal","volume":"96"},"uris":["http://www.mendeley.com/documents/?uuid=97ae1a88-97d7-4b1c-8313-5f31dc3b0192"]}],"mendeley":{"formattedCitation":"(Pham &amp; Turner, 2020)","plainTextFormattedCitation":"(Pham &amp; Turner, 2020)","previouslyFormattedCitation":"(Pham &amp; Turner, 2020)"},"properties":{"noteIndex":0},"schema":"https://github.com/citation-style-language/schema/raw/master/csl-citation.json"}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(Pham &amp; Turner, 2020)</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w:t>
      </w:r>
      <w:r w:rsidRPr="00895D0B">
        <w:rPr>
          <w:rFonts w:cs="Times New Roman"/>
          <w:color w:val="000000" w:themeColor="text1"/>
          <w:szCs w:val="24"/>
        </w:rPr>
        <w:t xml:space="preserve"> </w:t>
      </w:r>
      <w:r w:rsidRPr="00895D0B">
        <w:rPr>
          <w:rFonts w:cs="Times New Roman"/>
          <w:color w:val="000000" w:themeColor="text1"/>
          <w:szCs w:val="24"/>
          <w:shd w:val="clear" w:color="auto" w:fill="FFFFFF"/>
        </w:rPr>
        <w:t xml:space="preserve">Urban farming in this study is the growing of food crops and rearing of farm animals in any available urban space. </w:t>
      </w:r>
    </w:p>
    <w:p w14:paraId="6BF790D6" w14:textId="77777777" w:rsidR="001B4ED5" w:rsidRPr="00895D0B" w:rsidRDefault="001B4ED5" w:rsidP="006B52B6">
      <w:pPr>
        <w:pStyle w:val="NoSpacing"/>
      </w:pPr>
    </w:p>
    <w:p w14:paraId="137C5D74" w14:textId="77777777" w:rsidR="001B4ED5" w:rsidRPr="00895D0B" w:rsidRDefault="006B41C0" w:rsidP="009864E3">
      <w:pPr>
        <w:pStyle w:val="Heading3"/>
      </w:pPr>
      <w:bookmarkStart w:id="28" w:name="_Toc167379864"/>
      <w:r w:rsidRPr="00895D0B">
        <w:t>2.2.2 Climate change and climate change adaptations</w:t>
      </w:r>
      <w:bookmarkEnd w:id="28"/>
      <w:r w:rsidRPr="00895D0B">
        <w:t xml:space="preserve"> </w:t>
      </w:r>
    </w:p>
    <w:p w14:paraId="2519DA6C" w14:textId="4CF16FB2" w:rsidR="001B4ED5" w:rsidRPr="00895D0B" w:rsidRDefault="006B41C0">
      <w:pPr>
        <w:spacing w:line="360" w:lineRule="auto"/>
        <w:rPr>
          <w:rFonts w:cs="Times New Roman"/>
          <w:color w:val="000000" w:themeColor="text1"/>
          <w:szCs w:val="24"/>
          <w:lang w:eastAsia="en-GB"/>
        </w:rPr>
      </w:pPr>
      <w:r w:rsidRPr="00895D0B">
        <w:rPr>
          <w:rFonts w:cs="Times New Roman"/>
          <w:color w:val="000000" w:themeColor="text1"/>
          <w:szCs w:val="24"/>
          <w:lang w:eastAsia="en-GB"/>
        </w:rPr>
        <w:t xml:space="preserve">Climate change is understood differently by different people but all depict a single idea. Climate change refers to long-term alterations in global temperature and weather patterns </w:t>
      </w:r>
      <w:r w:rsidRPr="00895D0B">
        <w:rPr>
          <w:rFonts w:cs="Times New Roman"/>
          <w:color w:val="000000" w:themeColor="text1"/>
          <w:szCs w:val="24"/>
          <w:lang w:eastAsia="en-GB"/>
        </w:rPr>
        <w:fldChar w:fldCharType="begin" w:fldLock="1"/>
      </w:r>
      <w:r w:rsidRPr="00895D0B">
        <w:rPr>
          <w:rFonts w:cs="Times New Roman"/>
          <w:color w:val="000000" w:themeColor="text1"/>
          <w:szCs w:val="24"/>
          <w:lang w:eastAsia="en-GB"/>
        </w:rPr>
        <w:instrText>ADDIN CSL_CITATION {"citationItems":[{"id":"ITEM-1","itemData":{"author":[{"dropping-particle":"","family":"Hallegatte","given":"S.","non-dropping-particle":"","parse-names":false,"suffix":""},{"dropping-particle":"","family":"Rentschler","given":"J.","non-dropping-particle":"","parse-names":false,"suffix":""},{"dropping-particle":"","family":"Rentschler","given":"J.","non-dropping-particle":"","parse-names":false,"suffix":""}],"id":"ITEM-1","issued":{"date-parts":[["2020"]]},"title":"The Adaptation Principles; A Guide for Designing Strategies for Climate Change Adaptation and Resilience","type":"article-journal"},"uris":["http://www.mendeley.com/documents/?uuid=ec63d943-15c1-4449-9597-dc254ecd7ef9"]}],"mendeley":{"formattedCitation":"(Hallegatte et al., 2020)","plainTextFormattedCitation":"(Hallegatte et al., 2020)","previouslyFormattedCitation":"(Hallegatte et al., 2020)"},"properties":{"noteIndex":0},"schema":"https://github.com/citation-style-language/schema/raw/master/csl-citation.json"}</w:instrText>
      </w:r>
      <w:r w:rsidRPr="00895D0B">
        <w:rPr>
          <w:rFonts w:cs="Times New Roman"/>
          <w:color w:val="000000" w:themeColor="text1"/>
          <w:szCs w:val="24"/>
          <w:lang w:eastAsia="en-GB"/>
        </w:rPr>
        <w:fldChar w:fldCharType="separate"/>
      </w:r>
      <w:r w:rsidRPr="00895D0B">
        <w:rPr>
          <w:rFonts w:cs="Times New Roman"/>
          <w:noProof/>
          <w:color w:val="000000" w:themeColor="text1"/>
          <w:szCs w:val="24"/>
          <w:lang w:eastAsia="en-GB"/>
        </w:rPr>
        <w:t>(Hallegatte et al., 2020)</w:t>
      </w:r>
      <w:r w:rsidRPr="00895D0B">
        <w:rPr>
          <w:rFonts w:cs="Times New Roman"/>
          <w:color w:val="000000" w:themeColor="text1"/>
          <w:szCs w:val="24"/>
          <w:lang w:eastAsia="en-GB"/>
        </w:rPr>
        <w:fldChar w:fldCharType="end"/>
      </w:r>
      <w:r w:rsidRPr="00895D0B">
        <w:rPr>
          <w:rFonts w:cs="Times New Roman"/>
          <w:color w:val="000000" w:themeColor="text1"/>
          <w:szCs w:val="24"/>
          <w:lang w:eastAsia="en-GB"/>
        </w:rPr>
        <w:t xml:space="preserve">. Also, it is the long-time changes in weather elements of which the causes are affiliated with anthropogenic activities </w:t>
      </w:r>
      <w:r w:rsidRPr="00895D0B">
        <w:rPr>
          <w:rFonts w:cs="Times New Roman"/>
          <w:color w:val="000000" w:themeColor="text1"/>
          <w:szCs w:val="24"/>
          <w:lang w:eastAsia="en-GB"/>
        </w:rPr>
        <w:fldChar w:fldCharType="begin" w:fldLock="1"/>
      </w:r>
      <w:r w:rsidRPr="00895D0B">
        <w:rPr>
          <w:rFonts w:cs="Times New Roman"/>
          <w:color w:val="000000" w:themeColor="text1"/>
          <w:szCs w:val="24"/>
          <w:lang w:eastAsia="en-GB"/>
        </w:rPr>
        <w:instrText>ADDIN CSL_CITATION {"citationItems":[{"id":"ITEM-1","itemData":{"ISBN":"9780300206111","author":[{"dropping-particle":"","family":"Maccracken","given":"Michael C.","non-dropping-particle":"","parse-names":false,"suffix":""}],"container-title":"Biodiversity and Climate Change: Transforming the Biosphere","id":"ITEM-1","issued":{"date-parts":[["2019"]]},"page":"12-22","title":"What is climate change?","type":"article-journal"},"uris":["http://www.mendeley.com/documents/?uuid=abf24253-bbdc-49c0-8938-7f44763f2412"]}],"mendeley":{"formattedCitation":"(Maccracken, 2019)","plainTextFormattedCitation":"(Maccracken, 2019)","previouslyFormattedCitation":"(Maccracken, 2019)"},"properties":{"noteIndex":0},"schema":"https://github.com/citation-style-language/schema/raw/master/csl-citation.json"}</w:instrText>
      </w:r>
      <w:r w:rsidRPr="00895D0B">
        <w:rPr>
          <w:rFonts w:cs="Times New Roman"/>
          <w:color w:val="000000" w:themeColor="text1"/>
          <w:szCs w:val="24"/>
          <w:lang w:eastAsia="en-GB"/>
        </w:rPr>
        <w:fldChar w:fldCharType="separate"/>
      </w:r>
      <w:r w:rsidRPr="00895D0B">
        <w:rPr>
          <w:rFonts w:cs="Times New Roman"/>
          <w:noProof/>
          <w:color w:val="000000" w:themeColor="text1"/>
          <w:szCs w:val="24"/>
          <w:lang w:eastAsia="en-GB"/>
        </w:rPr>
        <w:t>(Maccracken, 2019)</w:t>
      </w:r>
      <w:r w:rsidRPr="00895D0B">
        <w:rPr>
          <w:rFonts w:cs="Times New Roman"/>
          <w:color w:val="000000" w:themeColor="text1"/>
          <w:szCs w:val="24"/>
          <w:lang w:eastAsia="en-GB"/>
        </w:rPr>
        <w:fldChar w:fldCharType="end"/>
      </w:r>
      <w:r w:rsidRPr="00895D0B">
        <w:rPr>
          <w:rFonts w:cs="Times New Roman"/>
          <w:color w:val="000000" w:themeColor="text1"/>
          <w:szCs w:val="24"/>
          <w:lang w:eastAsia="en-GB"/>
        </w:rPr>
        <w:t xml:space="preserve">. A dangerous climate is therefore any weather changes in terms of precipitation, temperature, or any of the weather elements that extremely affect life and properties, especially livelihoods like </w:t>
      </w:r>
      <w:r w:rsidRPr="00895D0B">
        <w:rPr>
          <w:rFonts w:cs="Times New Roman"/>
          <w:color w:val="000000" w:themeColor="text1"/>
          <w:szCs w:val="24"/>
        </w:rPr>
        <w:t>agricultural</w:t>
      </w:r>
      <w:r w:rsidRPr="00895D0B">
        <w:rPr>
          <w:rFonts w:cs="Times New Roman"/>
          <w:color w:val="000000" w:themeColor="text1"/>
          <w:szCs w:val="24"/>
          <w:lang w:eastAsia="en-GB"/>
        </w:rPr>
        <w:t xml:space="preserve"> production </w:t>
      </w:r>
      <w:r w:rsidRPr="00895D0B">
        <w:rPr>
          <w:rFonts w:cs="Times New Roman"/>
          <w:color w:val="000000" w:themeColor="text1"/>
          <w:szCs w:val="24"/>
          <w:lang w:eastAsia="en-GB"/>
        </w:rPr>
        <w:fldChar w:fldCharType="begin" w:fldLock="1"/>
      </w:r>
      <w:r w:rsidRPr="00895D0B">
        <w:rPr>
          <w:rFonts w:cs="Times New Roman"/>
          <w:color w:val="000000" w:themeColor="text1"/>
          <w:szCs w:val="24"/>
          <w:lang w:eastAsia="en-GB"/>
        </w:rPr>
        <w:instrText>ADDIN CSL_CITATION {"citationItems":[{"id":"ITEM-1","itemData":{"ISSN":"0028-0836","PMID":"11333950","author":[{"dropping-particle":"","family":"Schneider","given":"S. H.","non-dropping-particle":"","parse-names":false,"suffix":""}],"container-title":"Nature","id":"ITEM-1","issued":{"date-parts":[["2001"]]},"page":"17-19","title":"What is ‘dangerous’ climate change?","type":"article-journal","volume":"411"},"uris":["http://www.mendeley.com/documents/?uuid=1958b2ec-cb98-4220-9d1c-312ae8c1e2cb"]}],"mendeley":{"formattedCitation":"(Schneider, 2001)","plainTextFormattedCitation":"(Schneider, 2001)","previouslyFormattedCitation":"(Schneider, 2001)"},"properties":{"noteIndex":0},"schema":"https://github.com/citation-style-language/schema/raw/master/csl-citation.json"}</w:instrText>
      </w:r>
      <w:r w:rsidRPr="00895D0B">
        <w:rPr>
          <w:rFonts w:cs="Times New Roman"/>
          <w:color w:val="000000" w:themeColor="text1"/>
          <w:szCs w:val="24"/>
          <w:lang w:eastAsia="en-GB"/>
        </w:rPr>
        <w:fldChar w:fldCharType="separate"/>
      </w:r>
      <w:r w:rsidRPr="00895D0B">
        <w:rPr>
          <w:rFonts w:cs="Times New Roman"/>
          <w:noProof/>
          <w:color w:val="000000" w:themeColor="text1"/>
          <w:szCs w:val="24"/>
          <w:lang w:eastAsia="en-GB"/>
        </w:rPr>
        <w:t>(Schneider, 2001)</w:t>
      </w:r>
      <w:r w:rsidRPr="00895D0B">
        <w:rPr>
          <w:rFonts w:cs="Times New Roman"/>
          <w:color w:val="000000" w:themeColor="text1"/>
          <w:szCs w:val="24"/>
          <w:lang w:eastAsia="en-GB"/>
        </w:rPr>
        <w:fldChar w:fldCharType="end"/>
      </w:r>
      <w:r w:rsidRPr="00895D0B">
        <w:rPr>
          <w:rFonts w:cs="Times New Roman"/>
          <w:color w:val="000000" w:themeColor="text1"/>
          <w:szCs w:val="24"/>
          <w:lang w:eastAsia="en-GB"/>
        </w:rPr>
        <w:t xml:space="preserve">. Climate change is defined as a shift in the climate's state that can be determined (e.g., by statistical tests) by changes in the mean and/or variability of its attributes and that lasts for a considerable amount of time, usually decades or longer </w:t>
      </w:r>
      <w:r w:rsidRPr="00895D0B">
        <w:rPr>
          <w:rFonts w:cs="Times New Roman"/>
          <w:color w:val="000000" w:themeColor="text1"/>
          <w:szCs w:val="24"/>
          <w:lang w:eastAsia="en-GB"/>
        </w:rPr>
        <w:fldChar w:fldCharType="begin" w:fldLock="1"/>
      </w:r>
      <w:r w:rsidR="000B10F3" w:rsidRPr="00895D0B">
        <w:rPr>
          <w:rFonts w:cs="Times New Roman"/>
          <w:color w:val="000000" w:themeColor="text1"/>
          <w:szCs w:val="24"/>
          <w:lang w:eastAsia="en-GB"/>
        </w:rPr>
        <w:instrText>ADDIN CSL_CITATION {"citationItems":[{"id":"ITEM-1","itemData":{"DOI":"10.1002/9780470996621.ch50","ISBN":"9780470996621","author":[{"dropping-particle":"","family":"IPCC","given":"","non-dropping-particle":"","parse-names":false,"suffix":""}],"container-title":"A Companion to Applied Ethics","id":"ITEM-1","issued":{"date-parts":[["2018"]]},"page":"674-684","title":"Global Warming of 1.5°C An IPCC Special Report on the impacts of global warming of 1.5°C above pre-industrial levels and related global greenhouse gas emission pathways, in the context of strengthening the global response to the threat of climate change, ","type":"article-journal"},"uris":["http://www.mendeley.com/documents/?uuid=c08f7568-0e86-4154-9ce3-2305c4126620"]}],"mendeley":{"formattedCitation":"(IPCC, 2018a)","manualFormatting":"(IPCC, 2018a)","plainTextFormattedCitation":"(IPCC, 2018a)","previouslyFormattedCitation":"(IPCC, 2018a)"},"properties":{"noteIndex":0},"schema":"https://github.com/citation-style-language/schema/raw/master/csl-citation.json"}</w:instrText>
      </w:r>
      <w:r w:rsidRPr="00895D0B">
        <w:rPr>
          <w:rFonts w:cs="Times New Roman"/>
          <w:color w:val="000000" w:themeColor="text1"/>
          <w:szCs w:val="24"/>
          <w:lang w:eastAsia="en-GB"/>
        </w:rPr>
        <w:fldChar w:fldCharType="separate"/>
      </w:r>
      <w:r w:rsidRPr="00895D0B">
        <w:rPr>
          <w:rFonts w:cs="Times New Roman"/>
          <w:noProof/>
          <w:color w:val="000000" w:themeColor="text1"/>
          <w:szCs w:val="24"/>
          <w:lang w:eastAsia="en-GB"/>
        </w:rPr>
        <w:t>(IPCC, 2018</w:t>
      </w:r>
      <w:r w:rsidR="000B10F3" w:rsidRPr="00895D0B">
        <w:rPr>
          <w:rFonts w:cs="Times New Roman"/>
          <w:noProof/>
          <w:color w:val="000000" w:themeColor="text1"/>
          <w:szCs w:val="24"/>
          <w:lang w:eastAsia="en-GB"/>
        </w:rPr>
        <w:t>a</w:t>
      </w:r>
      <w:r w:rsidRPr="00895D0B">
        <w:rPr>
          <w:rFonts w:cs="Times New Roman"/>
          <w:noProof/>
          <w:color w:val="000000" w:themeColor="text1"/>
          <w:szCs w:val="24"/>
          <w:lang w:eastAsia="en-GB"/>
        </w:rPr>
        <w:t>)</w:t>
      </w:r>
      <w:r w:rsidRPr="00895D0B">
        <w:rPr>
          <w:rFonts w:cs="Times New Roman"/>
          <w:color w:val="000000" w:themeColor="text1"/>
          <w:szCs w:val="24"/>
          <w:lang w:eastAsia="en-GB"/>
        </w:rPr>
        <w:fldChar w:fldCharType="end"/>
      </w:r>
      <w:r w:rsidRPr="00895D0B">
        <w:rPr>
          <w:rFonts w:cs="Times New Roman"/>
          <w:color w:val="000000" w:themeColor="text1"/>
          <w:szCs w:val="24"/>
          <w:lang w:eastAsia="en-GB"/>
        </w:rPr>
        <w:t xml:space="preserve">. The definition of climate change in this study is that it is the change in the average weather element; either positive or negative change of a place, studied over some time, 30 years at the minimum on the one hand. On the other hand, climate change adaptation is the process of adapting to the current or predicted environment and its impacts to minimize harm or take advantage of advantageous chances </w:t>
      </w:r>
      <w:r w:rsidRPr="00895D0B">
        <w:rPr>
          <w:rFonts w:cs="Times New Roman"/>
          <w:color w:val="000000" w:themeColor="text1"/>
          <w:szCs w:val="24"/>
          <w:lang w:eastAsia="en-GB"/>
        </w:rPr>
        <w:fldChar w:fldCharType="begin" w:fldLock="1"/>
      </w:r>
      <w:r w:rsidR="00235EBD" w:rsidRPr="00895D0B">
        <w:rPr>
          <w:rFonts w:cs="Times New Roman"/>
          <w:color w:val="000000" w:themeColor="text1"/>
          <w:szCs w:val="24"/>
          <w:lang w:eastAsia="en-GB"/>
        </w:rPr>
        <w:instrText>ADDIN CSL_CITATION {"citationItems":[{"id":"ITEM-1","itemData":{"ISBN":"9780760768587","abstract":"The following topics are dealt with: cloud data governance-driven decision making; lung nodule detection; pattern clustering; image super-resolution; database management system; frequent pattern mining; traffic volume count; facial expression recognition; video classification; qualitative data analysis; intrusion detection; data privacy; MR images; neural networks; and image classification.","author":[{"dropping-particle":"","family":"IPCC","given":"","non-dropping-particle":"","parse-names":false,"suffix":""}],"container-title":"European University Institute","id":"ITEM-1","issue":"2","issued":{"date-parts":[["2018"]]},"number-of-pages":"2-5","title":"Synthesis Report of the IPCC Sixth Assessment Report (AR6)","type":"report"},"uris":["http://www.mendeley.com/documents/?uuid=93ad9e05-b460-49e8-9ad6-ce2a53ff969a"]}],"mendeley":{"formattedCitation":"(IPCC, 2018b)","manualFormatting":"(IPCC, 2018b)","plainTextFormattedCitation":"(IPCC, 2018b)","previouslyFormattedCitation":"(IPCC, 2018b)"},"properties":{"noteIndex":0},"schema":"https://github.com/citation-style-language/schema/raw/master/csl-citation.json"}</w:instrText>
      </w:r>
      <w:r w:rsidRPr="00895D0B">
        <w:rPr>
          <w:rFonts w:cs="Times New Roman"/>
          <w:color w:val="000000" w:themeColor="text1"/>
          <w:szCs w:val="24"/>
          <w:lang w:eastAsia="en-GB"/>
        </w:rPr>
        <w:fldChar w:fldCharType="separate"/>
      </w:r>
      <w:r w:rsidRPr="00895D0B">
        <w:rPr>
          <w:rFonts w:cs="Times New Roman"/>
          <w:noProof/>
          <w:color w:val="000000" w:themeColor="text1"/>
          <w:szCs w:val="24"/>
          <w:lang w:eastAsia="en-GB"/>
        </w:rPr>
        <w:t>(IPCC, 2018</w:t>
      </w:r>
      <w:r w:rsidR="000B10F3" w:rsidRPr="00895D0B">
        <w:rPr>
          <w:rFonts w:cs="Times New Roman"/>
          <w:noProof/>
          <w:color w:val="000000" w:themeColor="text1"/>
          <w:szCs w:val="24"/>
          <w:lang w:eastAsia="en-GB"/>
        </w:rPr>
        <w:t>b</w:t>
      </w:r>
      <w:r w:rsidRPr="00895D0B">
        <w:rPr>
          <w:rFonts w:cs="Times New Roman"/>
          <w:noProof/>
          <w:color w:val="000000" w:themeColor="text1"/>
          <w:szCs w:val="24"/>
          <w:lang w:eastAsia="en-GB"/>
        </w:rPr>
        <w:t>)</w:t>
      </w:r>
      <w:r w:rsidRPr="00895D0B">
        <w:rPr>
          <w:rFonts w:cs="Times New Roman"/>
          <w:color w:val="000000" w:themeColor="text1"/>
          <w:szCs w:val="24"/>
          <w:lang w:eastAsia="en-GB"/>
        </w:rPr>
        <w:fldChar w:fldCharType="end"/>
      </w:r>
      <w:r w:rsidRPr="00895D0B">
        <w:rPr>
          <w:rFonts w:cs="Times New Roman"/>
          <w:color w:val="000000" w:themeColor="text1"/>
          <w:szCs w:val="24"/>
          <w:lang w:eastAsia="en-GB"/>
        </w:rPr>
        <w:t>.</w:t>
      </w:r>
    </w:p>
    <w:p w14:paraId="6BDD2C4F" w14:textId="77777777" w:rsidR="001B4ED5" w:rsidRPr="00895D0B" w:rsidRDefault="001B4ED5" w:rsidP="006B52B6">
      <w:pPr>
        <w:pStyle w:val="NoSpacing"/>
      </w:pPr>
    </w:p>
    <w:p w14:paraId="2FA7354C" w14:textId="6556E3D7" w:rsidR="001B4ED5" w:rsidRPr="00895D0B" w:rsidRDefault="006B41C0">
      <w:pPr>
        <w:pStyle w:val="Heading2"/>
      </w:pPr>
      <w:bookmarkStart w:id="29" w:name="_Toc167379865"/>
      <w:r w:rsidRPr="00895D0B">
        <w:t>2.</w:t>
      </w:r>
      <w:r w:rsidR="00831189" w:rsidRPr="00895D0B">
        <w:t>3</w:t>
      </w:r>
      <w:r w:rsidRPr="00895D0B">
        <w:t xml:space="preserve"> History of Urban Agriculture</w:t>
      </w:r>
      <w:bookmarkEnd w:id="29"/>
      <w:r w:rsidRPr="00895D0B">
        <w:t xml:space="preserve"> </w:t>
      </w:r>
    </w:p>
    <w:p w14:paraId="3CB45F6E" w14:textId="77777777" w:rsidR="001B4ED5" w:rsidRPr="00895D0B" w:rsidRDefault="006B41C0">
      <w:pPr>
        <w:shd w:val="clear" w:color="auto" w:fill="FFFFFF"/>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Ever since cities were founded, urban agriculture has become increasingly important as a means of enhancing food security and sustaining the lives of urban populations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{"citationItems":[{"id":"ITEM-1","itemData":{"DOI":"10.1111/1745-5871.12234","ISSN":"17455871","abstract":"Kenya is rapidly urbanising. In the growing cities and towns, there is an increasing need for food supplies, creating demand for agricultural products. High unemployment rates, urban poverty, and food and nutrition insecurity force some urban dwellers to partly adopt livelihood strategies based on urban agriculture. Presently in Kenya, urban and peri-urban agriculture plays an important role in urban food system, because it enhances livelihood strategies for urban households, not least the poor. Using a sample of 2,009 households, this study characterised urban farming and urban-based rural farming in medium-sized towns of Thika and Kisumu, Kenya. It further assessed food security levels of urban households engaged in farming and households that do not farm. Results demonstrate that more than half of the households produced part of their food, either in urban or rural areas. About 37 per cent and 25 per cent of the respondents produced food in rural and urban areas, respectively. Generally, more of the households engaged in both urban farming and urban-based rural agriculture are more food secure compared with the non-farming households. Urban farming has a potential of improving household food security and provision of fungible income; hence, the practice should be included in the urban food policies.","author":[{"dropping-particle":"","family":"Omondi","given":"S. O.","non-dropping-particle":"","parse-names":false,"suffix":""},{"dropping-particle":"","family":"Oluoch-Kosura","given":"W.","non-dropping-particle":"","parse-names":false,"suffix":""},{"dropping-particle":"","family":"Jirström","given":"M.","non-dropping-particle":"","parse-names":false,"suffix":""}],"container-title":"Geographical Research","id":"ITEM-1","issue":"2","issued":{"date-parts":[["2017"]]},"page":"231-241","title":"The role of urban-based agriculture on food security: Kenyan case studies","type":"article-journal","volume":"55"},"uris":["http://www.mendeley.com/documents/?uuid=f50ff584-5868-4d26-ac4e-8c298812c759"]}],"mendeley":{"formattedCitation":"(Omondi et al., 2017)","plainTextFormattedCitation":"(Omondi et al., 2017)","previouslyFormattedCitation":"(Omondi et al., 2017)"},"properties":{"noteIndex":0},"schema":"https://github.com/citation-style-language/schema/raw/master/csl-citation.json"}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(Omondi et al., 2017)</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Throughout history and the world, urban agriculture has thrived in a variety of different ways, depending on the location, the accessibility of tools, and cultural preferences. Urban populations in developing countries have been fed by multi-</w:t>
      </w:r>
      <w:r w:rsidRPr="00895D0B">
        <w:rPr>
          <w:rFonts w:eastAsia="Times New Roman" w:cs="Times New Roman"/>
          <w:color w:val="000000" w:themeColor="text1"/>
          <w:szCs w:val="24"/>
          <w:lang w:eastAsia="en-GB"/>
        </w:rPr>
        <w:lastRenderedPageBreak/>
        <w:t xml:space="preserve">story arrangements of trees, bushes, and herbaceous plants in backyard gardens for thousands of years. High levels of biodiversity are supported by a variety of products produced by these specialized agroforestry systems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{"citationItems":[{"id":"ITEM-1","itemData":{"DOI":"10.5261/2014.esp1.08","ISBN":"0000000244596","ISSN":"21711216","abstract":"To date, analyses of European policies as they pertain to urban agriculture and new modes of socio-technical innovation are rare, beyond general assessments that recognise relative degrees of influence. The purpose of this paper is thus to provide a targeted review of key European policies that impact and are likely to impact upon urban agriculture and sustainable modes of food provisioning, with a particular focus on the Bristol city-region, to provide contextualisation. Through interviews with key actors in the city-region we reflect on the importance not only of European level policies but also of how they are perceived and interpreted at a local level. By way of a systematic review based on key themes relevant to urban agriculture, the paper presents analysis of some of the key policies that are perceived to act to enable or frustrate the development of urban agriculture. The paper concludes by considering the ways in which a renewal of the CAP in particular might empower urban agriculture.","author":[{"dropping-particle":"","family":"Curry","given":"N.","non-dropping-particle":"","parse-names":false,"suffix":""},{"dropping-particle":"","family":"Reed","given":"M.","non-dropping-particle":"","parse-names":false,"suffix":""},{"dropping-particle":"","family":"Keech","given":"D.","non-dropping-particle":"","parse-names":false,"suffix":""},{"dropping-particle":"","family":"Maye","given":"D.","non-dropping-particle":"","parse-names":false,"suffix":""},{"dropping-particle":"","family":"Kirwan","given":"J.","non-dropping-particle":"","parse-names":false,"suffix":""}],"container-title":"Spanish Journal of Rural Development","id":"ITEM-1","issued":{"date-parts":[["2014"]]},"page":"91-106","title":"Urban agriculture and the policies of the European Union: the need for renewal","type":"article-journal"},"uris":["http://www.mendeley.com/documents/?uuid=d64a89c6-0fc4-4398-90f4-b03d5e874a19"]}],"mendeley":{"formattedCitation":"(Curry et al., 2014)","plainTextFormattedCitation":"(Curry et al., 2014)","previouslyFormattedCitation":"(Curry et al., 2014)"},"properties":{"noteIndex":0},"schema":"https://github.com/citation-style-language/schema/raw/master/csl-citation.json"}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(Curry et al., 2014)</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During the Middle Ages, the practice of cultivating fruits, vegetables, medicinal herbs, and cut flowers in kitchen gardens increased in popularity throughout Europe. Generally speaking, Machu Picchu serves as an illustration of a city built to support food production in the 16th century, complete with terraces, irrigation, waste management systems, and food storage, in addition to other critical infrastructure. Around the world, urban agriculture systems have developed to fulfil the demands of people who live in modern cities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abstract":"Agriculture","author":[{"dropping-particle":"","family":"Lohrberg","given":"F.","non-dropping-particle":"","parse-names":false,"suffix":""},{"dropping-particle":"","family":"Lička","given":"L.","non-dropping-particle":"","parse-names":false,"suffix":""},{"dropping-particle":"","family":"Scazzosi","given":"L.","non-dropping-particle":"","parse-names":false,"suffix":""},{"dropping-particle":"","family":"Timpe","given":"A.","non-dropping-particle":"","parse-names":false,"suffix":""}],"container-title":"European Union","id":"ITEM-1","issued":{"date-parts":[["2016"]]},"title":"Agriculture - EUROPA","type":"report"},"uris":["http://www.mendeley.com/documents/?uuid=900dcd26-49c6-46a6-8595-5d7da0d22a66"]}],"mendeley":{"formattedCitation":"(Lohrberg et al., 2016)","plainTextFormattedCitation":"(Lohrberg et al., 2016)","previouslyFormattedCitation":"(Lohrberg et al., 2016)"},"properties":{"noteIndex":0},"schema":"https://github.com/citation-style-language/schema/raw/master/csl-citation.json"}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(Lohrberg et al., 2016)</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There have been numerous unique occurrences reported, mostly in underdeveloped countries in Southeast Asia, Latin America, and sub-Saharan Africa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{"citationItems":[{"id":"ITEM-1","itemData":{"DOI":"10.1201/9781003070474-2","ISBN":"9781003070474","abstract":"First presents a framework for the universal definition of sustainable agriculture, then explores the evolution of the concept, including biodynamic agriculture, humus farming concepts, and the organic philosophy. The 1960s are highlighted as a transition period, which although narrowly focussed saw the emergence of Green Revolution thinking, followed by a broadened research profile in the 1970s. The author also discusses national agendas for agricultural development, and finally discusses how to move from concepts to action. -P.Hardiman","author":[{"dropping-particle":"","family":"Harwood","given":"R. R.","non-dropping-particle":"","parse-names":false,"suffix":""}],"container-title":"Sustainable agricultural systems","edition":"third","id":"ITEM-1","issued":{"date-parts":[["2020"]]},"number-of-pages":"3-19","title":"A history of sustainable agriculture","type":"book"},"uris":["http://www.mendeley.com/documents/?uuid=52c6b31b-5e1e-40a6-9b54-dd1b7165b9d7"]}],"mendeley":{"formattedCitation":"(Harwood, 2020)","manualFormatting":"(Orsini et al., 2013; Harwood, 2020","plainTextFormattedCitation":"(Harwood, 2020)","previouslyFormattedCitation":"(Harwood, 2020)"},"properties":{"noteIndex":0},"schema":"https://github.com/citation-style-language/schema/raw/master/csl-citation.json"}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(Orsini et al., 2013; Harwood, 2020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{"citationItems":[{"id":"ITEM-1","itemData":{"DOI":"10.1007/s13593-013-0143-z","ISSN":"17740746","abstract":"The year 2007 marked a critical event in the world history. For the first time, more than half of the world population now lives in cities. In many developing countries, the urbanization process goes along with increasing urban poverty and polluted environment, growing food insecurity and malnutrition, especially for children, pregnant and lactating women; and increasing unemployment. Urban agriculture represents an opportunity for improving food supply, health conditions, local economy, social integration, and environmental sustainability altogether. Urban agriculture is present throughout the world in a diversity of farming systems. Urban dwellers ranging 25-30 % are involved worldwide in the agro-food sector. Urban agriculture will gain in recognition for its benefits and services because urban population and rural-urban migration are increasing. The actual scarcity of knowledge on urban agriculture has somehow hindered the relevance of this activity. Here, we review the social, cultural, technical, economic, environmental, and political factors affecting urban agriculture with examples taken in East Asia, South America, or East Africa. We discuss the definition, benefits, and limitations of urban agriculture. Food security benefit of urban agriculture is evidenced by 100-200 million urban farmers worldwide providing the city markets with fresh horticultural goods. Urban agriculture favors social improvement since the poors spend up to 85 % of their income in food purchase and most urban farmers belong to poorest populations. Sociologically urban farming favors both social inclusion and reduction of gender inequalities, as 65 % of urban farmers are women. Urban agriculture has ecological benefits by reducing the city waste, improving urban biodiversity and air quality, and overall reducing the environmental impact related to both food transport and storage. The production of horticultural goods shows the main benefits of urban agriculture. Fruit and vegetable crops give high yields, up to 50 kg m-2 year-1, a more efficient use of agricultural inputs, high added value, and rapidly perishable products that can easily substitute the rural production in the local market. Urban horticulture is the most competitive branch of urban farming due to the high cost of urban land and with the need of high water- and fertilizer-use efficiency. Traditional urban horticulture systems are classified in four types: allotment and family gardens, simplified extensive sy…","author":[{"dropping-particle":"","family":"Orsini","given":"F.","non-dropping-particle":"","parse-names":false,"suffix":""},{"dropping-particle":"","family":"Kahane","given":"R.","non-dropping-particle":"","parse-names":false,"suffix":""},{"dropping-particle":"","family":"Nono-Womdim","given":"R.","non-dropping-particle":"","parse-names":false,"suffix":""},{"dropping-particle":"","family":"Gianquinto","given":"G.","non-dropping-particle":"","parse-names":false,"suffix":""}],"container-title":"Agronomy for Sustainable Development","id":"ITEM-1","issue":"4","issued":{"date-parts":[["2013"]]},"page":"695-720","title":"Urban agriculture in the developing world: A review","type":"article-journal","volume":"33"},"uris":["http://www.mendeley.com/documents/?uuid=1a48d5cd-3df8-4465-9e15-eef3d99cc9f9"]}],"mendeley":{"formattedCitation":"(Orsini et al., 2013)","manualFormatting":")","plainTextFormattedCitation":"(Orsini et al., 2013)","previouslyFormattedCitation":"(Orsini et al., 2013)"},"properties":{"noteIndex":0},"schema":"https://github.com/citation-style-language/schema/raw/master/csl-citation.json"}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These facilities typically focus on improving the lives of the needy in cities by giving food. Providing food for consumption, lowering food costs, diversifying sources of income, and empowering the underprivileged are often the main goals when trying to improve the lives of the poor in urban areas. The demise of the Soviet Union, which terminated the extensive trade between Havana, and Cuba has supplied the city with the most remarkable example of urban agriculture in recent years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{"citationItems":[{"id":"ITEM-1","itemData":{"DOI":"10.1007/978-3-030-67650-6","ISBN":"9783030676506","author":[{"dropping-particle":"","family":"Shackleton","given":"C. M.","non-dropping-particle":"","parse-names":false,"suffix":""},{"dropping-particle":"","family":"Cilliers","given":"S. S.","non-dropping-particle":"","parse-names":false,"suffix":""},{"dropping-particle":"","family":"Davoren","given":"E.","non-dropping-particle":"","parse-names":false,"suffix":""},{"dropping-particle":"","family":"Du","given":"M. J.","non-dropping-particle":"","parse-names":false,"suffix":""}],"id":"ITEM-1","issue":"December","issued":{"date-parts":[["2021"]]},"title":"Urban Ecology in the Global South","type":"book"},"uris":["http://www.mendeley.com/documents/?uuid=e5ee320c-3e41-4135-b1dd-5e4cf420c7ed"]}],"mendeley":{"formattedCitation":"(Shackleton et al., 2021)","plainTextFormattedCitation":"(Shackleton et al., 2021)","previouslyFormattedCitation":"(Shackleton et al., 2021)"},"properties":{"noteIndex":0},"schema":"https://github.com/citation-style-language/schema/raw/master/csl-citation.json"}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(Shackleton et al., 2021)</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Missed opportunities to import petrochemicals, machinery, and food, as well as lower export earnings (particularly from sugarcane), all hurt Havana. Urban agriculture in Havana increased 38% yearly on average from 1997 to 2003, generating. A substantial portion of the production has been done in "organoponicos," which are raised beds that can be built on nearly any piece of land and are filled with a mixture of soil and organic materials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{"citationItems":[{"id":"ITEM-1","itemData":{"DOI":"10.5772/intechopen.90722","abstract":"Abstract Long-haul travel does not constitute an obstacle for tourists to travel and is fast gaining the attention of tourists in new and unique experiences. This study was conducted to identify the long-haul travel motivation by international tourists to Penang. A total of 400 respondents participated in this survey, conducted around the tourist attractions in Penang, using cluster random sampling. However, only 370 questionnaires were only used for this research. Data were analysed using SPSS software 22 version. The findings, ‘knowledge and novelty seeking’ were the main push factors that drove long-haul travel by international tourists to Penang. Meanwhile, the main pull factor that attracts long- haul travel by international tourists to Penang was its ‘culture and history’. Additionally, there were partly direct and significant relationships between socio-demographic, trip characteristics and travel motivation (push factors and pull factors). Overall, this study identified the long-haul travel motivations by international tourists to Penang based on socio-demographic, trip characteristics and travel motivation and has indirectly helped in understanding the long-haul travel market particularly for Penang and Southeast Asia. This research also suggested for an effective marketing and promotion strategy in pro- viding useful information that is the key to attract international tourists to travel long distances. Keywords:","author":[{"dropping-particle":"","family":"Amao","given":"I.","non-dropping-particle":"","parse-names":false,"suffix":""}],"container-title":"Urban Horticulture - Necessity of the Future","id":"ITEM-1","issued":{"date-parts":[["2020"]]},"page":"1-10","title":"Urban Horticulture in Sub-Saharan Africa","type":"article-journal"},"uris":["http://www.mendeley.com/documents/?uuid=fb24b0d6-cb02-437c-a934-660aa040378b"]}],"mendeley":{"formattedCitation":"(Amao, 2020)","plainTextFormattedCitation":"(Amao, 2020)","previouslyFormattedCitation":"(Amao, 2020)"},"properties":{"noteIndex":0},"schema":"https://github.com/citation-style-language/schema/raw/master/csl-citation.json"}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(Amao, 2020)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The majority of the land inside the city limits of Havana (including adjacent rural areas and urban fringes) has been used for urban agriculture. The numerous advantages that urban agriculture may offer have attracted the attention of numerous communities in wealthy countries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{"citationItems":[{"id":"ITEM-1","itemData":{"abstract":"PIAUS is managed by a diverse set of government and non-government actors, allowing for distinct needs from the national to the local level to be met (see Figure 1). The central axis of …","author":[{"dropping-particle":"","family":"Fernandez","given":"M.","non-dropping-particle":"","parse-names":false,"suffix":""}],"container-title":"Urban Agriculture Magazine","id":"ITEM-1","issue":"33","issued":{"date-parts":[["2017"]]},"page":"41-44","title":"Urban Agriculture in Cuba: 30 Years of policy and practice","type":"article-journal"},"uris":["http://www.mendeley.com/documents/?uuid=bc3436b5-3823-4521-b671-082d92e64b2c"]}],"mendeley":{"formattedCitation":"(Fernandez, 2017)","plainTextFormattedCitation":"(Fernandez, 2017)","previouslyFormattedCitation":"(Fernandez, 2017)"},"properties":{"noteIndex":0},"schema":"https://github.com/citation-style-language/schema/raw/master/csl-citation.json"}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(Fernandez, 2017)</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Planning or policy initiatives have been implemented to encourage food production within city limits, with a significant focus on the social roles that urban agriculture fills. For instance, Montreal is a city with a successful system of urban agriculture, with 97 communal gardens offering 8,200 distinct plots. These garden areas have received appreciation for their benefits to neighbourhood social interaction, individual empowerment, and increased technical knowledge. Multifunctional urban agriculture, a new trend in food production that Beijing is adopting, has resulted in the growth of enormous greenhouses and </w:t>
      </w:r>
      <w:r w:rsidRPr="00895D0B">
        <w:rPr>
          <w:rFonts w:eastAsia="Times New Roman" w:cs="Times New Roman"/>
          <w:color w:val="000000" w:themeColor="text1"/>
          <w:szCs w:val="24"/>
          <w:lang w:eastAsia="en-GB"/>
        </w:rPr>
        <w:lastRenderedPageBreak/>
        <w:t xml:space="preserve">organic, diversified farms throughout the city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{"citationItems":[{"id":"ITEM-1","itemData":{"DOI":"10.1201/9781003070474-2","ISBN":"9781003070474","abstract":"First presents a framework for the universal definition of sustainable agriculture, then explores the evolution of the concept, including biodynamic agriculture, humus farming concepts, and the organic philosophy. The 1960s are highlighted as a transition period, which although narrowly focussed saw the emergence of Green Revolution thinking, followed by a broadened research profile in the 1970s. The author also discusses national agendas for agricultural development, and finally discusses how to move from concepts to action. -P.Hardiman","author":[{"dropping-particle":"","family":"Harwood","given":"R. R.","non-dropping-particle":"","parse-names":false,"suffix":""}],"container-title":"Sustainable agricultural systems","edition":"third","id":"ITEM-1","issued":{"date-parts":[["2020"]]},"number-of-pages":"3-19","title":"A history of sustainable agriculture","type":"book"},"uris":["http://www.mendeley.com/documents/?uuid=52c6b31b-5e1e-40a6-9b54-dd1b7165b9d7"]}],"mendeley":{"formattedCitation":"(Harwood, 2020)","plainTextFormattedCitation":"(Harwood, 2020)","previouslyFormattedCitation":"(Harwood, 2020)"},"properties":{"noteIndex":0},"schema":"https://github.com/citation-style-language/schema/raw/master/csl-citation.json"}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(Harwood, 2020)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Many agricultural fields have been preserved for the sole purpose of generating food in Shanghai, China, which is recognized as the birthplace of urban agriculture. 90% of the eggs and 60% of the vegetables are consumed worldwide by city inhabitants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{"citationItems":[{"id":"ITEM-1","itemData":{"DOI":"10.1007/s10460-017-9784-x","ISSN":"15728366","abstract":"While a growing body of scholarship identifies urban agriculture’s broad suite of benefits and drivers, it remains unclear how motivations to engage in urban agriculture (UA) interrelate or how they differ across cities and types of organizations. In this paper, we draw on survey responses collected from more than 250 UA organizations and businesses from 84 cities across the United States and Canada. Synthesizing the results of our quantitative analysis of responses (including principal components analysis), qualitative analysis of textual data excerpted from open-ended responses, and a review of existing literature, we describe six motivational frames that appear to guide organizations and businesses in their UA practice: Entrepreneurial, Sustainable Development, Educational, Eco-Centric, DIY Secessionist, and Radical. Identifying how practitioners stack functions and frame their work is a first step in helping to differentiate the diverse and often contradictory efforts transforming urban food environments. We demonstrate that a wide range of objectives drive UA and that political orientations and discourses differ by geography, organizational type and size, and funding regime. These six paradigms provide a basic framework for understanding UA that can guide more in-depth studies of the gap between intentions and outcomes, while helping link historically and geographically specific insights to wider social and political economic processes.","author":[{"dropping-particle":"","family":"McClintock","given":"N.","non-dropping-particle":"","parse-names":false,"suffix":""},{"dropping-particle":"","family":"Simpson","given":"M.","non-dropping-particle":"","parse-names":false,"suffix":""}],"container-title":"Agriculture and Human Values","id":"ITEM-1","issue":"1","issued":{"date-parts":[["2018"]]},"page":"19-39","title":"Stacking functions: identifying motivational frames guiding urban agriculture organizations and businesses in the United States and Canada","type":"article-journal","volume":"35"},"uris":["http://www.mendeley.com/documents/?uuid=2a3230ff-39a1-4f3d-b0d9-83a99e11398e"]}],"mendeley":{"formattedCitation":"(McClintock &amp; Simpson, 2018)","plainTextFormattedCitation":"(McClintock &amp; Simpson, 2018)","previouslyFormattedCitation":"(McClintock &amp; Simpson, 2018)"},"properties":{"noteIndex":0},"schema":"https://github.com/citation-style-language/schema/raw/master/csl-citation.json"}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(McClintock &amp; Simpson, 2018)</w:t>
      </w:r>
      <w:r w:rsidRPr="00895D0B">
        <w:rPr>
          <w:rFonts w:eastAsia="Times New Roman" w:cs="Times New Roman"/>
          <w:color w:val="000000" w:themeColor="text1"/>
          <w:szCs w:val="24"/>
          <w:lang w:eastAsia="en-GB"/>
        </w:rPr>
        <w:fldChar w:fldCharType="end"/>
      </w:r>
      <w:r w:rsidRPr="00895D0B">
        <w:rPr>
          <w:rFonts w:cs="Times New Roman"/>
          <w:color w:val="000000" w:themeColor="text1"/>
          <w:szCs w:val="24"/>
        </w:rPr>
        <w:t>.</w:t>
      </w:r>
      <w:r w:rsidRPr="00895D0B">
        <w:rPr>
          <w:rFonts w:eastAsia="Times New Roman" w:cs="Times New Roman"/>
          <w:color w:val="000000" w:themeColor="text1"/>
          <w:szCs w:val="24"/>
          <w:lang w:eastAsia="en-GB"/>
        </w:rPr>
        <w:t xml:space="preserve"> There are roughly 1,200 garden plots, or 0.65% of the total land area, in the Terrassa municipality of the Barcelona Metropolitan Area. Even though many of these locations are occupied illegally, they still provide for a considerable portion of the vegetable needs of home gardeners, and 350 hectares of land are designated for urban gardens, and there are 250,000 communal and allotment gardens spread throughout 4,000 ha of land in the Netherlands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{"citationItems":[{"id":"ITEM-1","itemData":{"DOI":"10.1007/s00003-020-01293-y","ISBN":"0000302001293","ISSN":"16615751","author":[{"dropping-particle":"","family":"Orsini","given":"F.","non-dropping-particle":"","parse-names":false,"suffix":""}],"container-title":"Journal fur Verbraucherschutz und Lebensmittelsicherheit","id":"ITEM-1","issue":"3","issued":{"date-parts":[["2020"]]},"page":"203-204","publisher":"Springer International Publishing","title":"Innovation and sustainability in urban agriculture: the path forward","type":"article-journal","volume":"15"},"uris":["http://www.mendeley.com/documents/?uuid=122aefe0-8fbf-4942-9cf8-760e56e6cd6d"]}],"mendeley":{"formattedCitation":"(Orsini, 2020)","plainTextFormattedCitation":"(Orsini, 2020)","previouslyFormattedCitation":"(Orsini, 2020)"},"properties":{"noteIndex":0},"schema":"https://github.com/citation-style-language/schema/raw/master/csl-citation.json"}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(Orsini, 2020)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Urban agriculture is undoubtedly still a significant and extensive sector in many areas. </w:t>
      </w:r>
    </w:p>
    <w:p w14:paraId="6EBDC8FD" w14:textId="77777777" w:rsidR="001B4ED5" w:rsidRPr="00895D0B" w:rsidRDefault="001B4ED5" w:rsidP="006B52B6">
      <w:pPr>
        <w:pStyle w:val="NoSpacing"/>
      </w:pPr>
    </w:p>
    <w:p w14:paraId="01D47D70" w14:textId="3DB183F9" w:rsidR="001B4ED5" w:rsidRPr="00895D0B" w:rsidRDefault="006B41C0">
      <w:pPr>
        <w:pStyle w:val="Heading2"/>
      </w:pPr>
      <w:bookmarkStart w:id="30" w:name="_Toc167379866"/>
      <w:r w:rsidRPr="00895D0B">
        <w:t>2.</w:t>
      </w:r>
      <w:r w:rsidR="00831189" w:rsidRPr="00895D0B">
        <w:t>4</w:t>
      </w:r>
      <w:r w:rsidRPr="00895D0B">
        <w:t xml:space="preserve"> Characteristics of Urban Farming</w:t>
      </w:r>
      <w:bookmarkEnd w:id="30"/>
    </w:p>
    <w:p w14:paraId="4FDCD7FA" w14:textId="77777777" w:rsidR="001B4ED5" w:rsidRPr="00895D0B" w:rsidRDefault="006B41C0">
      <w:pPr>
        <w:spacing w:line="360" w:lineRule="auto"/>
        <w:rPr>
          <w:rFonts w:eastAsia="Times New Roman" w:cs="Times New Roman"/>
          <w:color w:val="000000" w:themeColor="text1"/>
          <w:szCs w:val="24"/>
          <w:lang w:eastAsia="en-GB"/>
        </w:rPr>
      </w:pPr>
      <w:r w:rsidRPr="00895D0B">
        <w:rPr>
          <w:rFonts w:cs="Times New Roman"/>
          <w:color w:val="000000" w:themeColor="text1"/>
          <w:szCs w:val="24"/>
        </w:rPr>
        <w:t xml:space="preserve">Urban agricultural production is characterized by many components. These range from the site and ownership of the farms (private/public) land, to residential yards, and uncompleted building structures as just a few city authorities incorporate urban farming into planning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{"citationItems":[{"id":"ITEM-1","itemData":{"DOI":"10.1080/13549839.2017.1357686","ISSN":"14696711","abstract":"Urban farming–a type of urban agriculture focused on entrepreneurial food production–serves multiple functions in neighbourhoods; yet these are not well delineated. Expectations for urban farming often centre on traditional measures of economic development, potentially overlooking other benefits. Through a qualitative case study conducted in Baltimore, Maryland, we sought to understand community perceptions regarding the ways in which urban farms can benefit cities. Interviews with residents, neighbourhood leaders, and urban farmers in three residential neighbourhoods with urban farms revealed the pathways by which community members view farms as improving neighbourhoods. Benefits stemmed from four primary changes urban farms made to study neighbourhoods: creation of public projects welcoming involvement, physical improvement of degraded space, production of local food, and creation of new businesses. These changes led to multiple perceived benefits including increased social connectedness, a transformed physical landscape, improved neighbourhood reputation, increased access to fresh produce, and educational, youth development, and employment opportunities. Our findings demonstrate the importance of a multifunctional paradigm that accounts for social and educational functions in assessing the value of urban farming and bring empirical evidence to the concept of multifunctional agriculture. Urban farms with strong social aims may appear to contribute little to economic development if measured using traditional indicators of success such as job creation or fiscal impacts, but provide numerous other benefits for community development.","author":[{"dropping-particle":"","family":"Poulsen","given":"M. N.","non-dropping-particle":"","parse-names":false,"suffix":""},{"dropping-particle":"","family":"Neff","given":"R. A.","non-dropping-particle":"","parse-names":false,"suffix":""},{"dropping-particle":"","family":"Winch","given":"P. J.","non-dropping-particle":"","parse-names":false,"suffix":""}],"container-title":"Local Environment","id":"ITEM-1","issue":"11","issued":{"date-parts":[["2017"]]},"page":"1411-1427","publisher":"Taylor &amp; Francis","title":"The multifunctionality of urban farming: perceived benefits for neighbourhood improvement","type":"article-journal","volume":"22"},"uris":["http://www.mendeley.com/documents/?uuid=104106da-fb78-4ab8-817e-8a3710d492c6"]}],"mendeley":{"formattedCitation":"(Poulsen et al., 2017)","plainTextFormattedCitation":"(Poulsen et al., 2017)","previouslyFormattedCitation":"(Poulsen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(Poulsen et al., 2017)</w:t>
      </w:r>
      <w:r w:rsidRPr="00895D0B">
        <w:rPr>
          <w:rFonts w:cs="Times New Roman"/>
          <w:color w:val="000000" w:themeColor="text1"/>
          <w:szCs w:val="24"/>
        </w:rPr>
        <w:fldChar w:fldCharType="end"/>
      </w:r>
      <w:r w:rsidRPr="00895D0B">
        <w:rPr>
          <w:rFonts w:cs="Times New Roman"/>
          <w:color w:val="000000" w:themeColor="text1"/>
          <w:szCs w:val="24"/>
        </w:rPr>
        <w:t xml:space="preserve">. Similarly, other places such as parks, schoolyards, cemeteries, and churches are all suitable locations to encourage food production. Firstly, most urban areas include a few tiny patches of shared or public green space, which offer urban agriculture a substantial chance to thrive as a part of the ecological infrastructure. Urban gardening may also be practiced in the open space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{"citationItems":[{"id":"ITEM-1","itemData":{"DOI":"10.1186/s12942-017-0110-z","ISSN":"1476072X","PMID":"29037243","abstract":"Background: Food access is a global issue, and for this reason, a wealth of studies are dedicated to understanding the location of food deserts and the benefits of urban gardens. However, few studies have linked these two strands of research together to analyze whether urban gardening activity may be a step forward in addressing issues of access for food desert residents. Methods: The Phoenix, Arizona metropolitan area is used as a case to demonstrate the utility of spatial optimization models for siting urban gardens near food deserts and on vacant land. The locations of urban gardens are derived from a list obtained from the Maricopa County Cooperative Extension office at the University of Arizona which were geo located and aggregated to Census tracts. Census tracts were then assigned to one of three categories: tracts that contain a garden, tracts that are immediately adjacent to a tract with a garden, and all other non-garden/non-adjacent census tracts. Analysis of variance is first used to ascertain whether there are statistical differences in the demographic, socio-economic, and land use profiles of these three categories of tracts. A maximal covering spatial optimization model is then used to identify potential locations for future gardening activities. A constraint of these models is that gardens be located on vacant land, which is a growing problem in rapidly urbanizing environments worldwide. Results: The spatial analysis of garden locations reveals that they are centrally located in tracts with good food access. Thus, the current distribution of gardens does not provide an alternative food source to occupants of food deserts. The maximal covering spatial optimization model reveals that gardens could be sited in alternative locations to better serve food desert residents. In fact, 53 gardens may be located to cover 96.4% of all food deserts. This is an improvement over the current distribution of gardens where 68 active garden sites provide coverage to a scant 8.4% of food desert residents. Conclusion: People in rapidly urbanizing environments around the globe suffer from poor food access. Rapid rates of urbanization also present an unused vacant land problem in cities around the globe. This paper highlights how spatial optimization models can be used to improve healthy food access for food desert residents, which is a critical first step in ameliorating the health problems associated with lack of healthy food access including heart disease an…","author":[{"dropping-particle":"","family":"Mack","given":"E. A.","non-dropping-particle":"","parse-names":false,"suffix":""},{"dropping-particle":"","family":"Tong","given":"D.","non-dropping-particle":"","parse-names":false,"suffix":""},{"dropping-particle":"","family":"Credit","given":"K.","non-dropping-particle":"","parse-names":false,"suffix":""}],"container-title":"International Journal of Health Geographics","id":"ITEM-1","issue":"1","issued":{"date-parts":[["2017"]]},"page":"1-16","publisher":"BioMed Central","title":"Gardening in the desert: A spatial optimization approach to locating gardens in rapidly expanding urban environments","type":"article-journal","volume":"16"},"uris":["http://www.mendeley.com/documents/?uuid=c1817cbd-af7d-4d74-a1e2-6807d234838f"]}],"mendeley":{"formattedCitation":"(Mack et al., 2017)","plainTextFormattedCitation":"(Mack et al., 2017)","previouslyFormattedCitation":"(Mack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(Mack et al., 2017)</w:t>
      </w:r>
      <w:r w:rsidRPr="00895D0B">
        <w:rPr>
          <w:rFonts w:cs="Times New Roman"/>
          <w:color w:val="000000" w:themeColor="text1"/>
          <w:szCs w:val="24"/>
        </w:rPr>
        <w:fldChar w:fldCharType="end"/>
      </w:r>
      <w:r w:rsidRPr="00895D0B">
        <w:rPr>
          <w:rFonts w:cs="Times New Roman"/>
          <w:color w:val="000000" w:themeColor="text1"/>
          <w:szCs w:val="24"/>
        </w:rPr>
        <w:t xml:space="preserve">. Even minor improvements can make a big difference when city dwellers are aware of the connection between the food they consume and the environment. Farmers could, for instance, plant a small orchard in a park, replace street trees with fruit trees, grow herbs and vegetables in pots, or make a hedge of fruiting plants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{"citationItems":[{"id":"ITEM-1","itemData":{"DOI":"10.1007/s11252-019-0833-7","ISSN":"15731642","abstract":"Domestic gardens are the major contributor to greening the spatial plan in some compact cities. Irbid, Jordan is a densely populated city that has limited and deteriorating natural vegetation and is located in an arid to semi-arid climate. We investigated the density of domestic gardens (proportion of gardened residential units) in Irbid city and explored some properties of domestic gardens. The research focused on the city domestic garden types, their distribution, gardens proportions and association to household economic status and parcel area. Four hundred and thirty residential units were selected randomly using Geographical Information Systems (GIS). The sample size for each district was identified proportionally relative to the district’s total residential units. Parcel area, district population, household income and landscape properties information were obtained from GIS maps, homeowners’ interviews or on site observations. Sixty-two percent of the city residential units had gardens and those gardens were distributed unequally (21–100%) among city districts. Rural areas had higher garden densities (proportions) compared to that at the city center. Around 50% of the city gardens were utilitarian and were concentrated in the rural areas, while the aesthetically designed gardens represented 21% of the total gardens and were significantly concentrated near the core urban area of the city. Around 53% of the city domestic gardens were categorized as side yards. The districts’ domestic garden proportions and parcel sizes were positively correlated. The proportions of aesthetic gardens were positively correlated with districts’ median income while utilitarian garden proportions strongly and inversely correlated with districts income. This knowledge about the proportions of domestic gardens distribution, trends, garden attributes and other factors that interfere with the existence and shape of domestic gardens has implications for species composition and can serve as a basis for green infrastructure planning, sustainable environmental planning strategies, and land use policies.","author":[{"dropping-particle":"","family":"Al-Kofahi","given":"S. D.","non-dropping-particle":"","parse-names":false,"suffix":""},{"dropping-particle":"","family":"Gharaibeh","given":"A. A.","non-dropping-particle":"","parse-names":false,"suffix":""},{"dropping-particle":"","family":"Bsoul","given":"E. Y.","non-dropping-particle":"","parse-names":false,"suffix":""},{"dropping-particle":"","family":"Othman","given":"Y. A.","non-dropping-particle":"","parse-names":false,"suffix":""},{"dropping-particle":"","family":"Hilaire","given":"R.","non-dropping-particle":"St.","parse-names":false,"suffix":""}],"container-title":"Urban Ecosystems","id":"ITEM-1","issue":"3","issued":{"date-parts":[["2019"]]},"page":"567-581","title":"Investigating domestic gardens’ densities, spatial distribution and types among city districts","type":"article-journal","volume":"22"},"uris":["http://www.mendeley.com/documents/?uuid=047ba778-0c03-460a-a20f-625e4e9a1103"]}],"mendeley":{"formattedCitation":"(Al-Kofahi et al., 2019)","plainTextFormattedCitation":"(Al-Kofahi et al., 2019)","previouslyFormattedCitation":"(Al-Kofahi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(Al-Kofahi et al., 2019)</w:t>
      </w:r>
      <w:r w:rsidRPr="00895D0B">
        <w:rPr>
          <w:rFonts w:cs="Times New Roman"/>
          <w:color w:val="000000" w:themeColor="text1"/>
          <w:szCs w:val="24"/>
        </w:rPr>
        <w:fldChar w:fldCharType="end"/>
      </w:r>
      <w:r w:rsidRPr="00895D0B">
        <w:rPr>
          <w:rFonts w:cs="Times New Roman"/>
          <w:color w:val="000000" w:themeColor="text1"/>
          <w:szCs w:val="24"/>
        </w:rPr>
        <w:t xml:space="preserve"> Secondly, urban farming is done on private parcels inside city limits, where one can find urban agriculture efforts, which can range from small backyard vegetable gardens to highly successful entrepreneurial farms. Urban market gardens, which are tiny farms that grow high value produce, are perfectly positioned to support the specialty markets in the area and lessen the need to export goods over great distances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{"citationItems":[{"id":"ITEM-1","itemData":{"DOI":"10.1007/s41651-022-00129-7","ISSN":"25098829","abstract":"Local agricultural production provides opportunities for communities to cultivate resilience in local food supply systems, especially in urban areas underserved by supermarkets or other sources of fresh, affordable, healthy foods. While suitability analyses have traditionally been used to identify suitable locations for community-based food gardens, these models do not typically account for the potential for exposure to pollutants in urban settings, including contamination from industry, transportation infrastructure, or other sources. Using the city of Houston, Texas, as a case study, this paper describes a proposed suitability analysis for siting urban gardens that includes a pollution hazard index in addition to more typical criteria such as size, slope, and solar access. Geographical information systems spatial analyses were employed to determine if existing community gardens in Houston, Texas, are appropriately sited when a composite pollution hazard index score was added as a siting criteria. Results suggest a need to better optimize community garden siting to attenuate both disparate access to fresh produce and reduce risk of urban horticultural environmental exposure to contaminants in many areas.","author":[{"dropping-particle":"","family":"Kirsch","given":"K. R.","non-dropping-particle":"","parse-names":false,"suffix":""},{"dropping-particle":"","family":"Newman","given":"G. D.","non-dropping-particle":"","parse-names":false,"suffix":""},{"dropping-particle":"","family":"Zhu","given":"Rui","non-dropping-particle":"","parse-names":false,"suffix":""},{"dropping-particle":"","family":"McDonald","given":"T. J.","non-dropping-particle":"","parse-names":false,"suffix":""},{"dropping-particle":"","family":"Xu","given":"X.","non-dropping-particle":"","parse-names":false,"suffix":""},{"dropping-particle":"","family":"Horney","given":"J. A.","non-dropping-particle":"","parse-names":false,"suffix":""}],"container-title":"Journal of Geovisualization and Spatial Analysis","id":"ITEM-1","issue":"2","issued":{"date-parts":[["2022"]]},"page":"2022","title":"Applying and Integrating Urban Contamination Factors into Community Garden Siting","type":"article-journal","volume":"6"},"uris":["http://www.mendeley.com/documents/?uuid=43bd4edd-fabc-4552-8477-cb715b24cfbd"]}],"mendeley":{"formattedCitation":"(Kirsch et al., 2022)","plainTextFormattedCitation":"(Kirsch et al., 2022)","previouslyFormattedCitation":"(Kirsch et al.,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(Kirsch et al., 2022)</w:t>
      </w:r>
      <w:r w:rsidRPr="00895D0B">
        <w:rPr>
          <w:rFonts w:cs="Times New Roman"/>
          <w:color w:val="000000" w:themeColor="text1"/>
          <w:szCs w:val="24"/>
        </w:rPr>
        <w:fldChar w:fldCharType="end"/>
      </w:r>
      <w:r w:rsidRPr="00895D0B">
        <w:rPr>
          <w:rFonts w:cs="Times New Roman"/>
          <w:color w:val="000000" w:themeColor="text1"/>
          <w:szCs w:val="24"/>
        </w:rPr>
        <w:t xml:space="preserve">. The techniques that landowners can employ to keep a profitable farming enterprise running include increasing their ownership of land to increase manufacturing, intensifying manufacturing by developing substitute high-value crops, layering valuable products on top of the current operation, or starting new businesses </w:t>
      </w:r>
      <w:r w:rsidRPr="00895D0B">
        <w:rPr>
          <w:rFonts w:cs="Times New Roman"/>
          <w:color w:val="000000" w:themeColor="text1"/>
          <w:szCs w:val="24"/>
        </w:rPr>
        <w:lastRenderedPageBreak/>
        <w:t xml:space="preserve">that support the farm. For city inhabitants who enjoy being outdoors and using their hands to create things, market gardening might be a significant source of income and a distinctive way of life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{"citationItems":[{"id":"ITEM-1","itemData":{"DOI":"10.1007/978-94-017-7456","ISBN":"9789401774567","abstract":"A majority of the world’s population lives in cities. Urban areas have largely been disconnected from the processes associated with producing food. A broad range of community efforts have emerged to reconnect people in urban areas to fresh foods with expected benefits for public health. These efforts can be found in cities across the country and cross both economic and ethnic lines. They have been led by the non- scientific community and are best characterized as social movements. Expansion of agriculture to non- traditional areas including community or kitchen gardens in urban or peri- urban environments has the potential to provide a range of ecosystem services as well as reduce stressors on non- urban environments. These services/benefits include improved public health, improved human nutrition and diet, large-scale production of renewable resources, increased food security with less resilience on traditional agricultural landscapes and seascapes, enhanced ecosystem function in urban areas, and increased public appreciation for and understanding of ecosystem services.","author":[{"dropping-particle":"","family":"Snyder","given":"E. H.","non-dropping-particle":"","parse-names":false,"suffix":""},{"dropping-particle":"","family":"McIvor","given":"K.","non-dropping-particle":"","parse-names":false,"suffix":""},{"dropping-particle":"","family":"Brown","given":"S.","non-dropping-particle":"","parse-names":false,"suffix":""}],"container-title":"Sowing Seeds in the City: Human Dimensions","id":"ITEM-1","issued":{"date-parts":[["2016"]]},"number-of-pages":"1-400","publisher":"Springer","title":"Sowing Seeds in the City","type":"book"},"uris":["http://www.mendeley.com/documents/?uuid=380b770d-2c77-4207-b182-bf848aa20c53"]}],"mendeley":{"formattedCitation":"(Snyder et al., 2016)","plainTextFormattedCitation":"(Snyder et al., 2016)","previouslyFormattedCitation":"(Snyder et al., 2016)"},"properties":{"noteIndex":0},"schema":"https://github.com/citation-style-language/schema/raw/master/csl-citation.json"}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(Snyder et al., 2016)</w:t>
      </w:r>
      <w:r w:rsidRPr="00895D0B">
        <w:rPr>
          <w:rFonts w:cs="Times New Roman"/>
          <w:color w:val="000000" w:themeColor="text1"/>
          <w:szCs w:val="24"/>
        </w:rPr>
        <w:fldChar w:fldCharType="end"/>
      </w:r>
      <w:r w:rsidRPr="00895D0B">
        <w:rPr>
          <w:rFonts w:cs="Times New Roman"/>
          <w:color w:val="000000" w:themeColor="text1"/>
          <w:szCs w:val="24"/>
        </w:rPr>
        <w:t xml:space="preserve">. A variation of the community garden system known as small plot intensive involves intensely producing high-value crops on sub-acre plots with low equipment investment. As a result, customers can directly communicate with farmers and learn about the risks associated with operating an agricultural enterprise.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{"citationItems":[{"id":"ITEM-1","itemData":{"DOI":"10.1007/s11252-019-0833-7","ISSN":"15731642","abstract":"Domestic gardens are the major contributor to greening the spatial plan in some compact cities. Irbid, Jordan is a densely populated city that has limited and deteriorating natural vegetation and is located in an arid to semi-arid climate. We investigated the density of domestic gardens (proportion of gardened residential units) in Irbid city and explored some properties of domestic gardens. The research focused on the city domestic garden types, their distribution, gardens proportions and association to household economic status and parcel area. Four hundred and thirty residential units were selected randomly using Geographical Information Systems (GIS). The sample size for each district was identified proportionally relative to the district’s total residential units. Parcel area, district population, household income and landscape properties information were obtained from GIS maps, homeowners’ interviews or on site observations. Sixty-two percent of the city residential units had gardens and those gardens were distributed unequally (21–100%) among city districts. Rural areas had higher garden densities (proportions) compared to that at the city center. Around 50% of the city gardens were utilitarian and were concentrated in the rural areas, while the aesthetically designed gardens represented 21% of the total gardens and were significantly concentrated near the core urban area of the city. Around 53% of the city domestic gardens were categorized as side yards. The districts’ domestic garden proportions and parcel sizes were positively correlated. The proportions of aesthetic gardens were positively correlated with districts’ median income while utilitarian garden proportions strongly and inversely correlated with districts income. This knowledge about the proportions of domestic gardens distribution, trends, garden attributes and other factors that interfere with the existence and shape of domestic gardens has implications for species composition and can serve as a basis for green infrastructure planning, sustainable environmental planning strategies, and land use policies.","author":[{"dropping-particle":"","family":"Al-Kofahi","given":"S. D.","non-dropping-particle":"","parse-names":false,"suffix":""},{"dropping-particle":"","family":"Gharaibeh","given":"A. A.","non-dropping-particle":"","parse-names":false,"suffix":""},{"dropping-particle":"","family":"Bsoul","given":"E. Y.","non-dropping-particle":"","parse-names":false,"suffix":""},{"dropping-particle":"","family":"Othman","given":"Y. A.","non-dropping-particle":"","parse-names":false,"suffix":""},{"dropping-particle":"","family":"Hilaire","given":"R.","non-dropping-particle":"St.","parse-names":false,"suffix":""}],"container-title":"Urban Ecosystems","id":"ITEM-1","issue":"3","issued":{"date-parts":[["2019"]]},"page":"567-581","title":"Investigating domestic gardens’ densities, spatial distribution and types among city districts","type":"article-journal","volume":"22"},"uris":["http://www.mendeley.com/documents/?uuid=047ba778-0c03-460a-a20f-625e4e9a1103"]}],"mendeley":{"formattedCitation":"(Al-Kofahi et al., 2019)","manualFormatting":"Al-Kofahi et al. (2019)","plainTextFormattedCitation":"(Al-Kofahi et al., 2019)","previouslyFormattedCitation":"(Al-Kofahi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Al-Kofahi et al. (2019)</w:t>
      </w:r>
      <w:r w:rsidRPr="00895D0B">
        <w:rPr>
          <w:rFonts w:cs="Times New Roman"/>
          <w:color w:val="000000" w:themeColor="text1"/>
          <w:szCs w:val="24"/>
        </w:rPr>
        <w:fldChar w:fldCharType="end"/>
      </w:r>
      <w:r w:rsidRPr="00895D0B">
        <w:rPr>
          <w:rFonts w:cs="Times New Roman"/>
          <w:color w:val="000000" w:themeColor="text1"/>
          <w:szCs w:val="24"/>
        </w:rPr>
        <w:t xml:space="preserve"> said that a</w:t>
      </w:r>
      <w:r w:rsidRPr="00895D0B">
        <w:rPr>
          <w:rFonts w:eastAsia="Times New Roman" w:cs="Times New Roman"/>
          <w:color w:val="000000" w:themeColor="text1"/>
          <w:szCs w:val="24"/>
          <w:lang w:eastAsia="en-GB"/>
        </w:rPr>
        <w:t xml:space="preserve">round 50% of the city gardens are utilitarian, while 21% are aesthetically designed, and 53% are categorized as side yards. Urban gardening practices are evolving through emergent approaches and the use of diverse materials and components in garden construction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{"citationItems":[{"id":"ITEM-1","itemData":{"DOI":"10.1007/s12571-020-01058-3","ISBN":"1257102001","ISSN":"18764525","abstract":"Despite a 2.3% increase in world cereal production in 2019 over 2018, the number of people facing severe food insecurity may double from 135 million in January 2020 to 265 million by the end of 2020. The problem of food and nutritional insecurity is severe in urban centers, where the global population is projected to increase (%/year) by 1.84, 1.63, and 1.44 between 2015 to 2020, 2020 to 2025, and 2025 to 2030, and it will increase overall from 54% in 2016 to 60% by 2030. The number of megacities (&gt;10 million people) will increase from 34 in 2015 to 41 by 2030. The COVID-19 pandemic has aggravated food insecurity in urban centers because of the disruption in the food supply chain, aggravation of the physical and economic barriers that restrict access to food, and the catastrophic increase in food waste because of labor shortages. Thus, there is a need to adopt more resilient food systems, reduce food waste, and strengthen local food production. Enhancing availability at the household and community levels through home gardening and urban agriculture is an important strategy. Food production within the cities include small land farming in households, local community gardens, indoor and rooftop gardens, vertical farming, etc. Home gardening can play an important role in advancing food and nutritional security during and after the COVD-19 pandemic, while also strengthening the provisioning of numerous ecosystem services (i.e., plant biodiversity, microclimate, water runoff, water quality, human health). However, risks of soil contamination by heavy metals must be addressed.","author":[{"dropping-particle":"","family":"Lal","given":"R.","non-dropping-particle":"","parse-names":false,"suffix":""}],"container-title":"Food Security","id":"ITEM-1","issue":"4","issued":{"date-parts":[["2020"]]},"page":"871-876","publisher":"Food Security","title":"Home gardening and urban agriculture for advancing food and nutritional security in response to the COVID-19 pandemic","type":"article-journal","volume":"12"},"uris":["http://www.mendeley.com/documents/?uuid=721559c0-29b3-443f-bb8a-30e9c662b0f6"]}],"mendeley":{"formattedCitation":"(Lal, 2020)","plainTextFormattedCitation":"(Lal, 2020)","previouslyFormattedCitation":"(Lal, 2020)"},"properties":{"noteIndex":0},"schema":"https://github.com/citation-style-language/schema/raw/master/csl-citation.json"}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(Lal, 2020)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Constructing urban soils using locally sourced materials can mitigate lead exposure and promote community gardening in urban areas.</w:t>
      </w:r>
    </w:p>
    <w:p w14:paraId="665664B1" w14:textId="77777777" w:rsidR="001B4ED5" w:rsidRPr="00895D0B" w:rsidRDefault="001B4ED5" w:rsidP="006B52B6">
      <w:pPr>
        <w:pStyle w:val="NoSpacing"/>
        <w:rPr>
          <w:lang w:eastAsia="en-GB"/>
        </w:rPr>
      </w:pPr>
    </w:p>
    <w:p w14:paraId="1B61C719" w14:textId="02A05BCC"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According to this claim, it is crucial to consider the physical characteristics of urban agriculture gardens, such as the size of the plot or constructed area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{"citationItems":[{"id":"ITEM-1","itemData":{"DOI":"10.1016/j.scs.2017.10.027","ISSN":"22106707","abstract":"Urbanisation is transforming human societies in many ways. Besides bringing benefits to people in cities, it also has negative impacts such as food security. One way to meet the challenge is urban agriculture; however, traditional agricultural practices are not suitable within urban areas due to limited availability of land. Therefore, the alternative option is to grow crops inside or on top of buildings, e.g. building integrated agriculture (BIA). But, there is limited research and information available for designers and planners to design such buildings. The presented research project bridges the gap between agriculture and architecture by proposing a building integrated agriculture information modelling tool in integration with Building information modelling. The plugin tool has data on plants’ requirements and automatic response to environmental factors. Environmental factors include temperature, light, water, nutrients, air, humidity, spacing and support. In this paper, seasonal tomato is selected as a reference crop, and the impact of environment (temperature, light, water, nutrients and spacing) on its health is discussed and simulated for germination stage. The undertaken project contributes to the concept of BIA and BIM maturity level, which would help to design an optimum environment building for plants.","author":[{"dropping-particle":"","family":"Khan","given":"R.","non-dropping-particle":"","parse-names":false,"suffix":""},{"dropping-particle":"","family":"Aziz","given":"Z.","non-dropping-particle":"","parse-names":false,"suffix":""},{"dropping-particle":"","family":"Ahmed","given":"V.","non-dropping-particle":"","parse-names":false,"suffix":""}],"container-title":"Sustainable Cities and Society","id":"ITEM-1","issued":{"date-parts":[["2018"]]},"page":"594-607","title":"Building integrated agriculture information modelling (BIAIM): An integrated approach towards urban agriculture","type":"article-journal","volume":"37"},"uris":["http://www.mendeley.com/documents/?uuid=65cf365a-22d5-4b44-9217-24cd8c67a48b"]}],"mendeley":{"formattedCitation":"(Khan et al., 2018)","plainTextFormattedCitation":"(Khan et al., 2018)","previouslyFormattedCitation":"(Khan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(Khan et al., 2018)</w:t>
      </w:r>
      <w:r w:rsidRPr="00895D0B">
        <w:rPr>
          <w:rFonts w:cs="Times New Roman"/>
          <w:color w:val="000000" w:themeColor="text1"/>
          <w:szCs w:val="24"/>
        </w:rPr>
        <w:fldChar w:fldCharType="end"/>
      </w:r>
      <w:r w:rsidRPr="00895D0B">
        <w:rPr>
          <w:rFonts w:cs="Times New Roman"/>
          <w:color w:val="000000" w:themeColor="text1"/>
          <w:szCs w:val="24"/>
        </w:rPr>
        <w:t xml:space="preserve">, the topography, and how they connect to the surrounding public space, such as the presence of fences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{"citationItems":[{"id":"ITEM-1","itemData":{"DOI":"10.1016/j.scs.2021.103130","ISSN":"22106707","abstract":"In an increasingly urbanized world, urban agriculture and community gardening are promoted as lever for sustainable urban development. Urban agriculture contributes to food security, provides health benefits for the population, fosters social inclusion and enhances perceived wellbeing. At the same time, from a planning perspective, urban agriculture also provides a valuable resource for urban regeneration. However, depending on prevalent farming practices urban agriculture may also have social and environmental externalities. While several of these aspects have been extensively tackled in the literature, others, in particular governance and planning aspects, are still unaddressed. Moreover, a comprehensive outline for the evaluation of urban agriculture performance from an urban sustainability perspective is still lacking. In this work we present a novel indicator-based evaluation framework for urban agriculture that captures the contribution of gardening practices to urban sustainability in a consistent, transparent and systematic way. We further illustrate the usability of our framework by testing it in Fællesgartneriet Brabrand, a community garden located in the city of Arhus, Denmark.","author":[{"dropping-particle":"","family":"Tapia","given":"C.","non-dropping-particle":"","parse-names":false,"suffix":""},{"dropping-particle":"","family":"Randall","given":"L.","non-dropping-particle":"","parse-names":false,"suffix":""},{"dropping-particle":"","family":"Wang","given":"S.","non-dropping-particle":"","parse-names":false,"suffix":""},{"dropping-particle":"","family":"Aguiar Borges","given":"L.","non-dropping-particle":"","parse-names":false,"suffix":""}],"container-title":"Sustainable Cities and Society","id":"ITEM-1","issued":{"date-parts":[["2021"]]},"page":"103130","publisher":"Elsevier Ltd","title":"Monitoring the contribution of urban agriculture to urban sustainability: an indicator-based framework","type":"article-journal","volume":"74"},"uris":["http://www.mendeley.com/documents/?uuid=822a6f01-7bfb-4463-b193-86204e5e7bf5"]}],"mendeley":{"formattedCitation":"(Tapia et al., 2021)","plainTextFormattedCitation":"(Tapia et al., 2021)","previouslyFormattedCitation":"(Tapia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(Tapia et al., 2021)</w:t>
      </w:r>
      <w:r w:rsidRPr="00895D0B">
        <w:rPr>
          <w:rFonts w:cs="Times New Roman"/>
          <w:color w:val="000000" w:themeColor="text1"/>
          <w:szCs w:val="24"/>
        </w:rPr>
        <w:fldChar w:fldCharType="end"/>
      </w:r>
      <w:r w:rsidRPr="00895D0B">
        <w:rPr>
          <w:rFonts w:cs="Times New Roman"/>
          <w:color w:val="000000" w:themeColor="text1"/>
          <w:szCs w:val="24"/>
        </w:rPr>
        <w:t xml:space="preserve">. It is also essential to think about how the garden or plot will blend in with the surrounding urban environment. The scale and nature of urban agriculture can vary in the city, such as intra-urban spaces, and depending on whether the garden is located on marketable land with other possible applications or non-marketable agricultural land with very little public content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{"citationItems":[{"id":"ITEM-1","itemData":{"DOI":"10.1016/j.landusepol.2021.105599","ISSN":"02648377","abstract":"The aim of the study is to present residents’ views on the perceived risks and acceptance of the maintenance and development of professional Urban Farming (UF) in selected Polish metropolitan areas. Attention was mainly devoted to exploring factors in the acceptance of UF, including the importance of perceived risks associated with urban farming, physical and social distance and the socio-economic characteristics of residents. We surveyed 577 participants from urban and peri-urban areas. The results obtained show that UF is accepted by residents: over 70% approve lasting maintenance of agriculture in metropolitan areas. The analyses show that acceptance of UF depends on two groups of factors: the perception of the risks of UF and the social distance from agriculture. People perceiving a lot of risks associated with urban farming and being characterized by a large social distance to agriculture, i.e. those who do not know farmers, do not take advantage of the offer of UF. Participants who are not involved in various forms of urban and peri-urban agriculture are skeptical about the development of UF. Conversely, those who see fewer hazards and are more closely related to this sector (low social distance) are advocates of this concept. The study shows that the socio-economic characteristics of residents, including age, education, and financial situation, do not differentiate acceptance of UF significantly. The formulated recommendations, i.e. regarding educational activities or the popularization of short supply channels, can help increase acceptance for the maintenance and development of UF.","author":[{"dropping-particle":"","family":"Sroka","given":"W.","non-dropping-particle":"","parse-names":false,"suffix":""},{"dropping-particle":"","family":"Bojarszczuk","given":"J.","non-dropping-particle":"","parse-names":false,"suffix":""},{"dropping-particle":"","family":"Satoła","given":"Ł.","non-dropping-particle":"","parse-names":false,"suffix":""},{"dropping-particle":"","family":"Szczepańska","given":"B.","non-dropping-particle":"","parse-names":false,"suffix":""},{"dropping-particle":"","family":"Sulewski","given":"P.","non-dropping-particle":"","parse-names":false,"suffix":""},{"dropping-particle":"","family":"Lisek","given":"S.","non-dropping-particle":"","parse-names":false,"suffix":""},{"dropping-particle":"","family":"Luty","given":"L.","non-dropping-particle":"","parse-names":false,"suffix":""},{"dropping-particle":"","family":"Zioło","given":"M.","non-dropping-particle":"","parse-names":false,"suffix":""}],"container-title":"Land Use Policy","id":"ITEM-1","issue":"April","issued":{"date-parts":[["2021"]]},"title":"Understanding residents’ acceptance of professional urban and peri-urban farming: A socio-economic study in Polish metropolitan areas","type":"article-journal","volume":"109"},"uris":["http://www.mendeley.com/documents/?uuid=8d3696a3-bd33-40c1-87d6-5f48c737620a"]}],"mendeley":{"formattedCitation":"(Sroka et al., 2021)","plainTextFormattedCitation":"(Sroka et al., 2021)","previouslyFormattedCitation":"(Sroka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(Sroka et al., 2021)</w:t>
      </w:r>
      <w:r w:rsidRPr="00895D0B">
        <w:rPr>
          <w:rFonts w:cs="Times New Roman"/>
          <w:color w:val="000000" w:themeColor="text1"/>
          <w:szCs w:val="24"/>
        </w:rPr>
        <w:fldChar w:fldCharType="end"/>
      </w:r>
      <w:r w:rsidRPr="00895D0B">
        <w:rPr>
          <w:rFonts w:cs="Times New Roman"/>
          <w:color w:val="000000" w:themeColor="text1"/>
          <w:szCs w:val="24"/>
        </w:rPr>
        <w:t>. U</w:t>
      </w:r>
      <w:r w:rsidRPr="00895D0B">
        <w:rPr>
          <w:rFonts w:cs="Times New Roman"/>
          <w:color w:val="000000" w:themeColor="text1"/>
          <w:szCs w:val="24"/>
          <w:shd w:val="clear" w:color="auto" w:fill="FFFFFF"/>
        </w:rPr>
        <w:t xml:space="preserve">rban gardening also takes place in residents’ yards and built-up structures within cities. Residential yards can be used to grow food, either for the household's needs or to share with nearby friends and neighbours. In most cities, backyard vegetable gardens, which may have long been a common sight in city yards, are regaining popularity as people become more aware of the need for fresh, healthful food. In the built-up structures, there are special technological designs that help farming to take place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{"citationItems":[{"id":"ITEM-1","itemData":{"DOI":"10.1016/j.heliyon.2021.e07546","ISSN":"24058440","abstract":"The relationship between place attachments and agricultural land conversion for developing countries had not been studied in many studies. This study aimed to provide empirical evidence of the psychological relationship between place attachment and agricultural land conversion, in contributing to sustainable agriculture in rural areas. The method used was the calculation of the place attachment index, while examining the relationship between latent and dependent variables implemented in Structural Equation Model (SEM), applied in AMOS Software. The result of the Structural Equation Modeling (SEM) calculation demonstrated the relationship between place attachment and agricultural land conversion. The attitude towards land development also had a weight of 0.657, which is substantially optimistic. Also, the weight value indicated that the place attachment relationship positively impacted the desire to maintain land, as maintenance decision was higher when the place attachment was high. That was accompanied by a 31.6% value of R2, meaning that the place attachment influenced 31.6% of the variance in the decision to preserve land.","author":[{"dropping-particle":"","family":"Prayitno","given":"G.","non-dropping-particle":"","parse-names":false,"suffix":""},{"dropping-particle":"","family":"Dinanti","given":"D.","non-dropping-particle":"","parse-names":false,"suffix":""},{"dropping-particle":"","family":"Hidayana","given":"I. I.","non-dropping-particle":"","parse-names":false,"suffix":""},{"dropping-particle":"","family":"Nugraha","given":"A. T.","non-dropping-particle":"","parse-names":false,"suffix":""}],"container-title":"Heliyon","id":"ITEM-1","issue":"7","issued":{"date-parts":[["2021"]]},"page":"e07546","publisher":"Elsevier Ltd","title":"Place attachment and agricultural land conversion for sustainable agriculture in Indonesia","type":"article-journal","volume":"7"},"uris":["http://www.mendeley.com/documents/?uuid=9692cd97-c551-46b0-881c-a1ad947563b9"]}],"mendeley":{"formattedCitation":"(Prayitno et al., 2021)","plainTextFormattedCitation":"(Prayitno et al., 2021)","previouslyFormattedCitation":"(Prayitno et al., 2021)"},"properties":{"noteIndex":0},"schema":"https://github.com/citation-style-language/schema/raw/master/csl-citation.json"}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(Prayitno et al., 2021)</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w:t>
      </w:r>
      <w:r w:rsidRPr="00895D0B">
        <w:rPr>
          <w:rFonts w:cs="Times New Roman"/>
          <w:color w:val="000000" w:themeColor="text1"/>
          <w:szCs w:val="24"/>
        </w:rPr>
        <w:t xml:space="preserve">Sustainable land use planning should take into consideration the existing infrastructure, including the buildings themselves, because urban agriculture presents a rare chance to include agricultural enterprises in unanticipated places. Prototype projects to integrate intensive farming into multi-use, multi-level urban buildings have been proposed from a more futuristic perspective. to integrate intensive farming with other urban settings, such as houses and workplaces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{"citationItems":[{"id":"ITEM-1","itemData":{"DOI":"10.1007/978-3-030-67650-6","ISBN":"9783030676506","author":[{"dropping-particle":"","family":"Shackleton","given":"C. M.","non-dropping-particle":"","parse-names":false,"suffix":""},{"dropping-particle":"","family":"Cilliers","given":"S. S.","non-dropping-particle":"","parse-names":false,"suffix":""},{"dropping-particle":"","family":"Davoren","given":"E.","non-dropping-particle":"","parse-names":false,"suffix":""},{"dropping-particle":"","family":"Du","given":"M. J.","non-dropping-particle":"","parse-names":false,"suffix":""}],"id":"ITEM-1","issue":"December","issued":{"date-parts":[["2021"]]},"title":"Urban Ecology in the Global South","type":"book"},"uris":["http://www.mendeley.com/documents/?uuid=e5ee320c-3e41-4135-b1dd-5e4cf420c7ed"]}],"mendeley":{"formattedCitation":"(Shackleton et al., 2021)","plainTextFormattedCitation":"(Shackleton et al., 2021)","previouslyFormattedCitation":"(Shackleton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(Shackleton et al., 2021)</w:t>
      </w:r>
      <w:r w:rsidRPr="00895D0B">
        <w:rPr>
          <w:rFonts w:cs="Times New Roman"/>
          <w:color w:val="000000" w:themeColor="text1"/>
          <w:szCs w:val="24"/>
        </w:rPr>
        <w:fldChar w:fldCharType="end"/>
      </w:r>
      <w:r w:rsidRPr="00895D0B">
        <w:rPr>
          <w:rFonts w:cs="Times New Roman"/>
          <w:color w:val="000000" w:themeColor="text1"/>
          <w:szCs w:val="24"/>
        </w:rPr>
        <w:t xml:space="preserve">. Fields, orchards, and other vegetative elements could be suspended using the </w:t>
      </w:r>
      <w:r w:rsidRPr="00895D0B">
        <w:rPr>
          <w:rFonts w:cs="Times New Roman"/>
          <w:color w:val="000000" w:themeColor="text1"/>
          <w:szCs w:val="24"/>
        </w:rPr>
        <w:lastRenderedPageBreak/>
        <w:t xml:space="preserve">construction technique. It is based on a dragonfly's biological structure.  The recycling of biodegradable waste and energy efficiency are two further features of this ecological design. The Vertical Farm Project promotes architectural ideas that integrate food production into substantial structures and offers a web-based forum for showcasing designs and related concepts. There are various opportunities to retrofit existing structures with the necessary technologies to enable food production, even though the futuristic conceptions serve as architectural inspiration for new development. Many cities have flat rooftops that are ideal for urban gardening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{"citationItems":[{"id":"ITEM-1","itemData":{"DOI":"10.1016/j.landusepol.2017.11.006","ISSN":"02648377","abstract":"Urban green spaces are crucial for citizens’ wellbeing. Nonetheless, many Latin American cities struggle to provide sufficient and equitable green space distribution for their citizens. By looking at the Chilean capital Santiago as an example, this paper examines whether the growing urban agriculture movement provides a feasible opportunity to increase public urban green space access. It does so by using the policy arrangement approach to analyse change and stability in two policy domains: urban green space planning and urban agriculture. The paper investigates urban green spaces and urban agriculture and the role of practitioners, urban planners and policymakers. The analysis found opportunities for urban agriculture to facilitate the expansion of urban green spaces in Santiago if policy mechanisms enable private or public spaces to be maintained by citizen organizations. Such mechanisms may, however, encounter resistance from public agencies, as it is unresolved who is involved and who benefits from urban agriculture. The paper concludes that urban agriculture is an opportunity for urban greening in Santiago, although changes are needed in how green areas are planned and conceived. Additionally, urban agriculture should not be understood as a substitute for parks but as a complementary form of green space provision with a distinctive value.","author":[{"dropping-particle":"","family":"Contesse","given":"M.","non-dropping-particle":"","parse-names":false,"suffix":""},{"dropping-particle":"","family":"Vliet","given":"B. J. M.","non-dropping-particle":"van","parse-names":false,"suffix":""},{"dropping-particle":"","family":"Lenhart","given":"J.","non-dropping-particle":"","parse-names":false,"suffix":""}],"container-title":"Land Use Policy","id":"ITEM-1","issue":"October","issued":{"date-parts":[["2018"]]},"page":"566-577","publisher":"Elsevier","title":"Is urban agriculture urban green space? A comparison of policy arrangements for urban green space and urban agriculture in Santiago de Chile","type":"article-journal","volume":"71"},"uris":["http://www.mendeley.com/documents/?uuid=93dd2357-b91f-4904-86f8-fad682e7f261"]}],"mendeley":{"formattedCitation":"(Contesse et al., 2018)","plainTextFormattedCitation":"(Contesse et al., 2018)","previouslyFormattedCitation":"(Contesse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(Contesse et al., 2018)</w:t>
      </w:r>
      <w:r w:rsidRPr="00895D0B">
        <w:rPr>
          <w:rFonts w:cs="Times New Roman"/>
          <w:color w:val="000000" w:themeColor="text1"/>
          <w:szCs w:val="24"/>
        </w:rPr>
        <w:fldChar w:fldCharType="end"/>
      </w:r>
      <w:r w:rsidRPr="00895D0B">
        <w:rPr>
          <w:rFonts w:cs="Times New Roman"/>
          <w:color w:val="000000" w:themeColor="text1"/>
          <w:szCs w:val="24"/>
        </w:rPr>
        <w:t xml:space="preserve">. On green roofs, which are buildings specifically built or modified to retain growth materials, allow drainage, and support plant life, edible plants can be cultivated. The planting possibilities would be limited to hardy species like herbs due to the challenging conditions plants are subjected to on rooftops (such as wind exposure, drought, and extreme temperature changes). Again, flat rooftops can also be altered to allow room for greenhouses that employ hydroponic or soil-based growth methods. Instead, you might cultivate veggies on a solid surface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{"citationItems":[{"id":"ITEM-1","itemData":{"DOI":"10.1016/j.landusepol.2019.03.004","ISSN":"02648377","abstract":"Agriculture, through its economic, social and ecological functions, presents potentials for meeting some of the targets of the 11 th Sustainable Development Goal (SDG). The targets include: a) reducing the adverse environmental impact of cities (target 11.6), b) providing access to green spaces (target 11.7) and c) promoting resource-use efficiency in cities (target 11b). Nevertheless, cities, especially those in the global south, are struggling to sustain agriculture due to rapid and uncontrolled urbanisation. How to maintain (peri-) urban agriculture in cities and their peripheries in an era of increasing land scarcity is unclear in the conventional literature. In this regard, this study set out to determine appropriate practices globally that can foster the sustenance of urban and peri-urban agriculture and determine their applicability to the Ghanaian context. Even though Ghana remains the focus of the discussion, the generality of the characteristics of the cities in Sub-Saharan Africa makes the practices useful to Sub-Saharan African region. The study obtained the required data, through a review of literature, from databases such as Scopus, PubMed, MeSH and ProQuest. The authors complemented the literature from these conventional sources with literature from grey sources such as institutional websites and online media publications. The results of the literature review show that container gardening, backyard gardening, and farming on vacant lands and marginal lands can hold the key to preserving agriculture within the cities. However, these models are more appropriate for the production of vegetables and herbs. Therefore, urban and peri-urban agriculture may concentrate on the production of herbs and vegetables, to complement the food supply from rural agriculture. The Purchase of Development Right and expropriation and zoning of peri-urban land for agricultural purposes appear to be important strategies for promoting access to land for peri-urban agriculture. The strategies call for revisions of city legislation and the land use planning process to legitimise and promote agriculture in cities and their peripheries.","author":[{"dropping-particle":"","family":"Ayambire","given":"R. A.","non-dropping-particle":"","parse-names":false,"suffix":""},{"dropping-particle":"","family":"Amponsah","given":"O.","non-dropping-particle":"","parse-names":false,"suffix":""},{"dropping-particle":"","family":"Peprah","given":"C.","non-dropping-particle":"","parse-names":false,"suffix":""},{"dropping-particle":"","family":"Takyi","given":"S. A.","non-dropping-particle":"","parse-names":false,"suffix":""}],"container-title":"Land Use Policy","id":"ITEM-1","issue":"March","issued":{"date-parts":[["2019"]]},"page":"260-277","title":"A review of practices for sustaining urban and peri-urban agriculture: Implications for land use planning in rapidly urbanising Ghanaian cities","type":"article-journal","volume":"84"},"uris":["http://www.mendeley.com/documents/?uuid=0fcbacd8-74b3-4c97-8b95-f2d18192b42e"]}],"mendeley":{"formattedCitation":"(Ayambire et al., 2019)","plainTextFormattedCitation":"(Ayambire et al., 2019)","previouslyFormattedCitation":"(Ayambire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(Ayambire et al., 2019)</w:t>
      </w:r>
      <w:r w:rsidRPr="00895D0B">
        <w:rPr>
          <w:rFonts w:cs="Times New Roman"/>
          <w:color w:val="000000" w:themeColor="text1"/>
          <w:szCs w:val="24"/>
        </w:rPr>
        <w:fldChar w:fldCharType="end"/>
      </w:r>
      <w:r w:rsidRPr="00895D0B">
        <w:rPr>
          <w:rFonts w:cs="Times New Roman"/>
          <w:color w:val="000000" w:themeColor="text1"/>
          <w:szCs w:val="24"/>
        </w:rPr>
        <w:t>.</w:t>
      </w:r>
    </w:p>
    <w:p w14:paraId="5CEE5CAD" w14:textId="77777777" w:rsidR="0033790F" w:rsidRPr="00895D0B" w:rsidRDefault="0033790F" w:rsidP="00F4799E">
      <w:pPr>
        <w:pStyle w:val="NoSpacing"/>
      </w:pPr>
    </w:p>
    <w:p w14:paraId="48393A1F" w14:textId="2922AC0F" w:rsidR="0027067D" w:rsidRPr="00895D0B" w:rsidRDefault="0027067D" w:rsidP="009864E3">
      <w:pPr>
        <w:pStyle w:val="Heading3"/>
        <w:rPr>
          <w:rFonts w:eastAsia="Times New Roman"/>
          <w:lang w:eastAsia="en-GB"/>
        </w:rPr>
      </w:pPr>
      <w:bookmarkStart w:id="31" w:name="_Toc167379867"/>
      <w:r w:rsidRPr="00895D0B">
        <w:t>2.</w:t>
      </w:r>
      <w:r w:rsidR="004E07C6" w:rsidRPr="00895D0B">
        <w:t>4</w:t>
      </w:r>
      <w:r w:rsidRPr="00895D0B">
        <w:t xml:space="preserve">.1 </w:t>
      </w:r>
      <w:r w:rsidRPr="00F4799E">
        <w:t>Challenges</w:t>
      </w:r>
      <w:r w:rsidRPr="00895D0B">
        <w:t xml:space="preserve"> urban agriculture pose to cities</w:t>
      </w:r>
      <w:bookmarkEnd w:id="31"/>
      <w:r w:rsidR="00D16CA8" w:rsidRPr="00895D0B">
        <w:t xml:space="preserve"> </w:t>
      </w:r>
    </w:p>
    <w:p w14:paraId="111FDA09" w14:textId="033E04E2" w:rsidR="001B4ED5" w:rsidRPr="00895D0B" w:rsidRDefault="00065903" w:rsidP="00DD7EB7">
      <w:pPr>
        <w:spacing w:line="360" w:lineRule="auto"/>
        <w:rPr>
          <w:rFonts w:cs="Times New Roman"/>
          <w:color w:val="000000" w:themeColor="text1"/>
          <w:szCs w:val="24"/>
        </w:rPr>
      </w:pPr>
      <w:r w:rsidRPr="00895D0B">
        <w:rPr>
          <w:rFonts w:cs="Times New Roman"/>
          <w:color w:val="000000" w:themeColor="text1"/>
          <w:szCs w:val="24"/>
        </w:rPr>
        <w:t>Urban agriculture, while offering numerous benefits such as improved food security, community cohesion, and green space utilization, also presents various challenges to cities. Firstly, urban agriculture can develop land use conflicts—urban agriculture competes for limited land resources within cities, leading to conflicts with other land uses such as residential, commercial, and industrial zones</w:t>
      </w:r>
      <w:r w:rsidR="00235EBD" w:rsidRPr="00895D0B">
        <w:rPr>
          <w:rFonts w:cs="Times New Roman"/>
          <w:color w:val="000000" w:themeColor="text1"/>
          <w:szCs w:val="24"/>
        </w:rPr>
        <w:t xml:space="preserve"> </w:t>
      </w:r>
      <w:r w:rsidR="00235EBD" w:rsidRPr="00895D0B">
        <w:rPr>
          <w:rFonts w:cs="Times New Roman"/>
          <w:color w:val="000000" w:themeColor="text1"/>
          <w:szCs w:val="24"/>
        </w:rPr>
        <w:fldChar w:fldCharType="begin" w:fldLock="1"/>
      </w:r>
      <w:r w:rsidR="00235EBD" w:rsidRPr="00895D0B">
        <w:rPr>
          <w:rFonts w:cs="Times New Roman"/>
          <w:color w:val="000000" w:themeColor="text1"/>
          <w:szCs w:val="24"/>
        </w:rPr>
        <w:instrText>ADDIN CSL_CITATION {"citationItems":[{"id":"ITEM-1","itemData":{"ISBN":"9783947621118","abstract":"… and Agriculture (BMEL) represented by the Federal Office for … of Agriculture in Maputo defines the pillars of the extension … markets, regardless of the type or size of shops and stalls. …","author":[{"dropping-particle":"","family":"Engel","given":"E.","non-dropping-particle":"","parse-names":false,"suffix":""},{"dropping-particle":"","family":"Fiege","given":"K.","non-dropping-particle":"","parse-names":false,"suffix":""},{"dropping-particle":"","family":"Kühn","given":"A.","non-dropping-particle":"","parse-names":false,"suffix":""}],"id":"ITEM-1","issue":"August","issued":{"date-parts":[["2019"]]},"title":"Farming in cities : Potentials and challenges of urban agriculture in Maputo and Cape Town","type":"book"},"uris":["http://www.mendeley.com/documents/?uuid=9ac70dea-62d0-469b-b5ce-a0a628bd8246"]}],"mendeley":{"formattedCitation":"(Engel et al., 2019)","plainTextFormattedCitation":"(Engel et al., 2019)","previouslyFormattedCitation":"(Engel et al., 2019)"},"properties":{"noteIndex":0},"schema":"https://github.com/citation-style-language/schema/raw/master/csl-citation.json"}</w:instrText>
      </w:r>
      <w:r w:rsidR="00235EBD" w:rsidRPr="00895D0B">
        <w:rPr>
          <w:rFonts w:cs="Times New Roman"/>
          <w:color w:val="000000" w:themeColor="text1"/>
          <w:szCs w:val="24"/>
        </w:rPr>
        <w:fldChar w:fldCharType="separate"/>
      </w:r>
      <w:r w:rsidR="00235EBD" w:rsidRPr="00895D0B">
        <w:rPr>
          <w:rFonts w:cs="Times New Roman"/>
          <w:noProof/>
          <w:color w:val="000000" w:themeColor="text1"/>
          <w:szCs w:val="24"/>
        </w:rPr>
        <w:t>(Engel et al., 2019)</w:t>
      </w:r>
      <w:r w:rsidR="00235EBD" w:rsidRPr="00895D0B">
        <w:rPr>
          <w:rFonts w:cs="Times New Roman"/>
          <w:color w:val="000000" w:themeColor="text1"/>
          <w:szCs w:val="24"/>
        </w:rPr>
        <w:fldChar w:fldCharType="end"/>
      </w:r>
      <w:r w:rsidR="00235EBD" w:rsidRPr="00895D0B">
        <w:rPr>
          <w:rFonts w:cs="Times New Roman"/>
          <w:color w:val="000000" w:themeColor="text1"/>
          <w:szCs w:val="24"/>
        </w:rPr>
        <w:t>.</w:t>
      </w:r>
      <w:r w:rsidRPr="00895D0B">
        <w:rPr>
          <w:rFonts w:cs="Times New Roman"/>
          <w:color w:val="000000" w:themeColor="text1"/>
          <w:szCs w:val="24"/>
        </w:rPr>
        <w:t xml:space="preserve"> This conflict can hinder the expansion of urban agriculture and its integration into urban planning processes. There is also the possibility of resulting in environmental risks—some urban agricultural practices, such as the use of chemical fertilizers and pesticides, can pose environmental risks such as soil contamination and water pollution</w:t>
      </w:r>
      <w:r w:rsidR="0033790F" w:rsidRPr="00895D0B">
        <w:rPr>
          <w:rFonts w:cs="Times New Roman"/>
          <w:color w:val="000000" w:themeColor="text1"/>
          <w:szCs w:val="24"/>
        </w:rPr>
        <w:t xml:space="preserve"> </w:t>
      </w:r>
      <w:r w:rsidR="00235EBD" w:rsidRPr="00895D0B">
        <w:rPr>
          <w:rFonts w:cs="Times New Roman"/>
          <w:color w:val="000000" w:themeColor="text1"/>
          <w:szCs w:val="24"/>
        </w:rPr>
        <w:fldChar w:fldCharType="begin" w:fldLock="1"/>
      </w:r>
      <w:r w:rsidR="00235EBD" w:rsidRPr="00895D0B">
        <w:rPr>
          <w:rFonts w:cs="Times New Roman"/>
          <w:color w:val="000000" w:themeColor="text1"/>
          <w:szCs w:val="24"/>
        </w:rPr>
        <w:instrText>ADDIN CSL_CITATION {"citationItems":[{"id":"ITEM-1","itemData":{"DOI":"10.3390/su13031465","ISSN":"20711050","abstract":"Cities, which now host the majority of the global population, are vulnerable to environmental and socio-economic disturbances, which are likely to increase in number and severity in the near future. Urban agriculture (UA) could help increase the resilience of cities to a range of pressures and acute shocks by improving food security and public health, building social capital, and promoting circular economies. However, comprehensive assessments of its potential are still lacking. Here, we use a systematic review of the literature on UA in the global North to identify factors that determine its success in providing resilience benefits, explore challenges that can limit this, and develop a conceptual model to highlight the ways in which it could be enhanced through research, policy, and practice. We define the success of UA in increasing city resilience as determined by five factors, which in turn depend on the amount of institutional and public support for UA, the presence of a sufficient knowledge base, communication and collaboration among different actors, and resourcefulness in finding alternative ways to use space and other resources efficiently. We close with a discussion of specific directions for research and practice based on the conceptual model developed here.","author":[{"dropping-particle":"","family":"Gulyas","given":"B. Z.","non-dropping-particle":"","parse-names":false,"suffix":""},{"dropping-particle":"","family":"Edmondson","given":"J. L.","non-dropping-particle":"","parse-names":false,"suffix":""}],"container-title":"Sustainability (Switzerland)","id":"ITEM-1","issue":"3","issued":{"date-parts":[["2021"]]},"page":"1-19","title":"Increasing city resilience through urban agriculture: Challenges and solutions in the global north","type":"article-journal","volume":"13"},"uris":["http://www.mendeley.com/documents/?uuid=90a37883-efa6-4fe2-90cf-4ef68e4daea7"]}],"mendeley":{"formattedCitation":"(Gulyas &amp; Edmondson, 2021)","plainTextFormattedCitation":"(Gulyas &amp; Edmondson, 2021)","previouslyFormattedCitation":"(Gulyas &amp; Edmondson, 2021)"},"properties":{"noteIndex":0},"schema":"https://github.com/citation-style-language/schema/raw/master/csl-citation.json"}</w:instrText>
      </w:r>
      <w:r w:rsidR="00235EBD" w:rsidRPr="00895D0B">
        <w:rPr>
          <w:rFonts w:cs="Times New Roman"/>
          <w:color w:val="000000" w:themeColor="text1"/>
          <w:szCs w:val="24"/>
        </w:rPr>
        <w:fldChar w:fldCharType="separate"/>
      </w:r>
      <w:r w:rsidR="00235EBD" w:rsidRPr="00895D0B">
        <w:rPr>
          <w:rFonts w:cs="Times New Roman"/>
          <w:noProof/>
          <w:color w:val="000000" w:themeColor="text1"/>
          <w:szCs w:val="24"/>
        </w:rPr>
        <w:t>(Gulyas &amp; Edmondson, 2021)</w:t>
      </w:r>
      <w:r w:rsidR="00235EBD" w:rsidRPr="00895D0B">
        <w:rPr>
          <w:rFonts w:cs="Times New Roman"/>
          <w:color w:val="000000" w:themeColor="text1"/>
          <w:szCs w:val="24"/>
        </w:rPr>
        <w:fldChar w:fldCharType="end"/>
      </w:r>
      <w:r w:rsidR="00235EBD" w:rsidRPr="00895D0B">
        <w:rPr>
          <w:rFonts w:cs="Times New Roman"/>
          <w:color w:val="000000" w:themeColor="text1"/>
          <w:szCs w:val="24"/>
        </w:rPr>
        <w:t xml:space="preserve">. </w:t>
      </w:r>
      <w:r w:rsidRPr="00895D0B">
        <w:rPr>
          <w:rFonts w:cs="Times New Roman"/>
          <w:color w:val="000000" w:themeColor="text1"/>
          <w:szCs w:val="24"/>
        </w:rPr>
        <w:t xml:space="preserve">Improper waste management in urban farms may also contribute to pollution and health hazards </w:t>
      </w:r>
      <w:r w:rsidR="00235EBD" w:rsidRPr="00895D0B">
        <w:rPr>
          <w:rFonts w:cs="Times New Roman"/>
          <w:color w:val="000000" w:themeColor="text1"/>
          <w:szCs w:val="24"/>
        </w:rPr>
        <w:fldChar w:fldCharType="begin" w:fldLock="1"/>
      </w:r>
      <w:r w:rsidR="00CA17AE" w:rsidRPr="00895D0B">
        <w:rPr>
          <w:rFonts w:cs="Times New Roman"/>
          <w:color w:val="000000" w:themeColor="text1"/>
          <w:szCs w:val="24"/>
        </w:rPr>
        <w:instrText>ADDIN CSL_CITATION {"citationItems":[{"id":"ITEM-1","itemData":{"DOI":"10.1016/j.coesh.2018.06.004.This","author":[{"dropping-particle":"","family":"Ferreira","given":"A.J.D.","non-dropping-particle":"","parse-names":false,"suffix":""},{"dropping-particle":"","family":"Guilherme","given":"R.","non-dropping-particle":"","parse-names":false,"suffix":""},{"dropping-particle":"","family":"Ferreira","given":"C.s.s.","non-dropping-particle":"","parse-names":false,"suffix":""},{"dropping-particle":"","family":"Oliveira","given":"M.F.L.","non-dropping-particle":"","parse-names":false,"suffix":""}],"id":"ITEM-1","issued":{"date-parts":[["2018"]]},"title":"Urban agriculture, a tool towards more resilient urban communities ?","type":"article-journal"},"uris":["http://www.mendeley.com/documents/?uuid=283d429c-40fb-4468-b92f-df31e2e13e97"]}],"mendeley":{"formattedCitation":"(Ferreira, Guilherme, Ferreira, et al., 2018)","manualFormatting":"(Ferreira et al., 2018)","plainTextFormattedCitation":"(Ferreira, Guilherme, Ferreira, et al., 2018)","previouslyFormattedCitation":"(Ferreira, Guilherme, Ferreira, et al., 2018)"},"properties":{"noteIndex":0},"schema":"https://github.com/citation-style-language/schema/raw/master/csl-citation.json"}</w:instrText>
      </w:r>
      <w:r w:rsidR="00235EBD" w:rsidRPr="00895D0B">
        <w:rPr>
          <w:rFonts w:cs="Times New Roman"/>
          <w:color w:val="000000" w:themeColor="text1"/>
          <w:szCs w:val="24"/>
        </w:rPr>
        <w:fldChar w:fldCharType="separate"/>
      </w:r>
      <w:r w:rsidR="00235EBD" w:rsidRPr="00895D0B">
        <w:rPr>
          <w:rFonts w:cs="Times New Roman"/>
          <w:noProof/>
          <w:color w:val="000000" w:themeColor="text1"/>
          <w:szCs w:val="24"/>
        </w:rPr>
        <w:t>(Ferreira et al., 2018)</w:t>
      </w:r>
      <w:r w:rsidR="00235EBD" w:rsidRPr="00895D0B">
        <w:rPr>
          <w:rFonts w:cs="Times New Roman"/>
          <w:color w:val="000000" w:themeColor="text1"/>
          <w:szCs w:val="24"/>
        </w:rPr>
        <w:fldChar w:fldCharType="end"/>
      </w:r>
      <w:r w:rsidR="00235EBD" w:rsidRPr="00895D0B">
        <w:rPr>
          <w:rFonts w:cs="Times New Roman"/>
          <w:color w:val="000000" w:themeColor="text1"/>
          <w:szCs w:val="24"/>
        </w:rPr>
        <w:t xml:space="preserve">. </w:t>
      </w:r>
      <w:r w:rsidRPr="00895D0B">
        <w:rPr>
          <w:rFonts w:cs="Times New Roman"/>
          <w:color w:val="000000" w:themeColor="text1"/>
          <w:szCs w:val="24"/>
        </w:rPr>
        <w:t xml:space="preserve">It is also noted that urban agriculture may raise concerns about food safety and hygiene, particularly regarding the handling and consumption of produce grown close to urban pollutants </w:t>
      </w:r>
      <w:r w:rsidR="007D58FF" w:rsidRPr="00895D0B">
        <w:rPr>
          <w:rFonts w:cs="Times New Roman"/>
          <w:color w:val="000000" w:themeColor="text1"/>
          <w:szCs w:val="24"/>
        </w:rPr>
        <w:fldChar w:fldCharType="begin" w:fldLock="1"/>
      </w:r>
      <w:r w:rsidR="0033790F" w:rsidRPr="00895D0B">
        <w:rPr>
          <w:rFonts w:cs="Times New Roman"/>
          <w:color w:val="000000" w:themeColor="text1"/>
          <w:szCs w:val="24"/>
        </w:rPr>
        <w:instrText>ADDIN CSL_CITATION {"citationItems":[{"id":"ITEM-1","itemData":{"DOI":"10.54517/ama.v4i2.2239","abstract":"The lack of affordable and lightweight mechanized maize planters suitable for small-scale farms in Botswana, where donkeys serve as the primary source of draught power, poses a significant challenge. This study addresses this issue by designing a cost-effective model of a two-row donkey-drawn maize planter. A comprehensive analysis of various existing planter technologies was conducted, and their principles were carefully adapted to develop an optimal two-row planter suitable for donkey traction. The selection of appropriate materials for each component, accompanied using solid-works software for detailed drawings and fabrication, resulted in a user-friendly planter design. The mass estimation of the assembled planter was calculated to be 48.93 Kg, making it light enough to be drawn by three donkeys. Notably, the estimated cost of the unit planter assembly is approximately 200 USD. Despite these advancements, it is important to acknowledge certain limitations. This study introduces an innovative solution to address the need for affordable, lightweight, and donkey-drawn maize planters in Sub-Saharan Africa. By leveraging existing technologies and employing appropriate materials, the proposed design offers a practical and cost-effective option for small-scale farmers. Further research is necessary to assess the planter’s performance under varying soil conditions, evaluate its long-term durability, and optimize its planting efficiency. Additionally, considerations should be given to implementing additional features such as seed depth control mechanisms and adjustable row spacing to enhance the versatility of the planter.","author":[{"dropping-particle":"","family":"Seretse","given":"O.M.","non-dropping-particle":"","parse-names":false,"suffix":""},{"dropping-particle":"","family":"Agarwal","given":"A.","non-dropping-particle":"","parse-names":false,"suffix":""},{"dropping-particle":"","family":"Mmiletsi","given":"U.","non-dropping-particle":"","parse-names":false,"suffix":""},{"dropping-particle":"","family":"Mpho","given":"M.","non-dropping-particle":"","parse-names":false,"suffix":""}],"container-title":"Advances in Modern Agriculture","id":"ITEM-1","issue":"2","issued":{"date-parts":[["2024"]]},"page":"1-13","title":"Urban agriculture empowerment: donkey-driven maize planter for sustainable food production in Sub-Saharan African cities","type":"article-journal","volume":"4"},"uris":["http://www.mendeley.com/documents/?uuid=6fa939ab-466e-4be9-bc09-f736be8ec13a"]}],"mendeley":{"formattedCitation":"(Seretse et al., 2024)","plainTextFormattedCitation":"(Seretse et al., 2024)","previouslyFormattedCitation":"(Seretse et al., 2024)"},"properties":{"noteIndex":0},"schema":"https://github.com/citation-style-language/schema/raw/master/csl-citation.json"}</w:instrText>
      </w:r>
      <w:r w:rsidR="007D58FF" w:rsidRPr="00895D0B">
        <w:rPr>
          <w:rFonts w:cs="Times New Roman"/>
          <w:color w:val="000000" w:themeColor="text1"/>
          <w:szCs w:val="24"/>
        </w:rPr>
        <w:fldChar w:fldCharType="separate"/>
      </w:r>
      <w:r w:rsidR="007D58FF" w:rsidRPr="00895D0B">
        <w:rPr>
          <w:rFonts w:cs="Times New Roman"/>
          <w:noProof/>
          <w:color w:val="000000" w:themeColor="text1"/>
          <w:szCs w:val="24"/>
        </w:rPr>
        <w:t>(Seretse et al., 2024)</w:t>
      </w:r>
      <w:r w:rsidR="007D58FF" w:rsidRPr="00895D0B">
        <w:rPr>
          <w:rFonts w:cs="Times New Roman"/>
          <w:color w:val="000000" w:themeColor="text1"/>
          <w:szCs w:val="24"/>
        </w:rPr>
        <w:fldChar w:fldCharType="end"/>
      </w:r>
      <w:r w:rsidR="00203ABF" w:rsidRPr="00895D0B">
        <w:rPr>
          <w:rFonts w:cs="Times New Roman"/>
          <w:color w:val="000000" w:themeColor="text1"/>
          <w:szCs w:val="24"/>
        </w:rPr>
        <w:t xml:space="preserve">. </w:t>
      </w:r>
      <w:r w:rsidRPr="00895D0B">
        <w:rPr>
          <w:rFonts w:cs="Times New Roman"/>
          <w:color w:val="000000" w:themeColor="text1"/>
          <w:szCs w:val="24"/>
        </w:rPr>
        <w:t xml:space="preserve">Contamination risks from soil, water, and air pollutants need to be addressed to ensure the safety of urban-grown food. Access to land, resources, and knowledge necessary for successful urban agriculture may be unevenly distributed across socio-economic groups, leading to issues of social equity and inclusion </w:t>
      </w:r>
      <w:r w:rsidR="0033790F" w:rsidRPr="00895D0B">
        <w:rPr>
          <w:rFonts w:cs="Times New Roman"/>
          <w:color w:val="000000" w:themeColor="text1"/>
          <w:szCs w:val="24"/>
        </w:rPr>
        <w:fldChar w:fldCharType="begin" w:fldLock="1"/>
      </w:r>
      <w:r w:rsidR="005728A9" w:rsidRPr="00895D0B">
        <w:rPr>
          <w:rFonts w:cs="Times New Roman"/>
          <w:color w:val="000000" w:themeColor="text1"/>
          <w:szCs w:val="24"/>
        </w:rPr>
        <w:instrText>ADDIN CSL_CITATION {"citationItems":[{"id":"ITEM-1","itemData":{"DOI":"10.61275/isvsej-2023-10-12-36","author":[{"dropping-particle":"","family":"Abdulmunem","given":"S. A.","non-dropping-particle":"","parse-names":false,"suffix":""},{"dropping-particle":"","family":"Alrawi","given":"A. K.","non-dropping-particle":"","parse-names":false,"suffix":""},{"dropping-particle":"","family":"Al-hussaini","given":"Z. I. H.","non-dropping-particle":"","parse-names":false,"suffix":""},{"dropping-particle":"","family":"Shakir","given":"A.","non-dropping-particle":"","parse-names":false,"suffix":""}],"container-title":"International Society for the Study of Vernacular Settlements","id":"ITEM-1","issue":"12","issued":{"date-parts":[["2023"]]},"page":"520-534","title":"Integrating Urban Agriculture into Neighborhood Planning for Sustainable Development: People’s Perceptions of the Potentials of the Al-Bastanah in Al-Za'faraniya, Iraq","type":"article-journal","volume":"10"},"uris":["http://www.mendeley.com/documents/?uuid=a22409b8-c37a-4fa5-b06a-fa977173221b"]}],"mendeley":{"formattedCitation":"(Abdulmunem et al., 2023)","plainTextFormattedCitation":"(Abdulmunem et al., 2023)","previouslyFormattedCitation":"(Abdulmunem et al., 2023)"},"properties":{"noteIndex":0},"schema":"https://github.com/citation-style-language/schema/raw/master/csl-citation.json"}</w:instrText>
      </w:r>
      <w:r w:rsidR="0033790F" w:rsidRPr="00895D0B">
        <w:rPr>
          <w:rFonts w:cs="Times New Roman"/>
          <w:color w:val="000000" w:themeColor="text1"/>
          <w:szCs w:val="24"/>
        </w:rPr>
        <w:fldChar w:fldCharType="separate"/>
      </w:r>
      <w:r w:rsidR="0033790F" w:rsidRPr="00895D0B">
        <w:rPr>
          <w:rFonts w:cs="Times New Roman"/>
          <w:noProof/>
          <w:color w:val="000000" w:themeColor="text1"/>
          <w:szCs w:val="24"/>
        </w:rPr>
        <w:t>(Abdulmunem et al., 2023)</w:t>
      </w:r>
      <w:r w:rsidR="0033790F" w:rsidRPr="00895D0B">
        <w:rPr>
          <w:rFonts w:cs="Times New Roman"/>
          <w:color w:val="000000" w:themeColor="text1"/>
          <w:szCs w:val="24"/>
        </w:rPr>
        <w:fldChar w:fldCharType="end"/>
      </w:r>
      <w:r w:rsidR="00CA17AE" w:rsidRPr="00895D0B">
        <w:rPr>
          <w:rFonts w:cs="Times New Roman"/>
          <w:color w:val="000000" w:themeColor="text1"/>
          <w:szCs w:val="24"/>
        </w:rPr>
        <w:t xml:space="preserve">. </w:t>
      </w:r>
      <w:r w:rsidRPr="00895D0B">
        <w:rPr>
          <w:rFonts w:cs="Times New Roman"/>
          <w:color w:val="000000" w:themeColor="text1"/>
          <w:szCs w:val="24"/>
        </w:rPr>
        <w:lastRenderedPageBreak/>
        <w:t>Low-income communities may face barriers to participation in urban agriculture due to factors such as land tenure insecurity and lack of access to technical support. From gentrification pressures, the popularity of urban agriculture in revitalizing neighbo</w:t>
      </w:r>
      <w:r w:rsidR="000744DF" w:rsidRPr="00895D0B">
        <w:rPr>
          <w:rFonts w:cs="Times New Roman"/>
          <w:color w:val="000000" w:themeColor="text1"/>
          <w:szCs w:val="24"/>
        </w:rPr>
        <w:t>u</w:t>
      </w:r>
      <w:r w:rsidRPr="00895D0B">
        <w:rPr>
          <w:rFonts w:cs="Times New Roman"/>
          <w:color w:val="000000" w:themeColor="text1"/>
          <w:szCs w:val="24"/>
        </w:rPr>
        <w:t>rhoods can contribute to gentrification dynamics, leading to increased property va</w:t>
      </w:r>
      <w:r w:rsidR="000744DF" w:rsidRPr="00895D0B">
        <w:rPr>
          <w:rFonts w:cs="Times New Roman"/>
          <w:color w:val="000000" w:themeColor="text1"/>
          <w:szCs w:val="24"/>
        </w:rPr>
        <w:t>u</w:t>
      </w:r>
      <w:r w:rsidRPr="00895D0B">
        <w:rPr>
          <w:rFonts w:cs="Times New Roman"/>
          <w:color w:val="000000" w:themeColor="text1"/>
          <w:szCs w:val="24"/>
        </w:rPr>
        <w:t xml:space="preserve">lues, displacement of long-term residents, and loss of community identity </w:t>
      </w:r>
      <w:r w:rsidR="005728A9" w:rsidRPr="00895D0B">
        <w:rPr>
          <w:rFonts w:cs="Times New Roman"/>
          <w:color w:val="000000" w:themeColor="text1"/>
          <w:szCs w:val="24"/>
        </w:rPr>
        <w:fldChar w:fldCharType="begin" w:fldLock="1"/>
      </w:r>
      <w:r w:rsidR="005728A9" w:rsidRPr="00895D0B">
        <w:rPr>
          <w:rFonts w:cs="Times New Roman"/>
          <w:color w:val="000000" w:themeColor="text1"/>
          <w:szCs w:val="24"/>
        </w:rPr>
        <w:instrText>ADDIN CSL_CITATION {"citationItems":[{"id":"ITEM-1","itemData":{"ISSN":"1867-8521","author":[{"dropping-particle":"","family":"Martin-Moreau","given":"M.","non-dropping-particle":"","parse-names":false,"suffix":""},{"dropping-particle":"","family":"Ménascé","given":"D.","non-dropping-particle":"","parse-names":false,"suffix":""}],"id":"ITEM-1","issued":{"date-parts":[["2019"]]},"page":"1-119","title":"Field Actions Science Reports Urban Agriculture: Another Way to Feed Cities","type":"article-journal"},"uris":["http://www.mendeley.com/documents/?uuid=375efdfb-f9e6-4b71-b63f-5b79846a42e8"]}],"mendeley":{"formattedCitation":"(Martin-Moreau &amp; Ménascé, 2019)","plainTextFormattedCitation":"(Martin-Moreau &amp; Ménascé, 2019)","previouslyFormattedCitation":"(Martin-Moreau &amp; Ménascé, 2019)"},"properties":{"noteIndex":0},"schema":"https://github.com/citation-style-language/schema/raw/master/csl-citation.json"}</w:instrText>
      </w:r>
      <w:r w:rsidR="005728A9" w:rsidRPr="00895D0B">
        <w:rPr>
          <w:rFonts w:cs="Times New Roman"/>
          <w:color w:val="000000" w:themeColor="text1"/>
          <w:szCs w:val="24"/>
        </w:rPr>
        <w:fldChar w:fldCharType="separate"/>
      </w:r>
      <w:r w:rsidR="005728A9" w:rsidRPr="00895D0B">
        <w:rPr>
          <w:rFonts w:cs="Times New Roman"/>
          <w:noProof/>
          <w:color w:val="000000" w:themeColor="text1"/>
          <w:szCs w:val="24"/>
        </w:rPr>
        <w:t>(Martin-Moreau &amp; Ménascé, 2019)</w:t>
      </w:r>
      <w:r w:rsidR="005728A9" w:rsidRPr="00895D0B">
        <w:rPr>
          <w:rFonts w:cs="Times New Roman"/>
          <w:color w:val="000000" w:themeColor="text1"/>
          <w:szCs w:val="24"/>
        </w:rPr>
        <w:fldChar w:fldCharType="end"/>
      </w:r>
      <w:r w:rsidR="005728A9" w:rsidRPr="00895D0B">
        <w:rPr>
          <w:rFonts w:cs="Times New Roman"/>
          <w:color w:val="000000" w:themeColor="text1"/>
          <w:szCs w:val="24"/>
        </w:rPr>
        <w:t xml:space="preserve">. </w:t>
      </w:r>
      <w:r w:rsidRPr="00895D0B">
        <w:rPr>
          <w:rFonts w:cs="Times New Roman"/>
          <w:color w:val="000000" w:themeColor="text1"/>
          <w:szCs w:val="24"/>
        </w:rPr>
        <w:t xml:space="preserve">This poses challenges to maintaining socio-economic diversity and affordability in urban areas. Inconsistent or restrictive zoning regulations, lack of supportive policies, and bureaucratic hurdles can impede the development and sustainability of urban agriculture initiatives </w:t>
      </w:r>
      <w:r w:rsidR="005728A9" w:rsidRPr="00895D0B">
        <w:rPr>
          <w:rFonts w:cs="Times New Roman"/>
          <w:color w:val="000000" w:themeColor="text1"/>
          <w:szCs w:val="24"/>
        </w:rPr>
        <w:fldChar w:fldCharType="begin" w:fldLock="1"/>
      </w:r>
      <w:r w:rsidR="006E6AF5" w:rsidRPr="00895D0B">
        <w:rPr>
          <w:rFonts w:cs="Times New Roman"/>
          <w:color w:val="000000" w:themeColor="text1"/>
          <w:szCs w:val="24"/>
        </w:rPr>
        <w:instrText>ADDIN CSL_CITATION {"citationItems":[{"id":"ITEM-1","itemData":{"DOI":"10.1515/mgr-2017-0012","ISSN":"12108812","abstract":"In the article, which is a theoretical and conceptual introduction for the Special Issue of Moravian Geographical Reports on 'New trends and challenges of urban agriculture in the context of Europe', the authors resume and review diverging issues of urban agriculture, exploring and discussing them from a geographical perspective and in a wider context of the transformation of urban and rural spaces, urban regeneration and renewal, agricultural restructuring, multifunctionality, ecosystem services, land-use conflicts and social responsibility. After the introduction that depicts a changing role of agriculture in the context of urban and rural transformations, the current research on urban agriculture in Europe is summarised and reviewed. Then the main trends and concepts of growing and expanding urban agriculture are presented and discussed with a special emphasis on the challenges these pose to geographers.","author":[{"dropping-particle":"","family":"Duží","given":"B.","non-dropping-particle":"","parse-names":false,"suffix":""},{"dropping-particle":"","family":"Frantál","given":"B.","non-dropping-particle":"","parse-names":false,"suffix":""},{"dropping-particle":"","family":"Simon Rojo","given":"M.","non-dropping-particle":"","parse-names":false,"suffix":""}],"container-title":"Moravian Geographical Reports","id":"ITEM-1","issue":"3","issued":{"date-parts":[["2017"]]},"page":"130-138","title":"The geography of urban agriculture: New trends and challenges","type":"article-journal","volume":"25"},"uris":["http://www.mendeley.com/documents/?uuid=50916cc3-e2c0-4766-a048-bbe733e09db3"]}],"mendeley":{"formattedCitation":"(Duží et al., 2017)","plainTextFormattedCitation":"(Duží et al., 2017)","previouslyFormattedCitation":"(Duží et al., 2017)"},"properties":{"noteIndex":0},"schema":"https://github.com/citation-style-language/schema/raw/master/csl-citation.json"}</w:instrText>
      </w:r>
      <w:r w:rsidR="005728A9" w:rsidRPr="00895D0B">
        <w:rPr>
          <w:rFonts w:cs="Times New Roman"/>
          <w:color w:val="000000" w:themeColor="text1"/>
          <w:szCs w:val="24"/>
        </w:rPr>
        <w:fldChar w:fldCharType="separate"/>
      </w:r>
      <w:r w:rsidR="005728A9" w:rsidRPr="00895D0B">
        <w:rPr>
          <w:rFonts w:cs="Times New Roman"/>
          <w:noProof/>
          <w:color w:val="000000" w:themeColor="text1"/>
          <w:szCs w:val="24"/>
        </w:rPr>
        <w:t>(Duží et al., 2017)</w:t>
      </w:r>
      <w:r w:rsidR="005728A9" w:rsidRPr="00895D0B">
        <w:rPr>
          <w:rFonts w:cs="Times New Roman"/>
          <w:color w:val="000000" w:themeColor="text1"/>
          <w:szCs w:val="24"/>
        </w:rPr>
        <w:fldChar w:fldCharType="end"/>
      </w:r>
      <w:r w:rsidR="005728A9" w:rsidRPr="00895D0B">
        <w:rPr>
          <w:rFonts w:cs="Times New Roman"/>
          <w:color w:val="000000" w:themeColor="text1"/>
          <w:szCs w:val="24"/>
        </w:rPr>
        <w:t>.</w:t>
      </w:r>
      <w:r w:rsidR="00B403AF" w:rsidRPr="00895D0B">
        <w:rPr>
          <w:rFonts w:cs="Times New Roman"/>
          <w:color w:val="000000" w:themeColor="text1"/>
          <w:szCs w:val="24"/>
          <w:shd w:val="clear" w:color="auto" w:fill="FFFFFF"/>
        </w:rPr>
        <w:t xml:space="preserve"> </w:t>
      </w:r>
      <w:r w:rsidRPr="00895D0B">
        <w:rPr>
          <w:rFonts w:cs="Times New Roman"/>
          <w:color w:val="000000" w:themeColor="text1"/>
          <w:szCs w:val="24"/>
        </w:rPr>
        <w:t>Clear and flexible regulatory frameworks are needed to facilitate the integration of urban agriculture into urban planning and governance structures. Although urban agriculture holds great promise for sustainable urban development, it is essential to address these challenges through holistic planning, effective governance, and community engagement to realize its full potential in creating resilient and inclusive cities.</w:t>
      </w:r>
    </w:p>
    <w:p w14:paraId="7DDE648D" w14:textId="77777777" w:rsidR="00065903" w:rsidRPr="00F4799E" w:rsidRDefault="00065903" w:rsidP="00F4799E">
      <w:pPr>
        <w:pStyle w:val="NoSpacing"/>
        <w:rPr>
          <w:sz w:val="24"/>
          <w:szCs w:val="24"/>
        </w:rPr>
      </w:pPr>
    </w:p>
    <w:p w14:paraId="0DFC377B" w14:textId="4F58FA6E" w:rsidR="001B4ED5" w:rsidRPr="00895D0B" w:rsidRDefault="006B41C0">
      <w:pPr>
        <w:pStyle w:val="Heading2"/>
      </w:pPr>
      <w:bookmarkStart w:id="32" w:name="_Toc167379868"/>
      <w:r w:rsidRPr="00895D0B">
        <w:t>2.</w:t>
      </w:r>
      <w:r w:rsidR="004E07C6" w:rsidRPr="00895D0B">
        <w:t>5</w:t>
      </w:r>
      <w:r w:rsidR="00F4799E">
        <w:t xml:space="preserve"> </w:t>
      </w:r>
      <w:r w:rsidRPr="00895D0B">
        <w:t>Sustainable Urban Development and Livelihoods Implications of Urban Agriculture</w:t>
      </w:r>
      <w:bookmarkEnd w:id="32"/>
      <w:r w:rsidRPr="00895D0B">
        <w:t xml:space="preserve"> </w:t>
      </w:r>
    </w:p>
    <w:p w14:paraId="1FE9239B"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Recently, scholars have presented broader perspectives on the effect of urban growth on food crop production in developing countries. For instance,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{"citationItems":[{"id":"ITEM-1","itemData":{"DOI":"10.1080/19463138.2021.1915790","ISSN":"19463146","abstract":"Food price hikes globally re-energised investment in innovative strategies of food production including urban and peri-urban agriculture. Unfortunately, uncontrolled urbanisation have impacted gravely on food production in peri-urban areas in developing countries. This study was conducted in the Wa Municipalityto examine how peri-urban agricultural land use change impact on food security of farmers. A mixed methods study of inquiry with 235 smallholder farmers were used for the study. Questionnaires, interviews and historical information captured using the Geographic Information System (GIS) were used to collect the data. The results revealed that, hectares of agricultural land in peri-urban Wa over the last three decades has drastically lost its space to urban development through residentuial and infrastructural development. The study also found that agricultural land use change has resulted in food insecurity as the majority of the smallholder farmers were unable to meet their food needs over the last decade. The practical and policy implication of the study are discussed.","author":[{"dropping-particle":"","family":"Ziem","given":"S. B.","non-dropping-particle":"","parse-names":false,"suffix":""},{"dropping-particle":"","family":"Yenglier","given":"G. Y.","non-dropping-particle":"","parse-names":false,"suffix":""},{"dropping-particle":"","family":"Derbile","given":"E. K.","non-dropping-particle":"","parse-names":false,"suffix":""}],"container-title":"International Journal of Urban Sustainable Development","id":"ITEM-1","issue":"2","issued":{"date-parts":[["2021"]]},"page":"383-399","publisher":"Taylor &amp; Francis","title":"‘Urban expansion and agricultural land use change in Ghana: Implications for peri-urban farmer household food security in Wa Municipality’","type":"article-journal","volume":"13"},"uris":["http://www.mendeley.com/documents/?uuid=55d348de-5606-4f03-9924-dea8fead3d02","http://www.mendeley.com/documents/?uuid=92f3e7b3-f621-4359-9625-6fb8c34630ed"]}],"mendeley":{"formattedCitation":"(Ziem et al., 2021)","manualFormatting":"Ziem et al. (2021)","plainTextFormattedCitation":"(Ziem et al., 2021)","previouslyFormattedCitation":"(Ziem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Ziem et al. (2021)</w:t>
      </w:r>
      <w:r w:rsidRPr="00895D0B">
        <w:rPr>
          <w:rFonts w:cs="Times New Roman"/>
          <w:color w:val="000000" w:themeColor="text1"/>
          <w:szCs w:val="24"/>
        </w:rPr>
        <w:fldChar w:fldCharType="end"/>
      </w:r>
      <w:r w:rsidRPr="00895D0B">
        <w:rPr>
          <w:rFonts w:cs="Times New Roman"/>
          <w:color w:val="000000" w:themeColor="text1"/>
          <w:szCs w:val="24"/>
        </w:rPr>
        <w:t xml:space="preserve"> conducted a study on how urban expansion and agricultural land use impacted households’ food security in the Wa Municipality and found that spatial expansion of the urban frontier has consequential effects on the reduction in agricultural lands. Thus, these authors found that urbanization within the last thirty years has resulted in the loss of about 25.5km</w:t>
      </w:r>
      <w:r w:rsidRPr="00895D0B">
        <w:rPr>
          <w:rFonts w:cs="Times New Roman"/>
          <w:color w:val="000000" w:themeColor="text1"/>
          <w:szCs w:val="24"/>
          <w:vertAlign w:val="superscript"/>
        </w:rPr>
        <w:t>2</w:t>
      </w:r>
      <w:r w:rsidRPr="00895D0B">
        <w:rPr>
          <w:rFonts w:cs="Times New Roman"/>
          <w:color w:val="000000" w:themeColor="text1"/>
          <w:szCs w:val="24"/>
        </w:rPr>
        <w:t xml:space="preserve"> of agricultural land which has been converted to built-up areas. Consequently, the continued conversion of agricultural lands to settlements or built-up areas may have dire implications for food security in the Wa Municipality. Elsewhere in the North-West Region of Cameroon, specifically,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{"citationItems":[{"id":"ITEM-1","itemData":{"DOI":"10.3390/su12145788","ISSN":"20711050","abstract":"There is growing interest in the need to understand the link between urban expansion and farmers’ livelihoods in most parts of sub-Saharan Africa (SSA), including Cameroon. This paper undertakes a qualitative investigation of the effects of urban expansion on farmers’ livelihoods in Bamenda, a primate city in Cameroon. Taking into consideration two key areas—the Mankon–Bafut axis and the Nkwen Bambui axis—this study analyzes the trends and effects of urban expansion on farmers’ livelihoods with a view to identifying ways of making the process more beneficial to the farmers. Maps were used to determine the trend of urban expansion between 2000 and 2015. Twelve farmers drawn from the target sites were interviewed, while three focus group discussions were conducted. Thematic analysis was employed to analyze perceptions of the effects and coping strategies of farmers to urban expansion. Using the livelihoods approach, farmers’ livelihoods repertoires and portfolios were analyzed for the periods before and after urban expansion. Between 2000 and 2015, the surface area for farmlands in Bamenda II and Bamenda III reduced from 3540 ha to 2100 ha and 2943 ha to 1389 ha, respectively. This was followed by a corresponding increase in the surface area for settlements from 2100 ha to 3540 ha in Bamenda II and from 1389 ha to 2943 ha in Bamenda III. The expansion process has affected farmers’ income, farm sizes and farming types, natural capital, and their standards of living. Most of the farmers have employed coping measures to include the diversification of income opportunities, social networking, and agricultural intensification. Future efforts could target land use regulations to stem the uncontrolled rate of settlement expansion, intensive farming to increase productivity and processing to improve the value chain in a bid to increase income levels and provide long-term food self-sufficiency. This paper suggests further quantitative investigations to ground the current assertion.","author":[{"dropping-particle":"","family":"Gwan","given":"A. S.","non-dropping-particle":"","parse-names":false,"suffix":""},{"dropping-particle":"","family":"Kimengsi","given":"J. N.","non-dropping-particle":"","parse-names":false,"suffix":""}],"container-title":"Sustainability (Switzerland)","id":"ITEM-1","issue":"14","issued":{"date-parts":[["2020"]]},"page":"1-19","title":"Urban expansion and the dynamics of farmers’ livelihoods: Evidence from bamenda, cameroon","type":"article-journal","volume":"12"},"uris":["http://www.mendeley.com/documents/?uuid=ce634813-3aa6-429f-9a26-de1f39fee344","http://www.mendeley.com/documents/?uuid=bbfd74ed-a1dc-4fbb-8f65-4e8adafbd086"]}],"mendeley":{"formattedCitation":"(Gwan &amp; Kimengsi, 2020)","manualFormatting":"Gwan and Kimengsi (2020)","plainTextFormattedCitation":"(Gwan &amp; Kimengsi, 2020)","previouslyFormattedCitation":"(Gwan &amp; Kimengsi,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Gwan and Kimengsi (2020)</w:t>
      </w:r>
      <w:r w:rsidRPr="00895D0B">
        <w:rPr>
          <w:rFonts w:cs="Times New Roman"/>
          <w:color w:val="000000" w:themeColor="text1"/>
          <w:szCs w:val="24"/>
        </w:rPr>
        <w:fldChar w:fldCharType="end"/>
      </w:r>
      <w:r w:rsidRPr="00895D0B">
        <w:rPr>
          <w:rFonts w:cs="Times New Roman"/>
          <w:color w:val="000000" w:themeColor="text1"/>
          <w:szCs w:val="24"/>
        </w:rPr>
        <w:t xml:space="preserve"> examine the relationship between urban expansion and consequential livelihood change patterns in an agriculture-dominated locality. The finding from their study revealed a more nuanced debate on the relationship between urban growth and livelihood transformation among households. It was revealed that the conversion of farmlands into social infrastructure like housing, hospitals, and schools has adversely affected the income and general living standard of households. In addition, these farmers were </w:t>
      </w:r>
      <w:r w:rsidRPr="00895D0B">
        <w:rPr>
          <w:rFonts w:cs="Times New Roman"/>
          <w:color w:val="000000" w:themeColor="text1"/>
          <w:szCs w:val="24"/>
        </w:rPr>
        <w:lastRenderedPageBreak/>
        <w:t xml:space="preserve">deprived of their natural capital (healthy environment), compelling them to change their farming practices as well as decrease the sizes of their farmlands, affirming that urbanization has serious implications for the general well-being of urban farmers. In a related dimension,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{"citationItems":[{"id":"ITEM-1","itemData":{"DOI":"10.3390/LAND9060187","ISBN":"8928922518","ISSN":"2073445X","abstract":"Typically, peri-urban areas are havens and vulnerable receptors of customary land rights (CLRs) disputes due to the intrusion of urban activities or an uncoordinated mix of both. Although it is a dictum that CLRs cause setbacks to socioeconomic and spatial development, there seems to be a paucity of empirical studies on the effects of the CLRs disputes on the development of peri-urban areas, especially in developing countries, such as Ghana. This study addresses this issue by establishing a link between peri-urban transformation and emerging CLRs disputes, while assessing the effects of these disputes on the development of peri-urban areas. The study adopted a problem-centered mixed methods approach with a focus on the case of Trede, a town in Ghana transitioning from rural to urban status. Findings reveal that the changes leading to enhancing of peri-urban transformation are also the same changes inducing CLRs disputes in the area. It was found that the implementation of a local land use plan is a critical driver of CLRs disputes in Trede. A land-use plan implemented as a major step in converting rural lands into urban plots, triggered tenurial changes, land market development, high land values, loss of agricultural land, etc., which become recipes for the CLRs disputes in the study area. These CLRs disputes have hatched detrimental consequences on the economic, social, and physical developmental trajectories of Trede. As a way forward, the study proposes measures for peri-urban land management and CLRs dispute prevention.","author":[{"dropping-particle":"","family":"Ansah","given":"B. O.","non-dropping-particle":"","parse-names":false,"suffix":""},{"dropping-particle":"","family":"Chigbu","given":"U. E.","non-dropping-particle":"","parse-names":false,"suffix":""}],"container-title":"Land","id":"ITEM-1","issue":"6","issued":{"date-parts":[["2020"]]},"page":"1-28","title":"The nexus between peri-urban transformation and customary land rights disputes: Effects on peri-urban development in Trede, Ghana","type":"article-journal","volume":"9"},"uris":["http://www.mendeley.com/documents/?uuid=7c02746f-90df-4e69-9a7b-eaa14750b3ac","http://www.mendeley.com/documents/?uuid=da03792b-7758-42f4-abff-708db45d0511"]}],"mendeley":{"formattedCitation":"(Ansah &amp; Chigbu, 2020)","manualFormatting":"Ansah and Chigbu (2020)","plainTextFormattedCitation":"(Ansah &amp; Chigbu, 2020)","previouslyFormattedCitation":"(Ansah &amp; Chigbu,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Ansah and Chigbu (2020)</w:t>
      </w:r>
      <w:r w:rsidRPr="00895D0B">
        <w:rPr>
          <w:rFonts w:cs="Times New Roman"/>
          <w:color w:val="000000" w:themeColor="text1"/>
          <w:szCs w:val="24"/>
        </w:rPr>
        <w:fldChar w:fldCharType="end"/>
      </w:r>
      <w:r w:rsidRPr="00895D0B">
        <w:rPr>
          <w:rFonts w:cs="Times New Roman"/>
          <w:color w:val="000000" w:themeColor="text1"/>
          <w:szCs w:val="24"/>
        </w:rPr>
        <w:t xml:space="preserve"> indicated that urban expansion is tremendously taking away the farming lands of families to individual developers for diverse usages. </w:t>
      </w:r>
    </w:p>
    <w:p w14:paraId="4E07B472" w14:textId="77777777" w:rsidR="001B4ED5" w:rsidRPr="00895D0B" w:rsidRDefault="001B4ED5" w:rsidP="006B52B6">
      <w:pPr>
        <w:pStyle w:val="NoSpacing"/>
      </w:pPr>
    </w:p>
    <w:p w14:paraId="18A249AA" w14:textId="123F4A42"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The upsurge in urban food prices due to a decrease in urban crop harvest in most developing countries evidently in cities is partly caused by the continuous transformation of urban-agricultural lands into developmental projects </w:t>
      </w:r>
      <w:r w:rsidRPr="00895D0B">
        <w:rPr>
          <w:rFonts w:cs="Times New Roman"/>
          <w:color w:val="000000" w:themeColor="text1"/>
          <w:szCs w:val="24"/>
        </w:rPr>
        <w:fldChar w:fldCharType="begin" w:fldLock="1"/>
      </w:r>
      <w:r w:rsidR="00240296" w:rsidRPr="00895D0B">
        <w:rPr>
          <w:rFonts w:cs="Times New Roman"/>
          <w:color w:val="000000" w:themeColor="text1"/>
          <w:szCs w:val="24"/>
        </w:rPr>
        <w:instrText>ADDIN CSL_CITATION {"citationItems":[{"id":"ITEM-1","itemData":{"DOI":"10.1016/j.cities.2019.04.006","ISSN":"0264-2751","author":[{"dropping-particle":"","family":"Azunre","given":"G. A.","non-dropping-particle":"","parse-names":false,"suffix":""},{"dropping-particle":"","family":"Amponsah","given":"O.","non-dropping-particle":"","parse-names":false,"suffix":""},{"dropping-particle":"","family":"Peprah","given":"C.","non-dropping-particle":"","parse-names":false,"suffix":""},{"dropping-particle":"","family":"Takyi","given":"S. A.","non-dropping-particle":"","parse-names":false,"suffix":""}],"container-title":"Cities","id":"ITEM-1","issue":"April","issued":{"date-parts":[["2019"]]},"page":"104-119","publisher":"Elsevier","title":"A review of the role of urban agriculture in the sustainable city discourse","type":"article-journal","volume":"93"},"uris":["http://www.mendeley.com/documents/?uuid=c83cde26-db9d-4e55-b786-2dc49a56018f"]}],"mendeley":{"formattedCitation":"(Azunre, Amponsah, Peprah, &amp; Takyi, 2019)","plainTextFormattedCitation":"(Azunre, Amponsah, Peprah, &amp; Takyi, 2019)","previouslyFormattedCitation":"(Azunre, Amponsah, Peprah, &amp; Takyi, 2019)"},"properties":{"noteIndex":0},"schema":"https://github.com/citation-style-language/schema/raw/master/csl-citation.json"}</w:instrText>
      </w:r>
      <w:r w:rsidRPr="00895D0B">
        <w:rPr>
          <w:rFonts w:cs="Times New Roman"/>
          <w:color w:val="000000" w:themeColor="text1"/>
          <w:szCs w:val="24"/>
        </w:rPr>
        <w:fldChar w:fldCharType="separate"/>
      </w:r>
      <w:r w:rsidR="00A01211" w:rsidRPr="00895D0B">
        <w:rPr>
          <w:rFonts w:cs="Times New Roman"/>
          <w:noProof/>
          <w:color w:val="000000" w:themeColor="text1"/>
          <w:szCs w:val="24"/>
        </w:rPr>
        <w:t>(Azunre, Amponsah, Peprah, &amp; Takyi, 2019)</w:t>
      </w:r>
      <w:r w:rsidRPr="00895D0B">
        <w:rPr>
          <w:rFonts w:cs="Times New Roman"/>
          <w:color w:val="000000" w:themeColor="text1"/>
          <w:szCs w:val="24"/>
        </w:rPr>
        <w:fldChar w:fldCharType="end"/>
      </w:r>
      <w:r w:rsidRPr="00895D0B">
        <w:rPr>
          <w:rFonts w:cs="Times New Roman"/>
          <w:color w:val="000000" w:themeColor="text1"/>
          <w:szCs w:val="24"/>
        </w:rPr>
        <w:t xml:space="preserve">. This implies that if such conditions persist for some time the cost of living in urban centres will become quite unbearable for urban and peri-urban dwellers in developing countries. In a similar dimension,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{"citationItems":[{"id":"ITEM-1","itemData":{"DOI":"10.1016/j.gfs.2020.100377","ISSN":"22119124","abstract":"Commercial urban agriculture is typically restricted to agriculture land use, green or open spaces, or under-utilised or undeveloped land. As urbanising cities face the double threats of urban food insecurity and land scarcity, multi-functional urban land uses that integrate rather than separate agriculture from other land uses could be a critical adaptation for the sustainability of future cities. With less than 1% of land in agricultural use, the high-density, city-state of Singapore is testing integrative approaches to where and how food can be grown in the city. The shift toward land use multiplicity is prompting cross-agency collaboration in policy development. The aims of this paper were to map changes in agricultural use of land and describe emerging policy trends in Singapore related to cross-agency collaboration and land use multiplicity. Given growing global attention to urban food policy, Singapore is a timely example where policies support integrated urban food production through high-tech intensification, a model AgriFood Innovation Park, and promotion of industrial and commercial land uses toward efficient and value-added activities that include urban farms. More examples of agriculture co-located with other land uses are needed to understand opportunities and challenges related to multi- or shared-use spaces particularly for tenure rights. Resolving regulatory and legal constraints will enable high and low tech farms to produce substantially more food in the city.","author":[{"dropping-particle":"","family":"Diehl","given":"J. A.","non-dropping-particle":"","parse-names":false,"suffix":""},{"dropping-particle":"","family":"Sweeney","given":"E.","non-dropping-particle":"","parse-names":false,"suffix":""},{"dropping-particle":"","family":"Wong","given":"B.","non-dropping-particle":"","parse-names":false,"suffix":""},{"dropping-particle":"","family":"Sia","given":"C. S.","non-dropping-particle":"","parse-names":false,"suffix":""},{"dropping-particle":"","family":"Yao","given":"H.","non-dropping-particle":"","parse-names":false,"suffix":""},{"dropping-particle":"","family":"Prabhudesai","given":"M.","non-dropping-particle":"","parse-names":false,"suffix":""}],"container-title":"Global Food Security","id":"ITEM-1","issue":"April","issued":{"date-parts":[["2020"]]},"page":"100377","publisher":"Elsevier B.V.","title":"Feeding cities: Singapore's approach to land use planning for urban agriculture","type":"article-journal","volume":"26"},"uris":["http://www.mendeley.com/documents/?uuid=a3f3aa9a-c05d-4652-bf4b-b6f6c03f1e46","http://www.mendeley.com/documents/?uuid=6b3521b6-e515-4864-89fd-851c6b47eda6"]}],"mendeley":{"formattedCitation":"(Diehl et al., 2020a)","manualFormatting":"Diehl et al. (2020)","plainTextFormattedCitation":"(Diehl et al., 2020a)","previouslyFormattedCitation":"(Diehl et al., 2020a)"},"properties":{"noteIndex":0},"schema":"https://github.com/citation-style-language/schema/raw/master/csl-citation.json"}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Diehl et al. (2020)</w:t>
      </w:r>
      <w:r w:rsidRPr="00895D0B">
        <w:rPr>
          <w:rFonts w:cs="Times New Roman"/>
          <w:color w:val="000000" w:themeColor="text1"/>
          <w:szCs w:val="24"/>
        </w:rPr>
        <w:fldChar w:fldCharType="end"/>
      </w:r>
      <w:r w:rsidRPr="00895D0B">
        <w:rPr>
          <w:rFonts w:cs="Times New Roman"/>
          <w:color w:val="000000" w:themeColor="text1"/>
          <w:szCs w:val="24"/>
        </w:rPr>
        <w:t xml:space="preserve"> asserted that the insecurity of food in most cities and their peripheries as a result of far devastating of urban-agriculture lands impetus by developmental policies invites critical deliberations among various stakeholders against posterity. The claims of these scholars is that though farming (agriculture) is the main indicator of food for urban inhabitants, its production and accessibility are being compromised as a result of the transformation of urban-agricultural lands for construction and other non-agricultural purposes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{"citationItems":[{"id":"ITEM-1","itemData":{"DOI":"10.1016/j.landusepol.2015.06.030","ISSN":"02648377","abstract":"Food insecurity remains persistent in the Global South due to constraints in food production capacities and intricate land tenure systems that stifle investment in agriculture. In the urbanized regions, uncontrolled urbanization and non-compliant land use systems have further worsened the potentials for urban food production. This research is based on a case study of the Wa Municipality in order to assess the influences of customary land allocation and peri-urbanization on land use planning and foods systems in Ghana using explorative and narrative research approaches. The study identified that customary stakeholders responsible for allocating such lands in the Wa Municipality were indiscriminately converting large tracts of hitherto agricultural lands to urban land uses. Statutorily prepared land use plans are hardly enforced and the planning priorities are on residential and commercial land uses that command higher land values to the detriment of agricultural lands. Weak institutional linkages also characterize the mandated planning and land administration institutions, with a planning system that is reactive rather than proactive in addressing development control challenges across the country. There is the need for planning authorities to adopt participatory land uses planning together with customary landholders and educating them on the essence of comprehensive land use planning approaches. Based on the findings, local governments need to partner landowners to identify and reserve high potential agricultural land for sustainable urban food production.","author":[{"dropping-particle":"","family":"Kuusaana","given":"E. D.","non-dropping-particle":"","parse-names":false,"suffix":""},{"dropping-particle":"","family":"Eledi","given":"J. A.","non-dropping-particle":"","parse-names":false,"suffix":""}],"container-title":"Land Use Policy","id":"ITEM-1","issued":{"date-parts":[["2015"]]},"page":"454-466","publisher":"Elsevier Ltd","title":"Customary land allocation, urbanization and land use planning in Ghana: Implications for food systems in the Wa Municipality","type":"article-journal","volume":"48"},"uris":["http://www.mendeley.com/documents/?uuid=2ca0cd61-39b6-483f-84a3-93dc826aed51"]}],"mendeley":{"formattedCitation":"(Kuusaana &amp; Eledi, 2015)","plainTextFormattedCitation":"(Kuusaana &amp; Eledi, 2015)","previouslyFormattedCitation":"(Kuusaana &amp; Eledi, 2015)"},"properties":{"noteIndex":0},"schema":"https://github.com/citation-style-language/schema/raw/master/csl-citation.json"}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(Kuusaana &amp; Eledi, 2015)</w:t>
      </w:r>
      <w:r w:rsidRPr="00895D0B">
        <w:rPr>
          <w:rFonts w:cs="Times New Roman"/>
          <w:color w:val="000000" w:themeColor="text1"/>
          <w:szCs w:val="24"/>
        </w:rPr>
        <w:fldChar w:fldCharType="end"/>
      </w:r>
      <w:r w:rsidRPr="00895D0B">
        <w:rPr>
          <w:rFonts w:cs="Times New Roman"/>
          <w:color w:val="000000" w:themeColor="text1"/>
          <w:szCs w:val="24"/>
        </w:rPr>
        <w:t xml:space="preserve">.  The increase in demand for lands in the urban centres breeds the incessant diversion of peri-urban and urban agricultural lands for the construction of developmental projects and this has a dire impact on the constancy in the supply of food, usage of food, and food availability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{"citationItems":[{"id":"ITEM-1","itemData":{"DOI":"10.1016/j.cities.2019.102524","ISSN":"02642751","abstract":"The UN-Habitat III has placed secondary cities at the centre of the new urban agenda, given their roles in global development trajectories in the future. Wa, though a small city, is an important growth pole in North-western Ghana. Wa emerged as a trading town in the colonial era and since independence in 1957 has become a key growth centre in the development of North-western Ghana. However, the confluence of environmental vulnerabilities and pre-existing social inequalities resulting from centuries of colonial and post-colonial neglects, have led to increasing contestations and socio-ecological challenges. We profiled Wa through the lens of Southern urbanism and highlight its socio-economic, ecological and spatial development dynamics as an ordinary city of the Global South. The dynamics reflect a disconnection between capital and labour as well as contested resource flows, and these have implications for a transformative and sustainable urban future. Through this profile, postcolonial urban studies of the Global South must reconsider deepening empirical methods and theories in addressing this unique problem-space. A transformative and sustainable urban future of Wa remains counterproductive if postcolonial urban studies do not engage with unique paradigms of the Global South in understanding and planning cities of the South.","author":[{"dropping-particle":"","family":"Ahmed","given":"Abubakari","non-dropping-particle":"","parse-names":false,"suffix":""},{"dropping-particle":"","family":"Korah","given":"Prosper Issahaku","non-dropping-particle":"","parse-names":false,"suffix":""},{"dropping-particle":"","family":"Dongzagla","given":"Alfred","non-dropping-particle":"","parse-names":false,"suffix":""},{"dropping-particle":"","family":"Nunbogu","given":"Abraham Marshall","non-dropping-particle":"","parse-names":false,"suffix":""},{"dropping-particle":"","family":"Niminga-Beka","given":"Rockson","non-dropping-particle":"","parse-names":false,"suffix":""},{"dropping-particle":"","family":"Kuusaana","given":"Elias Danyi","non-dropping-particle":"","parse-names":false,"suffix":""},{"dropping-particle":"","family":"Abubakari","given":"Zaid","non-dropping-particle":"","parse-names":false,"suffix":""}],"container-title":"Cities","id":"ITEM-1","issued":{"date-parts":[["2020"]]},"page":"1-14","title":"City profile: Wa, Ghana","type":"article-journal","volume":"97"},"uris":["http://www.mendeley.com/documents/?uuid=878113b6-ff10-4d2b-96f6-898f23018793"]}],"mendeley":{"formattedCitation":"(A. Ahmed et al., 2020)","plainTextFormattedCitation":"(A. Ahmed et al., 2020)","previouslyFormattedCitation":"(A. Ahmed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 Ahmed et al., 2020)</w:t>
      </w:r>
      <w:r w:rsidRPr="00895D0B">
        <w:rPr>
          <w:rFonts w:cs="Times New Roman"/>
          <w:color w:val="000000" w:themeColor="text1"/>
          <w:szCs w:val="24"/>
        </w:rPr>
        <w:fldChar w:fldCharType="end"/>
      </w:r>
      <w:r w:rsidRPr="00895D0B">
        <w:rPr>
          <w:rFonts w:cs="Times New Roman"/>
          <w:color w:val="000000" w:themeColor="text1"/>
          <w:szCs w:val="24"/>
        </w:rPr>
        <w:t xml:space="preserve">.In recent times many urban and peri-urban farmers are progressively compelled to move to rural areas to continue their farming activities. As indicated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{"citationItems":[{"id":"ITEM-1","itemData":{"DOI":"10.1016/j.landusepol.2018.01.013","ISSN":"02648377","abstract":"This paper examined the effects of peri-urbanisation on arable land in Kumasi Metropolis. The study involved classification of Landsat Thematic Mapper (TM) 1986 imagery and images from Enhanced Thematic Mapper Plus (ETM+) 2004 and Landsat 8 Operational Land Image and Thermal Infrared Sensor (OLI/TIRS) image for 2016 to show land use and cover changes in the Metropolis. The results show that the Metropolis has undergone significant land use and land cover changes in thirty years with negative repercussions for food crop production. While urban land use increased by 54.6% between 1986 and 2016, arable land declined by 15.6% over the same period. The results show a strong positive correlation between the size of arable land and crop output over a fifteen-year period. The paper calls for legislative enforcement as well as standards on urban land use and development as enshrined in the 2016 Land Use and Spatial Planning Act to ensure that land use in the city is consistent with sustainable principles.","author":[{"dropping-particle":"","family":"Abass","given":"K.","non-dropping-particle":"","parse-names":false,"suffix":""},{"dropping-particle":"","family":"Adanu","given":"S. K.","non-dropping-particle":"","parse-names":false,"suffix":""},{"dropping-particle":"","family":"Agyemang","given":"S.","non-dropping-particle":"","parse-names":false,"suffix":""}],"container-title":"Land Use Policy","id":"ITEM-1","issue":"February 2017","issued":{"date-parts":[["2018"]]},"page":"470-479","title":"Peri-urbanisation and loss of arable land in Kumasi Metropolis in three decades: Evidence from remote sensing image analysis","type":"article-journal","volume":"72"},"uris":["http://www.mendeley.com/documents/?uuid=7fa7e6c6-64cf-45c7-96f8-6525c6fd402d"]}],"mendeley":{"formattedCitation":"(Abass et al., 2018)","manualFormatting":"Abass et al. (2018)","plainTextFormattedCitation":"(Abass et al., 2018)","previouslyFormattedCitation":"(Abass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Abass et al. (2018)</w:t>
      </w:r>
      <w:r w:rsidRPr="00895D0B">
        <w:rPr>
          <w:rFonts w:cs="Times New Roman"/>
          <w:color w:val="000000" w:themeColor="text1"/>
          <w:szCs w:val="24"/>
        </w:rPr>
        <w:fldChar w:fldCharType="end"/>
      </w:r>
      <w:r w:rsidRPr="00895D0B">
        <w:rPr>
          <w:rFonts w:cs="Times New Roman"/>
          <w:color w:val="000000" w:themeColor="text1"/>
          <w:szCs w:val="24"/>
        </w:rPr>
        <w:t xml:space="preserve">, the numerous farmland problems that smallholder farmers in urban communities encounter are gradually shrinking their size in urban centres. They stressed that the livelihoods of farming households in the urban centres are at risk if policymakers and implementers do not get an antidote to the rising loss of urban and peri-urban farmlands to developers. In the illustration,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{"citationItems":[{"id":"ITEM-1","itemData":{"author":[{"dropping-particle":"","family":"Patil","given":"R. N.","non-dropping-particle":"","parse-names":false,"suffix":""},{"dropping-particle":"","family":"Nagaonkar","given":"S. N.","non-dropping-particle":"","parse-names":false,"suffix":""},{"dropping-particle":"","family":"Shah","given":"N. B.","non-dropping-particle":"","parse-names":false,"suffix":""},{"dropping-particle":"","family":"Bhat","given":"T. S.","non-dropping-particle":"","parse-names":false,"suffix":""},{"dropping-particle":"","family":"Almale","given":"B.","non-dropping-particle":"","parse-names":false,"suffix":""}],"id":"ITEM-1","issue":"1","issued":{"date-parts":[["2016"]]},"page":"6-11","title":"Urbanization - land use interactions predict antibiotuc contamination in soil across urban-rural gradients","type":"article-journal","volume":"2"},"uris":["http://www.mendeley.com/documents/?uuid=255f7196-bc38-4211-891d-f38ca6c46f6b"]}],"mendeley":{"formattedCitation":"(Patil et al., 2016)","manualFormatting":"Patil et al. (2016)","plainTextFormattedCitation":"(Patil et al., 2016)","previouslyFormattedCitation":"(Patil et al., 2016)"},"properties":{"noteIndex":0},"schema":"https://github.com/citation-style-language/schema/raw/master/csl-citation.json"}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Patil et al. (2016)</w:t>
      </w:r>
      <w:r w:rsidRPr="00895D0B">
        <w:rPr>
          <w:rFonts w:cs="Times New Roman"/>
          <w:color w:val="000000" w:themeColor="text1"/>
          <w:szCs w:val="24"/>
        </w:rPr>
        <w:fldChar w:fldCharType="end"/>
      </w:r>
      <w:r w:rsidRPr="00895D0B">
        <w:rPr>
          <w:rFonts w:cs="Times New Roman"/>
          <w:color w:val="000000" w:themeColor="text1"/>
          <w:szCs w:val="24"/>
        </w:rPr>
        <w:t xml:space="preserve"> in his study noted that the sprawl of most urban centres led to farming households in urban centres losing their occupational farmlands, which further serve as a catalyst to the different difficulties urban farming households residents face after they go back to the rural communities to earn a livelihood.</w:t>
      </w:r>
    </w:p>
    <w:p w14:paraId="4408F5E7"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lastRenderedPageBreak/>
        <w:t xml:space="preserve">In their study of the influences of urbanization on urban sustainable development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{"citationItems":[{"id":"ITEM-1","itemData":{"DOI":"10.1080/10095020.2020.1787800","ISSN":"10095020","abstract":"Urbanization is one of the most impactful human activities across the world today affecting the quality of urban life and its sustainable development. Urbanization in Africa is occurring at an unprecedented rate and it threatens the attainment of Sustainable Development Goals (SDGs). Urban sprawl has resulted in unsustainable urban development patterns from social, environmental, and economic perspectives. This study is among the first examples of research in Africa to combine remote sensing data with social media data to determine urban sprawl from 2011 to 2017 in Morogoro urban municipality, Tanzania. Random Forest (RF) method was applied to accomplish imagery classification and location-based social media (Twitter usage) data were obtained through a Twitter Application Programming Interface (API). Morogoro urban municipality was classified into built-up, vegetation, agriculture, and water land cover classes while the classification results were validated by the generation of 480 random points. Using the Kernel function, the study measured the location of Twitter users within a 1 km buffer from the center of the city. The results indicate that, expansion of the city (built-up land use), which is primarily driven by population expansion, has negative impacts on ecosystem services because pristine grasslands and forests which provide essential ecosystem services such as carbon sequestration and support for biodiversity have been replaced by built-up land cover. In addition, social media usage data suggest that there is the concentration of Twitter usage within the city center while Twitter usage declines away from the city center with significant spatial and numerical increase in Twitter usage in the study area. The outcome of the study suggests that the combination of remote sensing, social sensing, and population data were useful as a proxy/inference for interpreting urban sprawl and status of access to urban services and infrastructure in Morogoro, and Africa city where data for urban planning is often unavailable, inaccurate, or stale.","author":[{"dropping-particle":"","family":"Shao","given":"Z.","non-dropping-particle":"","parse-names":false,"suffix":""},{"dropping-particle":"","family":"Sumari","given":"N. S.","non-dropping-particle":"","parse-names":false,"suffix":""},{"dropping-particle":"","family":"Portnov","given":"A.","non-dropping-particle":"","parse-names":false,"suffix":""},{"dropping-particle":"","family":"Ujoh","given":"F.","non-dropping-particle":"","parse-names":false,"suffix":""},{"dropping-particle":"","family":"Musakwa","given":"W.","non-dropping-particle":"","parse-names":false,"suffix":""},{"dropping-particle":"","family":"Mandela","given":"P.J.","non-dropping-particle":"","parse-names":false,"suffix":""}],"container-title":"Geo-Spatial Information Science","id":"ITEM-1","issue":"2","issued":{"date-parts":[["2021"]]},"page":"241-255","publisher":"Taylor &amp; Francis","title":"Urban sprawl and its impact on sustainable urban development: a combination of remote sensing and social media data","type":"article-journal","volume":"24"},"uris":["http://www.mendeley.com/documents/?uuid=d2ee4582-d6df-404f-ab74-5eb965ed5ab3","http://www.mendeley.com/documents/?uuid=c18ac675-3e38-48aa-a594-e925790fd797"]}],"mendeley":{"formattedCitation":"(Shao et al., 2021)","manualFormatting":"Shao et al. (2021)","plainTextFormattedCitation":"(Shao et al., 2021)","previouslyFormattedCitation":"(Shao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Shao et al. (2021)</w:t>
      </w:r>
      <w:r w:rsidRPr="00895D0B">
        <w:rPr>
          <w:rFonts w:cs="Times New Roman"/>
          <w:color w:val="000000" w:themeColor="text1"/>
          <w:szCs w:val="24"/>
        </w:rPr>
        <w:fldChar w:fldCharType="end"/>
      </w:r>
      <w:r w:rsidRPr="00895D0B">
        <w:rPr>
          <w:rFonts w:cs="Times New Roman"/>
          <w:color w:val="000000" w:themeColor="text1"/>
          <w:szCs w:val="24"/>
        </w:rPr>
        <w:t xml:space="preserve">, realized that the high rate of population growth and its accompanying implications have broadly affected urban ecology. Such a notion clarifies that the urban vegetation and issues of biodiversity are likely to be compromised by the numerous constructed structures which automatically conceal the vegetation, preventing it from its natural function of confiscating emissions from the factories and other human activities in the cities. This will spontaneously affect the livelihood of urban dwellers most especially those in agricultural productivity, as their agricultural outputs will be negatively affected. In observing the effect of urban sprawl and the impact on the availability and access to food and water,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{"citationItems":[{"id":"ITEM-1","itemData":{"DOI":"10.3390/su132212336","ISSN":"20711050","abstract":"To examine the impact of population growth, urbanization and water availability on food insecurity, this study utilized time series data for the period of 1990–2019, from World Development Indicators (WDI), Food and Agriculture Organization (FAO), and World Bank. The study applied an Auto-regressive distributive lag (ARDL) co-integration approach to test the hypothesized relationships among modeled variables. The study found a negative and significant association of water resources and agriculture research with food insecurity while urbanization and population growth has a significant and positive impact on food insecurity in the short-run as well as in the long-run period. Moreover, the study found that political stability has a negative and significant association with food insecurity in the short-run and long-run periods. Results also indicated that political stability significantly strengthens the relationship of water resources, and agriculture research with food insecurity while political stability weakens the relationship of urbanization and food insecurity significantly.","author":[{"dropping-particle":"","family":"Kousar","given":"S.","non-dropping-particle":"","parse-names":false,"suffix":""},{"dropping-particle":"","family":"Ahmed","given":"F.","non-dropping-particle":"","parse-names":false,"suffix":""},{"dropping-particle":"","family":"Pervaiz","given":"A.","non-dropping-particle":"","parse-names":false,"suffix":""},{"dropping-particle":"","family":"Bojnec","given":"Š.","non-dropping-particle":"","parse-names":false,"suffix":""}],"container-title":"Sustainability (Switzerland)","id":"ITEM-1","issue":"22","issued":{"date-parts":[["2021"]]},"title":"Food insecurity, population growth, urbanization and water availability: The role of government stability","type":"article-journal","volume":"13"},"uris":["http://www.mendeley.com/documents/?uuid=04cdd045-138b-4091-a70f-62bdbecd618b"]}],"mendeley":{"formattedCitation":"(Kousar et al., 2021)","plainTextFormattedCitation":"(Kousar et al., 2021)","previouslyFormattedCitation":"(Kousar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(Kousar et al., 2021)</w:t>
      </w:r>
      <w:r w:rsidRPr="00895D0B">
        <w:rPr>
          <w:rFonts w:cs="Times New Roman"/>
          <w:color w:val="000000" w:themeColor="text1"/>
          <w:szCs w:val="24"/>
        </w:rPr>
        <w:fldChar w:fldCharType="end"/>
      </w:r>
      <w:r w:rsidRPr="00895D0B">
        <w:rPr>
          <w:rFonts w:cs="Times New Roman"/>
          <w:color w:val="000000" w:themeColor="text1"/>
          <w:szCs w:val="24"/>
        </w:rPr>
        <w:t xml:space="preserve"> emphasized that population growth and construction expansions in urban centres have some dire consequences on the availability and access to water which also serve as a major source of irrigation for urban agricultural activities. As such it has affected the productivity of urban farmers whose livelihood depends solely on agricultural activities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{"citationItems":[{"id":"ITEM-1","itemData":{"DOI":"10.3390/su13095119","ISSN":"20711050","abstract":"This study was motivated by the profound disparity of farmers’ income in northern Thailand. We aimed to investigate the inequalities in the distribution of estimated income among urban farmers in the Mueang district area of Nan province using the Lorenz curves and Gini indices. Approximations of farmers’ incomes were calculated and the Tobit model was applied to identify the determinants of farm income diversification in each sub-district. Results showed that urban farmers had high inequality scores, and there was a wide range of income among farmers. Ownership, land entitlement, and farmland size positively contributed to farmers’ estimated income. Agricultural activities further showed that rice farming significantly raised income disparity, while maize cultivation negatively affected it in nearly all sub-districts. Therefore, this study contributes an important indication that leads farmers to a sustainable livelihood while simultaneously adjusting relevant institutional policies.","author":[{"dropping-particle":"","family":"Jaitiang","given":"D.","non-dropping-particle":"","parse-names":false,"suffix":""},{"dropping-particle":"","family":"Huang","given":"W. C.","non-dropping-particle":"","parse-names":false,"suffix":""},{"dropping-particle":"","family":"Yang","given":"S. H.","non-dropping-particle":"","parse-names":false,"suffix":""}],"container-title":"Sustainability (Switzerland)","id":"ITEM-1","issue":"9","issued":{"date-parts":[["2021"]]},"page":"1-16","title":"Does income inequality exist among urban farmers? A demonstration of lorenz curves from Northern Thailand","type":"article-journal","volume":"13"},"uris":["http://www.mendeley.com/documents/?uuid=dad3ad5c-4464-478a-86e9-2dc7460a4d89"]}],"mendeley":{"formattedCitation":"(Jaitiang et al., 2021)","plainTextFormattedCitation":"(Jaitiang et al., 2021)","previouslyFormattedCitation":"(Jaitiang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(Jaitiang et al., 2021)</w:t>
      </w:r>
      <w:r w:rsidRPr="00895D0B">
        <w:rPr>
          <w:rFonts w:cs="Times New Roman"/>
          <w:color w:val="000000" w:themeColor="text1"/>
          <w:szCs w:val="24"/>
        </w:rPr>
        <w:fldChar w:fldCharType="end"/>
      </w:r>
      <w:r w:rsidRPr="00895D0B">
        <w:rPr>
          <w:rFonts w:cs="Times New Roman"/>
          <w:color w:val="000000" w:themeColor="text1"/>
          <w:szCs w:val="24"/>
        </w:rPr>
        <w:t xml:space="preserve">. Incongruent with the above position, urbanization is married to the livelihood of urban agricultural activities and it is seriously the entire livelihood of all urban dwellers irrespective of status in varied ways. Agricultural activities are losing firm ground in most urban and peri-urban centres because of the array of agricultural hecklers that move along with urban expansion. </w:t>
      </w:r>
      <w:r w:rsidRPr="00895D0B">
        <w:rPr>
          <w:rFonts w:eastAsia="Times New Roman" w:cs="Times New Roman"/>
          <w:color w:val="000000" w:themeColor="text1"/>
          <w:szCs w:val="24"/>
          <w:lang w:eastAsia="en-GB"/>
        </w:rPr>
        <w:t xml:space="preserve">There is income inequality and distribution among urban farmers, indicating a significant disparity in earnings within farmer groups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{"citationItems":[{"id":"ITEM-1","itemData":{"DOI":"10.1016/j.jssas.2020.10.001","ISSN":"1658077X","abstract":"The mountainous region of the Rudraprayag district is covered with a variety of floral and faunal diversity, provide very rich biodiversity. A very limited area of the district is available for agriculture for supplying the growing demand for food and running the rural economies. Therefore, it became imperative to use this limited resource very cautiously, so that it can provide sustainable production to the farming communities. Nevertheless, due to lack of inadequate infrastructural facilities more specifically accessibility and other socio-economic barriers in the agriculture production lagging. Therefore, in the present study, we used frequency ratio (FR) and analytical hierarchy process (AHP) integrating with remote sensing (RS) and geographic information system (GIS) to identify the potential land for agriculture. The study used ten most significant topographic, geological, pedagogical, climatic, and socioeconomic variables using weighted overlay method in GIS platform. We also used expert knowledge to assign weights, then normalized by AHP eigenvector. For validation, we used receiver operating characteristic (ROC) curve, indicates both methods are very useful in agricultural potentiality mapping. The results also show that the geological and pedagogical conditions have prominent control and directly affects the agricultural practices in the area. The large areas are currently not suitable (1148.89 km2, 57.94%) and permanently unsuitable (390.43 km2, 19.69%), but very few areas (56.22 km2, 2.84%) are highly suitable in the district, which is mostly confined in the lower valley region of Alaknanda and Mandakini Rivers. The main characteristics of the region is nearly plain (&lt;15°), elevation &lt; 1000 m, and loamy to very fine sand soil texture. The agriculture sites proposed in the study can help farmers, regional planners and government to take precise decisions for the region to determine the potential agricultural lands and their practices. The results of the study have implications for developing sustainable agriculture management plan to ensure sustainable food production system and implement resilient agricultural practices and increase agriculture productivity and income. It can help to maintain ecosystem to strengthen capacity for agriculture adaptation, agricultural development, and self-reliant village economies in the district as well as across the Himalayan region.","author":[{"dropping-particle":"","family":"Kumar","given":"A.","non-dropping-particle":"","parse-names":false,"suffix":""},{"dropping-particle":"","family":"Pramanik","given":"M.","non-dropping-particle":"","parse-names":false,"suffix":""},{"dropping-particle":"","family":"Chaudhary","given":"S.","non-dropping-particle":"","parse-names":false,"suffix":""},{"dropping-particle":"","family":"Negi","given":"M. S.","non-dropping-particle":"","parse-names":false,"suffix":""}],"container-title":"Journal of the Saudi Society of Agricultural Sciences","id":"ITEM-1","issue":"1","issued":{"date-parts":[["2021"]]},"page":"1-17","publisher":"The Authors","title":"Land evaluation for sustainable development of Himalayan agriculture using RS-GIS in conjunction with analytic hierarchy process and frequency ratio","type":"article-journal","volume":"20"},"uris":["http://www.mendeley.com/documents/?uuid=d5c92592-0370-4f2f-ae9b-9532263052f5"]}],"mendeley":{"formattedCitation":"(A. Kumar et al., 2021)","plainTextFormattedCitation":"(A. Kumar et al., 2021)","previouslyFormattedCitation":"(A. Kumar et al., 2021)"},"properties":{"noteIndex":0},"schema":"https://github.com/citation-style-language/schema/raw/master/csl-citation.json"}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(A. Kumar et al., 2021)</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They further indicated that understanding income inequality among urban farmers is crucial for designing effective policies and interventions to promote equitable and sustainable urban agriculture practices.</w:t>
      </w:r>
    </w:p>
    <w:p w14:paraId="26CE89EB" w14:textId="77777777" w:rsidR="001B4ED5" w:rsidRPr="00895D0B" w:rsidRDefault="001B4ED5" w:rsidP="006B52B6">
      <w:pPr>
        <w:pStyle w:val="NoSpacing"/>
      </w:pPr>
    </w:p>
    <w:p w14:paraId="5C8DBE88" w14:textId="6B5AE1D3" w:rsidR="001B4ED5" w:rsidRPr="00895D0B" w:rsidRDefault="006B41C0" w:rsidP="009864E3">
      <w:pPr>
        <w:pStyle w:val="Heading3"/>
      </w:pPr>
      <w:bookmarkStart w:id="33" w:name="_Toc167379869"/>
      <w:r w:rsidRPr="00895D0B">
        <w:t>2.</w:t>
      </w:r>
      <w:r w:rsidR="004E07C6" w:rsidRPr="00895D0B">
        <w:t>5</w:t>
      </w:r>
      <w:r w:rsidRPr="00895D0B">
        <w:t>.1 Impacts of urban land use on urban agriculture</w:t>
      </w:r>
      <w:bookmarkEnd w:id="33"/>
      <w:r w:rsidRPr="00895D0B">
        <w:t xml:space="preserve"> </w:t>
      </w:r>
    </w:p>
    <w:p w14:paraId="44D35028" w14:textId="77777777" w:rsidR="001B4ED5" w:rsidRPr="00895D0B" w:rsidRDefault="006B41C0">
      <w:pPr>
        <w:shd w:val="clear" w:color="auto" w:fill="FFFFFF"/>
        <w:spacing w:line="360" w:lineRule="auto"/>
        <w:rPr>
          <w:rFonts w:cs="Times New Roman"/>
          <w:color w:val="000000" w:themeColor="text1"/>
          <w:szCs w:val="24"/>
        </w:rPr>
      </w:pPr>
      <w:r w:rsidRPr="00895D0B">
        <w:rPr>
          <w:rFonts w:eastAsia="Times New Roman" w:cs="Times New Roman"/>
          <w:color w:val="000000" w:themeColor="text1"/>
          <w:szCs w:val="24"/>
          <w:lang w:eastAsia="en-GB"/>
        </w:rPr>
        <w:t xml:space="preserve">Although it has many advantages for both individuals and communities, urban agriculture is frequently disregarded in regional and urban planning. Land use planners typically view agricultural regions as potential destinations for future development rather than chances to maintain farms or incorporate new production functions into urban surroundings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{"citationItems":[{"id":"ITEM-1","itemData":{"DOI":"10.1016/j.gfs.2020.100377","ISSN":"22119124","abstract":"Commercial urban agriculture is typically restricted to agriculture land use, green or open spaces, or under-utilised or undeveloped land. As urbanising cities face the double threats of urban food insecurity and land scarcity, multi-functional urban land uses that integrate rather than separate agriculture from other land uses could be a critical adaptation for the sustainability of future cities. With less than 1% of land in agricultural use, the high-density, city-state of Singapore is testing integrative approaches to where and how food can be grown in the city. The shift toward land use multiplicity is prompting cross-agency collaboration in policy development. The aims of this paper were to map changes in agricultural use of land and describe emerging policy trends in Singapore related to cross-agency collaboration and land use multiplicity. Given growing global attention to urban food policy, Singapore is a timely example where policies support integrated urban food production through high-tech intensification, a model AgriFood Innovation Park, and promotion of industrial and commercial land uses toward efficient and value-added activities that include urban farms. More examples of agriculture co-located with other land uses are needed to understand opportunities and challenges related to multi- or shared-use spaces particularly for tenure rights. Resolving regulatory and legal constraints will enable high and low tech farms to produce substantially more food in the city.","author":[{"dropping-particle":"","family":"Diehl","given":"J. A.","non-dropping-particle":"","parse-names":false,"suffix":""},{"dropping-particle":"","family":"Sweeney","given":"E.","non-dropping-particle":"","parse-names":false,"suffix":""},{"dropping-particle":"","family":"Wong","given":"B.","non-dropping-particle":"","parse-names":false,"suffix":""},{"dropping-particle":"","family":"Sia","given":"C. S.","non-dropping-particle":"","parse-names":false,"suffix":""},{"dropping-particle":"","family":"Yao","given":"H.","non-dropping-particle":"","parse-names":false,"suffix":""},{"dropping-particle":"","family":"Prabhudesai","given":"M.","non-dropping-particle":"","parse-names":false,"suffix":""}],"container-title":"Global Food Security","id":"ITEM-1","issue":"August 2019","issued":{"date-parts":[["2020"]]},"page":"100377","publisher":"Elsevier B.V.","title":"Feeding cities: Singapore's approach to land use planning for urban agriculture","type":"article-journal","volume":"26"},"uris":["http://www.mendeley.com/documents/?uuid=0f0721ae-ada2-40ac-8625-e39c40c5e4de"]}],"mendeley":{"formattedCitation":"(Diehl et al., 2020b)","plainTextFormattedCitation":"(Diehl et al., 2020b)","previouslyFormattedCitation":"(Diehl et al., 2020b)"},"properties":{"noteIndex":0},"schema":"https://github.com/citation-style-language/schema/raw/master/csl-citation.json"}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(Diehl et al., 2020b)</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Planners and governments frequently miss possibilities and issues within the entire food system since they are typically not involved in the production operations of agriculture. It has been observed that there is a widening gap between urban dwellers and the agricultural landscapes that support them as a result. The globalized economy, which promotes the importation of food from </w:t>
      </w:r>
      <w:r w:rsidRPr="00895D0B">
        <w:rPr>
          <w:rFonts w:eastAsia="Times New Roman" w:cs="Times New Roman"/>
          <w:color w:val="000000" w:themeColor="text1"/>
          <w:szCs w:val="24"/>
          <w:lang w:eastAsia="en-GB"/>
        </w:rPr>
        <w:lastRenderedPageBreak/>
        <w:t xml:space="preserve">distant countries, aggravates the situation. Although urban dwellers rely on food from other rural areas, the integration of urban farming and land use planning is a strategy that controls communities of control and negatively impacts long-term food security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{"citationItems":[{"id":"ITEM-1","itemData":{"DOI":"10.1016/j.landurbplan.2021.104055","ISSN":"01692046","abstract":"The Covid-19 pandemic newly brings food resilience in cities to our attention and the need to question the desired degree of food self-sufficiency through urban agriculture. While these questions are by no means new and periodically entering the global research focus and policy discussions during periods of crises — the last time during the global financial crisis and resulting food price increases in 2008 — urban and peri-urban agriculture continue to be replaced by land-uses rendering higher market values (e.g. housing, transport, leisure). The loss of priority for urban agriculture in urban land-use planning is a global trend with only a few exceptions. We argue in this essay that this development has widely taken place due to three blind spots in urban planning. First, the limited consideration of social and ecological vulnerabilities and risk-related inequalities of urban inhabitants, food shortage among them, in the face of different scenarios of global change, including climate change or pandemic events such as Covid-19. Second, the disregard of the intensified negative environmental (and related social) externalities caused by distant agricultural production, as well as lacking consideration of nutrient re-cycling potentials in cities (e.g. from wastewater) to replace emission intensive mineral fertilizer use. Third, the lack of accounting for the multifunctionality of urban agriculture and the multiple benefits it provides beyond the provision of food, including social benefits and insurance values, for instance the maintenance of cultural heritage and agro-biodiversity. Along these lines, we argue that existing and new knowledge about urban risks and vulnerabilities, the spatially explicit urban metabolism (e.g. energy, water, nutrients), as well as ecosystem services need to be stronger and jointly considered in land-use decision-making.","author":[{"dropping-particle":"","family":"Langemeyer","given":"J.","non-dropping-particle":"","parse-names":false,"suffix":""},{"dropping-particle":"","family":"Madrid-Lopez","given":"C.","non-dropping-particle":"","parse-names":false,"suffix":""},{"dropping-particle":"","family":"Mendoza Beltran","given":"A.","non-dropping-particle":"","parse-names":false,"suffix":""},{"dropping-particle":"","family":"Villalba Mendez","given":"G.","non-dropping-particle":"","parse-names":false,"suffix":""}],"container-title":"Landscape and Urban Planning","id":"ITEM-1","issued":{"date-parts":[["2021"]]},"page":"104055","publisher":"Elsevier B.V.","title":"Urban agriculture — A necessary pathway towards urban resilience and global sustainability?","type":"article-journal","volume":"210"},"uris":["http://www.mendeley.com/documents/?uuid=56b3009c-1dda-4710-bc59-4c5c510e218c"]}],"mendeley":{"formattedCitation":"(Langemeyer, Madrid-Lopez, et al., 2021)","manualFormatting":"(Langemeyer, et al., 2021)","plainTextFormattedCitation":"(Langemeyer, Madrid-Lopez, et al., 2021)","previouslyFormattedCitation":"(Langemeyer, Madrid-Lopez, et al., 2021)"},"properties":{"noteIndex":0},"schema":"https://github.com/citation-style-language/schema/raw/master/csl-citation.json"}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(Langemeyer, et al., 2021)</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Any unplanned disasters or disruptions at different stages in the food systems chain, from production to transportation and distribution pose a risk to an entire community that depends on food supplies from far places. Planners are missing a huge opportunity to employ something as essential and fun as food in their attempts to create healthy communities that promote a high quality of life by ignoring activities linked to community gardening. One of life's most fundamental needs, food, has been almost entirely disregarded in community-building efforts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{"citationItems":[{"id":"ITEM-1","itemData":{"DOI":"10.1016/j.jclepro.2016.05.176","ISSN":"09596526","abstract":"Global food systems are as vital for human survival as they constitute a major threat to the environment, being key drivers of climate change, water use, toxic emissions and habitat change. In a business as usual scenario, these impacts will most likely increase, driven by population and economic growth, which will lead to a higher demand for food, and probably for the most environmentally intensive food categories: meat and dairy products. Existing literature suggests deep paradigmatic changes to address this situation, such as (i) large-scale dietary changes on the consumption side, and (ii) structural changes towards more efficient food supply chains on the production side. As both of these measures are related to urban systems, in terms of food consumption habits and the potential of local production, Urban and Peri-Urban Agriculture (UPA) may assume a relevant role in food systems sustainability. In order to estimate to what extent the implementation of UPA would play a role in mitigating the environmental impacts of urban food systems, this paper uses life cycle assessment (LCA) to estimate their respective mitigation potential. The Global Warming Potential (GWP) and Land use (LU) were assessed for per capita Current Average Consumption (CAC) in Lisbon, and this baseline model was subsequently adapted in order to measure the effects of changes: (i) in the diet, through a comparison with the Recommended Healthy Diet (RHD) model; and (ii) in the food supply chain, by measuring the impacts of eliminating losses and wastage across the food supply chain and shortening transportation distances through local food production. The results show that the highest potential for environmental impacts mitigation is related to dietary changes. However, strategies for enhancing the efficiency of the food supply chain are relevant, as reducing losses and wastage, shortening transportation distances and taking into account technology improvements can further increase the mitigation potential.","author":[{"dropping-particle":"","family":"Benis","given":"K.","non-dropping-particle":"","parse-names":false,"suffix":""},{"dropping-particle":"","family":"Ferrão","given":"P.","non-dropping-particle":"","parse-names":false,"suffix":""}],"container-title":"Journal of Cleaner Production","id":"ITEM-1","issued":{"date-parts":[["2017"]]},"page":"784-795","title":"Potential mitigation of the environmental impacts of food systems through urban and peri-urban agriculture (UPA) – a life cycle assessment approach","type":"article-journal","volume":"140"},"uris":["http://www.mendeley.com/documents/?uuid=f7cace97-b6fa-4259-a9ea-4c5de3029c91"]}],"mendeley":{"formattedCitation":"(Benis &amp; Ferrão, 2017)","plainTextFormattedCitation":"(Benis &amp; Ferrão, 2017)","previouslyFormattedCitation":"(Benis &amp; Ferrão, 2017)"},"properties":{"noteIndex":0},"schema":"https://github.com/citation-style-language/schema/raw/master/csl-citation.json"}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(Benis &amp; Ferrão, 2017)</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Community gardens, for instance, are rarely valued equally with other open green spaces, making it difficult to include them in zoning or municipal planning processes to safeguard them. Due to their high consumer concentrations and disproportionately high proportions of the poor, urban regions often require the most work but also provide the greatest potential for integrating local food systems in development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{"citationItems":[{"id":"ITEM-1","itemData":{"DOI":"10.1007/978-3-030-67650-6","ISBN":"9783030676506","author":[{"dropping-particle":"","family":"Shackleton","given":"C. M.","non-dropping-particle":"","parse-names":false,"suffix":""},{"dropping-particle":"","family":"Cilliers","given":"S. S.","non-dropping-particle":"","parse-names":false,"suffix":""},{"dropping-particle":"","family":"Davoren","given":"E.","non-dropping-particle":"","parse-names":false,"suffix":""},{"dropping-particle":"","family":"Du","given":"M. J.","non-dropping-particle":"","parse-names":false,"suffix":""}],"id":"ITEM-1","issue":"December","issued":{"date-parts":[["2021"]]},"title":"Urban Ecology in the Global South","type":"book"},"uris":["http://www.mendeley.com/documents/?uuid=e5ee320c-3e41-4135-b1dd-5e4cf420c7ed"]}],"mendeley":{"formattedCitation":"(Shackleton et al., 2021)","plainTextFormattedCitation":"(Shackleton et al., 2021)","previouslyFormattedCitation":"(Shackleton et al., 2021)"},"properties":{"noteIndex":0},"schema":"https://github.com/citation-style-language/schema/raw/master/csl-citation.json"}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(Shackleton et al., 2021)</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Planners could significantly contribute to the development of urban areas with community gardens and other amenities because of their extensive perspective. Another alternative for urban design is to distribute food and garbage while taking resident accessibility into account. Urban planners have a unique chance to coordinate initiatives across sectors, enabling urban agriculture to fulfil its promise as a multifunctional and sustainable land use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{"citationItems":[{"id":"ITEM-1","itemData":{"DOI":"10.1029/2022EF002748","ISSN":"23284277","abstract":"Urban agriculture can contribute to food security, food system resilience and sustainability at the city level. While studies have examined urban agricultural productivity, we lack systemic knowledge of how agricultural productivity of urban systems compares to conventional agriculture and how productivity varies for different urban spaces (e.g., allotments vs. rooftops vs. indoor farming) and growing systems (e.g., hydroponics vs. soil-based agriculture). Here, we present a global meta-analysis that seeks to quantify crop yields of urban agriculture for a broad range of crops and explore differences in yields for distinct urban spaces and growing systems. We found 200 studies reporting urban crop yields, from which 2,062 observations were extracted. Lettuces and chicories were the most studied urban grown crops. We observed high agronomic suitability of urban areas, with urban agricultural yields on par with or greater than global average conventional agricultural yields. “Cucumbers and gherkins” was the category of crops for which differences in yields between urban and conventional agriculture were the greatest (17 kg m−2 cycle−1 vs. 3.8 kg m−2 cycle−1). Some urban spaces and growing systems also had a significant effect on specific crop yields (e.g., tomato yields in hydroponic systems were significantly greater than tomato yields in soil-based systems). This analysis provides a more robust, globally relevant evidence base on the productivity of urban agriculture that can be used in future research and practice relating to urban agriculture, especially in scaling-up studies aiming to estimate the self-sufficiency of cities and towns and their potential to meet local food demand.","author":[{"dropping-particle":"","family":"Payen","given":"F. T.","non-dropping-particle":"","parse-names":false,"suffix":""},{"dropping-particle":"","family":"Evans","given":"D. L.","non-dropping-particle":"","parse-names":false,"suffix":""},{"dropping-particle":"","family":"Falagán","given":"N.","non-dropping-particle":"","parse-names":false,"suffix":""},{"dropping-particle":"","family":"Hardman","given":"C. A.","non-dropping-particle":"","parse-names":false,"suffix":""},{"dropping-particle":"","family":"Kourmpetli","given":"S.","non-dropping-particle":"","parse-names":false,"suffix":""},{"dropping-particle":"","family":"Liu","given":"L.","non-dropping-particle":"","parse-names":false,"suffix":""},{"dropping-particle":"","family":"Marshall","given":"R.","non-dropping-particle":"","parse-names":false,"suffix":""},{"dropping-particle":"","family":"Mead","given":"B. R.","non-dropping-particle":"","parse-names":false,"suffix":""},{"dropping-particle":"","family":"Davies","given":"J.A.C.","non-dropping-particle":"","parse-names":false,"suffix":""}],"container-title":"Earth's Future","id":"ITEM-1","issue":"8","issued":{"date-parts":[["2022"]]},"page":"1-22","title":"How Much Food Can We Grow in Urban Areas? Food Production and Crop Yields of Urban Agriculture: A Meta-Analysis","type":"article-journal","volume":"10"},"uris":["http://www.mendeley.com/documents/?uuid=eccbd018-2b17-46ac-8f37-75d6a8516ff5"]}],"mendeley":{"formattedCitation":"(Payen et al., 2022)","manualFormatting":"Payen et al., 2022)","plainTextFormattedCitation":"(Payen et al., 2022)","previouslyFormattedCitation":"(Payen et al.,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Payen et al., 2022)</w:t>
      </w:r>
      <w:r w:rsidRPr="00895D0B">
        <w:rPr>
          <w:rFonts w:cs="Times New Roman"/>
          <w:color w:val="000000" w:themeColor="text1"/>
          <w:szCs w:val="24"/>
        </w:rPr>
        <w:fldChar w:fldCharType="end"/>
      </w:r>
      <w:r w:rsidRPr="00895D0B">
        <w:rPr>
          <w:rFonts w:eastAsia="Times New Roman" w:cs="Times New Roman"/>
          <w:color w:val="000000" w:themeColor="text1"/>
          <w:szCs w:val="24"/>
          <w:lang w:eastAsia="en-GB"/>
        </w:rPr>
        <w:t xml:space="preserve">. </w:t>
      </w:r>
      <w:r w:rsidRPr="00895D0B">
        <w:rPr>
          <w:rFonts w:cs="Times New Roman"/>
          <w:color w:val="000000" w:themeColor="text1"/>
          <w:szCs w:val="24"/>
        </w:rPr>
        <w:t xml:space="preserve">The rapid increase in urbanization and its cascading infrastructural development on fixed lands risk losing agricultural lands to construction projects. This is very clear in the current decline in both urban and peri-urban agriculture lands. Concerning this a study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{"citationItems":[{"id":"ITEM-1","itemData":{"DOI":"10.1073/pnas.1606036114","ISBN":"1606036114","ISSN":"10916490","PMID":"28028219","abstract":"Urban expansion often occurs on croplands. However, there is little scientific understanding of how global patterns of future urban expansion will affect the world’s cultivated areas. Here, we combine spatially explicit projections of urban expansion with datasets on global croplands and crop yields. Our results show that urban expansion will result in a 1.8–2.4% loss of global croplands by 2030, with substantial regional disparities. About 80% of global cropland loss from urban expansion will take place in Asia and Africa. In both Asia and Africa, much of the cropland that will be lost is more than twice as productive as national averages. Asia will experience the highest absolute loss in cropland, whereas African countries will experience the highest percentage loss of cropland. Globally, the croplands that are likely to be lost were responsible for 3–4% of worldwide crop production in 2000. Urban expansion is expected to take place on cropland that is 1.77 times more productive than the global average. The loss of cropland is likely to be accompanied by other sustainability risks and threatens livelihoods, with diverging characteristics for different megaurban regions. Governance of urban area expansion thus emerges as a key area for securing livelihoods in the agrarian economies of the Global South.","author":[{"dropping-particle":"","family":"D’Amour","given":"C. B.","non-dropping-particle":"","parse-names":false,"suffix":""},{"dropping-particle":"","family":"Reitsma","given":"F.","non-dropping-particle":"","parse-names":false,"suffix":""},{"dropping-particle":"","family":"Baiocchi","given":"G.","non-dropping-particle":"","parse-names":false,"suffix":""},{"dropping-particle":"","family":"Barthel","given":"S.","non-dropping-particle":"","parse-names":false,"suffix":""},{"dropping-particle":"","family":"Güneralp","given":"B.","non-dropping-particle":"","parse-names":false,"suffix":""},{"dropping-particle":"","family":"Erb","given":"K. H.","non-dropping-particle":"","parse-names":false,"suffix":""},{"dropping-particle":"","family":"Haberl","given":"H.","non-dropping-particle":"","parse-names":false,"suffix":""},{"dropping-particle":"","family":"Creutzig","given":"F.","non-dropping-particle":"","parse-names":false,"suffix":""},{"dropping-particle":"","family":"Seto","given":"K. C.","non-dropping-particle":"","parse-names":false,"suffix":""}],"container-title":"Proceedings of the National Academy of Sciences of the United States of America","id":"ITEM-1","issue":"34","issued":{"date-parts":[["2017"]]},"page":"8939-8944","title":"Future urban land expansion and implications for global croplands","type":"article-journal","volume":"114"},"uris":["http://www.mendeley.com/documents/?uuid=11a86611-293c-4e5b-a46f-859dfc1e673c"]}],"mendeley":{"formattedCitation":"(D’Amour et al., 2017)","manualFormatting":"D’Amour et al. (2017)","plainTextFormattedCitation":"(D’Amour et al., 2017)","previouslyFormattedCitation":"(D’Amour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D’Amour et al. (2017)</w:t>
      </w:r>
      <w:r w:rsidRPr="00895D0B">
        <w:rPr>
          <w:rFonts w:cs="Times New Roman"/>
          <w:color w:val="000000" w:themeColor="text1"/>
          <w:szCs w:val="24"/>
        </w:rPr>
        <w:fldChar w:fldCharType="end"/>
      </w:r>
      <w:r w:rsidRPr="00895D0B">
        <w:rPr>
          <w:rFonts w:cs="Times New Roman"/>
          <w:color w:val="000000" w:themeColor="text1"/>
          <w:szCs w:val="24"/>
        </w:rPr>
        <w:t xml:space="preserve"> on the urbanization and the faith of agricultural lands in Kyoto City, revealed that most agricultural lands in the past decade have been diversified into built-up areas reducing the total agricultural lands in the city. That is the urban agricultural lands are now paving space for other purposes which will have impact on the productivity of urban agricultural workers as their farm-land-sizes are steadily reducing at an alarming rate in developing countries. </w:t>
      </w:r>
    </w:p>
    <w:p w14:paraId="79B6E5D2" w14:textId="77777777" w:rsidR="001B4ED5" w:rsidRPr="00895D0B" w:rsidRDefault="001B4ED5" w:rsidP="006B52B6">
      <w:pPr>
        <w:pStyle w:val="NoSpacing"/>
        <w:rPr>
          <w:lang w:eastAsia="en-GB"/>
        </w:rPr>
      </w:pPr>
    </w:p>
    <w:p w14:paraId="789B9A94"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Remarkably,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{"citationItems":[{"id":"ITEM-1","itemData":{"DOI":"10.1016/j.landurbplan.2021.104055","ISSN":"01692046","abstract":"The Covid-19 pandemic newly brings food resilience in cities to our attention and the need to question the desired degree of food self-sufficiency through urban agriculture. While these questions are by no means new and periodically entering the global research focus and policy discussions during periods of crises — the last time during the global financial crisis and resulting food price increases in 2008 — urban and peri-urban agriculture continue to be replaced by land-uses rendering higher market values (e.g. housing, transport, leisure). The loss of priority for urban agriculture in urban land-use planning is a global trend with only a few exceptions. We argue in this essay that this development has widely taken place due to three blind spots in urban planning. First, the limited consideration of social and ecological vulnerabilities and risk-related inequalities of urban inhabitants, food shortage among them, in the face of different scenarios of global change, including climate change or pandemic events such as Covid-19. Second, the disregard of the intensified negative environmental (and related social) externalities caused by distant agricultural production, as well as lacking consideration of nutrient re-cycling potentials in cities (e.g. from wastewater) to replace emission intensive mineral fertilizer use. Third, the lack of accounting for the multifunctionality of urban agriculture and the multiple benefits it provides beyond the provision of food, including social benefits and insurance values, for instance the maintenance of cultural heritage and agro-biodiversity. Along these lines, we argue that existing and new knowledge about urban risks and vulnerabilities, the spatially explicit urban metabolism (e.g. energy, water, nutrients), as well as ecosystem services need to be stronger and jointly considered in land-use decision-making.","author":[{"dropping-particle":"","family":"Langemeyer","given":"J.","non-dropping-particle":"","parse-names":false,"suffix":""},{"dropping-particle":"","family":"Madrid-Lopez","given":"C.","non-dropping-particle":"","parse-names":false,"suffix":""},{"dropping-particle":"","family":"Mendoza Beltran","given":"A.","non-dropping-particle":"","parse-names":false,"suffix":""},{"dropping-particle":"","family":"Villalba Mendez","given":"G.","non-dropping-particle":"","parse-names":false,"suffix":""}],"container-title":"Landscape and Urban Planning","id":"ITEM-1","issued":{"date-parts":[["2021"]]},"page":"104055","publisher":"Elsevier B.V.","title":"Urban agriculture — A necessary pathway towards urban resilience and global sustainability?","type":"article-journal","volume":"210"},"uris":["http://www.mendeley.com/documents/?uuid=56b3009c-1dda-4710-bc59-4c5c510e218c"]}],"mendeley":{"formattedCitation":"(Langemeyer, Madrid-Lopez, et al., 2021)","manualFormatting":"Langemeyer, et al. (2021)","plainTextFormattedCitation":"(Langemeyer, Madrid-Lopez, et al., 2021)","previouslyFormattedCitation":"(Langemeyer, Madrid-Lopez,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Langemeyer, et al. (2021)</w:t>
      </w:r>
      <w:r w:rsidRPr="00895D0B">
        <w:rPr>
          <w:rFonts w:cs="Times New Roman"/>
          <w:color w:val="000000" w:themeColor="text1"/>
          <w:szCs w:val="24"/>
        </w:rPr>
        <w:fldChar w:fldCharType="end"/>
      </w:r>
      <w:r w:rsidRPr="00895D0B">
        <w:rPr>
          <w:rFonts w:cs="Times New Roman"/>
          <w:color w:val="000000" w:themeColor="text1"/>
          <w:szCs w:val="24"/>
        </w:rPr>
        <w:t xml:space="preserve">, in their report noted that the rate at which urban agricultural lands are converted to developmental lands has led to a decrease in the supply of food in urban centres exposing most of the urban dwellers to food insecurity. </w:t>
      </w:r>
      <w:r w:rsidRPr="00895D0B">
        <w:rPr>
          <w:rFonts w:cs="Times New Roman"/>
          <w:color w:val="000000" w:themeColor="text1"/>
          <w:szCs w:val="24"/>
        </w:rPr>
        <w:lastRenderedPageBreak/>
        <w:t xml:space="preserve">The emaciating level of urban agricultural lands has disadvantaged most of the urban dwellers whose major economic activity is agriculture making some of them who do not have access to agricultural lands lose their economic livelihood.  The pertaining land tenure system in the urban centres has paved the way for different urban farming practices and limitation to the production of certain specific types of products. Agricultural activities in the most modern centres manifest in flask/container farming, back-yard farming, farming on idle lands, farming on temporarily acquired lands, and planting vegetables and herbs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{"citationItems":[{"id":"ITEM-1","itemData":{"DOI":"10.1016/j.landusepol.2019.03.004","ISSN":"02648377","abstract":"Agriculture, through its economic, social and ecological functions, presents potentials for meeting some of the targets of the 11 th Sustainable Development Goal (SDG). The targets include: a) reducing the adverse environmental impact of cities (target 11.6), b) providing access to green spaces (target 11.7) and c) promoting resource-use efficiency in cities (target 11b). Nevertheless, cities, especially those in the global south, are struggling to sustain agriculture due to rapid and uncontrolled urbanisation. How to maintain (peri-) urban agriculture in cities and their peripheries in an era of increasing land scarcity is unclear in the conventional literature. In this regard, this study set out to determine appropriate practices globally that can foster the sustenance of urban and peri-urban agriculture and determine their applicability to the Ghanaian context. Even though Ghana remains the focus of the discussion, the generality of the characteristics of the cities in Sub-Saharan Africa makes the practices useful to Sub-Saharan African region. The study obtained the required data, through a review of literature, from databases such as Scopus, PubMed, MeSH and ProQuest. The authors complemented the literature from these conventional sources with literature from grey sources such as institutional websites and online media publications. The results of the literature review show that container gardening, backyard gardening, and farming on vacant lands and marginal lands can hold the key to preserving agriculture within the cities. However, these models are more appropriate for the production of vegetables and herbs. Therefore, urban and peri-urban agriculture may concentrate on the production of herbs and vegetables, to complement the food supply from rural agriculture. The Purchase of Development Right and expropriation and zoning of peri-urban land for agricultural purposes appear to be important strategies for promoting access to land for peri-urban agriculture. The strategies call for revisions of city legislation and the land use planning process to legitimise and promote agriculture in cities and their peripheries.","author":[{"dropping-particle":"","family":"Ayambire","given":"R. A.","non-dropping-particle":"","parse-names":false,"suffix":""},{"dropping-particle":"","family":"Amponsah","given":"O.","non-dropping-particle":"","parse-names":false,"suffix":""},{"dropping-particle":"","family":"Peprah","given":"C.","non-dropping-particle":"","parse-names":false,"suffix":""},{"dropping-particle":"","family":"Takyi","given":"S. A.","non-dropping-particle":"","parse-names":false,"suffix":""}],"container-title":"Land Use Policy","id":"ITEM-1","issue":"March","issued":{"date-parts":[["2019"]]},"page":"260-277","title":"A review of practices for sustaining urban and peri-urban agriculture: Implications for land use planning in rapidly urbanising Ghanaian cities","type":"article-journal","volume":"84"},"uris":["http://www.mendeley.com/documents/?uuid=0fcbacd8-74b3-4c97-8b95-f2d18192b42e"]}],"mendeley":{"formattedCitation":"(Ayambire et al., 2019)","plainTextFormattedCitation":"(Ayambire et al., 2019)","previouslyFormattedCitation":"(Ayambire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(Ayambire et al., 2019)</w:t>
      </w:r>
      <w:r w:rsidRPr="00895D0B">
        <w:rPr>
          <w:rFonts w:cs="Times New Roman"/>
          <w:color w:val="000000" w:themeColor="text1"/>
          <w:szCs w:val="24"/>
        </w:rPr>
        <w:fldChar w:fldCharType="end"/>
      </w:r>
      <w:r w:rsidRPr="00895D0B">
        <w:rPr>
          <w:rFonts w:cs="Times New Roman"/>
          <w:color w:val="000000" w:themeColor="text1"/>
          <w:szCs w:val="24"/>
        </w:rPr>
        <w:t xml:space="preserve">. This limitation reduces the urban farmers' interest to decide on the type of crops to grow and type of farm practices to adopt. In a similar scenario, the rise in urban expansions resulting in scarcity of agricultural land in urban areas has called for the adoption of integrated land-use methods to help cope with the shortage of agricultural farmlands in the urban areas. This will also help ensure efficient and proper use of land in the built-up areas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{"citationItems":[{"id":"ITEM-1","itemData":{"DOI":"10.1016/j.gfs.2020.100377","ISSN":"22119124","abstract":"Commercial urban agriculture is typically restricted to agriculture land use, green or open spaces, or under-utilised or undeveloped land. As urbanising cities face the double threats of urban food insecurity and land scarcity, multi-functional urban land uses that integrate rather than separate agriculture from other land uses could be a critical adaptation for the sustainability of future cities. With less than 1% of land in agricultural use, the high-density, city-state of Singapore is testing integrative approaches to where and how food can be grown in the city. The shift toward land use multiplicity is prompting cross-agency collaboration in policy development. The aims of this paper were to map changes in agricultural use of land and describe emerging policy trends in Singapore related to cross-agency collaboration and land use multiplicity. Given growing global attention to urban food policy, Singapore is a timely example where policies support integrated urban food production through high-tech intensification, a model AgriFood Innovation Park, and promotion of industrial and commercial land uses toward efficient and value-added activities that include urban farms. More examples of agriculture co-located with other land uses are needed to understand opportunities and challenges related to multi- or shared-use spaces particularly for tenure rights. Resolving regulatory and legal constraints will enable high and low tech farms to produce substantially more food in the city.","author":[{"dropping-particle":"","family":"Diehl","given":"J. A.","non-dropping-particle":"","parse-names":false,"suffix":""},{"dropping-particle":"","family":"Sweeney","given":"E.","non-dropping-particle":"","parse-names":false,"suffix":""},{"dropping-particle":"","family":"Wong","given":"B.","non-dropping-particle":"","parse-names":false,"suffix":""},{"dropping-particle":"","family":"Sia","given":"C. S.","non-dropping-particle":"","parse-names":false,"suffix":""},{"dropping-particle":"","family":"Yao","given":"H.","non-dropping-particle":"","parse-names":false,"suffix":""},{"dropping-particle":"","family":"Prabhudesai","given":"M.","non-dropping-particle":"","parse-names":false,"suffix":""}],"container-title":"Global Food Security","id":"ITEM-1","issue":"April","issued":{"date-parts":[["2020"]]},"page":"100377","publisher":"Elsevier B.V.","title":"Feeding cities: Singapore's approach to land use planning for urban agriculture","type":"article-journal","volume":"26"},"uris":["http://www.mendeley.com/documents/?uuid=6b3521b6-e515-4864-89fd-851c6b47eda6","http://www.mendeley.com/documents/?uuid=a3f3aa9a-c05d-4652-bf4b-b6f6c03f1e46"]}],"mendeley":{"formattedCitation":"(Diehl et al., 2020a)","plainTextFormattedCitation":"(Diehl et al., 2020a)","previouslyFormattedCitation":"(Diehl et al., 2020a)"},"properties":{"noteIndex":0},"schema":"https://github.com/citation-style-language/schema/raw/master/csl-citation.json"}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(Diehl et al., 2020a)</w:t>
      </w:r>
      <w:r w:rsidRPr="00895D0B">
        <w:rPr>
          <w:rFonts w:cs="Times New Roman"/>
          <w:color w:val="000000" w:themeColor="text1"/>
          <w:szCs w:val="24"/>
        </w:rPr>
        <w:fldChar w:fldCharType="end"/>
      </w:r>
      <w:r w:rsidRPr="00895D0B">
        <w:rPr>
          <w:rFonts w:cs="Times New Roman"/>
          <w:color w:val="000000" w:themeColor="text1"/>
          <w:szCs w:val="24"/>
        </w:rPr>
        <w:t xml:space="preserve">. Urban land use pattern changes in modern times are also aggravated by the land owners’ intent that the economic value for the conversion of urban-agricultural land is more profitable than the latter.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{"citationItems":[{"id":"ITEM-1","itemData":{"DOI":"10.3390/land7040148","ISSN":"2073445X","abstract":"Agricultural land conversion (ALC) is an incentive-driven process. In this paper, we further investigate the inter-relationship between land economic value (LEV) and ALC. To achieve this goal, we calculated the LEV for agricultural and non-agricultural (housing) uses in two areas of East Java, Indonesia. The first area represents peri-urban agriculture, which is facing rapid urbanization and experiencing a high rate of ALC. The second area represents rural agriculture, with zero ALC. Furthermore, we identified factors affecting LEV in both areas for both uses. The results of this study show that agricultural land yielded a higher economic benefit in rural areas. Conversely, compared to agricultural land, housing in urban areas yields a value that is seven times higher. Moreover, agricultural land was shown to yield a higher profit after conversion. Ironically, a similar comparison does not exist in rural areas. Agricultural land yielded a value that was only 19% higher, indicating that agricultural land can easily be converted. This is also proven by the growing number of new urban cores in the periphery area. There are several factors affecting land economic value, such as agricultural use, soil fertility, accessibility, and cropping pattern, which are important variables. Meanwhile, the accessibility and location of peri-urban areas increase the land value for housing.","author":[{"dropping-particle":"","family":"Rondhi","given":"M.","non-dropping-particle":"","parse-names":false,"suffix":""},{"dropping-particle":"","family":"Pratiwi","given":"P. A.","non-dropping-particle":"","parse-names":false,"suffix":""},{"dropping-particle":"","family":"Handini","given":"V. T.","non-dropping-particle":"","parse-names":false,"suffix":""},{"dropping-particle":"","family":"Sunartomo","given":"A. F.","non-dropping-particle":"","parse-names":false,"suffix":""},{"dropping-particle":"","family":"Budiman","given":"S. A.","non-dropping-particle":"","parse-names":false,"suffix":""}],"container-title":"Land","id":"ITEM-1","issue":"4","issued":{"date-parts":[["2018"]]},"title":"Agricultural land conversion, land economic value, and sustainable agriculture: A case study in East Java, Indonesia","type":"article-journal","volume":"7"},"uris":["http://www.mendeley.com/documents/?uuid=4c4ec4b4-a169-41fa-aaab-f1a81c4d7eab","http://www.mendeley.com/documents/?uuid=6a7b5b5f-75bf-4bba-83f6-dde06b9cf56e"]}],"mendeley":{"formattedCitation":"(Rondhi et al., 2018)","manualFormatting":"Rondhi et al. (2018)","plainTextFormattedCitation":"(Rondhi et al., 2018)","previouslyFormattedCitation":"(Rondhi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Rondhi et al. (2018)</w:t>
      </w:r>
      <w:r w:rsidRPr="00895D0B">
        <w:rPr>
          <w:rFonts w:cs="Times New Roman"/>
          <w:color w:val="000000" w:themeColor="text1"/>
          <w:szCs w:val="24"/>
        </w:rPr>
        <w:fldChar w:fldCharType="end"/>
      </w:r>
      <w:r w:rsidRPr="00895D0B">
        <w:rPr>
          <w:rFonts w:cs="Times New Roman"/>
          <w:color w:val="000000" w:themeColor="text1"/>
          <w:szCs w:val="24"/>
        </w:rPr>
        <w:t xml:space="preserve"> in their study realized that the systematic loss of urban agricultural lands to urban developers jeopardized the land tenure system, ecosystem, and agro-biodiversity. The continuous construction activities in built-up areas inevitably expose the vegetation to the detractors of the environment. In a study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{"citationItems":[{"id":"ITEM-1","itemData":{"DOI":"10.3390/su13158559","ISSN":"20711050","abstract":"Agricultural land acquisition for urbanization (ALAFU) has strongly impacted agriculture in Vietnam during the last decades. Given the mixed data obtained from a survey with 50 households who lost 50% of their farmland area (in-depth interviews, a group-focused discussion and observation) this study shows the different impacts of ALAFU on each agricultural activity of affected household by comparing before and after ALAFU. Rice cultivation and animal breeding have sharply declined, but potted flower plantation (PFP) has quickly grown and is the main income of 34% of surveyed households. Rice cultivation has declined not only as a result of agricultural land acquisition, which has resulted in the loss of rice land, but also as a result of urbanization, which has resulted in rice land abandonment. Conversely, PFP is growing due to advantages associated with urbanization, such as a good consumer market and upgraded infrastructure. However, whether they are declining or increasing, all agricultural activities have to face challenges related to the shortcomings in agricultural land allocation and agricultural development plans. This study suggests that if ALAFU projects are continued, the government should evaluate agricultural development and forecast farmland abandonment after ALAFU. Simultaneously, they should put more effort into maintaining agriculture in the form of peri-urban or urban agriculture, which is significant for sustainable development in affected communities.","author":[{"dropping-particle":"","family":"Thi","given":"N. P.","non-dropping-particle":"","parse-names":false,"suffix":""},{"dropping-particle":"","family":"Kappas","given":"M.","non-dropping-particle":"","parse-names":false,"suffix":""},{"dropping-particle":"","family":"Faust","given":"H.","non-dropping-particle":"","parse-names":false,"suffix":""}],"container-title":"Sustainability (Switzerland)","id":"ITEM-1","issue":"15","issued":{"date-parts":[["2021"]]},"title":"Impacts of agricultural land acquisition for urbanization on agricultural activities of affected households: A case study in huong thuy town, thua thien hue province, vietnam","type":"article-journal","volume":"13"},"uris":["http://www.mendeley.com/documents/?uuid=d4b9bd7c-b9a0-4407-b3fb-9555b24f639c","http://www.mendeley.com/documents/?uuid=1b006fd4-7e92-48fb-9b32-c032b8a0416c"]}],"mendeley":{"formattedCitation":"(Thi et al., 2021)","manualFormatting":"Thi et al. (2021)","plainTextFormattedCitation":"(Thi et al., 2021)","previouslyFormattedCitation":"(Thi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Thi et al. (2021)</w:t>
      </w:r>
      <w:r w:rsidRPr="00895D0B">
        <w:rPr>
          <w:rFonts w:cs="Times New Roman"/>
          <w:color w:val="000000" w:themeColor="text1"/>
          <w:szCs w:val="24"/>
        </w:rPr>
        <w:fldChar w:fldCharType="end"/>
      </w:r>
      <w:r w:rsidRPr="00895D0B">
        <w:rPr>
          <w:rFonts w:cs="Times New Roman"/>
          <w:color w:val="000000" w:themeColor="text1"/>
          <w:szCs w:val="24"/>
        </w:rPr>
        <w:t xml:space="preserve">, on the ways urban agriculture households’ lands are being affected by urbanization, the scholars revealed that the gradual relinquishing of urban agriculture lands to urban developers has subjected most of the urban agriculture folks to halt their usual production to floriculture as a means of economic survival. As floriculture does not need vast agricultural land to cultivate. This implies that urban farmers’ production of consumable goods to supplement that of rural dwellers will dwindle automatically. </w:t>
      </w:r>
    </w:p>
    <w:p w14:paraId="0486122F" w14:textId="77777777" w:rsidR="001B4ED5" w:rsidRPr="00895D0B" w:rsidRDefault="001B4ED5" w:rsidP="000778C3">
      <w:pPr>
        <w:pStyle w:val="NoSpacing"/>
      </w:pPr>
    </w:p>
    <w:p w14:paraId="267456A3"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As evidenced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{"citationItems":[{"id":"ITEM-1","itemData":{"DOI":"10.3390/LAND9060187","ISBN":"8928922518","ISSN":"2073445X","abstract":"Typically, peri-urban areas are havens and vulnerable receptors of customary land rights (CLRs) disputes due to the intrusion of urban activities or an uncoordinated mix of both. Although it is a dictum that CLRs cause setbacks to socioeconomic and spatial development, there seems to be a paucity of empirical studies on the effects of the CLRs disputes on the development of peri-urban areas, especially in developing countries, such as Ghana. This study addresses this issue by establishing a link between peri-urban transformation and emerging CLRs disputes, while assessing the effects of these disputes on the development of peri-urban areas. The study adopted a problem-centered mixed methods approach with a focus on the case of Trede, a town in Ghana transitioning from rural to urban status. Findings reveal that the changes leading to enhancing of peri-urban transformation are also the same changes inducing CLRs disputes in the area. It was found that the implementation of a local land use plan is a critical driver of CLRs disputes in Trede. A land-use plan implemented as a major step in converting rural lands into urban plots, triggered tenurial changes, land market development, high land values, loss of agricultural land, etc., which become recipes for the CLRs disputes in the study area. These CLRs disputes have hatched detrimental consequences on the economic, social, and physical developmental trajectories of Trede. As a way forward, the study proposes measures for peri-urban land management and CLRs dispute prevention.","author":[{"dropping-particle":"","family":"Ansah","given":"B. O.","non-dropping-particle":"","parse-names":false,"suffix":""},{"dropping-particle":"","family":"Chigbu","given":"U. E.","non-dropping-particle":"","parse-names":false,"suffix":""}],"container-title":"Land","id":"ITEM-1","issue":"6","issued":{"date-parts":[["2020"]]},"page":"1-28","title":"The nexus between peri-urban transformation and customary land rights disputes: Effects on peri-urban development in Trede, Ghana","type":"article-journal","volume":"9"},"uris":["http://www.mendeley.com/documents/?uuid=da03792b-7758-42f4-abff-708db45d0511","http://www.mendeley.com/documents/?uuid=7c02746f-90df-4e69-9a7b-eaa14750b3ac"]}],"mendeley":{"formattedCitation":"(Ansah &amp; Chigbu, 2020)","manualFormatting":"Ansah and Chigbu (2020)","plainTextFormattedCitation":"(Ansah &amp; Chigbu, 2020)","previouslyFormattedCitation":"(Ansah &amp; Chigbu,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Ansah and Chigbu (2020)</w:t>
      </w:r>
      <w:r w:rsidRPr="00895D0B">
        <w:rPr>
          <w:rFonts w:cs="Times New Roman"/>
          <w:color w:val="000000" w:themeColor="text1"/>
          <w:szCs w:val="24"/>
        </w:rPr>
        <w:fldChar w:fldCharType="end"/>
      </w:r>
      <w:r w:rsidRPr="00895D0B">
        <w:rPr>
          <w:rFonts w:cs="Times New Roman"/>
          <w:color w:val="000000" w:themeColor="text1"/>
          <w:szCs w:val="24"/>
        </w:rPr>
        <w:t xml:space="preserve">, the adoption of land-use measures to normalize rapid urban development and avert land clashes in urban centres somewhat exacerbated family land conflicts and the tenure anxiety phenomenon. The scholars further argued that family members were always divided among themselves on the mode of land use in the urban centres. Some opted for agricultural lands to be reserved for its traditional agricultural purpose whereas others preferred to release family lands for urban development agents.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{"citationItems":[{"id":"ITEM-1","itemData":{"DOI":"10.1016/j.landusepol.2020.104739","ISSN":"02648377","abstract":"Land tenure regime is considered one of the most crucial assets determining viability of urban agriculture, especially in terms of investments. Many authors have built on traditional agricultural theory that only land ownership and (formal) secure land tenure can incite investments into farming, thus stressing the need of secure land tenure for more prosperous urban agriculture. However, these statements are often built on weak or nonexistent empirical evidence. This research aims to contribute to the discussion on land tenure for urban agriculture by mixed-method exploration of the above-mentioned theory. Additionally, we propose a farming investment index which measures the level of investments by using non-monetary information obtained from respondents. The results of our study show that land tenure security for urban farmers is often seen as a rather narrow concept, focusing only on legal tenure security but omitting its other dimensions such as perceived and de facto tenure security. Nevertheless, all three dimensions of tenure security positively influence investments to urban agriculture.","author":[{"dropping-particle":"","family":"Suchá","given":"L.","non-dropping-particle":"","parse-names":false,"suffix":""},{"dropping-particle":"","family":"Schlossarek","given":"M.","non-dropping-particle":"","parse-names":false,"suffix":""},{"dropping-particle":"","family":"Dušková","given":"L.","non-dropping-particle":"","parse-names":false,"suffix":""},{"dropping-particle":"","family":"Malan","given":"N.","non-dropping-particle":"","parse-names":false,"suffix":""},{"dropping-particle":"","family":"Šarapatka","given":"B.","non-dropping-particle":"","parse-names":false,"suffix":""}],"container-title":"Land Use Policy","id":"ITEM-1","issue":"February","issued":{"date-parts":[["2020"]]},"page":"1-10","title":"Land tenure security and its implications for investments to urban agriculture in Soweto, South Africa","type":"article-journal","volume":"97"},"uris":["http://www.mendeley.com/documents/?uuid=0dd605d0-f431-4ff9-a218-08cafc5fae2e","http://www.mendeley.com/documents/?uuid=70ca5508-6ed3-4fd7-bd61-96b8b449358b"]}],"mendeley":{"formattedCitation":"(Suchá et al., 2020)","manualFormatting":"Suchá et al. (2020)","plainTextFormattedCitation":"(Suchá et al., 2020)","previouslyFormattedCitation":"(Suchá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Suchá et al. (2020)</w:t>
      </w:r>
      <w:r w:rsidRPr="00895D0B">
        <w:rPr>
          <w:rFonts w:cs="Times New Roman"/>
          <w:color w:val="000000" w:themeColor="text1"/>
          <w:szCs w:val="24"/>
        </w:rPr>
        <w:fldChar w:fldCharType="end"/>
      </w:r>
      <w:r w:rsidRPr="00895D0B">
        <w:rPr>
          <w:rFonts w:cs="Times New Roman"/>
          <w:color w:val="000000" w:themeColor="text1"/>
          <w:szCs w:val="24"/>
        </w:rPr>
        <w:t xml:space="preserve">, in a similar dimension, detected that </w:t>
      </w:r>
      <w:r w:rsidRPr="00895D0B">
        <w:rPr>
          <w:rFonts w:cs="Times New Roman"/>
          <w:color w:val="000000" w:themeColor="text1"/>
          <w:szCs w:val="24"/>
        </w:rPr>
        <w:lastRenderedPageBreak/>
        <w:t xml:space="preserve">urban agricultural lands are characterized by traditional and statutory land tenure disputes resulting from the broader range of interests in urban land from political leaders and customary owners for non- agricultural development. From the above, it can be denoted that the expansion of urban areas consequentially limits the availability and access to urban agricultural lands. Most agricultural lands in the urban centres have already been converted for the construction of infrastructure and other recreational facilities. The intense pressure of urban developers on landlords in the urban centres has subjected urban landlords to release family lands irrespective of the services that such lands provide for the family and the state as a whole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{"citationItems":[{"id":"ITEM-1","itemData":{"DOI":"10.3390/LAND9060187","ISBN":"8928922518","ISSN":"2073445X","abstract":"Typically, peri-urban areas are havens and vulnerable receptors of customary land rights (CLRs) disputes due to the intrusion of urban activities or an uncoordinated mix of both. Although it is a dictum that CLRs cause setbacks to socioeconomic and spatial development, there seems to be a paucity of empirical studies on the effects of the CLRs disputes on the development of peri-urban areas, especially in developing countries, such as Ghana. This study addresses this issue by establishing a link between peri-urban transformation and emerging CLRs disputes, while assessing the effects of these disputes on the development of peri-urban areas. The study adopted a problem-centered mixed methods approach with a focus on the case of Trede, a town in Ghana transitioning from rural to urban status. Findings reveal that the changes leading to enhancing of peri-urban transformation are also the same changes inducing CLRs disputes in the area. It was found that the implementation of a local land use plan is a critical driver of CLRs disputes in Trede. A land-use plan implemented as a major step in converting rural lands into urban plots, triggered tenurial changes, land market development, high land values, loss of agricultural land, etc., which become recipes for the CLRs disputes in the study area. These CLRs disputes have hatched detrimental consequences on the economic, social, and physical developmental trajectories of Trede. As a way forward, the study proposes measures for peri-urban land management and CLRs dispute prevention.","author":[{"dropping-particle":"","family":"Ansah","given":"B. O.","non-dropping-particle":"","parse-names":false,"suffix":""},{"dropping-particle":"","family":"Chigbu","given":"U. E.","non-dropping-particle":"","parse-names":false,"suffix":""}],"container-title":"Land","id":"ITEM-1","issue":"6","issued":{"date-parts":[["2020"]]},"page":"1-28","title":"The nexus between peri-urban transformation and customary land rights disputes: Effects on peri-urban development in Trede, Ghana","type":"article-journal","volume":"9"},"uris":["http://www.mendeley.com/documents/?uuid=da03792b-7758-42f4-abff-708db45d0511","http://www.mendeley.com/documents/?uuid=7c02746f-90df-4e69-9a7b-eaa14750b3ac"]}],"mendeley":{"formattedCitation":"(Ansah &amp; Chigbu, 2020)","manualFormatting":"Ansah and Chigbu, (2020)","plainTextFormattedCitation":"(Ansah &amp; Chigbu, 2020)","previouslyFormattedCitation":"(Ansah &amp; Chigbu,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Ansah and Chigbu, (2020)</w:t>
      </w:r>
      <w:r w:rsidRPr="00895D0B">
        <w:rPr>
          <w:rFonts w:cs="Times New Roman"/>
          <w:color w:val="000000" w:themeColor="text1"/>
          <w:szCs w:val="24"/>
        </w:rPr>
        <w:fldChar w:fldCharType="end"/>
      </w:r>
      <w:r w:rsidRPr="00895D0B">
        <w:rPr>
          <w:rFonts w:cs="Times New Roman"/>
          <w:color w:val="000000" w:themeColor="text1"/>
          <w:szCs w:val="24"/>
        </w:rPr>
        <w:t xml:space="preserve">. The scholars reaffirmed that families with lands in urban centres are most often divided on the ways that lands are released to urban developers creating tensions on the land tenure systems and land security. They indicated that the agricultural lands in the urban centres are being sacrificed for developmental projects without weighing the benefits that agricultural activities on such lands provide. The issue of swift population growth in urban centres has further subjected urban lands to the provision of built-up areas and other leisure facilities from which urban agricultural lands are not exempted.  This has then relegated urban farmers to the limited urban agricultural lands in their possession leading to low food production and extreme pressure on lands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{"citationItems":[{"id":"ITEM-1","itemData":{"DOI":"10.3390/LAND9090315","ISSN":"2073445X","abstract":"Peri-urban agriculture (PUA) has been widely regarded as a sub-field of multifunctional agriculture for improving the sustainability of urban environments. However, urban sprawl has both negative and positive effects on peri-urban farming, and the research on this issue in Japan is insufficient. This study aims to demonstrate the spatial distribution of farmland parcels in Tokyo and Osaka metropolitan areas and explore the synergistic effect of distance from cities and urban sprawl on the size of farmland parcels and farm-diversified activities such as direct marketing, farming experience, and environmentally friendly practices. Ordinary Least Squares (OLS) and Poisson regression analyses were used with a nationwide agricultural land parcel Geographic Information System (GIS) database (Tokyo metropolitan area = 1,939,162 and Osaka metropolitan area = 1,507,072 parcels), in Japan, to specify the farmland locations and calculate the extent of urban sprawl. The results revealed that more than 50% of farmlands in the targeted areas were located within 4 km from the boundaries of densely inhabited districts (DIDs). Furthermore, with a decreasing distance from a DID, the urban sprawl had more positive effects on farmland parcel sizes and farm-diversified activities. These findings imply that PUA has a wider presence in Japan, and the peri-urban farmers may be capable of utilizing the multifunctional nature of intensively sprawled urban environments.","author":[{"dropping-particle":"","family":"Yoshida","given":"S.","non-dropping-particle":"","parse-names":false,"suffix":""}],"container-title":"Land","id":"ITEM-1","issue":"9","issued":{"date-parts":[["2020"]]},"title":"Effects of urbanization on farmland size and diversified farm activities in japan: An analysis based on the land parcel database","type":"article-journal","volume":"9"},"uris":["http://www.mendeley.com/documents/?uuid=9c8f1de2-cae0-4a22-b903-803a61754469"]}],"mendeley":{"formattedCitation":"(Yoshida, 2020)","plainTextFormattedCitation":"(Yoshida, 2020)","previouslyFormattedCitation":"(Yoshida,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(Yoshida, 2020)</w:t>
      </w:r>
      <w:r w:rsidRPr="00895D0B">
        <w:rPr>
          <w:rFonts w:cs="Times New Roman"/>
          <w:color w:val="000000" w:themeColor="text1"/>
          <w:szCs w:val="24"/>
        </w:rPr>
        <w:fldChar w:fldCharType="end"/>
      </w:r>
      <w:r w:rsidRPr="00895D0B">
        <w:rPr>
          <w:rFonts w:cs="Times New Roman"/>
          <w:color w:val="000000" w:themeColor="text1"/>
          <w:szCs w:val="24"/>
        </w:rPr>
        <w:t xml:space="preserve">. </w:t>
      </w:r>
    </w:p>
    <w:p w14:paraId="582C8295" w14:textId="77777777" w:rsidR="001B4ED5" w:rsidRPr="00895D0B" w:rsidRDefault="001B4ED5" w:rsidP="000778C3">
      <w:pPr>
        <w:pStyle w:val="NoSpacing"/>
      </w:pPr>
    </w:p>
    <w:p w14:paraId="3E9A6007" w14:textId="77777777" w:rsidR="001B4ED5" w:rsidRPr="00895D0B" w:rsidRDefault="006B41C0">
      <w:pPr>
        <w:tabs>
          <w:tab w:val="left" w:pos="1650"/>
        </w:tabs>
        <w:spacing w:line="360" w:lineRule="auto"/>
        <w:rPr>
          <w:rFonts w:cs="Times New Roman"/>
          <w:color w:val="000000" w:themeColor="text1"/>
          <w:szCs w:val="24"/>
        </w:rPr>
      </w:pPr>
      <w:r w:rsidRPr="00895D0B">
        <w:rPr>
          <w:rFonts w:cs="Times New Roman"/>
          <w:color w:val="000000" w:themeColor="text1"/>
          <w:szCs w:val="24"/>
        </w:rPr>
        <w:t xml:space="preserve">In a similar vein,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{"citationItems":[{"id":"ITEM-1","itemData":{"DOI":"10.1016/j.landusepol.2018.06.053","ISSN":"02648377","abstract":"Sustaining food production close to cities is not easy, as farming is often much less profitable compared to other activities in such locations, and it is at the frontier of resisting the pressures from urbanization and globalization. This study looks into an underexplored issue in peri-urban agriculture research – the role that land lease can play for preserving peri-urban agriculture. Leasing has increasingly become a common praxis in the Western industrialized world and it is a very necessary means for accessing limited farmland especially in peri-urban areas. Focusing on farms near Gothenburg, this study explores how the spatial structure of leasing brings opportunities as well as constraints to the change and continuation of farming in this peri-urban area. The investigation is guided by social, spatial and functional conceptualizations of land tenure, which 1) consider land tenure as a social relation, 2) are centered on functional constraints for agricultural production, and 3) highlight the spatial effects. Based on a combination of map interpretations, statistical analysis and interview analysis, the results show a strong and spatially structured pattern of production, farm and land use changes. Agriculture shows mainly to be driven by the landowner's leasing strategies but is also shaped by the interplays between the landowner and the leasehold farmers. Existing food production farms have been able to rely on adding land from side lease for development even though the increase of small horse farms, holding whole-farm leases, makes it hard for new food production farms to start up. Policymakers are recommended to strategically use long-term leases as a policy instrument on municipal land at the peri-urban location, to incentivize food production farmers as well as to reduce land management costs.","author":[{"dropping-particle":"","family":"Wästfelt","given":"A.","non-dropping-particle":"","parse-names":false,"suffix":""},{"dropping-particle":"","family":"Zhang","given":"Q.","non-dropping-particle":"","parse-names":false,"suffix":""}],"container-title":"Land Use Policy","id":"ITEM-1","issue":"June","issued":{"date-parts":[["2018"]]},"page":"447-459","publisher":"Elsevier","title":"Keeping agriculture alive next to the city – The functions of the land tenure regime nearby Gothenburg, Sweden","type":"article-journal","volume":"78"},"uris":["http://www.mendeley.com/documents/?uuid=f2cc39b7-4dca-4eea-8ffb-f727b63f5f1d","http://www.mendeley.com/documents/?uuid=4b9766f3-8dfd-4369-8f61-51bf4c42faf6"]}],"mendeley":{"formattedCitation":"(Wästfelt &amp; Zhang, 2018)","manualFormatting":"Wästfelt and Zhuang, (2018)","plainTextFormattedCitation":"(Wästfelt &amp; Zhang, 2018)","previouslyFormattedCitation":"(Wästfelt &amp; Zhang,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Wästfelt and Zhuang, (2018)</w:t>
      </w:r>
      <w:r w:rsidRPr="00895D0B">
        <w:rPr>
          <w:rFonts w:cs="Times New Roman"/>
          <w:color w:val="000000" w:themeColor="text1"/>
          <w:szCs w:val="24"/>
        </w:rPr>
        <w:fldChar w:fldCharType="end"/>
      </w:r>
      <w:r w:rsidRPr="00895D0B">
        <w:rPr>
          <w:rFonts w:cs="Times New Roman"/>
          <w:color w:val="000000" w:themeColor="text1"/>
          <w:szCs w:val="24"/>
        </w:rPr>
        <w:t xml:space="preserve">, indicated in their findings that the active variety of different and more profitable economic activities in the urban centres made farmers in urban centers lose their agricultural lands for non- agricultural purposes. This affects the sustainability of the production of food and other agricultural products in the cities, further making the livelihood of farmers in urban areas worse. As the supply of agricultural products decreases, demand will automatically increase affecting the prices of urban agricultural products. The state of urban agricultural lands has led to a decrease in food and compelled  urban farmers to shift to the rearing of poultry and farming vegetables purposefully for the family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{"citationItems":[{"id":"ITEM-1","itemData":{"DOI":"10.3390/su13158559","ISSN":"20711050","abstract":"Agricultural land acquisition for urbanization (ALAFU) has strongly impacted agriculture in Vietnam during the last decades. Given the mixed data obtained from a survey with 50 households who lost 50% of their farmland area (in-depth interviews, a group-focused discussion and observation) this study shows the different impacts of ALAFU on each agricultural activity of affected household by comparing before and after ALAFU. Rice cultivation and animal breeding have sharply declined, but potted flower plantation (PFP) has quickly grown and is the main income of 34% of surveyed households. Rice cultivation has declined not only as a result of agricultural land acquisition, which has resulted in the loss of rice land, but also as a result of urbanization, which has resulted in rice land abandonment. Conversely, PFP is growing due to advantages associated with urbanization, such as a good consumer market and upgraded infrastructure. However, whether they are declining or increasing, all agricultural activities have to face challenges related to the shortcomings in agricultural land allocation and agricultural development plans. This study suggests that if ALAFU projects are continued, the government should evaluate agricultural development and forecast farmland abandonment after ALAFU. Simultaneously, they should put more effort into maintaining agriculture in the form of peri-urban or urban agriculture, which is significant for sustainable development in affected communities.","author":[{"dropping-particle":"","family":"Thi","given":"N. P.","non-dropping-particle":"","parse-names":false,"suffix":""},{"dropping-particle":"","family":"Kappas","given":"M.","non-dropping-particle":"","parse-names":false,"suffix":""},{"dropping-particle":"","family":"Faust","given":"H.","non-dropping-particle":"","parse-names":false,"suffix":""}],"container-title":"Sustainability (Switzerland)","id":"ITEM-1","issue":"15","issued":{"date-parts":[["2021"]]},"title":"Impacts of agricultural land acquisition for urbanization on agricultural activities of affected households: A case study in huong thuy town, thua thien hue province, vietnam","type":"article-journal","volume":"13"},"uris":["http://www.mendeley.com/documents/?uuid=1b006fd4-7e92-48fb-9b32-c032b8a0416c","http://www.mendeley.com/documents/?uuid=d4b9bd7c-b9a0-4407-b3fb-9555b24f639c"]}],"mendeley":{"formattedCitation":"(Thi et al., 2021)","plainTextFormattedCitation":"(Thi et al., 2021)","previouslyFormattedCitation":"(Thi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(Thi et al., 2021)</w:t>
      </w:r>
      <w:r w:rsidRPr="00895D0B">
        <w:rPr>
          <w:rFonts w:cs="Times New Roman"/>
          <w:color w:val="000000" w:themeColor="text1"/>
          <w:szCs w:val="24"/>
        </w:rPr>
        <w:fldChar w:fldCharType="end"/>
      </w:r>
      <w:r w:rsidRPr="00895D0B">
        <w:rPr>
          <w:rFonts w:cs="Times New Roman"/>
          <w:color w:val="000000" w:themeColor="text1"/>
          <w:szCs w:val="24"/>
        </w:rPr>
        <w:t xml:space="preserve">. Farmers in urban centres are engaging in the intensification of farming activities, networking socially, and income diversion to deal with the continuous loss of urban agricultural lands to investors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{"citationItems":[{"id":"ITEM-1","itemData":{"DOI":"10.3390/su12145788","ISSN":"20711050","abstract":"There is growing interest in the need to understand the link between urban expansion and farmers’ livelihoods in most parts of sub-Saharan Africa (SSA), including Cameroon. This paper undertakes a qualitative investigation of the effects of urban expansion on farmers’ livelihoods in Bamenda, a primate city in Cameroon. Taking into consideration two key areas—the Mankon–Bafut axis and the Nkwen Bambui axis—this study analyzes the trends and effects of urban expansion on farmers’ livelihoods with a view to identifying ways of making the process more beneficial to the farmers. Maps were used to determine the trend of urban expansion between 2000 and 2015. Twelve farmers drawn from the target sites were interviewed, while three focus group discussions were conducted. Thematic analysis was employed to analyze perceptions of the effects and coping strategies of farmers to urban expansion. Using the livelihoods approach, farmers’ livelihoods repertoires and portfolios were analyzed for the periods before and after urban expansion. Between 2000 and 2015, the surface area for farmlands in Bamenda II and Bamenda III reduced from 3540 ha to 2100 ha and 2943 ha to 1389 ha, respectively. This was followed by a corresponding increase in the surface area for settlements from 2100 ha to 3540 ha in Bamenda II and from 1389 ha to 2943 ha in Bamenda III. The expansion process has affected farmers’ income, farm sizes and farming types, natural capital, and their standards of living. Most of the farmers have employed coping measures to include the diversification of income opportunities, social networking, and agricultural intensification. Future efforts could target land use regulations to stem the uncontrolled rate of settlement expansion, intensive farming to increase productivity and processing to improve the value chain in a bid to increase income levels and provide long-term food self-sufficiency. This paper suggests further quantitative investigations to ground the current assertion.","author":[{"dropping-particle":"","family":"Gwan","given":"A. S.","non-dropping-particle":"","parse-names":false,"suffix":""},{"dropping-particle":"","family":"Kimengsi","given":"J. N.","non-dropping-particle":"","parse-names":false,"suffix":""}],"container-title":"Sustainability (Switzerland)","id":"ITEM-1","issue":"14","issued":{"date-parts":[["2020"]]},"page":"1-19","title":"Urban expansion and the dynamics of farmers’ livelihoods: Evidence from bamenda, cameroon","type":"article-journal","volume":"12"},"uris":["http://www.mendeley.com/documents/?uuid=bbfd74ed-a1dc-4fbb-8f65-4e8adafbd086","http://www.mendeley.com/documents/?uuid=ce634813-3aa6-429f-9a26-de1f39fee344"]}],"mendeley":{"formattedCitation":"(Gwan &amp; Kimengsi, 2020)","plainTextFormattedCitation":"(Gwan &amp; Kimengsi, 2020)","previouslyFormattedCitation":"(Gwan &amp; Kimengsi,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(Gwan &amp; Kimengsi, 2020)</w:t>
      </w:r>
      <w:r w:rsidRPr="00895D0B">
        <w:rPr>
          <w:rFonts w:cs="Times New Roman"/>
          <w:color w:val="000000" w:themeColor="text1"/>
          <w:szCs w:val="24"/>
        </w:rPr>
        <w:fldChar w:fldCharType="end"/>
      </w:r>
      <w:r w:rsidRPr="00895D0B">
        <w:rPr>
          <w:rFonts w:cs="Times New Roman"/>
          <w:color w:val="000000" w:themeColor="text1"/>
          <w:szCs w:val="24"/>
        </w:rPr>
        <w:t xml:space="preserve">.   In addition, some urban farmers who desire to maximize income from the limited acquired agricultural land tend to degrade the quality of the land. Farmers undertake over-exploitative farming practices for high-urban-value agricultural products such as inappropriate crop patterns which are improper for land </w:t>
      </w:r>
      <w:r w:rsidRPr="00895D0B">
        <w:rPr>
          <w:rFonts w:cs="Times New Roman"/>
          <w:color w:val="000000" w:themeColor="text1"/>
          <w:szCs w:val="24"/>
        </w:rPr>
        <w:lastRenderedPageBreak/>
        <w:t xml:space="preserve">management and conservation. Such agricultural lands easily lose fertility and with time become non-profitable for agricultural production. In affirmation,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{"citationItems":[{"id":"ITEM-1","itemData":{"DOI":"10.1029/2022EF002748","ISSN":"23284277","abstract":"Urban agriculture can contribute to food security, food system resilience and sustainability at the city level. While studies have examined urban agricultural productivity, we lack systemic knowledge of how agricultural productivity of urban systems compares to conventional agriculture and how productivity varies for different urban spaces (e.g., allotments vs. rooftops vs. indoor farming) and growing systems (e.g., hydroponics vs. soil-based agriculture). Here, we present a global meta-analysis that seeks to quantify crop yields of urban agriculture for a broad range of crops and explore differences in yields for distinct urban spaces and growing systems. We found 200 studies reporting urban crop yields, from which 2,062 observations were extracted. Lettuces and chicories were the most studied urban grown crops. We observed high agronomic suitability of urban areas, with urban agricultural yields on par with or greater than global average conventional agricultural yields. “Cucumbers and gherkins” was the category of crops for which differences in yields between urban and conventional agriculture were the greatest (17 kg m−2 cycle−1 vs. 3.8 kg m−2 cycle−1). Some urban spaces and growing systems also had a significant effect on specific crop yields (e.g., tomato yields in hydroponic systems were significantly greater than tomato yields in soil-based systems). This analysis provides a more robust, globally relevant evidence base on the productivity of urban agriculture that can be used in future research and practice relating to urban agriculture, especially in scaling-up studies aiming to estimate the self-sufficiency of cities and towns and their potential to meet local food demand.","author":[{"dropping-particle":"","family":"Payen","given":"F. T.","non-dropping-particle":"","parse-names":false,"suffix":""},{"dropping-particle":"","family":"Evans","given":"D. L.","non-dropping-particle":"","parse-names":false,"suffix":""},{"dropping-particle":"","family":"Falagán","given":"N.","non-dropping-particle":"","parse-names":false,"suffix":""},{"dropping-particle":"","family":"Hardman","given":"C. A.","non-dropping-particle":"","parse-names":false,"suffix":""},{"dropping-particle":"","family":"Kourmpetli","given":"S.","non-dropping-particle":"","parse-names":false,"suffix":""},{"dropping-particle":"","family":"Liu","given":"L.","non-dropping-particle":"","parse-names":false,"suffix":""},{"dropping-particle":"","family":"Marshall","given":"R.","non-dropping-particle":"","parse-names":false,"suffix":""},{"dropping-particle":"","family":"Mead","given":"B. R.","non-dropping-particle":"","parse-names":false,"suffix":""},{"dropping-particle":"","family":"Davies","given":"J.A.C.","non-dropping-particle":"","parse-names":false,"suffix":""}],"container-title":"Earth's Future","id":"ITEM-1","issue":"8","issued":{"date-parts":[["2022"]]},"page":"1-22","title":"How Much Food Can We Grow in Urban Areas? Food Production and Crop Yields of Urban Agriculture: A Meta-Analysis","type":"article-journal","volume":"10"},"uris":["http://www.mendeley.com/documents/?uuid=eccbd018-2b17-46ac-8f37-75d6a8516ff5"]}],"mendeley":{"formattedCitation":"(Payen et al., 2022)","manualFormatting":"Payen et al. (2022)","plainTextFormattedCitation":"(Payen et al., 2022)","previouslyFormattedCitation":"(Payen et al.,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Payen et al. (2022)</w:t>
      </w:r>
      <w:r w:rsidRPr="00895D0B">
        <w:rPr>
          <w:rFonts w:cs="Times New Roman"/>
          <w:color w:val="000000" w:themeColor="text1"/>
          <w:szCs w:val="24"/>
        </w:rPr>
        <w:fldChar w:fldCharType="end"/>
      </w:r>
      <w:r w:rsidRPr="00895D0B">
        <w:rPr>
          <w:rFonts w:cs="Times New Roman"/>
          <w:color w:val="000000" w:themeColor="text1"/>
          <w:szCs w:val="24"/>
        </w:rPr>
        <w:t xml:space="preserve">, revealed that urban and peri-urban farmers’ production of grains reduced drastically because of the shocks that urban agricultural lands encountered from urbanization. The scholars reiterated that the loss of agricultural land use in the urban centres is engineered by factors such as economic and political conditions, demographic characteristics, planning, and related policies.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{"citationItems":[{"id":"ITEM-1","itemData":{"DOI":"10.3390/land9090311","ISSN":"2073445X","abstract":"The rapid growth of China’s economy since the reform in 1978 should be largely attributed to urbanization. Nonetheless, in terms of farmland productivity, urbanization may lead to perverse incentives and thus threaten food security. On the one hand, the requisition–compensation balance of farmland (RCBF) policy could reduce farmland productivity because of a “superior occupation and inferior compensation”; on the other hand, urbanization promotes the transfer of the younger labor force and thus reduces the productivity of the agricultural labor force. To investigate the undesirable effects, based on some stylized facts, this study selects 29,415 county-level samples in a Chinese county from 2000–2014 to construct an empirical model. With a new stochastic frontier analysis method that eliminates the classical econometric issues of endogeneity and heterogeneity, the empirical results show that there is a U-shaped relationship between the farmland use efficiency (productivity) and urbanization rate, indicating that only when the urbanization rate is relatively low would urbanization decrease the farmland use efficiency; in contrast, when the urbanization rate is relatively high, technical progress would obviously be accompanied by urbanization, and thus, the undesirable effects are fully offset. Furthermore, the U-shaped relationship is robust after considering the endogeneity of the urbanization rate and total-factor farmland use efficiency. With these findings, recommendations to implement sustainable management and conservation policies regarding farmland resources are made.","author":[{"dropping-particle":"","family":"Deng","given":"Z.","non-dropping-particle":"","parse-names":false,"suffix":""},{"dropping-particle":"","family":"Zhao","given":"Q.","non-dropping-particle":"","parse-names":false,"suffix":""},{"dropping-particle":"","family":"Bao","given":"H. X.H.","non-dropping-particle":"","parse-names":false,"suffix":""}],"container-title":"Land","id":"ITEM-1","issue":"9","issued":{"date-parts":[["2020"]]},"page":"1-23","title":"The Impact of Urbanization on Farmland Productivity: Implications for China’s Requisition–Compensation Balance of Farmland Policy","type":"article-journal","volume":"9"},"uris":["http://www.mendeley.com/documents/?uuid=29eb4347-e677-4597-bde1-3f665b73cee8"]}],"mendeley":{"formattedCitation":"(Z. Deng et al., 2020)","manualFormatting":"Deng et al. (2020)","plainTextFormattedCitation":"(Z. Deng et al., 2020)","previouslyFormattedCitation":"(Z. Deng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Deng et al. (2020)</w:t>
      </w:r>
      <w:r w:rsidRPr="00895D0B">
        <w:rPr>
          <w:rFonts w:cs="Times New Roman"/>
          <w:color w:val="000000" w:themeColor="text1"/>
          <w:szCs w:val="24"/>
        </w:rPr>
        <w:fldChar w:fldCharType="end"/>
      </w:r>
      <w:r w:rsidRPr="00895D0B">
        <w:rPr>
          <w:rFonts w:cs="Times New Roman"/>
          <w:color w:val="000000" w:themeColor="text1"/>
          <w:szCs w:val="24"/>
        </w:rPr>
        <w:t xml:space="preserve"> and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{"citationItems":[{"id":"ITEM-1","itemData":{"DOI":"10.1177/21582440211009198","ISSN":"21582440","abstract":"Within the sustainable urbanization framework, two dimensions, namely, social urbanization and environmental urbanization, have complex coordinated interactions. To better understand the coordinated interaction status between the two dimensions of sustainable urbanization, an empirical study was carried out in the 14 cities of Hunan Province, China, from 2011 to 2019. This study establishes an integrated measurement framework, uses the coupling coordination degree model, information entropy weight analysis approach, and the Technique for Order Preference by Similarity to an Ideal Solution method to analyze the development degrees and coordinated interaction degrees of the two dimensions. The results show that the quality and efficiency of leisure facilities and water use have the greatest impacts on the coordinated interactions between the two dimensions. Besides, the development degrees of social urbanization and environmental urbanization are not consistent. What is more, the spatial noncorrelation of the coordinated interaction status demonstrates that the “high-quality development” tactics aiming to promote balanced development of dimensions among cities in China is feasible. Furthermore, corresponding suggestions are proposed, providing references for governments’ planning and decision-making processes.","author":[{"dropping-particle":"","family":"Geng","given":"Y.","non-dropping-particle":"","parse-names":false,"suffix":""},{"dropping-particle":"","family":"Zhang","given":"H.","non-dropping-particle":"","parse-names":false,"suffix":""}],"container-title":"SAGE Open","id":"ITEM-1","issue":"2","issued":{"date-parts":[["2021"]]},"title":"Coordinated Interactions of Sustainable Urbanization Dimensions: Case Study in Hunan, China","type":"article-journal","volume":"11"},"uris":["http://www.mendeley.com/documents/?uuid=1d37d755-4d53-4be6-8f36-b2f223c68abb"]}],"mendeley":{"formattedCitation":"(Geng &amp; Zhang, 2021)","manualFormatting":"Geng and Zhang (2021","plainTextFormattedCitation":"(Geng &amp; Zhang, 2021)","previouslyFormattedCitation":"(Geng &amp; Zhang,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Geng and Zhang (2021</w:t>
      </w:r>
      <w:r w:rsidRPr="00895D0B">
        <w:rPr>
          <w:rFonts w:cs="Times New Roman"/>
          <w:color w:val="000000" w:themeColor="text1"/>
          <w:szCs w:val="24"/>
        </w:rPr>
        <w:fldChar w:fldCharType="end"/>
      </w:r>
      <w:r w:rsidRPr="00895D0B">
        <w:rPr>
          <w:rFonts w:cs="Times New Roman"/>
          <w:color w:val="000000" w:themeColor="text1"/>
          <w:szCs w:val="24"/>
        </w:rPr>
        <w:t xml:space="preserve">) argued that though urbanization made urban agricultural workers gain much income and increased the per capita agricultural gross domestic product, it negatively had immense population spill over on urban agricultural lands, turning peri-urban communities as a hub for most urban farmers. Urban agricultural production is part of mainstream urban planning in Brazil. Though agriculture is primarily an unofficial practice by migrant labourers in cities, it should be included in planning as a component of the main urban development plans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{"citationItems":[{"id":"ITEM-1","itemData":{"DOI":"10.18552/9781846000751","abstract":"It brings together fifty-seven activists, practitioners, and researchers from different parts of the world who share their insights through a combination of critical analysis, stories, poems, photos and videos. It is written from the perspective of people involved in changing the food system using participatory practices","author":[{"dropping-particle":"","family":"Anderson","given":"C.","non-dropping-particle":"","parse-names":false,"suffix":""},{"dropping-particle":"","family":"Buchanan","given":"C.","non-dropping-particle":"","parse-names":false,"suffix":""},{"dropping-particle":"","family":"Chang","given":"M.","non-dropping-particle":"","parse-names":false,"suffix":""},{"dropping-particle":"","family":"Sanchez Rodriguez","given":"J.","non-dropping-particle":"","parse-names":false,"suffix":""},{"dropping-particle":"","family":"Wakeford","given":"T.","non-dropping-particle":"","parse-names":false,"suffix":""}],"container-title":"Everyday Experts: How people's knowledge can transform the food system","id":"ITEM-1","issued":{"date-parts":[["2017"]]},"title":"Everyday Experts: How people's knowledge can transform the food system","type":"article-journal"},"uris":["http://www.mendeley.com/documents/?uuid=e4ad7380-2346-4d86-81bc-62d8fc98b794"]}],"mendeley":{"formattedCitation":"(Anderson et al., 2017)","manualFormatting":"(Anderson et al., 2017)","plainTextFormattedCitation":"(Anderson et al., 2017)","previouslyFormattedCitation":"(Anderson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(Anderson et al., 2017)</w:t>
      </w:r>
      <w:r w:rsidRPr="00895D0B">
        <w:rPr>
          <w:rFonts w:cs="Times New Roman"/>
          <w:color w:val="000000" w:themeColor="text1"/>
          <w:szCs w:val="24"/>
        </w:rPr>
        <w:fldChar w:fldCharType="end"/>
      </w:r>
      <w:r w:rsidRPr="00895D0B">
        <w:rPr>
          <w:rFonts w:cs="Times New Roman"/>
          <w:color w:val="000000" w:themeColor="text1"/>
          <w:szCs w:val="24"/>
        </w:rPr>
        <w:t xml:space="preserve">. This could be strengthened through “Preparing and enforcing spatial plans to address conflicts between peri-urban agriculture and human settlements”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{"citationItems":[{"id":"ITEM-1","itemData":{"ISBN":"9789820005174","ISSN":"1178-2293","abstract":"Human activities, particularly, the burning of fuels 1 , cutting down of forests and other agricultural activities (such as the application of fertilizer in addition to natural processes), release gases includ-ing Carbon Dioxide (CO 2), Methane (CH 4) and Nitrous Oxide (N 2 O) into the atmosphere. These gases, have the ability to trap the in-frared radiation (sun's energy), which reflects in the form of tem-perature. Continuation and exacerbation of the human activities has added to these gases resulting in an increase of the earth's surface temperature, sea level, precipitation, droughts and floods. Evidence abounds in Ghana that temperatures in all the ecological zones are rising, whereas rainfall levels have been generally reducing and patterns have increasingly becoming erratic. Ghana's economy is heavi-ly dependent on climate sensitive sectors such as agriculture, fisheries, tourism, forest sector, etc.. Some of the expected impacts are: Agriculture: Based on a 20-year baseline climate observation, it is projected that yields of maize and other cereal crop will reduce by 7% by 2050. Despite limited irrigation facilities \" agriculture is currently the big-gest contributor to Ghana's GDP. But over the last decade its contribution has declined from 51% to 36% of GDP. As a result, the rural poor now account for almost three quarters of Ghanaians who live below the poverty line \" (ABN, 07th Sept 2010). Increase in temperature, decrease in rainfall and its unpredictability is likely to jeopardize the employment of about 60% of the active population, the majority of whom are small scale rural farmers, resulting in unsustainable livelihoods with negative consequences for food inse-curity, poverty, health, education, gender equality and environmental degradation.","author":[{"dropping-particle":"","family":"Ministry of Enviroenment Science Technology and Innotaion (MESTI)","given":"","non-dropping-particle":"","parse-names":false,"suffix":""}],"container-title":"Atemwegs- und Lungenkrankheiten","id":"ITEM-1","issued":{"date-parts":[["2013"]]},"page":"1-88","title":"Ghana National Climate Change Policy Ministry.","type":"article-journal"},"uris":["http://www.mendeley.com/documents/?uuid=bb821ab2-836c-46ec-a314-33f7f5a7c2fb"]}],"mendeley":{"formattedCitation":"(Ministry of Enviroenment Science Technology and Innotaion (MESTI), 2013)","manualFormatting":"(Ministry of Environment Science Technology and Innovation (MESTI), 2013","plainTextFormattedCitation":"(Ministry of Enviroenment Science Technology and Innotaion (MESTI), 2013)","previouslyFormattedCitation":"(Ministry of Enviroenment Science Technology and Innotaion (MESTI),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(Ministry of Environment Science Technology and Innovation (MESTI), 2013</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0959-3780","ISSN":"1756-5529","PMID":"25246403","author":[{"dropping-particle":"","family":"UNEP","given":"","non-dropping-particle":"","parse-names":false,"suffix":""},{"dropping-particle":"","family":"UNDP","given":"","non-dropping-particle":"","parse-names":false,"suffix":""}],"container-title":"Global Environmental Change","id":"ITEM-1","issue":"1","issued":{"date-parts":[["2013"]]},"number-of-pages":"1-11","publisher-place":"Accra, Ghana","title":"National Climate Change Adaptation Strategy","type":"report","volume":"5"},"uris":["http://www.mendeley.com/documents/?uuid=8e517268-587f-4084-b77b-d7b1fccf0b67"]}],"mendeley":{"formattedCitation":"(UNEP &amp; UNDP, 2013)","manualFormatting":"UNEP &amp; UNDP, 2013 pg 62)","plainTextFormattedCitation":"(UNEP &amp; UNDP, 2013)","previouslyFormattedCitation":"(UNEP &amp; UNDP,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UNEP &amp; UNDP, 2013 pg 62)</w:t>
      </w:r>
      <w:r w:rsidRPr="00895D0B">
        <w:rPr>
          <w:rFonts w:cs="Times New Roman"/>
          <w:color w:val="000000" w:themeColor="text1"/>
          <w:szCs w:val="24"/>
        </w:rPr>
        <w:fldChar w:fldCharType="end"/>
      </w:r>
      <w:r w:rsidRPr="00895D0B">
        <w:rPr>
          <w:rFonts w:cs="Times New Roman"/>
          <w:color w:val="000000" w:themeColor="text1"/>
          <w:szCs w:val="24"/>
        </w:rPr>
        <w:t>.</w:t>
      </w:r>
    </w:p>
    <w:p w14:paraId="4362B479" w14:textId="77777777" w:rsidR="001B4ED5" w:rsidRPr="00895D0B" w:rsidRDefault="001B4ED5" w:rsidP="000778C3">
      <w:pPr>
        <w:pStyle w:val="NoSpacing"/>
      </w:pPr>
    </w:p>
    <w:p w14:paraId="3CB26E2F" w14:textId="1FE51828" w:rsidR="001B4ED5" w:rsidRPr="00895D0B" w:rsidRDefault="006B41C0">
      <w:pPr>
        <w:pStyle w:val="Heading2"/>
      </w:pPr>
      <w:bookmarkStart w:id="34" w:name="_Toc167379870"/>
      <w:r w:rsidRPr="00895D0B">
        <w:t>2.</w:t>
      </w:r>
      <w:r w:rsidR="004E07C6" w:rsidRPr="00895D0B">
        <w:t>6</w:t>
      </w:r>
      <w:r w:rsidRPr="00895D0B">
        <w:t xml:space="preserve"> Urban Agricultural Production and Climate Change Adaptation Strategies</w:t>
      </w:r>
      <w:bookmarkEnd w:id="34"/>
      <w:r w:rsidRPr="00895D0B">
        <w:t xml:space="preserve"> </w:t>
      </w:r>
    </w:p>
    <w:p w14:paraId="2439CDF4" w14:textId="77777777" w:rsidR="001B4ED5" w:rsidRPr="00895D0B" w:rsidRDefault="006B41C0">
      <w:pPr>
        <w:shd w:val="clear" w:color="auto" w:fill="FFFFFF"/>
        <w:spacing w:line="360" w:lineRule="auto"/>
        <w:rPr>
          <w:rFonts w:cs="Times New Roman"/>
          <w:color w:val="000000" w:themeColor="text1"/>
          <w:szCs w:val="24"/>
        </w:rPr>
      </w:pPr>
      <w:r w:rsidRPr="00895D0B">
        <w:rPr>
          <w:rFonts w:cs="Times New Roman"/>
          <w:color w:val="000000" w:themeColor="text1"/>
          <w:szCs w:val="24"/>
          <w:shd w:val="clear" w:color="auto" w:fill="FFFFFF"/>
        </w:rPr>
        <w:t xml:space="preserve">Urban agriculture can take many different forms, such as raising fruit trees, vegetables, medicinal plants, spices, and other beneficial plants, as well as raising poultry or animals to produce eggs, milk, meat, and wool among other goods. </w:t>
      </w:r>
      <w:r w:rsidRPr="00895D0B">
        <w:rPr>
          <w:rFonts w:cs="Times New Roman"/>
          <w:color w:val="000000" w:themeColor="text1"/>
          <w:szCs w:val="24"/>
        </w:rPr>
        <w:t xml:space="preserve">The common crop types that are grown in urban spaces are fruits such as watermelon, cereals like maize and rice, roots and tubers (yam and cassava), and vegetables in the form of okra, pepper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{"citationItems":[{"id":"ITEM-1","itemData":{"ISBN":"978-92-9090-798-5","abstract":"… and land issues conditioning the potential for urban agriculture to contribute towards an environmentally sustainable and just urbanization process. Located on institutional land in …","author":[{"dropping-particle":"","family":"Allen","given":"A.","non-dropping-particle":"","parse-names":false,"suffix":""},{"dropping-particle":"","family":"Apsan Frediani","given":"A.","non-dropping-particle":"","parse-names":false,"suffix":""},{"dropping-particle":"","family":"Wood Hill","given":"M.","non-dropping-particle":"","parse-names":false,"suffix":""}],"container-title":"Irrigated urban vegetable production in Ghana: characteristics, benefits and risk mitigation","id":"ITEM-1","issued":{"date-parts":[["2014"]]},"page":"161-179","title":"Land and planning for urban agriculture in Accra: Sustained urban agriculture or sustainable urbanisation?","type":"article-journal"},"uris":["http://www.mendeley.com/documents/?uuid=c2542548-6530-4d12-b7ce-6475e50504cc"]}],"mendeley":{"formattedCitation":"(Allen et al., 2014)","plainTextFormattedCitation":"(Allen et al., 2014)","previouslyFormattedCitation":"(Allen et al., 2014)"},"properties":{"noteIndex":0},"schema":"https://github.com/citation-style-language/schema/raw/master/csl-citation.json"}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(Allen et al., 2014)</w:t>
      </w:r>
      <w:r w:rsidRPr="00895D0B">
        <w:rPr>
          <w:rFonts w:cs="Times New Roman"/>
          <w:color w:val="000000" w:themeColor="text1"/>
          <w:szCs w:val="24"/>
        </w:rPr>
        <w:fldChar w:fldCharType="end"/>
      </w:r>
      <w:r w:rsidRPr="00895D0B">
        <w:rPr>
          <w:rFonts w:cs="Times New Roman"/>
          <w:color w:val="000000" w:themeColor="text1"/>
          <w:szCs w:val="24"/>
        </w:rPr>
        <w:t xml:space="preserve">. Similarly, their findings showed that home gardening is dominant in Ghanaian cities; farmers mostly cultivate staple food crops like maize but not perishable and or cash crops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{"citationItems":[{"id":"ITEM-1","itemData":{"DOI":"10.1016/j.landusepol.2017.10.031","ISSN":"02648377","abstract":"Extending beyond previous research biases towards large cities or analyses based largely on one type of urban agriculture (UA) (such as market gardening, or home gardening), this research aimed to investigate all forms of UA within two intermediate-sized Ghanaian cities (Techiman and Tamale). Where was being farmed? For whom, and why? The paper considers how findings compare to Ghana's larger cities, and possible implications for theory and for planning. Methods included remote sensing, field mapping, interviews and a 1000-household per city questionnaire. The most common reason for farming was food supplementation. This was often via staple foods, particularly maize, rather than the leafy vegetables common in larger cities’ market gardening. Farming was predominantly via home gardening, particularly for the better off. The larger city of Tamale also sustained organised irrigated-vegetable market gardens. Findings suggest a picture not dissimilar to Ghana's larger cities but with greater prevalence of home gardening, and a dominance of staple foods rather than perishable or high value crops. A compelling finding, which has received less attention in the literature, is the extent of, and roles played by, what this study refers to as ‘institutional land. Both Ghanaian Ministry of Food and Agriculture's policy framing, and market crisis theorising, of the drivers and role of UA were not found to be an accurate reflection of Techiman and Tamale's UA. Rather than being a localised survival activity of the poor or marginalised, of recent migrants, or of predominantly women, these cities contained a large scale and diverse spatiality of UA mainly for non-poor and non-migrants’ supplementation of their staple food larder. Results emphasise the context-specific nature of a city's urban agriculture, and underline the need for researchers and UA advocates to be specific about the form of UA under the microscope when making claims for ‘an urban agriculture’.","author":[{"dropping-particle":"","family":"Mackay","given":"H.","non-dropping-particle":"","parse-names":false,"suffix":""}],"container-title":"Land Use Policy","id":"ITEM-1","issue":"October 2017","issued":{"date-parts":[["2018"]]},"page":"182-197","publisher":"Elsevier","title":"Mapping and characterising the urban agricultural landscape of two intermediate-sized Ghanaian cities","type":"article-journal","volume":"70"},"uris":["http://www.mendeley.com/documents/?uuid=db4df694-c6b9-4c30-8d0e-77c510eebe8b"]}],"mendeley":{"formattedCitation":"(Mackay, 2018)","plainTextFormattedCitation":"(Mackay, 2018)","previouslyFormattedCitation":"(Mackay,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(Mackay, 2018)</w:t>
      </w:r>
      <w:r w:rsidRPr="00895D0B">
        <w:rPr>
          <w:rFonts w:cs="Times New Roman"/>
          <w:color w:val="000000" w:themeColor="text1"/>
          <w:szCs w:val="24"/>
        </w:rPr>
        <w:fldChar w:fldCharType="end"/>
      </w:r>
      <w:r w:rsidRPr="00895D0B">
        <w:rPr>
          <w:rFonts w:cs="Times New Roman"/>
          <w:color w:val="000000" w:themeColor="text1"/>
          <w:szCs w:val="24"/>
        </w:rPr>
        <w:t xml:space="preserve">. To mitigate the effects of climate change, urban farmers are taught agronomic methods such as seed sowing and nursery preparation for seedlings. However, farmers lack the resources necessary to encourage the production of urban food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{"citationItems":[{"id":"ITEM-1","itemData":{"abstract":"The high-level conferences in agriculture of the late 1990s have provided the political impetus to mandate FAO to support urban agriculture across the world. The agency provides technical expertise and advice to national and local governments on food-related matters through key programs, initiatives and reports, while working closely with the private sector. FAO’s holistic and systemic approach focuses on strengthening the complex linkages between urban, peri-urban and rural agriculture which characterize contemporary food systems, with the goal of enhancing the city region’s food security and resilience. FAO also acknowledges the limitations and opportunities provided by contextual variables and the necessity to adapt programs according to the local populations’ needs and aspirations. If food has not always been authorities’ main priority in policy-making, current changes in the perception of food systems, pushed by societal demands to act against food waste and climate change, have fostered an increased attention to FAO’s activities.","author":[{"dropping-particle":"","family":"Taguchi","given":"M.","non-dropping-particle":"","parse-names":false,"suffix":""},{"dropping-particle":"","family":"Santini","given":"G.","non-dropping-particle":"","parse-names":false,"suffix":""}],"container-title":"The journal of field actions","id":"ITEM-1","issue":"20","issued":{"date-parts":[["2019"]]},"number-of-pages":"12-17","title":"Agriculture in the Global a Perspective","type":"report"},"uris":["http://www.mendeley.com/documents/?uuid=8b80f937-06d3-4b44-b1fb-2aca2842d0b4"]}],"mendeley":{"formattedCitation":"(Taguchi &amp; Santini, 2019)","plainTextFormattedCitation":"(Taguchi &amp; Santini, 2019)","previouslyFormattedCitation":"(Taguchi &amp; Santini,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(Taguchi &amp; Santini, 2019)</w:t>
      </w:r>
      <w:r w:rsidRPr="00895D0B">
        <w:rPr>
          <w:rFonts w:cs="Times New Roman"/>
          <w:color w:val="000000" w:themeColor="text1"/>
          <w:szCs w:val="24"/>
        </w:rPr>
        <w:fldChar w:fldCharType="end"/>
      </w:r>
      <w:r w:rsidRPr="00895D0B">
        <w:rPr>
          <w:rFonts w:cs="Times New Roman"/>
          <w:color w:val="000000" w:themeColor="text1"/>
          <w:szCs w:val="24"/>
        </w:rPr>
        <w:t xml:space="preserve">. Many urban dwellers are at food security risk as crops and animal production in their neighbourhoods are affected by climate change conditions in the form of drought and floods. Therefore, rainy season production is common. The solution to this is adoption of production practices to adapt to climate stressors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{"citationItems":[{"id":"ITEM-1","itemData":{"DOI":"10.1007/s12134-017-0535-z","ISSN":"18746365","abstract":"Immigrant entrepreneurship comes in two forms: domestic and transnational entrepreneurship. Domestic immigrant entrepreneurs depend on the host society for business success while transnational immigrant entrepreneurs depend on the contacts and partners in their countries of origin and other countries. In recent years, immigrants’ entrepreneurial activity has moved from the domestic to the transnational level because of the simultaneous business activities that such entrepreneurs conduct between their home and host countries. Transnational entrepreneurship has become one of the pathways that immigrants use to settle and integrate into the host society’s labor market, and at the same time contribute to their countries of origin. From this perspective, this paper explores the causes, nature, and practices of transnational entrepreneurial activities of Ghanaian immigrants in Canada. Using in-depth interviews and focus groups, the study finds that transnational entrepreneurship has become an essential strategy among Ghanaian immigrant entrepreneurs due to the large and growing number of immigrant communities and demand for ethnic products and services that are not produced in Canada. The study also finds that transnational entrepreneurship has become an avenue for immigrants to connect and create ties with Ghana and contribute to its economic development.","author":[{"dropping-particle":"","family":"Nkrumah","given":"A.","non-dropping-particle":"","parse-names":false,"suffix":""}],"container-title":"Journal of International Migration and Integration","id":"ITEM-1","issue":"1","issued":{"date-parts":[["2018"]]},"page":"195-211","title":"Immigrants’ Transnational Entrepreneurial Activities: the Case of Ghanaian Immigrants in Canada","type":"article-journal","volume":"19"},"uris":["http://www.mendeley.com/documents/?uuid=351b027b-4f53-40df-a07b-5510eee63612"]}],"mendeley":{"formattedCitation":"(Nkrumah, 2018)","plainTextFormattedCitation":"(Nkrumah, 2018)","previouslyFormattedCitation":"(Nkrumah,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(Nkrumah, 2018)</w:t>
      </w:r>
      <w:r w:rsidRPr="00895D0B">
        <w:rPr>
          <w:rFonts w:cs="Times New Roman"/>
          <w:color w:val="000000" w:themeColor="text1"/>
          <w:szCs w:val="24"/>
        </w:rPr>
        <w:fldChar w:fldCharType="end"/>
      </w:r>
      <w:r w:rsidRPr="00895D0B">
        <w:rPr>
          <w:rFonts w:cs="Times New Roman"/>
          <w:color w:val="000000" w:themeColor="text1"/>
          <w:szCs w:val="24"/>
        </w:rPr>
        <w:t xml:space="preserve">. Even though an ideal spot would have rich soil </w:t>
      </w:r>
      <w:r w:rsidRPr="00895D0B">
        <w:rPr>
          <w:rFonts w:cs="Times New Roman"/>
          <w:color w:val="000000" w:themeColor="text1"/>
          <w:szCs w:val="24"/>
        </w:rPr>
        <w:lastRenderedPageBreak/>
        <w:t xml:space="preserve">with enough nutrients and organic matter, many urban agricultural projects are started on poor soils or even impervious surfaces. Raised beds, bringing in the right soil, and adding additives are common ways to do this. Biochar increases yields in fertilized plots more than the non-fertilized ones. There is a direct relationship between a reduction in wastewater irrigation and crop yields. Biochar improves the concentration of potassium (K) and phosphorus (P) within plant tissues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{"citationItems":[{"id":"ITEM-1","itemData":{"DOI":"10.1007/s10705-019-09969-0","ISSN":"15730867","abstract":"In West Africa population growth and fast urbanization challenge food security for which urban and peri-urban agriculture plays an increasing role. Adding biochar to soils depleted in soil organic carbon may improve soil quality but its effectiveness in high input systems, such as urban horticulture in West Africa, is unknown. We studied the effects of fertilization, amended biochar from agricultural waste, irrigation water quality and quantity on small-scale urban vegetable production in a multi-factorial split-plot experiment on a Haplic Lixisol in Ouagadougou, Burkina Faso. A single application of corn cob biochar at the rate of 20 t ha−1 was used in a 2-year study covering eleven cropping cycles. Biochar significantly improved total fresh matter yields of two amaranth cycles by 39% and 17%, lettuce by 7% and carrot by 11%. Repeated measures analysis showed that biochar increased average total biomass by 9% and marketable yield by 6%. Biochar was effective on fertilized plots while plant growth on unfertilized plots was limited by nutrients, most likely nitrogen (N). A 33% reduction in irrigation water caused yield declines of 4–23% which was more pronounced in fertilized plots with higher water consumption by the larger plants. Biochar increased potassium (K) concentrations while wastewater reduced phosphorus (P) in plant tissue. The study showed a positive effect of biochar on crop yields and nutrition while wastewater effects were limited to nutrient deficient plots.","author":[{"dropping-particle":"","family":"Manka’abusi","given":"Delphine","non-dropping-particle":"","parse-names":false,"suffix":""},{"dropping-particle":"","family":"Steiner","given":"Christoph","non-dropping-particle":"","parse-names":false,"suffix":""},{"dropping-particle":"","family":"Akoto-Danso","given":"Edmund Kyei","non-dropping-particle":"","parse-names":false,"suffix":""},{"dropping-particle":"","family":"Lompo","given":"Désiré J.P.","non-dropping-particle":"","parse-names":false,"suffix":""},{"dropping-particle":"","family":"Haering","given":"Volker","non-dropping-particle":"","parse-names":false,"suffix":""},{"dropping-particle":"","family":"Werner","given":"Steffen","non-dropping-particle":"","parse-names":false,"suffix":""},{"dropping-particle":"","family":"Marschner","given":"Bernd","non-dropping-particle":"","parse-names":false,"suffix":""},{"dropping-particle":"","family":"Buerkert","given":"Andreas","non-dropping-particle":"","parse-names":false,"suffix":""}],"container-title":"Nutrient Cycling in Agroecosystems","id":"ITEM-1","issue":"2","issued":{"date-parts":[["2019"]]},"page":"263-279","title":"Biochar application and wastewater irrigation in urban vegetable production of Ouagadougou, Burkina Faso","type":"article-journal","volume":"115"},"uris":["http://www.mendeley.com/documents/?uuid=a5b81376-5ad6-4f91-86f8-c3def98af6db"]}],"mendeley":{"formattedCitation":"(Manka’abusi et al., 2019)","plainTextFormattedCitation":"(Manka’abusi et al., 2019)","previouslyFormattedCitation":"(Manka’abusi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(Manka’abusi et al., 2019)</w:t>
      </w:r>
      <w:r w:rsidRPr="00895D0B">
        <w:rPr>
          <w:rFonts w:cs="Times New Roman"/>
          <w:color w:val="000000" w:themeColor="text1"/>
          <w:szCs w:val="24"/>
        </w:rPr>
        <w:fldChar w:fldCharType="end"/>
      </w:r>
      <w:r w:rsidRPr="00895D0B">
        <w:rPr>
          <w:rFonts w:cs="Times New Roman"/>
          <w:color w:val="000000" w:themeColor="text1"/>
          <w:szCs w:val="24"/>
        </w:rPr>
        <w:t xml:space="preserve">. Wastewater increases yields of urban farms more than clean water but there is a higher sequence of irrigation during the wet season. Wastewater fertilizes the land significantly with nutrient recovery as soil water is enhanced as a result of biochar application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{"citationItems":[{"id":"ITEM-1","itemData":{"DOI":"10.1007/s10705-018-9926-6","ISSN":"15730867","abstract":"Agricultural production needs to increase, particularly in sub-Saharan Africa, many rural people are undernourished, and the urban population is growing rapidly. It is worrisome that on many West African soils with low cation exchange capacity and soil organic carbon content, mineral fertilization is rather inefficient. Under these conditions, wherever available untreated wastewater is used for irrigation despite the potential health risks to producers and consumers. For intensively cultivated soils with high mineralization rates, biochar application has been advocated as a promising management option. However, the agronomic benefits of wastewater reuse in agriculture and its interaction with biochar have received only limited attention. This study therefore investigated the effects of mineral fertilizer application and biochar amendment at two water quality and quantity levels on soil moisture, plant nutrition and biomass production on a Petroplinthic Cambisol over 2 years. Rice husk biochar applied at 20 t ha−1 significantly increased fresh matter yields in the first five cropping cycles by 15%, and by 9% by the end of 2 years. Compared with clean water, wastewater irrigation increased yields 10–20-fold on unfertilized plots during the dry seasons, while a fourfold increment was observed in the wet seasons. This seasonal difference is likely a result of the high sequence of irrigation events during the dry season. In this study, fertigation with wastewater contributed significantly to plant nutrition and nutrient recovery while yield-increasing biochar effects disappeared over time. Soil moisture was enhanced by up to 9% due to biochar amendments under unfertilized conditions.","author":[{"dropping-particle":"","family":"Akoto-Danso","given":"E. K.","non-dropping-particle":"","parse-names":false,"suffix":""},{"dropping-particle":"","family":"Manka’abusi","given":"D.","non-dropping-particle":"","parse-names":false,"suffix":""},{"dropping-particle":"","family":"Steiner","given":"C.","non-dropping-particle":"","parse-names":false,"suffix":""},{"dropping-particle":"","family":"Werner","given":"S","non-dropping-particle":"","parse-names":false,"suffix":""},{"dropping-particle":"","family":"Häring","given":"V.","non-dropping-particle":"","parse-names":false,"suffix":""},{"dropping-particle":"","family":"Nyarko","given":"G.","non-dropping-particle":"","parse-names":false,"suffix":""},{"dropping-particle":"","family":"Marschner","given":"B.","non-dropping-particle":"","parse-names":false,"suffix":""},{"dropping-particle":"","family":"Drechsel","given":"P.","non-dropping-particle":"","parse-names":false,"suffix":""},{"dropping-particle":"","family":"Buerkert","given":"A.","non-dropping-particle":"","parse-names":false,"suffix":""}],"container-title":"Nutrient Cycling in Agroecosystems","id":"ITEM-1","issue":"2","issued":{"date-parts":[["2019"]]},"page":"231-247","title":"Agronomic effects of biochar and wastewater irrigation in urban crop production of Tamale, northern Ghana","type":"article-journal","volume":"115"},"uris":["http://www.mendeley.com/documents/?uuid=d7e40716-4a60-4c20-8c7c-30a06fe62380"]}],"mendeley":{"formattedCitation":"(Akoto-Danso et al., 2019)","plainTextFormattedCitation":"(Akoto-Danso et al., 2019)","previouslyFormattedCitation":"(Akoto-Danso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(Akoto-Danso et al., 2019)</w:t>
      </w:r>
      <w:r w:rsidRPr="00895D0B">
        <w:rPr>
          <w:rFonts w:cs="Times New Roman"/>
          <w:color w:val="000000" w:themeColor="text1"/>
          <w:szCs w:val="24"/>
        </w:rPr>
        <w:fldChar w:fldCharType="end"/>
      </w:r>
      <w:r w:rsidRPr="00895D0B">
        <w:rPr>
          <w:rFonts w:cs="Times New Roman"/>
          <w:color w:val="000000" w:themeColor="text1"/>
          <w:szCs w:val="24"/>
        </w:rPr>
        <w:t>.</w:t>
      </w:r>
      <w:r w:rsidRPr="00895D0B">
        <w:rPr>
          <w:rFonts w:cs="Times New Roman"/>
          <w:b/>
          <w:color w:val="000000" w:themeColor="text1"/>
          <w:szCs w:val="24"/>
        </w:rPr>
        <w:t xml:space="preserve"> </w:t>
      </w:r>
      <w:r w:rsidRPr="00895D0B">
        <w:rPr>
          <w:rFonts w:cs="Times New Roman"/>
          <w:color w:val="000000" w:themeColor="text1"/>
          <w:szCs w:val="24"/>
        </w:rPr>
        <w:t xml:space="preserve">Common UA practices such as wastewater irrigation lead to the leaching of soil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{"citationItems":[{"id":"ITEM-1","itemData":{"DOI":"10.1007/s10705-019-09989-w","ISSN":"15730867","abstract":"Urban agriculture in developing countries contributes to food diversity and security of the urban population. Its importance will increase in the future because of fast-growing urbanization. Little is known about nutrient fluxes and balances of these high input agricultural systems, which are characterized by high fertilizer use, often combined with wastewater irrigation. Adding biochar to soil has shown the potential to decrease nutrient leaching, increase yields and nutrient use efficiency. Therefore, we installed lysimeters in a multi-factorial field experimental in Tamale, Northern Ghana. The treatments included a control (no amendments applied), biochar at 20 t ha−1, mineral fertilization according to the farmers’ practice and a combination of biochar amendment and fertilization. All treatments were irrigated with tap water or wastewater. The results show higher water losses under wastewater irrigation (+ 33%). The addition of biochar had no effects on nutrient leaching, balances or water flux. Leaching losses of nitrogen were around 200 kg N ha−1 when irrigation exceeded the crop demands. When irrigation was more appropriate, the leaching rates were 50–100 kg N ha−1. The leaching of Mg and Ca almost doubled in some seasons and negative mass balances under mineral fertilization entailed soil acidification. Nitrogen balances varied strongly depending on the season, irrigation water qualities or fertilization (− 50 to 222 kg NO3-N ha−1). We conclude that the high nutrient load associated with the commonly-practiced wastewater irrigation entails large leaching losses. These cannot be curbed by biochar application and should be accounted for in fertilizer management in urban vegetable production.","author":[{"dropping-particle":"","family":"Werner","given":"S.","non-dropping-particle":"","parse-names":false,"suffix":""},{"dropping-particle":"","family":"Akoto-Danso","given":"E. K.","non-dropping-particle":"","parse-names":false,"suffix":""},{"dropping-particle":"","family":"Manka’abusi","given":"D.","non-dropping-particle":"","parse-names":false,"suffix":""},{"dropping-particle":"","family":"Steiner","given":"C.","non-dropping-particle":"","parse-names":false,"suffix":""},{"dropping-particle":"","family":"Haering","given":"V.","non-dropping-particle":"","parse-names":false,"suffix":""},{"dropping-particle":"","family":"Nyarko","given":"G.","non-dropping-particle":"","parse-names":false,"suffix":""},{"dropping-particle":"","family":"Buerkert","given":"A.","non-dropping-particle":"","parse-names":false,"suffix":""},{"dropping-particle":"","family":"Marschner","given":"B.","non-dropping-particle":"","parse-names":false,"suffix":""}],"container-title":"Nutrient Cycling in Agroecosystems","id":"ITEM-1","issue":"2","issued":{"date-parts":[["2019"]]},"page":"249-262","title":"Nutrient balances with wastewater irrigation and biochar application in urban agriculture of Northern Ghana","type":"article-journal","volume":"115"},"uris":["http://www.mendeley.com/documents/?uuid=a879b5e9-f39e-4f3e-9397-d384bb3170c6"]}],"mendeley":{"formattedCitation":"(Werner et al., 2019)","plainTextFormattedCitation":"(Werner et al., 2019)","previouslyFormattedCitation":"(Werner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(Werner et al., 2019)</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eastAsia="Times New Roman" w:cs="Times New Roman"/>
          <w:color w:val="000000" w:themeColor="text1"/>
          <w:szCs w:val="24"/>
          <w:lang w:eastAsia="en-GB"/>
        </w:rPr>
        <w:t xml:space="preserve">In farmland preparations, raised beds are an effective method for vegetable production in urban agriculture, providing better soil quality, improved drainage, and increased accessibility for maintenance.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{"citationItems":[{"id":"ITEM-1","itemData":{"DOI":"10.2134/urbanag2018.06.0002","ISSN":"25751220","abstract":"Core Ideas: Infiltration rate, but also irrigation demand, was highest in compost raised beds. Compost in raised beds reduced the need for mineral fertilization across two seasons. Weed abundance in raised beds increased when top soil was mixed with compost. Crop yield was usually highest in raised beds, regardless of media composition. Raised beds are commonly used in urban agriculture, but crop production benefits have not been well studied. The objective of this 2-yr field experiment in Illinois was to determine the effects of urban production system (direct soil, raised bed with compost, or raised bed with mixed compost and soil) and fertilizer source on growing media properties, weed abundance, and vegetable crop yield. Due to the presence of compost, raised bed media had higher pH, organic matter, and nutrient concentrations. Water infiltration rate was 20× higher in raised beds with compost only compared to soil. Mixing soil with compost in raised beds reduced nutrient concentrations and water infiltration rate compared to compost-only beds. Compost-only raised beds required more irrigation than direct soil due to lower bulk density and greater porosity, but mixing soil with compost in raised beds reduced irrigation demand by 32% in year two. Compared to direct soil, compost-only raised beds reduced grass and broadleaf weed abundance by as much as 97 and 93%, respectively. Radish (Raphanus sativus L.), kale (Brassica oleracea L.), and cilantro (Coriandrum sativum L.) yields were highest in raised beds, regardless of growing media composition, whereas garlic (Allium sativum L.) and pepper (Capsicum annuum L.) yields were less influenced by production system. We recommend raised beds with a mix of compost and soil for vegetable production in urban agriculture.","author":[{"dropping-particle":"","family":"Miernicki","given":"E. A.","non-dropping-particle":"","parse-names":false,"suffix":""},{"dropping-particle":"","family":"Lovell","given":"S. T.","non-dropping-particle":"","parse-names":false,"suffix":""},{"dropping-particle":"","family":"Wortman","given":"S. E.","non-dropping-particle":"","parse-names":false,"suffix":""}],"container-title":"Urban Agriculture and Regional Food Systems","id":"ITEM-1","issue":"1","issued":{"date-parts":[["2018"]]},"page":"1-10","title":"Raised Beds for Vegetable Production in Urban Agriculture","type":"article-journal","volume":"3"},"uris":["http://www.mendeley.com/documents/?uuid=c38c0ac7-1496-4b6f-908c-af81dcdae385"]}],"mendeley":{"formattedCitation":"(Miernicki et al., 2018)","manualFormatting":"Miernicki et al. (2018)","plainTextFormattedCitation":"(Miernicki et al., 2018)","previouslyFormattedCitation":"(Miernicki et al., 2018)"},"properties":{"noteIndex":0},"schema":"https://github.com/citation-style-language/schema/raw/master/csl-citation.json"}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Miernicki et al. (2018)</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w:t>
      </w:r>
      <w:r w:rsidRPr="00895D0B">
        <w:rPr>
          <w:rFonts w:cs="Times New Roman"/>
          <w:color w:val="000000" w:themeColor="text1"/>
          <w:szCs w:val="24"/>
          <w:shd w:val="clear" w:color="auto" w:fill="FFFFFF"/>
        </w:rPr>
        <w:t xml:space="preserve">emphasise the importance of land preparations in yield maximization amid climate change. For instance, they said </w:t>
      </w:r>
      <w:r w:rsidRPr="00895D0B">
        <w:rPr>
          <w:rFonts w:eastAsia="Times New Roman" w:cs="Times New Roman"/>
          <w:color w:val="000000" w:themeColor="text1"/>
          <w:szCs w:val="24"/>
          <w:lang w:eastAsia="en-GB"/>
        </w:rPr>
        <w:t xml:space="preserve">raised beds offer opportunities for sustainable urban agriculture by promoting water conservation, reducing the use of synthetic inputs, and supporting community engagement. Raised beds' benefits include improved soil drainage, reduced weed competition, and increased accessibility for gardeners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{"citationItems":[{"id":"ITEM-1","itemData":{"author":[{"dropping-particle":"","family":"Salomon","given":"M.","non-dropping-particle":"","parse-names":false,"suffix":""}],"container-title":"Thesis","id":"ITEM-1","issued":{"date-parts":[["2021"]]},"title":"Soil health in urban agriculture with an emphasis on arbuscular mycorrhizal","type":"article-journal"},"uris":["http://www.mendeley.com/documents/?uuid=c1c8291e-8a63-4605-89bc-a4cea9b857b8"]}],"mendeley":{"formattedCitation":"(Salomon, 2021)","plainTextFormattedCitation":"(Salomon, 2021)","previouslyFormattedCitation":"(Salomon, 2021)"},"properties":{"noteIndex":0},"schema":"https://github.com/citation-style-language/schema/raw/master/csl-citation.json"}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(Salomon, 2021)</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This is practical in vegetable production in urban agriculture, offering improved soil quality, increased crop yields, and reduced weed pressure.</w:t>
      </w:r>
    </w:p>
    <w:p w14:paraId="589ECB0D" w14:textId="77777777" w:rsidR="001B4ED5" w:rsidRPr="00895D0B" w:rsidRDefault="001B4ED5" w:rsidP="00F4799E">
      <w:pPr>
        <w:pStyle w:val="NoSpacing"/>
        <w:rPr>
          <w:lang w:eastAsia="en-GB"/>
        </w:rPr>
      </w:pPr>
    </w:p>
    <w:p w14:paraId="5EE0A184" w14:textId="34C830EF" w:rsidR="001B4ED5" w:rsidRPr="00895D0B" w:rsidRDefault="006B41C0" w:rsidP="009864E3">
      <w:pPr>
        <w:pStyle w:val="Heading3"/>
      </w:pPr>
      <w:bookmarkStart w:id="35" w:name="_Toc167379871"/>
      <w:r w:rsidRPr="00895D0B">
        <w:t>2.</w:t>
      </w:r>
      <w:r w:rsidR="004E07C6" w:rsidRPr="00895D0B">
        <w:t>6</w:t>
      </w:r>
      <w:r w:rsidRPr="00895D0B">
        <w:t>.1 Benefits and challenges of urban agriculture</w:t>
      </w:r>
      <w:bookmarkEnd w:id="35"/>
      <w:r w:rsidRPr="00895D0B">
        <w:t xml:space="preserve"> </w:t>
      </w:r>
    </w:p>
    <w:p w14:paraId="6AA11F17" w14:textId="757FA337" w:rsidR="001B4ED5" w:rsidRPr="00895D0B" w:rsidRDefault="006B41C0">
      <w:pPr>
        <w:spacing w:line="360" w:lineRule="auto"/>
        <w:rPr>
          <w:rFonts w:cs="Times New Roman"/>
          <w:color w:val="000000" w:themeColor="text1"/>
          <w:szCs w:val="24"/>
          <w:shd w:val="clear" w:color="auto" w:fill="FFFFFF"/>
        </w:rPr>
      </w:pPr>
      <w:r w:rsidRPr="00895D0B">
        <w:rPr>
          <w:rFonts w:cs="Times New Roman"/>
          <w:color w:val="000000" w:themeColor="text1"/>
          <w:szCs w:val="24"/>
          <w:shd w:val="clear" w:color="auto" w:fill="FFFFFF"/>
        </w:rPr>
        <w:t xml:space="preserve">There is still a long way to go and a need for urban agriculture to be taken more seriously. Furthermore, it has been suggested that vertical farming could be a method for promoting urban agriculture in the country and opening the way for sustainable development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{"citationItems":[{"id":"ITEM-1","itemData":{"DOI":"10.3390/smartcities2010003","ISSN":"26246511","abstract":"Today, the uncontrolled urban expansion and ever-increasing rise of construction have caused the need for food, urban greenery, and a healthy environment to be felt more than any other time. On the other hand, population growth and the reduced production of agricultural products and food have jeopardized food security in urban areas, which will endanger the sustainable development of cities. However, the main problem, in which many societies are involved, is how to respond to these needs in a sustainable way. One of the ways of responding to these dilemmas in large cities is the purposeful implementation of urban agriculture. Urban agriculture development, as an important issue, requires the adoption of fundamental and logical policies. In this regard, this research was conducted to evaluate the extent of adherence to urban agriculture in Iran’s eight densely populated cities using a new combined approach of the best–worst method (BWM) and weighted aggregated sum product assessment (WASPAS). The results indicated that urban agriculture still has a long way to go and should be considered more seriously. Moreover, vertical farming has been suggested as one of the ways of promoting urban agriculture in the country and smoothing the way to sustainable development.","author":[{"dropping-particle":"","family":"Kolagar","given":"M.","non-dropping-particle":"","parse-names":false,"suffix":""}],"container-title":"Smart Cities","id":"ITEM-1","issue":"1","issued":{"date-parts":[["2019"]]},"page":"31-45","title":"Adherence to urban agriculture in order to reach sustainable cities; a bwm–waspas approach","type":"article-journal","volume":"2"},"uris":["http://www.mendeley.com/documents/?uuid=3c3b40ab-9d2e-41e1-89f3-13c1bbab429f"]}],"mendeley":{"formattedCitation":"(Kolagar, 2019)","plainTextFormattedCitation":"(Kolagar, 2019)","previouslyFormattedCitation":"(Kolagar, 2019)"},"properties":{"noteIndex":0},"schema":"https://github.com/citation-style-language/schema/raw/master/csl-citation.json"}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(Kolagar, 2019)</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The availability of food close to the point of consumption is one of urban agriculture's most obvious advantages. Keep in mind that access to fresh produce may not always be a given for city dwellers at all times when urban farming is given the needed attention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{"citationItems":[{"id":"ITEM-1","itemData":{"DOI":"10.3390/su13031465","ISSN":"20711050","abstract":"Cities, which now host the majority of the global population, are vulnerable to environmental and socio-economic disturbances, which are likely to increase in number and severity in the near future. Urban agriculture (UA) could help increase the resilience of cities to a range of pressures and acute shocks by improving food security and public health, building social capital, and promoting circular economies. However, comprehensive assessments of its potential are still lacking. Here, we use a systematic review of the literature on UA in the global North to identify factors that determine its success in providing resilience benefits, explore challenges that can limit this, and develop a conceptual model to highlight the ways in which it could be enhanced through research, policy, and practice. We define the success of UA in increasing city resilience as determined by five factors, which in turn depend on the amount of institutional and public support for UA, the presence of a sufficient knowledge base, communication and collaboration among different actors, and resourcefulness in finding alternative ways to use space and other resources efficiently. We close with a discussion of specific directions for research and practice based on the conceptual model developed here.","author":[{"dropping-particle":"","family":"Gulyas","given":"B. Z.","non-dropping-particle":"","parse-names":false,"suffix":""},{"dropping-particle":"","family":"Edmondson","given":"J. L.","non-dropping-particle":"","parse-names":false,"suffix":""}],"container-title":"Sustainability (Switzerland)","id":"ITEM-1","issue":"3","issued":{"date-parts":[["2021"]]},"page":"1-19","title":"Increasing city resilience through urban agriculture: Challenges and solutions in the global north","type":"article-journal","volume":"13"},"uris":["http://www.mendeley.com/documents/?uuid=90a37883-efa6-4fe2-90cf-4ef68e4daea7"]}],"mendeley":{"formattedCitation":"(Gulyas &amp; Edmondson, 2021)","plainTextFormattedCitation":"(Gulyas &amp; Edmondson, 2021)","previouslyFormattedCitation":"(Gulyas &amp; Edmondson, 2021)"},"properties":{"noteIndex":0},"schema":"https://github.com/citation-style-language/schema/raw/master/csl-citation.json"}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(Gulyas &amp; Edmondson, 2021)</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When the product is consumed by the producer, there is greater access to wholesome, culturally appropriate food for the home. In other instances, a large portion of the food is sold through neighbourhood markets, generating income for locals and preserving the local economy. Urban agricultural systems can produce significant economic benefits if they </w:t>
      </w:r>
      <w:r w:rsidRPr="00895D0B">
        <w:rPr>
          <w:rFonts w:cs="Times New Roman"/>
          <w:color w:val="000000" w:themeColor="text1"/>
          <w:szCs w:val="24"/>
          <w:shd w:val="clear" w:color="auto" w:fill="FFFFFF"/>
        </w:rPr>
        <w:lastRenderedPageBreak/>
        <w:t xml:space="preserve">focus on high-value crops and employ intensive production techniques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{"citationItems":[{"id":"ITEM-1","itemData":{"DOI":"10.1007/s12132-013-9193-1","ISBN":"1213201391931","ISSN":"10153802","abstract":"There has been growing interest in the use of urban agriculture to address food insecurity and poverty in Cape Town. This reflects debates on urban agriculture in the global south. In the north, growing food in cities has been tended to be framed in terms of its social benefits. This paper investigates the perceived benefits of urban agriculture in projects in Seawinds and Vrygrond in Cape Town. Using the concept of metabolic rift is argues for connections between northern and southern constructions of urban agriculture. This approach enables connections to be seen between the practice in seemingly different areas without losing the local context. The paper argues that by using this integrated approach, projects may be more sustainable and ultimately provide both clearer social and economic benefits. © 2013 Springer Science+Business Media Dordrecht.","author":[{"dropping-particle":"","family":"Battersby","given":"J.","non-dropping-particle":"","parse-names":false,"suffix":""},{"dropping-particle":"","family":"Marshak","given":"M.","non-dropping-particle":"","parse-names":false,"suffix":""}],"container-title":"Urban Forum","id":"ITEM-1","issue":"4","issued":{"date-parts":[["2013"]]},"page":"447-461","title":"Growing Communities: Integrating the Social and Economic Benefits of Urban Agriculture in Cape Town","type":"article-journal","volume":"24"},"uris":["http://www.mendeley.com/documents/?uuid=f1021032-a68c-4020-ab8f-143c52bf4d48"]}],"mendeley":{"formattedCitation":"(Battersby &amp; Marshak, 2013)","plainTextFormattedCitation":"(Battersby &amp; Marshak, 2013)","previouslyFormattedCitation":"(Battersby &amp; Marshak, 2013)"},"properties":{"noteIndex":0},"schema":"https://github.com/citation-style-language/schema/raw/master/csl-citation.json"}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(Battersby &amp; Marshak, 2013)</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w:t>
      </w:r>
      <w:r w:rsidRPr="00895D0B">
        <w:rPr>
          <w:rFonts w:eastAsia="Times New Roman" w:cs="Times New Roman"/>
          <w:color w:val="000000" w:themeColor="text1"/>
          <w:szCs w:val="24"/>
          <w:lang w:eastAsia="en-GB"/>
        </w:rPr>
        <w:t xml:space="preserve">Urban agriculture typically serves more environmental goals and advantages to society as a whole. In addition, farming in the cities makes transit lengths shorter, requires less packing and processing, and ensures higher production input efficiency. Local food production and consumption balance also minimizes the amount of embodied energy in the food needed to feed the cities. Urban farming plays a critical role in waste assimilation as biodegradable waste is used as compost and manure as well as wastewater for irrigation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{"citationItems":[{"id":"ITEM-1","itemData":{"DOI":"10.1093/biosci/biy071","ISSN":"15253244","abstract":"Investments in urban agriculture (UA) initiatives have been increasing in the United States, but the costs and benefits to society are poorly understood. Urban agriculture can link socioeconomic and health systems, support education and societal engagement, and contribute to a range of conservation goals, including nutrient recycling and biodiversity conservation. Urban agriculture is spatially dispersed and small scale, creating opportunities to redirect underutilized land, water, and nutrient resources. Urban agriculture reduces water and carbon footprints when it replaces lawns. Labor and time requirements, potential for environmental and nutrient pollution, and scarce water resources are challenges that UA must address. Based on our review of the literature, it is unclear whether UA provides economic or nutritional benefits to urbanites, but our case study shows that UA can provide some benefits when replacing other land uses.","author":[{"dropping-particle":"","family":"Nogeire-McRae","given":"T.","non-dropping-particle":"","parse-names":false,"suffix":""},{"dropping-particle":"","family":"Ryan","given":"E. P.","non-dropping-particle":"","parse-names":false,"suffix":""},{"dropping-particle":"","family":"Jablonski","given":"B. B.R.","non-dropping-particle":"","parse-names":false,"suffix":""},{"dropping-particle":"","family":"Carolan","given":"M.","non-dropping-particle":"","parse-names":false,"suffix":""},{"dropping-particle":"","family":"Arathi","given":"H. S.","non-dropping-particle":"","parse-names":false,"suffix":""},{"dropping-particle":"","family":"Brown","given":"C. S.","non-dropping-particle":"","parse-names":false,"suffix":""},{"dropping-particle":"","family":"Saki","given":"H. H.","non-dropping-particle":"","parse-names":false,"suffix":""},{"dropping-particle":"","family":"McKeen","given":"S.","non-dropping-particle":"","parse-names":false,"suffix":""},{"dropping-particle":"","family":"Lapansky","given":"E.","non-dropping-particle":"","parse-names":false,"suffix":""},{"dropping-particle":"","family":"Schipanski","given":"M. E.","non-dropping-particle":"","parse-names":false,"suffix":""}],"container-title":"BioScience","id":"ITEM-1","issue":"10","issued":{"date-parts":[["2018"]]},"page":"748-759","title":"The role of urban agriculture in a secure, healthy, and sustainable food system","type":"article-journal","volume":"68"},"uris":["http://www.mendeley.com/documents/?uuid=84e0725e-aa4b-49d7-9329-473f5d1a0eb3"]}],"mendeley":{"formattedCitation":"(Nogeire-McRae et al., 2018)","plainTextFormattedCitation":"(Nogeire-McRae et al., 2018)","previouslyFormattedCitation":"(Nogeire-McRae et al., 2018)"},"properties":{"noteIndex":0},"schema":"https://github.com/citation-style-language/schema/raw/master/csl-citation.json"}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(Nogeire-McRae et al., 2018)</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To promote and maintain productive lives and flourishing neighbourhoods, emphasis should be placed on the value of gardens and the multi-use of public space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{"citationItems":[{"id":"ITEM-1","itemData":{"DOI":"10.1007/s12571-020-01058-3","ISBN":"1257102001","ISSN":"18764525","abstract":"Despite a 2.3% increase in world cereal production in 2019 over 2018, the number of people facing severe food insecurity may double from 135 million in January 2020 to 265 million by the end of 2020. The problem of food and nutritional insecurity is severe in urban centers, where the global population is projected to increase (%/year) by 1.84, 1.63, and 1.44 between 2015 to 2020, 2020 to 2025, and 2025 to 2030, and it will increase overall from 54% in 2016 to 60% by 2030. The number of megacities (&gt;10 million people) will increase from 34 in 2015 to 41 by 2030. The COVID-19 pandemic has aggravated food insecurity in urban centers because of the disruption in the food supply chain, aggravation of the physical and economic barriers that restrict access to food, and the catastrophic increase in food waste because of labor shortages. Thus, there is a need to adopt more resilient food systems, reduce food waste, and strengthen local food production. Enhancing availability at the household and community levels through home gardening and urban agriculture is an important strategy. Food production within the cities include small land farming in households, local community gardens, indoor and rooftop gardens, vertical farming, etc. Home gardening can play an important role in advancing food and nutritional security during and after the COVD-19 pandemic, while also strengthening the provisioning of numerous ecosystem services (i.e., plant biodiversity, microclimate, water runoff, water quality, human health). However, risks of soil contamination by heavy metals must be addressed.","author":[{"dropping-particle":"","family":"Lal","given":"R.","non-dropping-particle":"","parse-names":false,"suffix":""}],"container-title":"Food Security","id":"ITEM-1","issue":"4","issued":{"date-parts":[["2020"]]},"page":"871-876","publisher":"Food Security","title":"Home gardening and urban agriculture for advancing food and nutritional security in response to the COVID-19 pandemic","type":"article-journal","volume":"12"},"uris":["http://www.mendeley.com/documents/?uuid=721559c0-29b3-443f-bb8a-30e9c662b0f6"]}],"mendeley":{"formattedCitation":"(Lal, 2020)","plainTextFormattedCitation":"(Lal, 2020)","previouslyFormattedCitation":"(Lal, 2020)"},"properties":{"noteIndex":0},"schema":"https://github.com/citation-style-language/schema/raw/master/csl-citation.json"}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(Lal, 2020)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There are ecological and aesthetic benefits of urban farming. Aside from biodiversity preservation particularly, incorporating native plants in the process, growing food on vacant plots beautify the environment. Beyond the advantages for the neighbourhood, gardening provides enjoyment and leisure for individuals who directly work in the food industry </w:t>
      </w:r>
      <w:r w:rsidRPr="00895D0B">
        <w:rPr>
          <w:rFonts w:eastAsia="Times New Roman" w:cs="Times New Roman"/>
          <w:color w:val="000000" w:themeColor="text1"/>
          <w:szCs w:val="24"/>
          <w:lang w:eastAsia="en-GB"/>
        </w:rPr>
        <w:fldChar w:fldCharType="begin" w:fldLock="1"/>
      </w:r>
      <w:r w:rsidR="00004DAA" w:rsidRPr="00895D0B">
        <w:rPr>
          <w:rFonts w:eastAsia="Times New Roman" w:cs="Times New Roman"/>
          <w:color w:val="000000" w:themeColor="text1"/>
          <w:szCs w:val="24"/>
          <w:lang w:eastAsia="en-GB"/>
        </w:rPr>
        <w:instrText>ADDIN CSL_CITATION {"citationItems":[{"id":"ITEM-1","itemData":{"ISBN":"9786258213843","author":[{"dropping-particle":"","family":"Gul","given":"A.","non-dropping-particle":"","parse-names":false,"suffix":""},{"dropping-particle":"","family":"Türke","given":"H.B.","non-dropping-particle":"","parse-names":false,"suffix":""}],"id":"ITEM-1","issue":"December","issued":{"date-parts":[["2022"]]},"publisher":"Iksad Publications – 2022© Architectural","title":"Architectural-Sciences-and-Urban-Agriculture","type":"book"},"uris":["http://www.mendeley.com/documents/?uuid=ffed7cd5-00d4-4319-a6f5-ebb93c8f90eb"]}],"mendeley":{"formattedCitation":"(Gul &amp; Türke, 2022)","manualFormatting":"( Recorbet, 2020; Gul, 2022)","plainTextFormattedCitation":"(Gul &amp; Türke, 2022)","previouslyFormattedCitation":"(Gul &amp; Türke, 2022)"},"properties":{"noteIndex":0},"schema":"https://github.com/citation-style-language/schema/raw/master/csl-citation.json"}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w:t>
      </w:r>
      <w:r w:rsidRPr="00895D0B">
        <w:rPr>
          <w:rFonts w:cs="Times New Roman"/>
          <w:noProof/>
          <w:color w:val="000000" w:themeColor="text1"/>
          <w:szCs w:val="24"/>
        </w:rPr>
        <w:t xml:space="preserve"> Recorbet, 2020; </w:t>
      </w:r>
      <w:r w:rsidRPr="00895D0B">
        <w:rPr>
          <w:rFonts w:eastAsia="Times New Roman" w:cs="Times New Roman"/>
          <w:noProof/>
          <w:color w:val="000000" w:themeColor="text1"/>
          <w:szCs w:val="24"/>
          <w:lang w:eastAsia="en-GB"/>
        </w:rPr>
        <w:t>Gul, 2022)</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Urban gardening, especially for immigrant groups, may be very beneficial for a community in offering access to uncommon foods that improve its cultural background. Urban agriculture can improve access to fresh and healthy food, enhance community development, and provide opportunities for social and economic empowerment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{"citationItems":[{"id":"ITEM-1","itemData":{"DOI":"10.1007/978-3-319-95675-6_102","ISBN":"9783319956756","abstract":"… Multidisciplinary research and governmental support are needed for UA to be used effectively as a tool to support the second UN Sustainable Development Goal to end hunger in all its …","author":[{"dropping-particle":"","family":"Kennard","given":"N. J.","non-dropping-particle":"","parse-names":false,"suffix":""},{"dropping-particle":"","family":"Bamford","given":"R. H.","non-dropping-particle":"","parse-names":false,"suffix":""}],"id":"ITEM-1","issued":{"date-parts":[["2020"]]},"page":"929-942","title":"Urban Agriculture: Opportunities and Challenges for Sustainable Development","type":"article-journal"},"uris":["http://www.mendeley.com/documents/?uuid=82f8e350-7199-44af-ba86-17ba243b8b4e"]}],"mendeley":{"formattedCitation":"(Kennard &amp; Bamford, 2020)","plainTextFormattedCitation":"(Kennard &amp; Bamford, 2020)","previouslyFormattedCitation":"(Kennard &amp; Bamford, 2020)"},"properties":{"noteIndex":0},"schema":"https://github.com/citation-style-language/schema/raw/master/csl-citation.json"}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(Kennard &amp; Bamford, 2020)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w:t>
      </w:r>
    </w:p>
    <w:p w14:paraId="4232A2E7" w14:textId="77777777" w:rsidR="001B4ED5" w:rsidRPr="00895D0B" w:rsidRDefault="001B4ED5" w:rsidP="006B52B6">
      <w:pPr>
        <w:pStyle w:val="NoSpacing"/>
        <w:rPr>
          <w:shd w:val="clear" w:color="auto" w:fill="FFFFFF"/>
        </w:rPr>
      </w:pPr>
    </w:p>
    <w:p w14:paraId="2BA040D3" w14:textId="19AB40AE" w:rsidR="001B4ED5" w:rsidRPr="00895D0B" w:rsidRDefault="006B41C0">
      <w:pPr>
        <w:pStyle w:val="Heading2"/>
      </w:pPr>
      <w:bookmarkStart w:id="36" w:name="_Toc167379872"/>
      <w:r w:rsidRPr="00895D0B">
        <w:t>2.</w:t>
      </w:r>
      <w:r w:rsidR="004E07C6" w:rsidRPr="00895D0B">
        <w:t>7</w:t>
      </w:r>
      <w:r w:rsidRPr="00895D0B">
        <w:t xml:space="preserve"> Urban </w:t>
      </w:r>
      <w:r w:rsidR="00E67C90" w:rsidRPr="00895D0B">
        <w:t xml:space="preserve">Agricultural, </w:t>
      </w:r>
      <w:r w:rsidRPr="00895D0B">
        <w:t>Food Security and Livelihood Sustainability</w:t>
      </w:r>
      <w:bookmarkEnd w:id="36"/>
      <w:r w:rsidRPr="00895D0B">
        <w:t xml:space="preserve"> </w:t>
      </w:r>
    </w:p>
    <w:p w14:paraId="3DE3AE60" w14:textId="77777777" w:rsidR="001B4ED5" w:rsidRPr="00895D0B" w:rsidRDefault="006B41C0">
      <w:pPr>
        <w:spacing w:line="360" w:lineRule="auto"/>
        <w:rPr>
          <w:rFonts w:eastAsia="Times New Roman" w:cs="Times New Roman"/>
          <w:color w:val="000000" w:themeColor="text1"/>
          <w:szCs w:val="24"/>
          <w:lang w:eastAsia="en-GB"/>
        </w:rPr>
      </w:pPr>
      <w:r w:rsidRPr="00895D0B">
        <w:rPr>
          <w:rFonts w:cs="Times New Roman"/>
          <w:color w:val="000000" w:themeColor="text1"/>
          <w:szCs w:val="24"/>
        </w:rPr>
        <w:t xml:space="preserve">In meeting the high global food demands, urban agriculture is one of the mainstream strategies to supplement food production in rural areas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{"citationItems":[{"id":"ITEM-1","itemData":{"author":[{"dropping-particle":"","family":"Recorbet","given":"B.","non-dropping-particle":"","parse-names":false,"suffix":""}],"id":"ITEM-1","issued":{"date-parts":[["2020"]]},"page":"2018-2021","title":"Sustainable Entrepreneurship Project Determinants of Sustainable Entrepreneurship","type":"article-journal"},"uris":["http://www.mendeley.com/documents/?uuid=db4876d1-8ceb-4e28-b564-0c2154c49942"]}],"mendeley":{"formattedCitation":"(Recorbet, 2020)","manualFormatting":"(Alimba et al., 2020)","plainTextFormattedCitation":"(Recorbet, 2020)","previouslyFormattedCitation":"(Recorbet,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(Alimba et al., 2020)</w:t>
      </w:r>
      <w:r w:rsidRPr="00895D0B">
        <w:rPr>
          <w:rFonts w:cs="Times New Roman"/>
          <w:color w:val="000000" w:themeColor="text1"/>
          <w:szCs w:val="24"/>
        </w:rPr>
        <w:fldChar w:fldCharType="end"/>
      </w:r>
      <w:r w:rsidRPr="00895D0B">
        <w:rPr>
          <w:rFonts w:cs="Times New Roman"/>
          <w:color w:val="000000" w:themeColor="text1"/>
          <w:szCs w:val="24"/>
        </w:rPr>
        <w:t xml:space="preserve">. This among all things helps in addressing food insecurity in the urban neighbourhoods. A person is said to be in a state of food security when they "at all times have physical, economic, and social access to sufficient, safe, and nutritious food that suits their dietary needs and food choices for an active and healthy life (Chihambakwe et al., 2018). </w:t>
      </w:r>
      <w:r w:rsidRPr="00895D0B">
        <w:rPr>
          <w:rFonts w:eastAsia="Times New Roman" w:cs="Times New Roman"/>
          <w:color w:val="000000" w:themeColor="text1"/>
          <w:szCs w:val="24"/>
          <w:lang w:eastAsia="en-GB"/>
        </w:rPr>
        <w:t xml:space="preserve">Implementing urban farming practices can help address food shortages, provide access to fresh and nutritious produce, and promote self-sufficiency in urban areas </w:t>
      </w:r>
      <w:r w:rsidRPr="00895D0B">
        <w:rPr>
          <w:rFonts w:cs="Times New Roman"/>
          <w:color w:val="000000" w:themeColor="text1"/>
          <w:szCs w:val="24"/>
        </w:rPr>
        <w:t xml:space="preserve">(Ezeomedo &amp; Egware, 2018). </w:t>
      </w:r>
      <w:r w:rsidRPr="00895D0B">
        <w:rPr>
          <w:rFonts w:eastAsia="Times New Roman" w:cs="Times New Roman"/>
          <w:color w:val="000000" w:themeColor="text1"/>
          <w:szCs w:val="24"/>
          <w:lang w:eastAsia="en-GB"/>
        </w:rPr>
        <w:t>Urban agriculture can contribute to food security and local food production, while also providing multiple environmental and social benefits such as improved water management and community engagement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{"citationItems":[{"id":"ITEM-1","itemData":{"DOI":"10.2134/urbanag2018.06.0002","ISSN":"25751220","abstract":"Core Ideas: Infiltration rate, but also irrigation demand, was highest in compost raised beds. Compost in raised beds reduced the need for mineral fertilization across two seasons. Weed abundance in raised beds increased when top soil was mixed with compost. Crop yield was usually highest in raised beds, regardless of media composition. Raised beds are commonly used in urban agriculture, but crop production benefits have not been well studied. The objective of this 2-yr field experiment in Illinois was to determine the effects of urban production system (direct soil, raised bed with compost, or raised bed with mixed compost and soil) and fertilizer source on growing media properties, weed abundance, and vegetable crop yield. Due to the presence of compost, raised bed media had higher pH, organic matter, and nutrient concentrations. Water infiltration rate was 20× higher in raised beds with compost only compared to soil. Mixing soil with compost in raised beds reduced nutrient concentrations and water infiltration rate compared to compost-only beds. Compost-only raised beds required more irrigation than direct soil due to lower bulk density and greater porosity, but mixing soil with compost in raised beds reduced irrigation demand by 32% in year two. Compared to direct soil, compost-only raised beds reduced grass and broadleaf weed abundance by as much as 97 and 93%, respectively. Radish (Raphanus sativus L.), kale (Brassica oleracea L.), and cilantro (Coriandrum sativum L.) yields were highest in raised beds, regardless of growing media composition, whereas garlic (Allium sativum L.) and pepper (Capsicum annuum L.) yields were less influenced by production system. We recommend raised beds with a mix of compost and soil for vegetable production in urban agriculture.","author":[{"dropping-particle":"","family":"Miernicki","given":"E. A.","non-dropping-particle":"","parse-names":false,"suffix":""},{"dropping-particle":"","family":"Lovell","given":"S. T.","non-dropping-particle":"","parse-names":false,"suffix":""},{"dropping-particle":"","family":"Wortman","given":"S. E.","non-dropping-particle":"","parse-names":false,"suffix":""}],"container-title":"Urban Agriculture and Regional Food Systems","id":"ITEM-1","issue":"1","issued":{"date-parts":[["2018"]]},"page":"1-10","title":"Raised Beds for Vegetable Production in Urban Agriculture","type":"article-journal","volume":"3"},"uris":["http://www.mendeley.com/documents/?uuid=c38c0ac7-1496-4b6f-908c-af81dcdae385"]}],"mendeley":{"formattedCitation":"(Miernicki et al., 2018)","manualFormatting":"Miernicki et al., 2018)","plainTextFormattedCitation":"(Miernicki et al., 2018)","previouslyFormattedCitation":"(Miernicki et al., 2018)"},"properties":{"noteIndex":0},"schema":"https://github.com/citation-style-language/schema/raw/master/csl-citation.json"}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Miernicki et al., 2018)</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w:t>
      </w:r>
      <w:r w:rsidRPr="00895D0B">
        <w:rPr>
          <w:rFonts w:cs="Times New Roman"/>
          <w:color w:val="000000" w:themeColor="text1"/>
          <w:szCs w:val="24"/>
          <w:shd w:val="clear" w:color="auto" w:fill="FFFFFF"/>
        </w:rPr>
        <w:t xml:space="preserve"> </w:t>
      </w:r>
      <w:r w:rsidRPr="00895D0B">
        <w:rPr>
          <w:rFonts w:eastAsia="Times New Roman" w:cs="Times New Roman"/>
          <w:color w:val="000000" w:themeColor="text1"/>
          <w:szCs w:val="24"/>
          <w:lang w:eastAsia="en-GB"/>
        </w:rPr>
        <w:t xml:space="preserve">Likewise, urban agriculture contributes to sustainable food systems and enhances food security, but its success depends on consumer willingness to support and </w:t>
      </w:r>
      <w:r w:rsidRPr="00895D0B">
        <w:rPr>
          <w:rFonts w:eastAsia="Times New Roman" w:cs="Times New Roman"/>
          <w:color w:val="000000" w:themeColor="text1"/>
          <w:szCs w:val="24"/>
          <w:lang w:eastAsia="en-GB"/>
        </w:rPr>
        <w:lastRenderedPageBreak/>
        <w:t xml:space="preserve">value locally-produced food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{"citationItems":[{"id":"ITEM-1","itemData":{"DOI":"10.3389/fnut.2017.00073","ISSN":"2296861X","author":[{"dropping-particle":"","family":"Knorr","given":"Dietrich","non-dropping-particle":"","parse-names":false,"suffix":""},{"dropping-particle":"","family":"Khoo","given":"Chor San Heng","non-dropping-particle":"","parse-names":false,"suffix":""},{"dropping-particle":"","family":"Augustin","given":"Mary Ann","non-dropping-particle":"","parse-names":false,"suffix":""}],"container-title":"Frontiers in Nutrition","id":"ITEM-1","issue":"January 2018","issued":{"date-parts":[["2018"]]},"title":"Food for an Urban Planet: Challenges and Research Opportunities","type":"article-journal","volume":"4"},"uris":["http://www.mendeley.com/documents/?uuid=268da641-2c0e-41f8-af98-9cf0b9cfa3ad"]}],"mendeley":{"formattedCitation":"(Knorr et al., 2018)","plainTextFormattedCitation":"(Knorr et al., 2018)","previouslyFormattedCitation":"(Knorr et al., 2018)"},"properties":{"noteIndex":0},"schema":"https://github.com/citation-style-language/schema/raw/master/csl-citation.json"}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(Knorr et al., 2018)</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However, they iterated that consumer behaviour plays a critical role in the success of urban agriculture, as consumer demand and preferences can drive the adoption and viability of urban farming initiatives. This sends the signal of understanding consumer preferences because locally grown and sustainable produce is essential for urban farmers to effectively market their products and attract a loyal customer base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{"citationItems":[{"id":"ITEM-1","itemData":{"DOI":"10.1016/j.landusepol.2020.104681","ISSN":"02648377","abstract":"Urban agriculture literature regarding the Global South reveals important knowledge gaps concerning spatial variations of food gardens across cityscapes, gardener motivations, and tensions with urban planning regulations, especially in locales beyond sub-Saharan Africa. In Vietnam, urban agriculture is growing in popularity and gaining media attention but there is little research as to why urban agriculture is practiced in smaller Vietnamese cities, especially those close to rural hinterlands. In this paper we investigate small-scale urban agriculture – or food gardens – in Lào Cai, a small upland city located on the Sino-Vietnamese border. We find a complex diversity of garden sizes and land management arrangements where gardens are built, including on state institutional land, thanks to informal arrangements. Gardener motivations focus predominantly on food safety concerns, contrasting with key motivations found elsewhere in the Global South. Throughout the city, albeit more so in newly urbanising sectors, this urban practice remains precarious due to irregular land access and confusing city authority regulations. We thus examine how urban residents are working to access safe food and contribute to their city's urban food system while state officials tend to focus their priorities elsewhere.","author":[{"dropping-particle":"","family":"Pham","given":"T.","non-dropping-particle":"","parse-names":false,"suffix":""},{"dropping-particle":"","family":"Turner","given":"S.","non-dropping-particle":"","parse-names":false,"suffix":""}],"container-title":"Land Use Policy","id":"ITEM-1","issue":"March","issued":{"date-parts":[["2020"]]},"publisher":"Elsevier","title":"‘If I want safe food I have to grow it myself’: Patterns and motivations of urban agriculture in a small city in Vietnam's northern borderlands","type":"article-journal","volume":"96"},"uris":["http://www.mendeley.com/documents/?uuid=97ae1a88-97d7-4b1c-8313-5f31dc3b0192"]}],"mendeley":{"formattedCitation":"(Pham &amp; Turner, 2020)","plainTextFormattedCitation":"(Pham &amp; Turner, 2020)","previouslyFormattedCitation":"(Pham &amp; Turner, 2020)"},"properties":{"noteIndex":0},"schema":"https://github.com/citation-style-language/schema/raw/master/csl-citation.json"}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(Pham &amp; Turner, 2020)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w:t>
      </w:r>
    </w:p>
    <w:p w14:paraId="62A57CE7" w14:textId="77777777" w:rsidR="001B4ED5" w:rsidRPr="00895D0B" w:rsidRDefault="001B4ED5" w:rsidP="000778C3">
      <w:pPr>
        <w:pStyle w:val="NoSpacing"/>
        <w:rPr>
          <w:lang w:eastAsia="en-GB"/>
        </w:rPr>
      </w:pPr>
    </w:p>
    <w:p w14:paraId="01B59691"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Food security measurement encompasses the availability, utilization, accessibility, and stability in terms of supply, accessibility, and utilization of the produce. As they increase the household's food security and acquire new information and technical skills, they feel more in control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{"citationItems":[{"id":"ITEM-1","itemData":{"DOI":"10.13140/RG.2.2.21061.50407","abstract":"In order to eradicate extreme poverty and hunger and promote sustainable development through Millennium Development Goals (MDGs), the United Nations Millennium Declaration was adopted in September 2000 at the largest ever gathering, committing countries both rich and poor to do all they can to eradicate poverty and hunger, promote human dignity and equality and achieve peace, democracy and environmental stability, achieve universal primary education, promoting gender equality and empower women, reduce child mortality, improve maternal health, combat HIV/AIDS, malaria and other diseases, ensure environmental sustainability and develop a global partnership for development. It is because of these and more especially goal one, to \"eradicate extreme poverty and hunger\", that prompted this study. It focused on assessing the contribution of urban agriculture as a tool for sustainable livelihood in Kwale, Delta State. Emphases were laid on the characteristics of the urban farmers, major urban agricultural activities, its impact on household income and food security, and finally the challenges facing urban agriculture in the study area. Twenty (20) urban farmers were randomly selected from each of the four zones that encompass Kwale giving a sample size of eighty (80) respondents used for the study. Information obtained were analysed using simple descriptive statistics such as frequency distribution tables, percentages and bar charts. Two hypotheses were postulated and tested in the course of this study using Spearman's correlation coefficient (rho). The findings from the study indicate that urban agriculture is an important source of supply in urban food system, income options for households, and creates full time employment. The challenges for urban farmer are land, inadequate capital, and high cost of labour. Since current employment situations in the urban areas do not generate adequate income for the poor urban population, it is therefore recommended that urban agriculture should be integrated into urban land use planning in the state as a source of urban income, employment and food security. Government as the principal land owner should liaise with individuals and group land owners to devise appropriate mechanisms to release undeveloped plots of land within and around the city for agricultural purposes. If some of these recommendations are properly addressed, urban agriculture would help to reduce urban poverty and achieve livelihood sustainability.","author":[{"dropping-particle":"","family":"Ezeomedo","given":"I. C.","non-dropping-particle":"","parse-names":false,"suffix":""},{"dropping-particle":"","family":"Egware","given":"A. R.","non-dropping-particle":"","parse-names":false,"suffix":""}],"container-title":"African Journal of Environmental Research","id":"ITEM-1","issue":"1","issued":{"date-parts":[["2018"]]},"page":"78-97","title":"Eradication of Extreme Poverty and Hunger Using Urban Agriculture As a Tool for Sustainable Livelihood","type":"article-journal","volume":"1"},"uris":["http://www.mendeley.com/documents/?uuid=0b39324b-1fcd-4501-8e17-003e2f2bd37e"]},{"id":"ITEM-2","itemData":{"abstract":"The high-level conferences in agriculture of the late 1990s have provided the political impetus to mandate FAO to support urban agriculture across the world. The agency provides technical expertise and advice to national and local governments on food-related matters through key programs, initiatives and reports, while working closely with the private sector. FAO’s holistic and systemic approach focuses on strengthening the complex linkages between urban, peri-urban and rural agriculture which characterize contemporary food systems, with the goal of enhancing the city region’s food security and resilience. FAO also acknowledges the limitations and opportunities provided by contextual variables and the necessity to adapt programs according to the local populations’ needs and aspirations. If food has not always been authorities’ main priority in policy-making, current changes in the perception of food systems, pushed by societal demands to act against food waste and climate change, have fostered an increased attention to FAO’s activities.","author":[{"dropping-particle":"","family":"Taguchi","given":"M.","non-dropping-particle":"","parse-names":false,"suffix":""},{"dropping-particle":"","family":"Santini","given":"G.","non-dropping-particle":"","parse-names":false,"suffix":""}],"container-title":"The journal of field actions","id":"ITEM-2","issue":"20","issued":{"date-parts":[["2019"]]},"number-of-pages":"12-17","title":"Agriculture in the Global a Perspective","type":"report"},"uris":["http://www.mendeley.com/documents/?uuid=8b80f937-06d3-4b44-b1fb-2aca2842d0b4"]},{"id":"ITEM-3","itemData":{"author":[{"dropping-particle":"","family":"Alimba","given":"J. O.","non-dropping-particle":"","parse-names":false,"suffix":""},{"dropping-particle":"","family":"Olumba","given":"C. C.","non-dropping-particle":"","parse-names":false,"suffix":""},{"dropping-particle":"","family":"Onunka","given":"C. N.","non-dropping-particle":"","parse-names":false,"suffix":""}],"id":"ITEM-3","issue":"February","issued":{"date-parts":[["2020"]]},"title":"Assessing How Food Production in Urban Areas Contribute To Household Food Security in Southeast Nigeria Assessing How Food Production in Urban Areas Contribute To Household Food Security in Southeast Nigeria","type":"article-journal"},"uris":["http://www.mendeley.com/documents/?uuid=9033b718-e667-45c7-82d1-cbd25ba88927"]},{"id":"ITEM-4","itemData":{"DOI":"10.1177/0956247817738201","ISSN":"17460301","abstract":"This article explores the way land tenure, water flows, and water quality are legally, politically and socially framed in a site in Ouagadougou. It shows that urban agriculture is an important source of revenue for various individuals and groups, and a socio-political arena for state representatives, experts and farmers. The main stakes in these power relationships are the regulation, control and use of natural resources (especially water and land), but also residents’ nutrition and health interests. Public authorities produce and monitor the enforcement of legal standards of water use and hygiene, while farmers struggle individually and collectively to ensure efficient use of land and multiple water sources, sometimes challenging official norms. These competing interests lead sometimes to conflicts – over the use of the resources or the legitimacy of rules that regulate urban farming processes – that are negotiated through institutional or informal bargaining. Urban farming is thus a marker of socio-political and economic dynamics in Ouagadougou.","author":[{"dropping-particle":"","family":"Korbéogo","given":"G.","non-dropping-particle":"","parse-names":false,"suffix":""}],"container-title":"Environment and Urbanization","id":"ITEM-4","issue":"1","issued":{"date-parts":[["2018"]]},"page":"283-300","title":"Ordering urban agriculture: farmers, experts, the state and the collective management of resources in Ouagadougou, Burkina Faso","type":"article-journal","volume":"30"},"uris":["http://www.mendeley.com/documents/?uuid=5b7d40aa-4cd2-4690-99df-203261463258"]},{"id":"ITEM-5","itemData":{"DOI":"10.3390/challe10010006","abstract":"Renewed interest in the nexus between sustainability and food security has led to growing discussions on the use of food sovereignty principles in agricultural practice. As a result of the transfiguration of the urban and socioeconomic landscape in the global South, urban and peri-urban agriculture has been touted as a potential response to increasing food insecurity in cities. Yet, both urban and peri-urban agriculture and food sovereignty have attracted cursory scholarship and programming in Zimbabwe due to fixation on more dominant rural and conventional agriculture. Beyond the rudimentary idea that the urban landscape is unfit for food production, literature has demonstrated that urban households have ingrained urban and peri-urban agriculture into their livelihoods. Regardless, institutional arrangements governing the practice remain ambivalent towards the practice, bringing to question the ability of households to fully exploit the benefits of the practice. This review underscores that failure to involve of all stakeholders undermines urban and peri-urban agriculture, consequently leading to heightened food insecurity and use of unsustainable practices. By delving into the political economy of food, we hope to stimulate discussion centered on food sovereignty within and urban spaces and beyond.","author":[{"dropping-particle":"","family":"Chihambakwe","given":"M.","non-dropping-particle":"","parse-names":false,"suffix":""},{"dropping-particle":"","family":"Mafongoya","given":"P.","non-dropping-particle":"","parse-names":false,"suffix":""},{"dropping-particle":"","family":"Jiri","given":"O.","non-dropping-particle":"","parse-names":false,"suffix":""}],"container-title":"Challenges","id":"ITEM-5","issue":"1","issued":{"date-parts":[["2018"]]},"page":"6","title":"Urban and Peri-Urban Agriculture as A Pathway to Food Security: A Review Mapping the Use of Food Sovereignty","type":"article-journal","volume":"10"},"uris":["http://www.mendeley.com/documents/?uuid=d7745eec-d15d-43a8-8fc4-67941ea921c1"]},{"id":"ITEM-6","itemData":{"DOI":"10.4324/9781315191195","ISBN":"9781315191195","author":[{"dropping-particle":"","family":"Battersby","given":"J.","non-dropping-particle":"","parse-names":false,"suffix":""},{"dropping-particle":"","family":"Haysom","given":"G.","non-dropping-particle":"","parse-names":false,"suffix":""}],"container-title":"Urban Food Systems Governance and Poverty in African Cities - (Open Access)","edition":"Second edi","editor":[{"dropping-particle":"","family":"Watson","given":"Jane Battersby and Vanessa","non-dropping-particle":"","parse-names":false,"suffix":""}],"id":"ITEM-6","issued":{"date-parts":[["2019"]]},"number-of-pages":"56-67","publisher":"Routledge","publisher-place":"New York","title":"Linking urban food security, urban food systems, poverty, and urbanisation","type":"book"},"uris":["http://www.mendeley.com/documents/?uuid=f1b3ed33-01a1-42e1-b630-681685a024d1"]},{"id":"ITEM-7","itemData":{"DOI":"10.1186/s40100-020-00155-3","ISSN":"21937532","abstract":"The debate about the contribution of urban agriculture to urban household food security has not considered the possible differential effects by geography of production activities, focusing either on urban household’s participation in agriculture irrespective of where the activity takes place, or restricting participation to production within urban and peri-urban areas, or more narrowly, production within build-up urban spaces. Using a sample of 2004 households in a small and a medium-sized city in Ghana, this article contributes by disentangling urban household’s participation in agriculture by geography of production activities and the implications for the food security of urban households. We find no evidence from our sample that participation in agriculture in general matters for the food security of urban households. However, urbanites who produced food in both urban and rural areas had better food security in the medium-sized city.","author":[{"dropping-particle":"","family":"Ayerakwa","given":"H. M.","non-dropping-particle":"","parse-names":false,"suffix":""},{"dropping-particle":"","family":"Dzanku","given":"F. M.","non-dropping-particle":"","parse-names":false,"suffix":""},{"dropping-particle":"","family":"Sarpong","given":"D. B.","non-dropping-particle":"","parse-names":false,"suffix":""}],"container-title":"Agricultural and Food Economics","id":"ITEM-7","issue":"1","issued":{"date-parts":[["2020"]]},"publisher":"Agricultural and Food Economics","title":"The geography of agriculture participation and food security in a small and a medium-sized city in Ghana","type":"article-journal","volume":"8"},"uris":["http://www.mendeley.com/documents/?uuid=1bd56ab1-552d-4297-a7dc-ba948d485f7d"]},{"id":"ITEM-8","itemData":{"author":[{"dropping-particle":"","family":"Osman","given":"A.","non-dropping-particle":"","parse-names":false,"suffix":""},{"dropping-particle":"","family":"Karikari","given":"P.K.","non-dropping-particle":"","parse-names":false,"suffix":""},{"dropping-particle":"","family":"Osafo","given":"E.L.K.","non-dropping-particle":"","parse-names":false,"suffix":""},{"dropping-particle":"","family":"Attoh-Kotoku","given":"V.","non-dropping-particle":"","parse-names":false,"suffix":""}],"container-title":"Journal of Animal Science and Biotechnology","id":"ITEM-8","issue":"January","issued":{"date-parts":[["2018"]]},"page":"98–110","title":"Smallholder Urban Cattle Production : Prospects and Challenges in the Kumasi Metropolis and Asokore Mampong Municipality of the Ashanti Region of Ghana","type":"article-journal","volume":"9"},"uris":["http://www.mendeley.com/documents/?uuid=c62525d4-fc6e-4e78-ac3a-74831cd2b6f9"]}],"mendeley":{"formattedCitation":"(Alimba et al., 2020; Ayerakwa et al., 2020b; Battersby &amp; Haysom, 2019; Chihambakwe et al., 2018; Ezeomedo &amp; Egware, 2018; Korbéogo, 2018; Osman et al., 2018; Taguchi &amp; Santini, 2019)","manualFormatting":"(Ezeomedo &amp; Egware, 2018; Korbéogo, 2018)","plainTextFormattedCitation":"(Alimba et al., 2020; Ayerakwa et al., 2020b; Battersby &amp; Haysom, 2019; Chihambakwe et al., 2018; Ezeomedo &amp; Egware, 2018; Korbéogo, 2018; Osman et al., 2018; Taguchi &amp; Santini, 2019)","previouslyFormattedCitation":"(Alimba et al., 2020; Ayerakwa et al., 2020b; Battersby &amp; Haysom, 2019; Chihambakwe et al., 2018; Ezeomedo &amp; Egware, 2018; Korbéogo, 2018; Osman et al., 2018; Taguchi &amp; Santini,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(Ezeomedo &amp; Egware, 2018; Korbéogo, 2018)</w:t>
      </w:r>
      <w:r w:rsidRPr="00895D0B">
        <w:rPr>
          <w:rFonts w:cs="Times New Roman"/>
          <w:color w:val="000000" w:themeColor="text1"/>
          <w:szCs w:val="24"/>
        </w:rPr>
        <w:fldChar w:fldCharType="end"/>
      </w:r>
      <w:r w:rsidRPr="00895D0B">
        <w:rPr>
          <w:rFonts w:cs="Times New Roman"/>
          <w:color w:val="000000" w:themeColor="text1"/>
          <w:szCs w:val="24"/>
        </w:rPr>
        <w:t xml:space="preserve">. School gardens and other community projects can promote knowledge in areas like cuisine, nutrition, science, the environment, business management, and cultural awareness in addition to food production. Access to and availability of food from urban food prosecution increases the health status of urban dwellers (Battersby &amp; Haysom, 2019). Urban agriculture can help fight obesity, diabetes, and poor nutrition which are common in many urban areas by enhancing the availability of wholesome, fresh food. By boosting their intake of fruits and vegetables, residents' diets are improved by taking part in community and school gardens (Ayerakwa et al., 2020). In addition to enhancing social inclusion, health outcomes, well-being, and food security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{"citationItems":[{"id":"ITEM-1","itemData":{"DOI":"10.1016/j.scitotenv.2019.135930","ISSN":"18791026","PMID":"31837547","abstract":"The process of urbanization has detached a large proportion of the global population from involvement with food production. However, there has been a resurgence in interest in urban agriculture and there is widespread recognition by policy-makers of its potential contribution to food security. Despite this, there is little data on urban agricultural production by non-commercial small-scale growers. We combine citizen science data for self-provisioning crop yields with field-mapping and GIS-based analysis of allotments in Leicester, UK, to provide an estimate of allotment fruit and vegetable production at a city-scale. In addition, we examine city-scale changes in allotment land provision on potential crop production over the past century. The average area of individual allotment plots used to grow crops was 52%. Per unit area yields for the majority of crops grown in allotments were similar to those of UK commercial horticulture. We estimate city-wide allotment production of &gt;1200 t of fruit and vegetables and 200 t of potatoes per annum, equivalent to feeding &gt;8500 people. If the 13% of plots that are completely uncultivated were used this could increase production to &gt;1400 t per annum, feeding ~10,000 people, however this production may not be located in areas where there is greatest need for increased access to fresh fruits and vegetables. The citywide contribution of allotment cultivation peaked in the 1950s when 475 ha of land was allotments, compared to 97 ha currently. This suggests a decline from &gt;45,000 to &lt;10,000 of people fed per annum. We demonstrate that urban allotments make a small but important contribution to the fruit and vegetable diet of a UK city. However, further urban population expansion will exert increasing development pressure on allotment land. Policy-makers should both protect allotments within cities, and embed urban agricultural land within future developments to improve local food security.","author":[{"dropping-particle":"","family":"Edmondson","given":"J L.","non-dropping-particle":"","parse-names":false,"suffix":""},{"dropping-particle":"","family":"Childs","given":"D. Z.","non-dropping-particle":"","parse-names":false,"suffix":""},{"dropping-particle":"","family":"Dobson","given":"M. C.","non-dropping-particle":"","parse-names":false,"suffix":""},{"dropping-particle":"","family":"Gaston","given":"K. J.","non-dropping-particle":"","parse-names":false,"suffix":""},{"dropping-particle":"","family":"Warren","given":"P. H.","non-dropping-particle":"","parse-names":false,"suffix":""},{"dropping-particle":"","family":"Leake","given":"J. R.","non-dropping-particle":"","parse-names":false,"suffix":""}],"container-title":"Science of the Total Environment","id":"ITEM-1","issued":{"date-parts":[["2020"]]},"page":"135930","publisher":"The Authors","title":"Feeding a city – Leicester as a case study of the importance of allotments for horticultural production in the UK","type":"article-journal","volume":"705"},"uris":["http://www.mendeley.com/documents/?uuid=84811ff8-4749-4166-88ec-39b796b0d842"]}],"mendeley":{"formattedCitation":"(Edmondson et al., 2020)","plainTextFormattedCitation":"(Edmondson et al., 2020)","previouslyFormattedCitation":"(Edmondson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(Edmondson et al., 2020)</w:t>
      </w:r>
      <w:r w:rsidRPr="00895D0B">
        <w:rPr>
          <w:rFonts w:cs="Times New Roman"/>
          <w:color w:val="000000" w:themeColor="text1"/>
          <w:szCs w:val="24"/>
        </w:rPr>
        <w:fldChar w:fldCharType="end"/>
      </w:r>
      <w:r w:rsidRPr="00895D0B">
        <w:rPr>
          <w:rFonts w:cs="Times New Roman"/>
          <w:color w:val="000000" w:themeColor="text1"/>
          <w:szCs w:val="24"/>
        </w:rPr>
        <w:t xml:space="preserve">, urban agriculture is anticipated to contribute to the Sustainable Development Goals.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{"citationItems":[{"id":"ITEM-1","itemData":{"DOI":"10.1007/s00003-020-01293-y","ISBN":"0000302001293","ISSN":"16615751","author":[{"dropping-particle":"","family":"Orsini","given":"F.","non-dropping-particle":"","parse-names":false,"suffix":""}],"container-title":"Journal fur Verbraucherschutz und Lebensmittelsicherheit","id":"ITEM-1","issue":"3","issued":{"date-parts":[["2020"]]},"page":"203-204","publisher":"Springer International Publishing","title":"Innovation and sustainability in urban agriculture: the path forward","type":"article-journal","volume":"15"},"uris":["http://www.mendeley.com/documents/?uuid=122aefe0-8fbf-4942-9cf8-760e56e6cd6d"]}],"mendeley":{"formattedCitation":"(Orsini, 2020)","manualFormatting":"Orsini (2020)","plainTextFormattedCitation":"(Orsini, 2020)","previouslyFormattedCitation":"(Orsini,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Orsini (2020)</w:t>
      </w:r>
      <w:r w:rsidRPr="00895D0B">
        <w:rPr>
          <w:rFonts w:cs="Times New Roman"/>
          <w:color w:val="000000" w:themeColor="text1"/>
          <w:szCs w:val="24"/>
        </w:rPr>
        <w:fldChar w:fldCharType="end"/>
      </w:r>
      <w:r w:rsidRPr="00895D0B">
        <w:rPr>
          <w:rFonts w:cs="Times New Roman"/>
          <w:color w:val="000000" w:themeColor="text1"/>
          <w:szCs w:val="24"/>
        </w:rPr>
        <w:t xml:space="preserve"> further states that urban agriculture is viewed as a crucial tool for urban renewal and for fostering social innovation in cities. </w:t>
      </w:r>
    </w:p>
    <w:p w14:paraId="2E5DFAB0" w14:textId="77777777" w:rsidR="001B4ED5" w:rsidRPr="00895D0B" w:rsidRDefault="001B4ED5" w:rsidP="000778C3">
      <w:pPr>
        <w:pStyle w:val="NoSpacing"/>
      </w:pPr>
    </w:p>
    <w:p w14:paraId="66670CC0" w14:textId="77777777" w:rsidR="001B4ED5" w:rsidRPr="00895D0B" w:rsidRDefault="006B41C0">
      <w:pPr>
        <w:pStyle w:val="NormalWeb"/>
        <w:spacing w:before="0" w:beforeAutospacing="0" w:after="0" w:afterAutospacing="0" w:line="360" w:lineRule="auto"/>
        <w:jc w:val="both"/>
        <w:rPr>
          <w:color w:val="000000" w:themeColor="text1"/>
        </w:rPr>
      </w:pPr>
      <w:r w:rsidRPr="00895D0B">
        <w:rPr>
          <w:color w:val="000000" w:themeColor="text1"/>
        </w:rPr>
        <w:fldChar w:fldCharType="begin" w:fldLock="1"/>
      </w:r>
      <w:r w:rsidRPr="00895D0B">
        <w:rPr>
          <w:color w:val="000000" w:themeColor="text1"/>
        </w:rPr>
        <w:instrText>ADDIN CSL_CITATION {"citationItems":[{"id":"ITEM-1","itemData":{"DOI":"10.1016/j.foodpol.2020.101999","ISSN":"03069192","abstract":"Trends in urbanization and urban food insecurity in sub-Saharan Africa (SSA) have stimulated critical debates around the potential benefits of urban agriculture (UA) to urban livelihoods. Some scholars suggest that UA can contribute to the food quantity, food quality and income needs of urban households. However, much of the evidence cited comes from single case studies, with particular attention paid to large cities and high-income countries. There is a resulting gap in understanding regarding what role UA plays in the food security of households in smaller African cities and towns. These smaller urban areas are likely to house a large fraction of SSA's urban population in future and are important sites for early intervention by policymakers. Our analysis is based on survey data collected from 2,687 low- and low-middle income households in 18 urban areas with populations of less than 200,000 across Zambia and Kenya. We perform statistical analyses to investigate the association between UA and household food security and assess which types of households are engaged in UA. We found that 33% of households in our sample are engaged in UA and there was limited statistical significance in terms of the relationship between UA and household food security. Our results reveal three key barriers to UA, namely settlement formality, property rights, and distance from food retailers. These barriers imply the need for urban planners and policymakers to revisit how decisions are made about issues such as residential development, land tenure, transport infrastructure, and the use of space in cities, as these affect the ability of households to produce, sell, and access food. Policy and planning mechanisms should further recognize the embeddedness of UA within African urban food systems, in which traditional markets, informal trading, and modern food retail also play an integral role.","author":[{"dropping-particle":"","family":"Davies","given":"J.","non-dropping-particle":"","parse-names":false,"suffix":""},{"dropping-particle":"","family":"Hannah","given":"C.","non-dropping-particle":"","parse-names":false,"suffix":""},{"dropping-particle":"","family":"Guido","given":"Z.","non-dropping-particle":"","parse-names":false,"suffix":""},{"dropping-particle":"","family":"Zimmer","given":"A.","non-dropping-particle":"","parse-names":false,"suffix":""},{"dropping-particle":"","family":"McCann","given":"L.","non-dropping-particle":"","parse-names":false,"suffix":""},{"dropping-particle":"","family":"Battersby","given":"J.","non-dropping-particle":"","parse-names":false,"suffix":""},{"dropping-particle":"","family":"Evans","given":"T.","non-dropping-particle":"","parse-names":false,"suffix":""}],"container-title":"Food Policy","id":"ITEM-1","issue":"November","issued":{"date-parts":[["2021"]]},"page":"101999","publisher":"Elsevier Ltd","title":"Barriers to urban agriculture in Sub-Saharan Africa","type":"article-journal","volume":"103"},"uris":["http://www.mendeley.com/documents/?uuid=9972bc12-6c74-4290-89d3-9a6e106e1a81"]}],"mendeley":{"formattedCitation":"(Davies et al., 2021)","manualFormatting":"Davies et al. (2021)","plainTextFormattedCitation":"(Davies et al., 2021)","previouslyFormattedCitation":"(Davies et al.,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Davies et al. (2021)</w:t>
      </w:r>
      <w:r w:rsidRPr="00895D0B">
        <w:rPr>
          <w:color w:val="000000" w:themeColor="text1"/>
        </w:rPr>
        <w:fldChar w:fldCharType="end"/>
      </w:r>
      <w:r w:rsidRPr="00895D0B">
        <w:rPr>
          <w:color w:val="000000" w:themeColor="text1"/>
        </w:rPr>
        <w:t xml:space="preserve"> look into how urban agriculture enhances household food security in African cities and towns. This study demonstrates that urban agriculture has a limited impact on food security, in part due to the difficulties households face while attempting to engage in urban agricultural activities. These barriers typically relate to property rights, settlement procedures, and the location of a home in grocery stores (Osman et al., 2018). In addition to urban agricultural policies (or their lack thereof), the study demonstrates how urban planning and regulations affecting residential growth, land tenure, transit infrastructure, and retail placement, as well as urban agricultural policies (or their absence), can affect how readily individuals can produce, sell, and receive food (Taguchi &amp; Santini, 2019). Urban agriculture can be very helpful in guaranteeing food </w:t>
      </w:r>
      <w:r w:rsidRPr="00895D0B">
        <w:rPr>
          <w:color w:val="000000" w:themeColor="text1"/>
        </w:rPr>
        <w:lastRenderedPageBreak/>
        <w:t xml:space="preserve">security; therefore, it is vital to calculate yields and production potentials per unit of space. One of the key factors influencing food security is the stability of food prices. For instance, research </w:t>
      </w:r>
      <w:r w:rsidRPr="00895D0B">
        <w:rPr>
          <w:color w:val="000000" w:themeColor="text1"/>
        </w:rPr>
        <w:fldChar w:fldCharType="begin" w:fldLock="1"/>
      </w:r>
      <w:r w:rsidRPr="00895D0B">
        <w:rPr>
          <w:color w:val="000000" w:themeColor="text1"/>
        </w:rPr>
        <w:instrText>ADDIN CSL_CITATION {"citationItems":[{"id":"ITEM-1","itemData":{"DOI":"10.1007/s12571-020-01058-3","ISBN":"1257102001","ISSN":"18764525","abstract":"Despite a 2.3% increase in world cereal production in 2019 over 2018, the number of people facing severe food insecurity may double from 135 million in January 2020 to 265 million by the end of 2020. The problem of food and nutritional insecurity is severe in urban centers, where the global population is projected to increase (%/year) by 1.84, 1.63, and 1.44 between 2015 to 2020, 2020 to 2025, and 2025 to 2030, and it will increase overall from 54% in 2016 to 60% by 2030. The number of megacities (&gt;10 million people) will increase from 34 in 2015 to 41 by 2030. The COVID-19 pandemic has aggravated food insecurity in urban centers because of the disruption in the food supply chain, aggravation of the physical and economic barriers that restrict access to food, and the catastrophic increase in food waste because of labor shortages. Thus, there is a need to adopt more resilient food systems, reduce food waste, and strengthen local food production. Enhancing availability at the household and community levels through home gardening and urban agriculture is an important strategy. Food production within the cities include small land farming in households, local community gardens, indoor and rooftop gardens, vertical farming, etc. Home gardening can play an important role in advancing food and nutritional security during and after the COVD-19 pandemic, while also strengthening the provisioning of numerous ecosystem services (i.e., plant biodiversity, microclimate, water runoff, water quality, human health). However, risks of soil contamination by heavy metals must be addressed.","author":[{"dropping-particle":"","family":"Lal","given":"R.","non-dropping-particle":"","parse-names":false,"suffix":""}],"container-title":"Food Security","id":"ITEM-1","issue":"4","issued":{"date-parts":[["2020"]]},"page":"871-876","publisher":"Food Security","title":"Home gardening and urban agriculture for advancing food and nutritional security in response to the COVID-19 pandemic","type":"article-journal","volume":"12"},"uris":["http://www.mendeley.com/documents/?uuid=721559c0-29b3-443f-bb8a-30e9c662b0f6"]}],"mendeley":{"formattedCitation":"(Lal, 2020)","plainTextFormattedCitation":"(Lal, 2020)","previouslyFormattedCitation":"(Lal, 2020)"},"properties":{"noteIndex":0},"schema":"https://github.com/citation-style-language/schema/raw/master/csl-citation.json"}</w:instrText>
      </w:r>
      <w:r w:rsidRPr="00895D0B">
        <w:rPr>
          <w:color w:val="000000" w:themeColor="text1"/>
        </w:rPr>
        <w:fldChar w:fldCharType="separate"/>
      </w:r>
      <w:r w:rsidRPr="00895D0B">
        <w:rPr>
          <w:noProof/>
          <w:color w:val="000000" w:themeColor="text1"/>
        </w:rPr>
        <w:t>(Lal, 2020)</w:t>
      </w:r>
      <w:r w:rsidRPr="00895D0B">
        <w:rPr>
          <w:color w:val="000000" w:themeColor="text1"/>
        </w:rPr>
        <w:fldChar w:fldCharType="end"/>
      </w:r>
      <w:r w:rsidRPr="00895D0B">
        <w:rPr>
          <w:color w:val="000000" w:themeColor="text1"/>
        </w:rPr>
        <w:t xml:space="preserve"> demonstrates that nations with the most erratic food production also have higher rates of worldwide food insecurity. A framework for evaluating food security has been created by the FAO's Committee on World Food Security Round Table on Hunger Measurement that takes into account the various aspects of food insecurity, such as availability, access, stability, and utilization </w:t>
      </w:r>
      <w:r w:rsidRPr="00895D0B">
        <w:rPr>
          <w:color w:val="000000" w:themeColor="text1"/>
        </w:rPr>
        <w:fldChar w:fldCharType="begin" w:fldLock="1"/>
      </w:r>
      <w:r w:rsidRPr="00895D0B">
        <w:rPr>
          <w:color w:val="000000" w:themeColor="text1"/>
        </w:rPr>
        <w:instrText>ADDIN CSL_CITATION {"citationItems":[{"id":"ITEM-1","itemData":{"author":[{"dropping-particle":"","family":"FAO","given":"","non-dropping-particle":"","parse-names":false,"suffix":""}],"id":"ITEM-1","issued":{"date-parts":[["2020"]]},"publisher-place":"Rome","title":"Cities and Local Government at the Forefront in Building Inclusive and Resilient Food Systems","type":"report"},"uris":["http://www.mendeley.com/documents/?uuid=5fbbe77e-bde9-4595-97e7-b2380769f930"]}],"mendeley":{"formattedCitation":"(FAO, 2020)","plainTextFormattedCitation":"(FAO, 2020)","previouslyFormattedCitation":"(FAO, 2020)"},"properties":{"noteIndex":0},"schema":"https://github.com/citation-style-language/schema/raw/master/csl-citation.json"}</w:instrText>
      </w:r>
      <w:r w:rsidRPr="00895D0B">
        <w:rPr>
          <w:color w:val="000000" w:themeColor="text1"/>
        </w:rPr>
        <w:fldChar w:fldCharType="separate"/>
      </w:r>
      <w:r w:rsidRPr="00895D0B">
        <w:rPr>
          <w:noProof/>
          <w:color w:val="000000" w:themeColor="text1"/>
        </w:rPr>
        <w:t>(FAO, 2020)</w:t>
      </w:r>
      <w:r w:rsidRPr="00895D0B">
        <w:rPr>
          <w:color w:val="000000" w:themeColor="text1"/>
        </w:rPr>
        <w:fldChar w:fldCharType="end"/>
      </w:r>
      <w:r w:rsidRPr="00895D0B">
        <w:rPr>
          <w:color w:val="000000" w:themeColor="text1"/>
        </w:rPr>
        <w:t xml:space="preserve">. Since it was first established as a part of the framework for the Millennium Development Goals (MDG indicator 1.9), the FAO approach has undergone constant changes. Urban agriculture is important for guaranteeing local food security in both the Global South and the Global North, according to numerous studies </w:t>
      </w:r>
      <w:r w:rsidRPr="00895D0B">
        <w:rPr>
          <w:color w:val="000000" w:themeColor="text1"/>
        </w:rPr>
        <w:fldChar w:fldCharType="begin" w:fldLock="1"/>
      </w:r>
      <w:r w:rsidRPr="00895D0B">
        <w:rPr>
          <w:color w:val="000000" w:themeColor="text1"/>
        </w:rPr>
        <w:instrText>ADDIN CSL_CITATION {"citationItems":[{"id":"ITEM-1","itemData":{"DOI":"10.1016/j.ecolecon.2017.02.010","ISSN":"09218009","abstract":"Consumers prefer locally grown food products. One source that provides local food is urban agriculture, the farming in and around cities. A number of urban farmers are selling their products directly to consumers. In addition, consumers have the option to grow their own food on certain urban farms. Given this, we investigate how likely consumers are to purchase or grow their own food at urban farms and what determines this likelihood. Given that millennials are a key stakeholder of sustainable consumption and those with the greatest increase in numbers of food gardeners, we conducted an online survey with over 300 Generation Y respondents. We investigate whether young consumers perceive the health impacts and environmental benefits provided by urban agriculture, and what attitudes they hold towards this source of produce. Empirical results show that both psychological and personal factors affect consumer intentions to participate in urban agriculture. Among others, subjective knowledge regarding urban agriculture and a generally favorable attitude towards urban farms increases the likelihood to buy and grow produce at urban farms. Female and older consumers are more likely to grow their own produce. These findings can be used by stakeholders in urban agriculture to design target-oriented marketing activities.","author":[{"dropping-particle":"","family":"Grebitus","given":"C.","non-dropping-particle":"","parse-names":false,"suffix":""},{"dropping-particle":"","family":"Printezis","given":"I.","non-dropping-particle":"","parse-names":false,"suffix":""},{"dropping-particle":"","family":"Printezis","given":"A.","non-dropping-particle":"","parse-names":false,"suffix":""}],"container-title":"Ecological Economics","id":"ITEM-1","issued":{"date-parts":[["2017"]]},"page":"189-200","publisher":"Elsevier B.V.","title":"Relationship between Consumer Behavior and Success of Urban Agriculture","type":"article-journal","volume":"136"},"uris":["http://www.mendeley.com/documents/?uuid=2d4c004b-adb5-4fe8-bd34-7e2a89150f85"]}],"mendeley":{"formattedCitation":"(Grebitus et al., 2017)","plainTextFormattedCitation":"(Grebitus et al., 2017)","previouslyFormattedCitation":"(Grebitus et al., 2017)"},"properties":{"noteIndex":0},"schema":"https://github.com/citation-style-language/schema/raw/master/csl-citation.json"}</w:instrText>
      </w:r>
      <w:r w:rsidRPr="00895D0B">
        <w:rPr>
          <w:color w:val="000000" w:themeColor="text1"/>
        </w:rPr>
        <w:fldChar w:fldCharType="separate"/>
      </w:r>
      <w:r w:rsidRPr="00895D0B">
        <w:rPr>
          <w:noProof/>
          <w:color w:val="000000" w:themeColor="text1"/>
        </w:rPr>
        <w:t>(Grebitus et al., 2017)</w:t>
      </w:r>
      <w:r w:rsidRPr="00895D0B">
        <w:rPr>
          <w:color w:val="000000" w:themeColor="text1"/>
        </w:rPr>
        <w:fldChar w:fldCharType="end"/>
      </w:r>
      <w:r w:rsidRPr="00895D0B">
        <w:rPr>
          <w:color w:val="000000" w:themeColor="text1"/>
        </w:rPr>
        <w:t xml:space="preserve">. Urban agriculture has been used as a macro-level food security approach, but its efficacy has been questioned </w:t>
      </w:r>
      <w:r w:rsidRPr="00895D0B">
        <w:rPr>
          <w:color w:val="000000" w:themeColor="text1"/>
        </w:rPr>
        <w:fldChar w:fldCharType="begin" w:fldLock="1"/>
      </w:r>
      <w:r w:rsidRPr="00895D0B">
        <w:rPr>
          <w:color w:val="000000" w:themeColor="text1"/>
        </w:rPr>
        <w:instrText>ADDIN CSL_CITATION {"citationItems":[{"id":"ITEM-1","itemData":{"DOI":"10.3390/su11041082","author":[{"dropping-particle":"","family":"Khumalo","given":"N. Z.","non-dropping-particle":"","parse-names":false,"suffix":""},{"dropping-particle":"","family":"Sibanda","given":"M.","non-dropping-particle":"","parse-names":false,"suffix":""}],"id":"ITEM-1","issued":{"date-parts":[["2019"]]},"title":"Does Urban and Peri-Urban Agriculture Contribute to Household Food Security ? An Assessment of the Food Security Status of Households in Tongaat , eThekwini Municipality","type":"article-journal"},"uris":["http://www.mendeley.com/documents/?uuid=c444382f-b098-4292-a078-1bad8d63306c"]}],"mendeley":{"formattedCitation":"(Khumalo &amp; Sibanda, 2019)","plainTextFormattedCitation":"(Khumalo &amp; Sibanda, 2019)","previouslyFormattedCitation":"(Khumalo &amp; Sibanda, 2019)"},"properties":{"noteIndex":0},"schema":"https://github.com/citation-style-language/schema/raw/master/csl-citation.json"}</w:instrText>
      </w:r>
      <w:r w:rsidRPr="00895D0B">
        <w:rPr>
          <w:color w:val="000000" w:themeColor="text1"/>
        </w:rPr>
        <w:fldChar w:fldCharType="separate"/>
      </w:r>
      <w:r w:rsidRPr="00895D0B">
        <w:rPr>
          <w:noProof/>
          <w:color w:val="000000" w:themeColor="text1"/>
        </w:rPr>
        <w:t>(Khumalo &amp; Sibanda, 2019)</w:t>
      </w:r>
      <w:r w:rsidRPr="00895D0B">
        <w:rPr>
          <w:color w:val="000000" w:themeColor="text1"/>
        </w:rPr>
        <w:fldChar w:fldCharType="end"/>
      </w:r>
      <w:r w:rsidRPr="00895D0B">
        <w:rPr>
          <w:color w:val="000000" w:themeColor="text1"/>
        </w:rPr>
        <w:t xml:space="preserve">. Urban agriculture has the potential to improve food security by increasing access to fresh, locally produced food in urban areas. Urban agriculture can also promote food sovereignty and community resilience by empowering individuals and communities to have control over their food production </w:t>
      </w:r>
      <w:r w:rsidRPr="00895D0B">
        <w:rPr>
          <w:color w:val="000000" w:themeColor="text1"/>
        </w:rPr>
        <w:fldChar w:fldCharType="begin" w:fldLock="1"/>
      </w:r>
      <w:r w:rsidRPr="00895D0B">
        <w:rPr>
          <w:color w:val="000000" w:themeColor="text1"/>
        </w:rPr>
        <w:instrText>ADDIN CSL_CITATION {"citationItems":[{"id":"ITEM-1","itemData":{"DOI":"10.3390/su10092988","author":[{"dropping-particle":"","family":"Siegner","given":"A.","non-dropping-particle":"","parse-names":false,"suffix":""}],"id":"ITEM-1","issued":{"date-parts":[["2018"]]},"page":"8-12","title":"Does Urban Agriculture Improve Food Security ? Examining the Nexus of Food Access and Distribution of Urban Produced Foods in the United States : A Systematic Review","type":"article-journal"},"uris":["http://www.mendeley.com/documents/?uuid=d2832f74-f2bd-4720-8f09-da77f4e2caa6"]}],"mendeley":{"formattedCitation":"(Siegner, 2018)","plainTextFormattedCitation":"(Siegner, 2018)","previouslyFormattedCitation":"(Siegner, 2018)"},"properties":{"noteIndex":0},"schema":"https://github.com/citation-style-language/schema/raw/master/csl-citation.json"}</w:instrText>
      </w:r>
      <w:r w:rsidRPr="00895D0B">
        <w:rPr>
          <w:color w:val="000000" w:themeColor="text1"/>
        </w:rPr>
        <w:fldChar w:fldCharType="separate"/>
      </w:r>
      <w:r w:rsidRPr="00895D0B">
        <w:rPr>
          <w:noProof/>
          <w:color w:val="000000" w:themeColor="text1"/>
        </w:rPr>
        <w:t>(Siegner, 2018)</w:t>
      </w:r>
      <w:r w:rsidRPr="00895D0B">
        <w:rPr>
          <w:color w:val="000000" w:themeColor="text1"/>
        </w:rPr>
        <w:fldChar w:fldCharType="end"/>
      </w:r>
      <w:r w:rsidRPr="00895D0B">
        <w:rPr>
          <w:color w:val="000000" w:themeColor="text1"/>
        </w:rPr>
        <w:t xml:space="preserve">. Urban agriculture, particularly in low-income areas, can make a large financial difference to households to reduce poverty </w:t>
      </w:r>
      <w:r w:rsidRPr="00895D0B">
        <w:rPr>
          <w:color w:val="000000" w:themeColor="text1"/>
        </w:rPr>
        <w:fldChar w:fldCharType="begin" w:fldLock="1"/>
      </w:r>
      <w:r w:rsidRPr="00895D0B">
        <w:rPr>
          <w:color w:val="000000" w:themeColor="text1"/>
        </w:rPr>
        <w:instrText>ADDIN CSL_CITATION {"citationItems":[{"id":"ITEM-1","itemData":{"DOI":"10.1590/1809-4422ASOC0277R3VU19L4AO","ISSN":"1414753X","abstract":"Urban Agriculture (UA) has emerged as an alternative capable of fostering sustainable relations among the economic, social and environmental spheres in cities. It consists of growing and processing traditionally rural food products in urban zones in consonance with the environmental considerations to promote sustainability. This study set out to analyze the interactions of agricultural activities and the urban ecosystem. A review of the literature and a case study of an Urban Agriculture program developed in the metropolitan area of the city of Rio de Janeiro showed that Urban Agriculture provides considerable ecosystem services, generates income, increases biodiversity conservation and fosters social inclusion, functioning as a mechanism for achieving equilibrium among the components of the urban ecosystem.","author":[{"dropping-particle":"","family":"Batitucci","given":"T. D. O.","non-dropping-particle":"","parse-names":false,"suffix":""},{"dropping-particle":"","family":"Cortines","given":"E.","non-dropping-particle":"","parse-names":false,"suffix":""},{"dropping-particle":"","family":"Almeida","given":"F. S.","non-dropping-particle":"","parse-names":false,"suffix":""},{"dropping-particle":"","family":"Almeida","given":"Â. A.","non-dropping-particle":"De","parse-names":false,"suffix":""}],"container-title":"Ambiente e Sociedade","id":"ITEM-1","issued":{"date-parts":[["2019"]]},"page":"0-3","title":"Agriculture in urban ecosystems: A step to cities sustainability","type":"article-journal","volume":"22"},"uris":["http://www.mendeley.com/documents/?uuid=e9629d93-28fd-4042-872e-f979ceae5fbf"]}],"mendeley":{"formattedCitation":"(Batitucci et al., 2019)","plainTextFormattedCitation":"(Batitucci et al., 2019)","previouslyFormattedCitation":"(Batitucci et al., 2019)"},"properties":{"noteIndex":0},"schema":"https://github.com/citation-style-language/schema/raw/master/csl-citation.json"}</w:instrText>
      </w:r>
      <w:r w:rsidRPr="00895D0B">
        <w:rPr>
          <w:color w:val="000000" w:themeColor="text1"/>
        </w:rPr>
        <w:fldChar w:fldCharType="separate"/>
      </w:r>
      <w:r w:rsidRPr="00895D0B">
        <w:rPr>
          <w:noProof/>
          <w:color w:val="000000" w:themeColor="text1"/>
        </w:rPr>
        <w:t>(Batitucci et al., 2019)</w:t>
      </w:r>
      <w:r w:rsidRPr="00895D0B">
        <w:rPr>
          <w:color w:val="000000" w:themeColor="text1"/>
        </w:rPr>
        <w:fldChar w:fldCharType="end"/>
      </w:r>
      <w:r w:rsidRPr="00895D0B">
        <w:rPr>
          <w:color w:val="000000" w:themeColor="text1"/>
        </w:rPr>
        <w:t xml:space="preserve">. </w:t>
      </w:r>
    </w:p>
    <w:p w14:paraId="1A61184A" w14:textId="77777777" w:rsidR="001B4ED5" w:rsidRPr="00895D0B" w:rsidRDefault="001B4ED5" w:rsidP="000778C3">
      <w:pPr>
        <w:pStyle w:val="NoSpacing"/>
      </w:pPr>
    </w:p>
    <w:p w14:paraId="19ED9000" w14:textId="33741B11" w:rsidR="001B4ED5" w:rsidRPr="00895D0B" w:rsidRDefault="006B41C0">
      <w:pPr>
        <w:pStyle w:val="Heading2"/>
      </w:pPr>
      <w:bookmarkStart w:id="37" w:name="_Toc167379873"/>
      <w:r w:rsidRPr="00895D0B">
        <w:t>2.</w:t>
      </w:r>
      <w:r w:rsidR="004E07C6" w:rsidRPr="00895D0B">
        <w:t>8</w:t>
      </w:r>
      <w:r w:rsidRPr="00895D0B">
        <w:t xml:space="preserve"> Urban Agriculture and Climate Change Adaptation Policies</w:t>
      </w:r>
      <w:bookmarkEnd w:id="37"/>
      <w:r w:rsidRPr="00895D0B">
        <w:t xml:space="preserve"> </w:t>
      </w:r>
    </w:p>
    <w:p w14:paraId="49B9FD8E" w14:textId="0304F25C"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In Ghana, urban agricultural practices include reliance on rainfall, wastewater, and streams for irrigation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{"citationItems":[{"id":"ITEM-1","itemData":{"ISBN":"978-92-9090-798-5","abstract":"… and land issues conditioning the potential for urban agriculture to contribute towards an environmentally sustainable and just urbanization process. Located on institutional land in …","author":[{"dropping-particle":"","family":"Allen","given":"A.","non-dropping-particle":"","parse-names":false,"suffix":""},{"dropping-particle":"","family":"Apsan Frediani","given":"A.","non-dropping-particle":"","parse-names":false,"suffix":""},{"dropping-particle":"","family":"Wood Hill","given":"M.","non-dropping-particle":"","parse-names":false,"suffix":""}],"container-title":"Irrigated urban vegetable production in Ghana: characteristics, benefits and risk mitigation","id":"ITEM-1","issued":{"date-parts":[["2014"]]},"page":"161-179","title":"Land and planning for urban agriculture in Accra: Sustained urban agriculture or sustainable urbanisation?","type":"article-journal"},"uris":["http://www.mendeley.com/documents/?uuid=c2542548-6530-4d12-b7ce-6475e50504cc"]}],"mendeley":{"formattedCitation":"(Allen et al., 2014)","plainTextFormattedCitation":"(Allen et al., 2014)","previouslyFormattedCitation":"(Allen et al., 2014)"},"properties":{"noteIndex":0},"schema":"https://github.com/citation-style-language/schema/raw/master/csl-citation.json"}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(Allen et al., 2014)</w:t>
      </w:r>
      <w:r w:rsidRPr="00895D0B">
        <w:rPr>
          <w:rFonts w:cs="Times New Roman"/>
          <w:color w:val="000000" w:themeColor="text1"/>
          <w:szCs w:val="24"/>
        </w:rPr>
        <w:fldChar w:fldCharType="end"/>
      </w:r>
      <w:r w:rsidRPr="00895D0B">
        <w:rPr>
          <w:rFonts w:cs="Times New Roman"/>
          <w:color w:val="000000" w:themeColor="text1"/>
          <w:szCs w:val="24"/>
        </w:rPr>
        <w:t xml:space="preserve">.  Urban agricultural contribution to global food demand cannot be overemphasised although there is little attention from policy formulators and implementers. This research takes urban agricultural policies to include how urban agriculture production policies are linked to climate change adaptations. Therefore, urban agricultural policies are formalized rules and regulations that are codified into a single document stating the intent for handling urban food production under climate change. It is argued that urban agriculture provides a remedy for vacant lands, increasing environmental sustainability while sustaining the livelihoods of city dwellers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{"citationItems":[{"id":"ITEM-1","itemData":{"DOI":"10.1080/01944363.2017.1322914","ISSN":"01944363","abstract":"Problem, research strategy, and findings: We draw on a multidisciplinary body of research to consider how planning for urban agriculture can foster food justice by benefitting socioeconomically disadvantaged residents. The potential social benefits of urban agriculture include increased access to food, positive health impacts, skill building, community development, and connections to broader social change efforts. The literature suggests, however, caution in automatically conflating urban agriculture’s social benefits with the goals of food justice. Urban agriculture may reinforce and deepen societal inequities by benefitting better resourced organizations and the propertied class and contributing to the displacement of lower-income households. The precariousness of land access for urban agriculture is another limitation, particularly for disadvantaged communities. Planners have recently begun to pay increased attention to urban agriculture but should more explicitly support the goals of food justice in their urban agriculture policies and programs. Takeaway for practice: We suggest several key strategies for planners to more explicitly orient their urban agriculture efforts to support food justice, including prioritizing urban agriculture in long-term planning efforts, developing mutually respectful relationships with food justice organizations and urban agriculture participants from diverse backgrounds, targeting city investments in urban agriculture to benefit historically disadvantaged communities, increasing the amount of land permanently available for urban agriculture, and confronting the threats of gentrification and displacement from urban agriculture. We demonstrate how the city of Seattle (WA) used an equity lens in all of its programs to shift its urban agriculture planning to more explicitly foster food justice, providing clear examples for other cities.","author":[{"dropping-particle":"","family":"Horst","given":"Megan","non-dropping-particle":"","parse-names":false,"suffix":""},{"dropping-particle":"","family":"Mcclintock","given":"Nathan","non-dropping-particle":"","parse-names":false,"suffix":""},{"dropping-particle":"","family":"Hoey","given":"Lesli","non-dropping-particle":"","parse-names":false,"suffix":""}],"container-title":"Journal of the American Planning Association","id":"ITEM-1","issue":"3","issued":{"date-parts":[["2017"]]},"page":"277-295","title":"The Intersection of Planning, Urban Agriculture, and Food Justice: A Review of the Literature","type":"article-journal","volume":"83"},"uris":["http://www.mendeley.com/documents/?uuid=3372671e-bbdc-4da1-b0ab-cfb219509e3a"]}],"mendeley":{"formattedCitation":"(Horst et al., 2017)","plainTextFormattedCitation":"(Horst et al., 2017)","previouslyFormattedCitation":"(Horst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(Horst et al., 2017)</w:t>
      </w:r>
      <w:r w:rsidRPr="00895D0B">
        <w:rPr>
          <w:rFonts w:cs="Times New Roman"/>
          <w:color w:val="000000" w:themeColor="text1"/>
          <w:szCs w:val="24"/>
        </w:rPr>
        <w:fldChar w:fldCharType="end"/>
      </w:r>
      <w:r w:rsidRPr="00895D0B">
        <w:rPr>
          <w:rFonts w:cs="Times New Roman"/>
          <w:color w:val="000000" w:themeColor="text1"/>
          <w:szCs w:val="24"/>
        </w:rPr>
        <w:t xml:space="preserve">. Apart from meeting households’ food needs, urban farming serves as a jobs avenue for people who engage in it, probably, strong agricultural policies to that effect stand to increase the benefits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{"citationItems":[{"id":"ITEM-1","itemData":{"DOI":"10.18552/9781846000751","abstract":"It brings together fifty-seven activists, practitioners, and researchers from different parts of the world who share their insights through a combination of critical analysis, stories, poems, photos and videos. It is written from the perspective of people involved in changing the food system using participatory practices","author":[{"dropping-particle":"","family":"Anderson","given":"C.","non-dropping-particle":"","parse-names":false,"suffix":""},{"dropping-particle":"","family":"Buchanan","given":"C.","non-dropping-particle":"","parse-names":false,"suffix":""},{"dropping-particle":"","family":"Chang","given":"M.","non-dropping-particle":"","parse-names":false,"suffix":""},{"dropping-particle":"","family":"Sanchez Rodriguez","given":"J.","non-dropping-particle":"","parse-names":false,"suffix":""},{"dropping-particle":"","family":"Wakeford","given":"T.","non-dropping-particle":"","parse-names":false,"suffix":""}],"container-title":"Everyday Experts: How people's knowledge can transform the food system","id":"ITEM-1","issued":{"date-parts":[["2017"]]},"title":"Everyday Experts: How people's knowledge can transform the food system","type":"article-journal"},"uris":["http://www.mendeley.com/documents/?uuid=e4ad7380-2346-4d86-81bc-62d8fc98b794"]}],"mendeley":{"formattedCitation":"(Anderson et al., 2017)","plainTextFormattedCitation":"(Anderson et al., 2017)","previouslyFormattedCitation":"(Anderson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(Anderson et al., 2017)</w:t>
      </w:r>
      <w:r w:rsidRPr="00895D0B">
        <w:rPr>
          <w:rFonts w:cs="Times New Roman"/>
          <w:color w:val="000000" w:themeColor="text1"/>
          <w:szCs w:val="24"/>
        </w:rPr>
        <w:fldChar w:fldCharType="end"/>
      </w:r>
      <w:r w:rsidRPr="00895D0B">
        <w:rPr>
          <w:rFonts w:cs="Times New Roman"/>
          <w:color w:val="000000" w:themeColor="text1"/>
          <w:szCs w:val="24"/>
        </w:rPr>
        <w:t xml:space="preserve">. Though, agricultural production in and around urban settings was common in the past, </w:t>
      </w:r>
      <w:r w:rsidRPr="00895D0B">
        <w:rPr>
          <w:rFonts w:cs="Times New Roman"/>
          <w:color w:val="000000" w:themeColor="text1"/>
          <w:szCs w:val="24"/>
        </w:rPr>
        <w:lastRenderedPageBreak/>
        <w:t xml:space="preserve">its formalization is a recent idea. </w:t>
      </w:r>
      <w:r w:rsidRPr="00895D0B">
        <w:rPr>
          <w:rFonts w:eastAsia="Times New Roman" w:cs="Times New Roman"/>
          <w:color w:val="000000" w:themeColor="text1"/>
          <w:szCs w:val="24"/>
        </w:rPr>
        <w:t xml:space="preserve">Aside from policies and regulations, urban agriculture is influenced by strong competition for urban space, urban markets, and prices of land </w:t>
      </w:r>
      <w:r w:rsidRPr="00895D0B">
        <w:rPr>
          <w:rFonts w:eastAsia="Times New Roman" w:cs="Times New Roman"/>
          <w:color w:val="000000" w:themeColor="text1"/>
          <w:szCs w:val="24"/>
        </w:rPr>
        <w:fldChar w:fldCharType="begin" w:fldLock="1"/>
      </w:r>
      <w:r w:rsidRPr="00895D0B">
        <w:rPr>
          <w:rFonts w:eastAsia="Times New Roman" w:cs="Times New Roman"/>
          <w:color w:val="000000" w:themeColor="text1"/>
          <w:szCs w:val="24"/>
        </w:rPr>
        <w:instrText>ADDIN CSL_CITATION {"citationItems":[{"id":"ITEM-1","itemData":{"DOI":"10.1080/20964129.2020.1791735","ISSN":"2096-4129","author":[{"dropping-particle":"","family":"Echendu","given":"Adaku Jane","non-dropping-particle":"","parse-names":false,"suffix":""}],"container-title":"Ecosystem Health and Sustainability","id":"ITEM-1","issue":"1","issued":{"date-parts":[["2020"]]},"publisher":"Taylor &amp; Francis","title":"The impact of flooding on Nigeria ’ s sustainable development goals ( SDGs )","type":"article-journal","volume":"6"},"uris":["http://www.mendeley.com/documents/?uuid=1c108fab-7885-43b5-a1c0-7d07c48e590c"]}],"mendeley":{"formattedCitation":"(Echendu, 2020)","plainTextFormattedCitation":"(Echendu, 2020)","previouslyFormattedCitation":"(Echendu, 2020)"},"properties":{"noteIndex":0},"schema":"https://github.com/citation-style-language/schema/raw/master/csl-citation.json"}</w:instrText>
      </w:r>
      <w:r w:rsidRPr="00895D0B">
        <w:rPr>
          <w:rFonts w:eastAsia="Times New Roman" w:cs="Times New Roman"/>
          <w:color w:val="000000" w:themeColor="text1"/>
          <w:szCs w:val="24"/>
        </w:rPr>
        <w:fldChar w:fldCharType="separate"/>
      </w:r>
      <w:r w:rsidRPr="00895D0B">
        <w:rPr>
          <w:rFonts w:eastAsia="Times New Roman" w:cs="Times New Roman"/>
          <w:noProof/>
          <w:color w:val="000000" w:themeColor="text1"/>
          <w:szCs w:val="24"/>
        </w:rPr>
        <w:t>(Echendu, 2020)</w:t>
      </w:r>
      <w:r w:rsidRPr="00895D0B">
        <w:rPr>
          <w:rFonts w:eastAsia="Times New Roman" w:cs="Times New Roman"/>
          <w:color w:val="000000" w:themeColor="text1"/>
          <w:szCs w:val="24"/>
        </w:rPr>
        <w:fldChar w:fldCharType="end"/>
      </w:r>
      <w:r w:rsidRPr="00895D0B">
        <w:rPr>
          <w:rFonts w:eastAsia="Times New Roman" w:cs="Times New Roman"/>
          <w:color w:val="000000" w:themeColor="text1"/>
          <w:szCs w:val="24"/>
        </w:rPr>
        <w:t xml:space="preserve">. Urban agriculture plays a significant role in urban resilience and food security including social inclusion. </w:t>
      </w:r>
      <w:r w:rsidRPr="00895D0B">
        <w:rPr>
          <w:rFonts w:cs="Times New Roman"/>
          <w:color w:val="000000" w:themeColor="text1"/>
          <w:szCs w:val="24"/>
        </w:rPr>
        <w:t xml:space="preserve">Interestingly, agricultural policies focused on urban agriculture are more prominent in the developed world than in the developing countries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{"citationItems":[{"id":"ITEM-1","itemData":{"DOI":"10.22437/jlj.4.2.151-170","ISBN":"9783030421489","ISSN":"2598-7925","abstract":"The phenomenon of rapid population growth and land conversion is what forms the background of this study. The Indonesian state does not only lose its agricultural land but also its farmers. This is the concern of the Government, including Local Governments, considering that agricultural land in its territory needs to be saved for food security and the needs of the next generations. Indonesia, including Jambi Province, will no longer have agricultural land and enough farmers in the future if this condition continues. Sungai Penuh of Jambi Province has been chosen as an object of study since this city is one of the main rice producers but suffering from agricultural land conversion. In realizing the goal, Legal policy is an option to implement because it binds not only the Local Government but also the community. That’s why it is important to protect agricultural land through a legal framework to ensure the availability of agricultural land. This article argues that the problem has to find ways by establishing local regulation to protect the sustainability of land and the prosperity of the farmers as well as by providing comprehensive incentive programs for those who conserve it.","author":[{"dropping-particle":"","family":"Raharja","given":"Ivan Fauzani","non-dropping-particle":"","parse-names":false,"suffix":""},{"dropping-particle":"","family":"Hafrida","given":"Hafrida","non-dropping-particle":"","parse-names":false,"suffix":""},{"dropping-particle":"","family":"Kusniati","given":"Retno","non-dropping-particle":"","parse-names":false,"suffix":""},{"dropping-particle":"","family":"Sasmiar","given":"Sasmiar","non-dropping-particle":"","parse-names":false,"suffix":""},{"dropping-particle":"","family":"Ridha","given":"Ahmad","non-dropping-particle":"","parse-names":false,"suffix":""}],"container-title":"Jambe Law Journal","id":"ITEM-1","issue":"2","issued":{"date-parts":[["2021"]]},"page":"151-170","title":"The Legal Protection of Sustainable Agricultural Land: Why is It Urgent?","type":"article-journal","volume":"4"},"uris":["http://www.mendeley.com/documents/?uuid=c871d71e-4f44-49db-a7e2-f0237628a6ff"]}],"mendeley":{"formattedCitation":"(Raharja et al., 2021)","plainTextFormattedCitation":"(Raharja et al., 2021)","previouslyFormattedCitation":"(Raharja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(Raharja et al., 2021)</w:t>
      </w:r>
      <w:r w:rsidRPr="00895D0B">
        <w:rPr>
          <w:rFonts w:cs="Times New Roman"/>
          <w:color w:val="000000" w:themeColor="text1"/>
          <w:szCs w:val="24"/>
        </w:rPr>
        <w:fldChar w:fldCharType="end"/>
      </w:r>
      <w:r w:rsidRPr="00895D0B">
        <w:rPr>
          <w:rFonts w:cs="Times New Roman"/>
          <w:color w:val="000000" w:themeColor="text1"/>
          <w:szCs w:val="24"/>
        </w:rPr>
        <w:t xml:space="preserve">. In China, the city of Beijing has planning policies that take into consideration urban agricultural production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Feifei","given":"Zhang","non-dropping-particle":"","parse-names":false,"suffix":""},{"dropping-particle":"","family":"Jianming","given":"Cai","non-dropping-particle":"","parse-names":false,"suffix":""},{"dropping-particle":"","family":"Gang","given":"Liu","non-dropping-particle":"","parse-names":false,"suffix":""}],"id":"ITEM-1","issued":{"date-parts":[["2004"]]},"title":"How urban agricultre is reshaping Peri-Urban Beijing ?","type":"article-journal"},"uris":["http://www.mendeley.com/documents/?uuid=45e1d932-4aba-439c-b8eb-3e76589c9e94"]}],"mendeley":{"formattedCitation":"(Feifei et al., 2004)","plainTextFormattedCitation":"(Feifei et al., 2004)","previouslyFormattedCitation":"(Feifei et al., 2004)"},"properties":{"noteIndex":0},"schema":"https://github.com/citation-style-language/schema/raw/master/csl-citation.json"}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(Feifei et al., 2004)</w:t>
      </w:r>
      <w:r w:rsidRPr="00895D0B">
        <w:rPr>
          <w:rFonts w:cs="Times New Roman"/>
          <w:color w:val="000000" w:themeColor="text1"/>
          <w:szCs w:val="24"/>
        </w:rPr>
        <w:fldChar w:fldCharType="end"/>
      </w:r>
      <w:r w:rsidRPr="00895D0B">
        <w:rPr>
          <w:rFonts w:cs="Times New Roman"/>
          <w:color w:val="000000" w:themeColor="text1"/>
          <w:szCs w:val="24"/>
        </w:rPr>
        <w:t xml:space="preserve">. For instance, there are designated farmlands, and green space and parks in the neighbourhoods meant for urban agricultural cultivation based on the Urban Master Plan; 2005 – 2020. Aside from this, the plan gave room for the integration of forestry and urban agriculture in the bid for climate change adaptation measures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{"citationItems":[{"id":"ITEM-1","itemData":{"DOI":"10.1016/j.scitotenv.2015.07.136","ISSN":"18791026","PMID":"26282768","abstract":"As an important approach to the realization of agricultural sustainable development, multifunctionality has become a hot spot in the field of urban agriculture. Taking 13 agricultural counties of Beijing City as the assessing units, this study selects 10 assessing index from ecological, economic and social aspects, determines the index weight using Analytic Hierarchy Process (AHP) method, and establishes an index system for the integrated agricultural function. Based on standardized data from agricultural census and remote sensing, the integrated function and multifunctionality of urban agriculture in Beijing City are assessed through the index grade mapping. The results show that agricultural counties with the highest score in ecological, economic, and social function are Yanqing, Changping, and Miyun, respectively; and the greatest disparity among those counties is economic function, followed by social and ecological function. Topography and human disturbance may be the factors that affect integrated agricultural function. The integrated agricultural function of Beijing rises at the beginning then drops later with the increase of mean slope, average altitude, and distance from the city. The whole city behaves balance among ecological, economic, and social functions at the macro level, with 8 out of the 13 counties belonging to ecology-society-economy balanced areas, while no county is dominant in only one of the three functions. On the micro scale, however, different counties have their own functional inclination: Miyun, Yanqing, Mentougou, and Fengtai are ecology-society dominant, and Tongzhou is ecology-economy dominant. The agricultural multifunctionality in Beijing City declines from the north to the south, with Pinggu having the most significant agricultural multifunctionality. The results match up well with the objective condition of Beijing's urban agriculture planning, which has proved the methodological rationality of the assessment to a certain extent.","author":[{"dropping-particle":"","family":"Peng","given":"Jian","non-dropping-particle":"","parse-names":false,"suffix":""},{"dropping-particle":"","family":"Liu","given":"Zhicong","non-dropping-particle":"","parse-names":false,"suffix":""},{"dropping-particle":"","family":"Liu","given":"Yanxu","non-dropping-particle":"","parse-names":false,"suffix":""},{"dropping-particle":"","family":"Hu","given":"Xiaoxu","non-dropping-particle":"","parse-names":false,"suffix":""},{"dropping-particle":"","family":"Wang","given":"An","non-dropping-particle":"","parse-names":false,"suffix":""}],"container-title":"Science of the Total Environment","id":"ITEM-1","issued":{"date-parts":[["2015"]]},"page":"343-351","publisher":"Elsevier B.V.","title":"Multifunctionality assessment of urban agriculture in Beijing City, China","type":"article-journal","volume":"537"},"uris":["http://www.mendeley.com/documents/?uuid=feae5d31-e193-4891-ab64-7ae6eda6d858"]}],"mendeley":{"formattedCitation":"(Peng et al., 2015)","manualFormatting":"(Peng et al., 2015","plainTextFormattedCitation":"(Peng et al., 2015)","previouslyFormattedCitation":"(Peng et al., 2015)"},"properties":{"noteIndex":0},"schema":"https://github.com/citation-style-language/schema/raw/master/csl-citation.json"}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(Peng et al., 2015</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{"citationItems":[{"id":"ITEM-1","itemData":{"DOI":"10.1016/j.habitatint.2016.06.004","ISSN":"01973975","abstract":"Agriculture in peri-urban areas is prone to dynamic changes due to urban influences. Previous studies have explored the impact of urban growth on peri-urban agriculture (PUA), but the active responses of the agricultural sector are rarely examined. This paper investigates recent agricultural development practices in peri-urban Beijing and explores approaches to agricultural transformation in the rapid process of urbanisation. The investigation finds that high-tech precision agriculture, down-stream processing and agro-tourism have emerged as major forms of PUA in Beijing. It also uncovers that the PUA developments are not only economically appealing, but also socially inclusive and environmental friendly. The findings contribute to a better understanding of PUA progress in China. The paper suggests policy implications in facilitating integrated development between urban and rural sectors, which would help improve economic development, spatial planning and local governance in peri-urban areas.","author":[{"dropping-particle":"","family":"Yang","given":"Zhenshan","non-dropping-particle":"","parse-names":false,"suffix":""},{"dropping-particle":"","family":"Hao","given":"Pu","non-dropping-particle":"","parse-names":false,"suffix":""},{"dropping-particle":"","family":"Liu","given":"Weidong","non-dropping-particle":"","parse-names":false,"suffix":""},{"dropping-particle":"","family":"Cai","given":"Jianming","non-dropping-particle":"","parse-names":false,"suffix":""}],"container-title":"Habitat International","id":"ITEM-1","issued":{"date-parts":[["2016"]]},"page":"222-234","publisher":"Elsevier Ltd","title":"Peri-urban agricultural development in Beijing: Varied forms, innovative practices and policy implications","type":"article-journal","volume":"56"},"uris":["http://www.mendeley.com/documents/?uuid=31d65177-bbe2-4a1b-92cc-bcc2c6297bb5"]}],"mendeley":{"formattedCitation":"(Yang et al., 2016)","manualFormatting":"Yang et al., 2016)","plainTextFormattedCitation":"(Yang et al., 2016)","previouslyFormattedCitation":"(Yang et al., 2016)"},"properties":{"noteIndex":0},"schema":"https://github.com/citation-style-language/schema/raw/master/csl-citation.json"}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Yang et al., 2016)</w:t>
      </w:r>
      <w:r w:rsidRPr="00895D0B">
        <w:rPr>
          <w:rFonts w:cs="Times New Roman"/>
          <w:color w:val="000000" w:themeColor="text1"/>
          <w:szCs w:val="24"/>
        </w:rPr>
        <w:fldChar w:fldCharType="end"/>
      </w:r>
      <w:r w:rsidRPr="00895D0B">
        <w:rPr>
          <w:rFonts w:cs="Times New Roman"/>
          <w:color w:val="000000" w:themeColor="text1"/>
          <w:szCs w:val="24"/>
        </w:rPr>
        <w:t xml:space="preserve">. Apropos to this, the designation of low-lying areas in city centers for urban agriculture prevents building in these areas which could cause flooding. Similarly, in the city of São Paulo (Brazil) as well as Lima (Peru), state authorities have integrated urban farming into social housing projects and slums upgrade programmes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Issac","given":"Jofri","non-dropping-particle":"","parse-names":false,"suffix":""},{"dropping-particle":"","family":"Newell","given":"Robert","non-dropping-particle":"","parse-names":false,"suffix":""},{"dropping-particle":"","family":"Dring","given":"Colin","non-dropping-particle":"","parse-names":false,"suffix":""},{"dropping-particle":"","family":"White","given":"Charmaine","non-dropping-particle":"","parse-names":false,"suffix":""},{"dropping-particle":"","family":"Ghadiri","given":"Mohaddese","non-dropping-particle":"","parse-names":false,"suffix":""},{"dropping-particle":"","family":"Pizzirani","given":"Stefania","non-dropping-particle":"","parse-names":false,"suffix":""},{"dropping-particle":"","family":"Newman","given":"Lenore","non-dropping-particle":"","parse-names":false,"suffix":""}],"id":"ITEM-1","issued":{"date-parts":[["2022"]]},"title":"Integrated Sustainability Planning and Local Food Systems : Examining Areas of and Gaps in Food Systems Integration in Community Sustainability Plans for Municipalities across British Columbia","type":"article-journal"},"uris":["http://www.mendeley.com/documents/?uuid=579577fa-ad1d-4ae9-9147-34d65ca8bdbf"]}],"mendeley":{"formattedCitation":"(Issac et al., 2022)","manualFormatting":"(Isaac et al., 2022)","plainTextFormattedCitation":"(Issac et al., 2022)","previouslyFormattedCitation":"(Issac et al.,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(Isaac et al., 2022)</w:t>
      </w:r>
      <w:r w:rsidRPr="00895D0B">
        <w:rPr>
          <w:rFonts w:cs="Times New Roman"/>
          <w:color w:val="000000" w:themeColor="text1"/>
          <w:szCs w:val="24"/>
        </w:rPr>
        <w:fldChar w:fldCharType="end"/>
      </w:r>
      <w:r w:rsidRPr="00895D0B">
        <w:rPr>
          <w:rFonts w:cs="Times New Roman"/>
          <w:color w:val="000000" w:themeColor="text1"/>
          <w:szCs w:val="24"/>
        </w:rPr>
        <w:t xml:space="preserve">. The programmes gave room for spaces meant for home gardening or community gardens including the planting of trees along streets to serve as shades, fruits, and parking lots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{"citationItems":[{"id":"ITEM-1","itemData":{"DOI":"10.22437/jlj.4.2.151-170","ISBN":"9783030421489","ISSN":"2598-7925","abstract":"The phenomenon of rapid population growth and land conversion is what forms the background of this study. The Indonesian state does not only lose its agricultural land but also its farmers. This is the concern of the Government, including Local Governments, considering that agricultural land in its territory needs to be saved for food security and the needs of the next generations. Indonesia, including Jambi Province, will no longer have agricultural land and enough farmers in the future if this condition continues. Sungai Penuh of Jambi Province has been chosen as an object of study since this city is one of the main rice producers but suffering from agricultural land conversion. In realizing the goal, Legal policy is an option to implement because it binds not only the Local Government but also the community. That’s why it is important to protect agricultural land through a legal framework to ensure the availability of agricultural land. This article argues that the problem has to find ways by establishing local regulation to protect the sustainability of land and the prosperity of the farmers as well as by providing comprehensive incentive programs for those who conserve it.","author":[{"dropping-particle":"","family":"Raharja","given":"Ivan Fauzani","non-dropping-particle":"","parse-names":false,"suffix":""},{"dropping-particle":"","family":"Hafrida","given":"Hafrida","non-dropping-particle":"","parse-names":false,"suffix":""},{"dropping-particle":"","family":"Kusniati","given":"Retno","non-dropping-particle":"","parse-names":false,"suffix":""},{"dropping-particle":"","family":"Sasmiar","given":"Sasmiar","non-dropping-particle":"","parse-names":false,"suffix":""},{"dropping-particle":"","family":"Ridha","given":"Ahmad","non-dropping-particle":"","parse-names":false,"suffix":""}],"container-title":"Jambe Law Journal","id":"ITEM-1","issue":"2","issued":{"date-parts":[["2021"]]},"page":"151-170","title":"The Legal Protection of Sustainable Agricultural Land: Why is It Urgent?","type":"article-journal","volume":"4"},"uris":["http://www.mendeley.com/documents/?uuid=c38db8cf-59b3-4b62-a90c-3aef09f3e827"]}],"mendeley":{"formattedCitation":"(Raharja et al., 2021)","plainTextFormattedCitation":"(Raharja et al., 2021)","previouslyFormattedCitation":"(Raharja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(Raharja et al., 2021)</w:t>
      </w:r>
      <w:r w:rsidRPr="00895D0B">
        <w:rPr>
          <w:rFonts w:cs="Times New Roman"/>
          <w:color w:val="000000" w:themeColor="text1"/>
          <w:szCs w:val="24"/>
        </w:rPr>
        <w:fldChar w:fldCharType="end"/>
      </w:r>
      <w:r w:rsidRPr="00895D0B">
        <w:rPr>
          <w:rFonts w:cs="Times New Roman"/>
          <w:color w:val="000000" w:themeColor="text1"/>
          <w:szCs w:val="24"/>
        </w:rPr>
        <w:t xml:space="preserve">.  Narrowing down to Rosario (Argentina), the state gives tax incentives to landowners who lease out their unused lands for urban agriculture practices on one hand. On the other hand, vacant state lands are given to groups of urban poor on a lease either for short-term or medium-term arrangements </w:t>
      </w:r>
      <w:r w:rsidRPr="00895D0B">
        <w:rPr>
          <w:rFonts w:cs="Times New Roman"/>
          <w:color w:val="000000" w:themeColor="text1"/>
          <w:szCs w:val="24"/>
        </w:rPr>
        <w:fldChar w:fldCharType="begin" w:fldLock="1"/>
      </w:r>
      <w:r w:rsidR="00240296" w:rsidRPr="00895D0B">
        <w:rPr>
          <w:rFonts w:cs="Times New Roman"/>
          <w:color w:val="000000" w:themeColor="text1"/>
          <w:szCs w:val="24"/>
        </w:rPr>
        <w:instrText>ADDIN CSL_CITATION {"citationItems":[{"id":"ITEM-1","itemData":{"DOI":"10.1007/978-3-319-95675-6_56","ISBN":"9783319696263","abstract":"… social levels. This includes the notion of self-efficacy, ie, perceptions of competence, personal control, and positive self-image (Zimmerman 2000). Youth empowerment … Security Page 9. Finacial support to young agriculture enterpreneurs in Turkey In …","author":[{"dropping-particle":"","family":"Özçatalbaş","given":"O.","non-dropping-particle":"","parse-names":false,"suffix":""},{"dropping-particle":"","family":"Imran","given":"M.","non-dropping-particle":"","parse-names":false,"suffix":""}],"id":"ITEM-1","issued":{"date-parts":[["2020"]]},"page":"487-498","title":"Linking Youth Empowerment with Agricultural Production and Food Security","type":"article-journal"},"uris":["http://www.mendeley.com/documents/?uuid=7829a2f4-41d8-4b2b-aed0-7258faf60906"]}],"mendeley":{"formattedCitation":"(Özçatalbaş &amp; Imran, 2020)","plainTextFormattedCitation":"(Özçatalbaş &amp; Imran, 2020)","previouslyFormattedCitation":"(Özçatalbaş &amp; Imran,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(Özçatalbaş &amp; Imran, 2020)</w:t>
      </w:r>
      <w:r w:rsidRPr="00895D0B">
        <w:rPr>
          <w:rFonts w:cs="Times New Roman"/>
          <w:color w:val="000000" w:themeColor="text1"/>
          <w:szCs w:val="24"/>
        </w:rPr>
        <w:fldChar w:fldCharType="end"/>
      </w:r>
      <w:r w:rsidRPr="00895D0B">
        <w:rPr>
          <w:rFonts w:cs="Times New Roman"/>
          <w:color w:val="000000" w:themeColor="text1"/>
          <w:szCs w:val="24"/>
        </w:rPr>
        <w:t xml:space="preserve">. This means that urban farming policies are pro-poor in Argentina where the poor are earmarked in accessing land for cultivation. The concept of rural and urban linkages in landscape development and planning is imperative in urban food crops and animals production in Africa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{"citationItems":[{"id":"ITEM-1","itemData":{"DOI":"10.3390/su10051680","ISBN":"1226772307","ISSN":"20711050","abstract":"This paper offers a critical assessment of the value and utility of the evolving City Region Food Systems (CRFS) approach to improve our insights into flows of resources-food, waste, people, and knowledge-from rural to peri-urban to urban and back again, and the policies and process needed to enable sustainability. This paper reflects on (1) CRFS merits compared to other approaches; (2) the operational potential of applying the CRFS approach to existing projects through case analysis; (3) how to make the CRFS approach more robust and ways to further operationalize the approach; and (4) the potential for the CRFS approach to address complex challenges including integrated governance, territorial development, metabolic flows, and climate change. The paper begins with the rationale for CRFS as both a conceptual framework and an integrative operational approach, as it helps to build increasingly coherent transformational food systems. CRFS is differentiated from existing approaches to understand the context and gaps in theory and practice. We then explore the strength of CRFS through the conceptual building blocks of 'food systems' and 'city-regions' as appropriate, or not, to address pressing complex challenges. As both a multi-stakeholder, sustainability-building approach and process, CRFS provides a collective voice for food actors across scales and could provide coherence across jurisdictions, policies, and scales, including the Milan Urban Food Policy Pact, the Sustainable Development Goals, the Habitat III New Urban Agenda, and the Conference of the Parties (COP) 21. CRFS responds directly to calls in the literature to provide a conceptual and practical framing for policy through wide engagement across sectors that enables the co-construction of a relevant policy frame that can be enacted through sufficiently integrated policies and programs that achieve increasingly sustainable food systems.","author":[{"dropping-particle":"","family":"Blay-Palmer","given":"Alison","non-dropping-particle":"","parse-names":false,"suffix":""},{"dropping-particle":"","family":"Santini","given":"Guido","non-dropping-particle":"","parse-names":false,"suffix":""},{"dropping-particle":"","family":"Dubbeling","given":"Marielle","non-dropping-particle":"","parse-names":false,"suffix":""},{"dropping-particle":"","family":"Renting","given":"Henk","non-dropping-particle":"","parse-names":false,"suffix":""},{"dropping-particle":"","family":"Taguchi","given":"Makiko","non-dropping-particle":"","parse-names":false,"suffix":""},{"dropping-particle":"","family":"Giordano","given":"Thierry","non-dropping-particle":"","parse-names":false,"suffix":""}],"container-title":"Sustainability (Switzerland)","id":"ITEM-1","issue":"5","issued":{"date-parts":[["2018"]]},"title":"Validating the City Region Food System approach: Enacting inclusive, transformational City Region Food Systems","type":"article-journal","volume":"10"},"uris":["http://www.mendeley.com/documents/?uuid=8f87ce98-5a32-4e47-b695-06191e82db39"]}],"mendeley":{"formattedCitation":"(Blay-Palmer et al., 2018)","plainTextFormattedCitation":"(Blay-Palmer et al., 2018)","previouslyFormattedCitation":"(Blay-Palmer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(Blay-Palmer et al., 2018)</w:t>
      </w:r>
      <w:r w:rsidRPr="00895D0B">
        <w:rPr>
          <w:rFonts w:cs="Times New Roman"/>
          <w:color w:val="000000" w:themeColor="text1"/>
          <w:szCs w:val="24"/>
        </w:rPr>
        <w:fldChar w:fldCharType="end"/>
      </w:r>
      <w:r w:rsidRPr="00895D0B">
        <w:rPr>
          <w:rFonts w:cs="Times New Roman"/>
          <w:color w:val="000000" w:themeColor="text1"/>
          <w:szCs w:val="24"/>
        </w:rPr>
        <w:t>.</w:t>
      </w:r>
      <w:r w:rsidRPr="00895D0B">
        <w:rPr>
          <w:rFonts w:eastAsia="Times New Roman" w:cs="Times New Roman"/>
          <w:color w:val="000000" w:themeColor="text1"/>
          <w:szCs w:val="24"/>
        </w:rPr>
        <w:t xml:space="preserve"> </w:t>
      </w:r>
      <w:r w:rsidRPr="00895D0B">
        <w:rPr>
          <w:rFonts w:cs="Times New Roman"/>
          <w:color w:val="000000" w:themeColor="text1"/>
          <w:szCs w:val="24"/>
        </w:rPr>
        <w:t xml:space="preserve">Climate change adaptations became part of Ghana's national policies in 2010. Given this, the National Adaptation Plans (NAP) was developed to meet both short and long-term development activities under the United Nations Framework Convention on Climate Change (UNFCCC)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0959-3780","ISSN":"1756-5529","PMID":"25246403","author":[{"dropping-particle":"","family":"UNEP","given":"","non-dropping-particle":"","parse-names":false,"suffix":""},{"dropping-particle":"","family":"UNDP","given":"","non-dropping-particle":"","parse-names":false,"suffix":""}],"container-title":"Global Environmental Change","id":"ITEM-1","issue":"1","issued":{"date-parts":[["2013"]]},"number-of-pages":"1-11","publisher-place":"Accra, Ghana","title":"National Climate Change Adaptation Strategy","type":"report","volume":"5"},"uris":["http://www.mendeley.com/documents/?uuid=8e517268-587f-4084-b77b-d7b1fccf0b67"]}],"mendeley":{"formattedCitation":"(UNEP &amp; UNDP, 2013)","plainTextFormattedCitation":"(UNEP &amp; UNDP, 2013)","previouslyFormattedCitation":"(UNEP &amp; UNDP,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(UNEP &amp; UNDP, 2013)</w:t>
      </w:r>
      <w:r w:rsidRPr="00895D0B">
        <w:rPr>
          <w:rFonts w:cs="Times New Roman"/>
          <w:color w:val="000000" w:themeColor="text1"/>
          <w:szCs w:val="24"/>
        </w:rPr>
        <w:fldChar w:fldCharType="end"/>
      </w:r>
      <w:r w:rsidRPr="00895D0B">
        <w:rPr>
          <w:rFonts w:cs="Times New Roman"/>
          <w:color w:val="000000" w:themeColor="text1"/>
          <w:szCs w:val="24"/>
        </w:rPr>
        <w:t xml:space="preserve">. The UNFCCC is meant to address the climate change adaptation needs of developing countries. This is an attempt to build local level adaptive capacity in the attainment of the sustainable development goal (SDG) 13, and reduce poverty (SDG1), and improvement of gender equality (SDG5)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{"citationItems":[{"id":"ITEM-1","itemData":{"ISBN":"9789820005174","ISSN":"1178-2293","abstract":"Human activities, particularly, the burning of fuels 1 , cutting down of forests and other agricultural activities (such as the application of fertilizer in addition to natural processes), release gases includ-ing Carbon Dioxide (CO 2), Methane (CH 4) and Nitrous Oxide (N 2 O) into the atmosphere. These gases, have the ability to trap the in-frared radiation (sun's energy), which reflects in the form of tem-perature. Continuation and exacerbation of the human activities has added to these gases resulting in an increase of the earth's surface temperature, sea level, precipitation, droughts and floods. Evidence abounds in Ghana that temperatures in all the ecological zones are rising, whereas rainfall levels have been generally reducing and patterns have increasingly becoming erratic. Ghana's economy is heavi-ly dependent on climate sensitive sectors such as agriculture, fisheries, tourism, forest sector, etc.. Some of the expected impacts are: Agriculture: Based on a 20-year baseline climate observation, it is projected that yields of maize and other cereal crop will reduce by 7% by 2050. Despite limited irrigation facilities \" agriculture is currently the big-gest contributor to Ghana's GDP. But over the last decade its contribution has declined from 51% to 36% of GDP. As a result, the rural poor now account for almost three quarters of Ghanaians who live below the poverty line \" (ABN, 07th Sept 2010). Increase in temperature, decrease in rainfall and its unpredictability is likely to jeopardize the employment of about 60% of the active population, the majority of whom are small scale rural farmers, resulting in unsustainable livelihoods with negative consequences for food inse-curity, poverty, health, education, gender equality and environmental degradation.","author":[{"dropping-particle":"","family":"Ministry of Enviroenment Science Technology and Innotaion (MESTI)","given":"","non-dropping-particle":"","parse-names":false,"suffix":""}],"container-title":"Atemwegs- und Lungenkrankheiten","id":"ITEM-1","issued":{"date-parts":[["2013"]]},"page":"1-88","title":"Ghana National Climate Change Policy Ministry.","type":"article-journal"},"uris":["http://www.mendeley.com/documents/?uuid=bb821ab2-836c-46ec-a314-33f7f5a7c2fb"]}],"mendeley":{"formattedCitation":"(Ministry of Enviroenment Science Technology and Innotaion (MESTI), 2013)","plainTextFormattedCitation":"(Ministry of Enviroenment Science Technology and Innotaion (MESTI), 2013)","previouslyFormattedCitation":"(Ministry of Enviroenment Science Technology and Innotaion (MESTI),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(Ministry of Enviroenment Science Technology and Innotaion (MESTI), 2013)</w:t>
      </w:r>
      <w:r w:rsidRPr="00895D0B">
        <w:rPr>
          <w:rFonts w:cs="Times New Roman"/>
          <w:color w:val="000000" w:themeColor="text1"/>
          <w:szCs w:val="24"/>
        </w:rPr>
        <w:fldChar w:fldCharType="end"/>
      </w:r>
      <w:r w:rsidRPr="00895D0B">
        <w:rPr>
          <w:rFonts w:cs="Times New Roman"/>
          <w:color w:val="000000" w:themeColor="text1"/>
          <w:szCs w:val="24"/>
        </w:rPr>
        <w:t xml:space="preserve">. The UNFCCC for climate change adaptations include agricultural activities. Most of these activities are </w:t>
      </w:r>
      <w:r w:rsidRPr="00895D0B">
        <w:rPr>
          <w:rFonts w:cs="Times New Roman"/>
          <w:color w:val="000000" w:themeColor="text1"/>
          <w:szCs w:val="24"/>
        </w:rPr>
        <w:lastRenderedPageBreak/>
        <w:t xml:space="preserve">focused on how to build smallholder rural farmers’ capacity to adapt their works to the changing climatic variables such as rainfall and temperature. This has necessitated the introduction of development interventions to improve farmers’ capacity in the countryside. These developmental programmes and projects are propelled by both governmental and non-governmental organizations (NGOs). However, the concentration of development interventions does not reflect farming activities in the cities. </w:t>
      </w:r>
    </w:p>
    <w:p w14:paraId="7F411B35" w14:textId="77777777" w:rsidR="001B4ED5" w:rsidRPr="00895D0B" w:rsidRDefault="001B4ED5" w:rsidP="000778C3">
      <w:pPr>
        <w:pStyle w:val="NoSpacing"/>
      </w:pPr>
    </w:p>
    <w:p w14:paraId="7FBDAC4C" w14:textId="034F2DF4"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Though the climate change adaptation strategy in the NAP of Ghana has not explicitly outlined how farmers in urban neighbourhoods could adapt to climate change there are some attempts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{"citationItems":[{"id":"ITEM-1","itemData":{"author":[{"dropping-particle":"","family":"Environmental Protection Agency","given":"","non-dropping-particle":"","parse-names":false,"suffix":""}],"id":"ITEM-1","issue":"October","issued":{"date-parts":[["2018"]]},"number-of-pages":"1-146","publisher-place":"Accra, Ghana","title":"Ghana's national adaptation plan framework","type":"report"},"uris":["http://www.mendeley.com/documents/?uuid=953d5d9f-fef3-4b81-b975-f7975aa0dd60"]}],"mendeley":{"formattedCitation":"(Environmental Protection Agency, 2018)","plainTextFormattedCitation":"(Environmental Protection Agency, 2018)","previouslyFormattedCitation":"(Environmental Protection Agency,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(Environmental Protection Agency, 2018)</w:t>
      </w:r>
      <w:r w:rsidRPr="00895D0B">
        <w:rPr>
          <w:rFonts w:cs="Times New Roman"/>
          <w:color w:val="000000" w:themeColor="text1"/>
          <w:szCs w:val="24"/>
        </w:rPr>
        <w:fldChar w:fldCharType="end"/>
      </w:r>
      <w:r w:rsidRPr="00895D0B">
        <w:rPr>
          <w:rFonts w:cs="Times New Roman"/>
          <w:color w:val="000000" w:themeColor="text1"/>
          <w:szCs w:val="24"/>
        </w:rPr>
        <w:t xml:space="preserve">. In Ghana, the NAP aims at giving a framework to plan and implement climate change adaptation strategies. The strategies are four (4) frameworks that were formed in Ghana till the years 2018. The first among all was the 2012 National Climate Change Adaptation Strategy (NCCAS). The NCCAS to give a point of direction and coordination on climate change activities including adaptation measures in the country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{"citationItems":[{"id":"ITEM-1","itemData":{"abstract":"DfID","author":[{"dropping-particle":"","family":"Sarpong","given":"Daniel Bruce","non-dropping-particle":"","parse-names":false,"suffix":""},{"dropping-particle":"","family":"Anyidoho","given":"Nana Akua","non-dropping-particle":"","parse-names":false,"suffix":""}],"container-title":"Climate chnage and agriculture policy processes in Ghana","id":"ITEM-1","issue":"September","issued":{"date-parts":[["2012"]]},"number-of-pages":"1-20","title":"Climate Change and Agricultural Policy Processes in Ghana","type":"report"},"uris":["http://www.mendeley.com/documents/?uuid=a9ee3f80-21d5-445b-99f3-e27a090cad33"]}],"mendeley":{"formattedCitation":"(Sarpong &amp; Anyidoho, 2012)","plainTextFormattedCitation":"(Sarpong &amp; Anyidoho, 2012)","previouslyFormattedCitation":"(Sarpong &amp; Anyidoho, 2012)"},"properties":{"noteIndex":0},"schema":"https://github.com/citation-style-language/schema/raw/master/csl-citation.json"}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(Sarpong &amp; Anyidoho, 2012)</w:t>
      </w:r>
      <w:r w:rsidRPr="00895D0B">
        <w:rPr>
          <w:rFonts w:cs="Times New Roman"/>
          <w:color w:val="000000" w:themeColor="text1"/>
          <w:szCs w:val="24"/>
        </w:rPr>
        <w:fldChar w:fldCharType="end"/>
      </w:r>
      <w:r w:rsidRPr="00895D0B">
        <w:rPr>
          <w:rFonts w:cs="Times New Roman"/>
          <w:color w:val="000000" w:themeColor="text1"/>
          <w:szCs w:val="24"/>
        </w:rPr>
        <w:t xml:space="preserve">. The policy seeks to achieve four basic objectives including effective adaptations, social equity in development, and climate mitigation. In addition, the policy tries to integrate climate resilience and climate-friendly development in all government agencies, ministries, and departments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{"citationItems":[{"id":"ITEM-1","itemData":{"abstract":"This report is intended to complement the 2011 CCAFS publication “State of Climate Change Adaptation and Mitigation Efforts for Agriculture in Ghana” (Domozoro 2011). It provides relevant updates regarding the policies, projects, or initiatives introduced therein, and an assessment of the evolving political scenario. Specifically, this document presents an objective look at 17 key policy documents within three thematic areas: (1) governance, (2) agriculture, and (3) climate change institutions in Ghana. Several key projects are also included in this analysis given their relevance and status within Ghana’s agricultural adaptation regime. A discussion of the institutional arrangements in each of the thematic areas is provided first, along with a short description of each of the 17 policies and projects. Then, in the following analysis section, objectives and priorities for each of the policies are outlined, together with their evolution over time, intending to identify the temporal shifts in agricultural climate change policy direction in the country. Policy interplay between and within these thematic areas is also addressed. Power and influence dynamics between actors in Ghana’s climate change adaptation regime are discussed in the following section and the results of a Multilevel Stakeholder Influence Mapping (MSIM) exercise are provided. Finally, a discussion of key challenges and recommendations are provided, as identified through semi-structured interviews with actors across the country’s adaptation regime.","author":[{"dropping-particle":"","family":"Sova","given":"Chase","non-dropping-particle":"","parse-names":false,"suffix":""},{"dropping-particle":"","family":"Chaudhury","given":"Abrar","non-dropping-particle":"","parse-names":false,"suffix":""},{"dropping-particle":"","family":"Nelson","given":"Winfred","non-dropping-particle":"","parse-names":false,"suffix":""},{"dropping-particle":"","family":"Nutsukpo","given":"Delali Kofi","non-dropping-particle":"","parse-names":false,"suffix":""},{"dropping-particle":"","family":"Zougmoré","given":"Robert","non-dropping-particle":"","parse-names":false,"suffix":""}],"container-title":"CGIAR Research Program on Climate Change, Agriculture and Food Security","id":"ITEM-1","issue":"68","issued":{"date-parts":[["2014"]]},"page":"84","title":"Climate Change Adaptation Policy in Ghana: Priorities for the Agriculture Sector","type":"article-journal","volume":"68"},"uris":["http://www.mendeley.com/documents/?uuid=be5e6a5f-4c15-4448-91d8-8deb439a3ed6"]}],"mendeley":{"formattedCitation":"(Sova et al., 2014)","plainTextFormattedCitation":"(Sova et al., 2014)","previouslyFormattedCitation":"(Sova et al., 2014)"},"properties":{"noteIndex":0},"schema":"https://github.com/citation-style-language/schema/raw/master/csl-citation.json"}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(Sova et al., 2014)</w:t>
      </w:r>
      <w:r w:rsidRPr="00895D0B">
        <w:rPr>
          <w:rFonts w:cs="Times New Roman"/>
          <w:color w:val="000000" w:themeColor="text1"/>
          <w:szCs w:val="24"/>
        </w:rPr>
        <w:fldChar w:fldCharType="end"/>
      </w:r>
      <w:r w:rsidRPr="00895D0B">
        <w:rPr>
          <w:rFonts w:cs="Times New Roman"/>
          <w:color w:val="000000" w:themeColor="text1"/>
          <w:szCs w:val="24"/>
        </w:rPr>
        <w:t>. The implementation of the framework does not define strategies targeting smallholder farmers within the countryside alone, but rather climate change adaptations in general. Nevertheless, development partners’ programmes and projects do not take urban farmers’ crop and animal production into consideration</w:t>
      </w:r>
      <w:r w:rsidR="006E6AF5" w:rsidRPr="00895D0B">
        <w:rPr>
          <w:rFonts w:cs="Times New Roman"/>
          <w:color w:val="000000" w:themeColor="text1"/>
          <w:szCs w:val="24"/>
        </w:rPr>
        <w:t xml:space="preserve"> </w:t>
      </w:r>
      <w:r w:rsidR="006E6AF5" w:rsidRPr="00895D0B">
        <w:rPr>
          <w:rFonts w:cs="Times New Roman"/>
          <w:color w:val="000000" w:themeColor="text1"/>
          <w:szCs w:val="24"/>
        </w:rPr>
        <w:fldChar w:fldCharType="begin" w:fldLock="1"/>
      </w:r>
      <w:r w:rsidR="006E6AF5" w:rsidRPr="00895D0B">
        <w:rPr>
          <w:rFonts w:cs="Times New Roman"/>
          <w:color w:val="000000" w:themeColor="text1"/>
          <w:szCs w:val="24"/>
        </w:rPr>
        <w:instrText>ADDIN CSL_CITATION {"citationItems":[{"id":"ITEM-1","itemData":{"abstract":"Significant additional capacity building within government, including local governments, and support for vulnerable populations is needed for Burkina Faso to maintain the development gains achieved in recent years. Of particular concern are the country’s agricultural capacity, and the population’s limited access to medical professionals and improved sanitation facilities. High dependence on climate-sensitive livelihoods — agriculture, pastoralism, forestry and fisheries, leave Burkina Faso vulnerable. The issues are explored in this paper, which is one in a series of country reviews prepared to provide the Collaborative Adaptation Research Initiative in Africa and Asia (CARIAA) with a snapshot of adaptation action in its countries of engagement.","author":[{"dropping-particle":"","family":"Dazé","given":"A.","non-dropping-particle":"","parse-names":false,"suffix":""},{"dropping-particle":"","family":"Echeverría","given":"D.","non-dropping-particle":"","parse-names":false,"suffix":""}],"container-title":"CARIAA Working Paper no. 20","id":"ITEM-1","issued":{"date-parts":[["2016"]]},"number-of-pages":"72","title":"Review of Current and Planned Adaptation Action in Nepal","type":"report"},"uris":["http://www.mendeley.com/documents/?uuid=9a639bd7-1464-450e-a043-53a960990b37"]}],"mendeley":{"formattedCitation":"(Dazé &amp; Echeverría, 2016)","plainTextFormattedCitation":"(Dazé &amp; Echeverría, 2016)","previouslyFormattedCitation":"(Dazé &amp; Echeverría, 2016)"},"properties":{"noteIndex":0},"schema":"https://github.com/citation-style-language/schema/raw/master/csl-citation.json"}</w:instrText>
      </w:r>
      <w:r w:rsidR="006E6AF5" w:rsidRPr="00895D0B">
        <w:rPr>
          <w:rFonts w:cs="Times New Roman"/>
          <w:color w:val="000000" w:themeColor="text1"/>
          <w:szCs w:val="24"/>
        </w:rPr>
        <w:fldChar w:fldCharType="separate"/>
      </w:r>
      <w:r w:rsidR="006E6AF5" w:rsidRPr="00895D0B">
        <w:rPr>
          <w:rFonts w:cs="Times New Roman"/>
          <w:noProof/>
          <w:color w:val="000000" w:themeColor="text1"/>
          <w:szCs w:val="24"/>
        </w:rPr>
        <w:t>(Dazé &amp; Echeverría, 2016)</w:t>
      </w:r>
      <w:r w:rsidR="006E6AF5" w:rsidRPr="00895D0B">
        <w:rPr>
          <w:rFonts w:cs="Times New Roman"/>
          <w:color w:val="000000" w:themeColor="text1"/>
          <w:szCs w:val="24"/>
        </w:rPr>
        <w:fldChar w:fldCharType="end"/>
      </w:r>
      <w:r w:rsidRPr="00895D0B">
        <w:rPr>
          <w:rFonts w:cs="Times New Roman"/>
          <w:color w:val="000000" w:themeColor="text1"/>
          <w:szCs w:val="24"/>
        </w:rPr>
        <w:t xml:space="preserve">. The thinking is that the rural environment is the food basket of the Ghanaian economy.  In advancing Ghana’s bid for climate change adaptation-related issues, the 2013 National Climate Change Policy (NCCP) and the 2015 Nationally Determined Contributions (NDCs) were formulated respectively. One of the prioritized areas in the NCCP is how to adapt agriculture to climate change while enhancing food security. This aspect of the NCCP policy target is on the following objectives; “Develop climate-resilient agriculture and food systems for all agro-ecological zones and develop human resource capacity for climate-resilient agriculture”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{"citationItems":[{"id":"ITEM-1","itemData":{"ISBN":"9789820005174","ISSN":"1178-2293","abstract":"Human activities, particularly, the burning of fuels 1 , cutting down of forests and other agricultural activities (such as the application of fertilizer in addition to natural processes), release gases includ-ing Carbon Dioxide (CO 2), Methane (CH 4) and Nitrous Oxide (N 2 O) into the atmosphere. These gases, have the ability to trap the in-frared radiation (sun's energy), which reflects in the form of tem-perature. Continuation and exacerbation of the human activities has added to these gases resulting in an increase of the earth's surface temperature, sea level, precipitation, droughts and floods. Evidence abounds in Ghana that temperatures in all the ecological zones are rising, whereas rainfall levels have been generally reducing and patterns have increasingly becoming erratic. Ghana's economy is heavi-ly dependent on climate sensitive sectors such as agriculture, fisheries, tourism, forest sector, etc.. Some of the expected impacts are: Agriculture: Based on a 20-year baseline climate observation, it is projected that yields of maize and other cereal crop will reduce by 7% by 2050. Despite limited irrigation facilities \" agriculture is currently the big-gest contributor to Ghana's GDP. But over the last decade its contribution has declined from 51% to 36% of GDP. As a result, the rural poor now account for almost three quarters of Ghanaians who live below the poverty line \" (ABN, 07th Sept 2010). Increase in temperature, decrease in rainfall and its unpredictability is likely to jeopardize the employment of about 60% of the active population, the majority of whom are small scale rural farmers, resulting in unsustainable livelihoods with negative consequences for food inse-curity, poverty, health, education, gender equality and environmental degradation.","author":[{"dropping-particle":"","family":"Ministry of Enviroenment Science Technology and Innotaion (MESTI)","given":"","non-dropping-particle":"","parse-names":false,"suffix":""}],"container-title":"Atemwegs- und Lungenkrankheiten","id":"ITEM-1","issued":{"date-parts":[["2013"]]},"page":"1-88","title":"Ghana National Climate Change Policy Ministry.","type":"article-journal"},"uris":["http://www.mendeley.com/documents/?uuid=bb821ab2-836c-46ec-a314-33f7f5a7c2fb"]}],"mendeley":{"formattedCitation":"(Ministry of Enviroenment Science Technology and Innotaion (MESTI), 2013)","manualFormatting":"(Ministry of Environment Science Technology and Innovation (MESTI), 2013","plainTextFormattedCitation":"(Ministry of Enviroenment Science Technology and Innotaion (MESTI), 2013)","previouslyFormattedCitation":"(Ministry of Enviroenment Science Technology and Innotaion (MESTI),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(Ministry of Environment Science Technology and Innovation (MESTI), 2013</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0959-3780","ISSN":"1756-5529","PMID":"25246403","author":[{"dropping-particle":"","family":"UNEP","given":"","non-dropping-particle":"","parse-names":false,"suffix":""},{"dropping-particle":"","family":"UNDP","given":"","non-dropping-particle":"","parse-names":false,"suffix":""}],"container-title":"Global Environmental Change","id":"ITEM-1","issue":"1","issued":{"date-parts":[["2013"]]},"number-of-pages":"1-11","publisher-place":"Accra, Ghana","title":"National Climate Change Adaptation Strategy","type":"report","volume":"5"},"uris":["http://www.mendeley.com/documents/?uuid=8e517268-587f-4084-b77b-d7b1fccf0b67"]}],"mendeley":{"formattedCitation":"(UNEP &amp; UNDP, 2013)","manualFormatting":"UNEP &amp; UNDP, 2013 pg 62)","plainTextFormattedCitation":"(UNEP &amp; UNDP, 2013)","previouslyFormattedCitation":"(UNEP &amp; UNDP,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UNEP &amp; UNDP, 2013 pg 62)</w:t>
      </w:r>
      <w:r w:rsidRPr="00895D0B">
        <w:rPr>
          <w:rFonts w:cs="Times New Roman"/>
          <w:color w:val="000000" w:themeColor="text1"/>
          <w:szCs w:val="24"/>
        </w:rPr>
        <w:fldChar w:fldCharType="end"/>
      </w:r>
      <w:r w:rsidRPr="00895D0B">
        <w:rPr>
          <w:rFonts w:cs="Times New Roman"/>
          <w:color w:val="000000" w:themeColor="text1"/>
          <w:szCs w:val="24"/>
        </w:rPr>
        <w:t xml:space="preserve">. Again, the policy is to achieve the underlined policy actions in achieving the objectives; “develop climate-resilient cropping and livestock systems as </w:t>
      </w:r>
      <w:r w:rsidRPr="00895D0B">
        <w:rPr>
          <w:rFonts w:cs="Times New Roman"/>
          <w:color w:val="000000" w:themeColor="text1"/>
          <w:szCs w:val="24"/>
        </w:rPr>
        <w:lastRenderedPageBreak/>
        <w:t xml:space="preserve">well as crop varieties and livestock breeds tolerant to flooding, drought and salinity” and promoting and supporting diversification in agriculture. This diversification is said to be in the form of crop and animal integration strategies as well as income generation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{"citationItems":[{"id":"ITEM-1","itemData":{"ISBN":"9789820005174","ISSN":"1178-2293","abstract":"Human activities, particularly, the burning of fuels 1 , cutting down of forests and other agricultural activities (such as the application of fertilizer in addition to natural processes), release gases includ-ing Carbon Dioxide (CO 2), Methane (CH 4) and Nitrous Oxide (N 2 O) into the atmosphere. These gases, have the ability to trap the in-frared radiation (sun's energy), which reflects in the form of tem-perature. Continuation and exacerbation of the human activities has added to these gases resulting in an increase of the earth's surface temperature, sea level, precipitation, droughts and floods. Evidence abounds in Ghana that temperatures in all the ecological zones are rising, whereas rainfall levels have been generally reducing and patterns have increasingly becoming erratic. Ghana's economy is heavi-ly dependent on climate sensitive sectors such as agriculture, fisheries, tourism, forest sector, etc.. Some of the expected impacts are: Agriculture: Based on a 20-year baseline climate observation, it is projected that yields of maize and other cereal crop will reduce by 7% by 2050. Despite limited irrigation facilities \" agriculture is currently the big-gest contributor to Ghana's GDP. But over the last decade its contribution has declined from 51% to 36% of GDP. As a result, the rural poor now account for almost three quarters of Ghanaians who live below the poverty line \" (ABN, 07th Sept 2010). Increase in temperature, decrease in rainfall and its unpredictability is likely to jeopardize the employment of about 60% of the active population, the majority of whom are small scale rural farmers, resulting in unsustainable livelihoods with negative consequences for food inse-curity, poverty, health, education, gender equality and environmental degradation.","author":[{"dropping-particle":"","family":"Ministry of Enviroenment Science Technology and Innotaion (MESTI)","given":"","non-dropping-particle":"","parse-names":false,"suffix":""}],"container-title":"Atemwegs- und Lungenkrankheiten","id":"ITEM-1","issued":{"date-parts":[["2013"]]},"page":"1-88","title":"Ghana National Climate Change Policy Ministry.","type":"article-journal"},"uris":["http://www.mendeley.com/documents/?uuid=bb821ab2-836c-46ec-a314-33f7f5a7c2fb"]}],"mendeley":{"formattedCitation":"(Ministry of Enviroenment Science Technology and Innotaion (MESTI), 2013)","manualFormatting":"[Ministry of Environment Science Technology and Innovation (MESTI), 2013","plainTextFormattedCitation":"(Ministry of Enviroenment Science Technology and Innotaion (MESTI), 2013)","previouslyFormattedCitation":"(Ministry of Enviroenment Science Technology and Innotaion (MESTI),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[Ministry of Environment Science Technology and Innovation (MESTI), 2013</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0959-3780","ISSN":"1756-5529","PMID":"25246403","author":[{"dropping-particle":"","family":"UNEP","given":"","non-dropping-particle":"","parse-names":false,"suffix":""},{"dropping-particle":"","family":"UNDP","given":"","non-dropping-particle":"","parse-names":false,"suffix":""}],"container-title":"Global Environmental Change","id":"ITEM-1","issue":"1","issued":{"date-parts":[["2013"]]},"number-of-pages":"1-11","publisher-place":"Accra, Ghana","title":"National Climate Change Adaptation Strategy","type":"report","volume":"5"},"uris":["http://www.mendeley.com/documents/?uuid=8e517268-587f-4084-b77b-d7b1fccf0b67"]}],"mendeley":{"formattedCitation":"(UNEP &amp; UNDP, 2013)","manualFormatting":"UNEP &amp; UNDP, 2013 pg 62","plainTextFormattedCitation":"(UNEP &amp; UNDP, 2013)","previouslyFormattedCitation":"(UNEP &amp; UNDP,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UNEP &amp; UNDP, 2013 pg 62</w:t>
      </w:r>
      <w:r w:rsidRPr="00895D0B">
        <w:rPr>
          <w:rFonts w:cs="Times New Roman"/>
          <w:color w:val="000000" w:themeColor="text1"/>
          <w:szCs w:val="24"/>
        </w:rPr>
        <w:fldChar w:fldCharType="end"/>
      </w:r>
      <w:r w:rsidRPr="00895D0B">
        <w:rPr>
          <w:rFonts w:cs="Times New Roman"/>
          <w:color w:val="000000" w:themeColor="text1"/>
          <w:szCs w:val="24"/>
        </w:rPr>
        <w:t xml:space="preserve">]. Drawing on these provisions in the policy, the ability of urban crop and animal producers to adhere to it depends on their knowledge base which could be propelled by interventions. The government of Ghana also formulates the climate change adaptation policy that reflects the National Climate Change Master Plan Action Programmes (NCCMPAP) from 2015 to 2020. The National Adaptation Plan (NAP) Framework was subsequently created in 2018. This framework opens the door for defining the nation's approach to its NAP process. It featured a synthesis of Ghana's adaptation to climate change goal, objective, and guiding principles that would aid in its realization. The NAP includes the roles that various stakeholders should play both inside and outside the framework of the Ghanaian government. The NAP's objective was to integrate its procedures with already-existing national policies and their strategic platforms, academic research on adaptation to climate change, and related programs to support this notion. As a result, this would be the starting point for rallying support for concerns related to climate change adaptation. </w:t>
      </w:r>
    </w:p>
    <w:p w14:paraId="2A87DD1E" w14:textId="77777777" w:rsidR="001B4ED5" w:rsidRPr="00895D0B" w:rsidRDefault="001B4ED5" w:rsidP="000778C3">
      <w:pPr>
        <w:pStyle w:val="NoSpacing"/>
      </w:pPr>
    </w:p>
    <w:p w14:paraId="393A84F7" w14:textId="6145B631" w:rsidR="001B4ED5" w:rsidRPr="00895D0B" w:rsidRDefault="006B41C0">
      <w:pPr>
        <w:spacing w:line="360" w:lineRule="auto"/>
        <w:rPr>
          <w:rFonts w:cs="Times New Roman"/>
          <w:color w:val="000000" w:themeColor="text1"/>
          <w:szCs w:val="24"/>
        </w:rPr>
      </w:pPr>
      <w:r w:rsidRPr="00895D0B">
        <w:rPr>
          <w:rFonts w:cs="Times New Roman"/>
          <w:i/>
          <w:color w:val="000000" w:themeColor="text1"/>
          <w:szCs w:val="24"/>
        </w:rPr>
        <w:t>National Adaptation Plan Framework, 2018 –</w:t>
      </w:r>
      <w:r w:rsidRPr="00895D0B">
        <w:rPr>
          <w:rFonts w:cs="Times New Roman"/>
          <w:color w:val="000000" w:themeColor="text1"/>
          <w:szCs w:val="24"/>
        </w:rPr>
        <w:t xml:space="preserve">Ghana's NAP process aims to identify prioritized medium- and long-term climate change adaptation initiatives, facilitate institutional-level collaboration in climate change adaptations, and expedite the mobilization of funds for such adaptations. To eliminate duplications and lessen institutional overlap among ministries, there is fundamentally a need for improved institutional partnerships and coordination. The NAP process and gender sensitivity as some key topics to incorporate away from the adoption of community-based and ecosystem-based approaches did not exclude the private sector from this adventure. The community-based and ecosystem-based approaches aim to reduce poverty, adapt to climate change, and promote sustainable development while also providing several other advantages. The Ghana NAP process anticipated several approaches and structures. Among them, although not exclusively, is involving the private sector. To make the private sector more productive, the process entails supporting its adaptation to climate change. Evidence, however, showed that the private sector is not currently actively participating in Ghana's efforts to prevent climate transformation and </w:t>
      </w:r>
      <w:r w:rsidRPr="00895D0B">
        <w:rPr>
          <w:rFonts w:cs="Times New Roman"/>
          <w:color w:val="000000" w:themeColor="text1"/>
          <w:szCs w:val="24"/>
        </w:rPr>
        <w:lastRenderedPageBreak/>
        <w:t xml:space="preserve">adaptation in particular. To comply with the provisions of the 1979 Convention for the Suppression including All Forms of Discrimination Against Women, to which Ghana is a signatory, there is also a gender-responsive approach. The need of promoting gender equality is emphasized in light of both SDG 5 and the Ghana National Gender Policy (2015). The importance of the horizontal and vertical integration strategy cannot be overstated. According to the NAP Framework, Ghana uses vertical and horizontal connectivity in its adaptation planning activities. Planned and strategic connections between national and sub-national adaptation planning, execution, monitoring, and assessment are made through the vertical integration process </w:t>
      </w:r>
      <w:r w:rsidRPr="00895D0B">
        <w:rPr>
          <w:rFonts w:cs="Times New Roman"/>
          <w:color w:val="000000" w:themeColor="text1"/>
          <w:szCs w:val="24"/>
        </w:rPr>
        <w:fldChar w:fldCharType="begin" w:fldLock="1"/>
      </w:r>
      <w:r w:rsidR="006E6AF5" w:rsidRPr="00895D0B">
        <w:rPr>
          <w:rFonts w:cs="Times New Roman"/>
          <w:color w:val="000000" w:themeColor="text1"/>
          <w:szCs w:val="24"/>
        </w:rPr>
        <w:instrText>ADDIN CSL_CITATION {"citationItems":[{"id":"ITEM-1","itemData":{"abstract":"Significant additional capacity building within government, including local governments, and support for vulnerable populations is needed for Burkina Faso to maintain the development gains achieved in recent years. Of particular concern are the country’s agricultural capacity, and the population’s limited access to medical professionals and improved sanitation facilities. High dependence on climate-sensitive livelihoods — agriculture, pastoralism, forestry and fisheries, leave Burkina Faso vulnerable. The issues are explored in this paper, which is one in a series of country reviews prepared to provide the Collaborative Adaptation Research Initiative in Africa and Asia (CARIAA) with a snapshot of adaptation action in its countries of engagement.","author":[{"dropping-particle":"","family":"Dazé","given":"A.","non-dropping-particle":"","parse-names":false,"suffix":""},{"dropping-particle":"","family":"Echeverría","given":"D.","non-dropping-particle":"","parse-names":false,"suffix":""}],"container-title":"CARIAA Working Paper no. 20","id":"ITEM-1","issued":{"date-parts":[["2016"]]},"number-of-pages":"72","title":"Review of Current and Planned Adaptation Action in Nepal","type":"report"},"uris":["http://www.mendeley.com/documents/?uuid=9a639bd7-1464-450e-a043-53a960990b37"]}],"mendeley":{"formattedCitation":"(Dazé &amp; Echeverría, 2016)","plainTextFormattedCitation":"(Dazé &amp; Echeverría, 2016)","previouslyFormattedCitation":"(Dazé &amp; Echeverría, 2016)"},"properties":{"noteIndex":0},"schema":"https://github.com/citation-style-language/schema/raw/master/csl-citation.json"}</w:instrText>
      </w:r>
      <w:r w:rsidRPr="00895D0B">
        <w:rPr>
          <w:rFonts w:cs="Times New Roman"/>
          <w:color w:val="000000" w:themeColor="text1"/>
          <w:szCs w:val="24"/>
        </w:rPr>
        <w:fldChar w:fldCharType="separate"/>
      </w:r>
      <w:r w:rsidR="006E6AF5" w:rsidRPr="00895D0B">
        <w:rPr>
          <w:rFonts w:cs="Times New Roman"/>
          <w:noProof/>
          <w:color w:val="000000" w:themeColor="text1"/>
          <w:szCs w:val="24"/>
        </w:rPr>
        <w:t>(Dazé &amp; Echeverría, 2016)</w:t>
      </w:r>
      <w:r w:rsidRPr="00895D0B">
        <w:rPr>
          <w:rFonts w:cs="Times New Roman"/>
          <w:color w:val="000000" w:themeColor="text1"/>
          <w:szCs w:val="24"/>
        </w:rPr>
        <w:fldChar w:fldCharType="end"/>
      </w:r>
      <w:r w:rsidRPr="00895D0B">
        <w:rPr>
          <w:rFonts w:cs="Times New Roman"/>
          <w:color w:val="000000" w:themeColor="text1"/>
          <w:szCs w:val="24"/>
        </w:rPr>
        <w:t xml:space="preserve">. Planning for institutional capacity and knowledge transfer will be essential for successful vertical integration </w:t>
      </w:r>
      <w:r w:rsidRPr="00895D0B">
        <w:rPr>
          <w:rFonts w:cs="Times New Roman"/>
          <w:color w:val="000000" w:themeColor="text1"/>
          <w:szCs w:val="24"/>
        </w:rPr>
        <w:fldChar w:fldCharType="begin" w:fldLock="1"/>
      </w:r>
      <w:r w:rsidR="006E6AF5" w:rsidRPr="00895D0B">
        <w:rPr>
          <w:rFonts w:cs="Times New Roman"/>
          <w:color w:val="000000" w:themeColor="text1"/>
          <w:szCs w:val="24"/>
        </w:rPr>
        <w:instrText>ADDIN CSL_CITATION {"citationItems":[{"id":"ITEM-1","itemData":{"abstract":"Significant additional capacity building within government, including local governments, and support for vulnerable populations is needed for Burkina Faso to maintain the development gains achieved in recent years. Of particular concern are the country’s agricultural capacity, and the population’s limited access to medical professionals and improved sanitation facilities. High dependence on climate-sensitive livelihoods — agriculture, pastoralism, forestry and fisheries, leave Burkina Faso vulnerable. The issues are explored in this paper, which is one in a series of country reviews prepared to provide the Collaborative Adaptation Research Initiative in Africa and Asia (CARIAA) with a snapshot of adaptation action in its countries of engagement.","author":[{"dropping-particle":"","family":"Dazé","given":"A.","non-dropping-particle":"","parse-names":false,"suffix":""},{"dropping-particle":"","family":"Echeverría","given":"D.","non-dropping-particle":"","parse-names":false,"suffix":""}],"container-title":"CARIAA Working Paper no. 20","id":"ITEM-1","issued":{"date-parts":[["2016"]]},"number-of-pages":"72","title":"Review of Current and Planned Adaptation Action in Nepal","type":"report"},"uris":["http://www.mendeley.com/documents/?uuid=9a639bd7-1464-450e-a043-53a960990b37"]}],"mendeley":{"formattedCitation":"(Dazé &amp; Echeverría, 2016)","plainTextFormattedCitation":"(Dazé &amp; Echeverría, 2016)","previouslyFormattedCitation":"(Dazé &amp; Echeverría, 2016)"},"properties":{"noteIndex":0},"schema":"https://github.com/citation-style-language/schema/raw/master/csl-citation.json"}</w:instrText>
      </w:r>
      <w:r w:rsidRPr="00895D0B">
        <w:rPr>
          <w:rFonts w:cs="Times New Roman"/>
          <w:color w:val="000000" w:themeColor="text1"/>
          <w:szCs w:val="24"/>
        </w:rPr>
        <w:fldChar w:fldCharType="separate"/>
      </w:r>
      <w:r w:rsidR="006E6AF5" w:rsidRPr="00895D0B">
        <w:rPr>
          <w:rFonts w:cs="Times New Roman"/>
          <w:noProof/>
          <w:color w:val="000000" w:themeColor="text1"/>
          <w:szCs w:val="24"/>
        </w:rPr>
        <w:t>(Dazé &amp; Echeverría, 2016)</w:t>
      </w:r>
      <w:r w:rsidRPr="00895D0B">
        <w:rPr>
          <w:rFonts w:cs="Times New Roman"/>
          <w:color w:val="000000" w:themeColor="text1"/>
          <w:szCs w:val="24"/>
        </w:rPr>
        <w:fldChar w:fldCharType="end"/>
      </w:r>
      <w:r w:rsidRPr="00895D0B">
        <w:rPr>
          <w:rFonts w:cs="Times New Roman"/>
          <w:color w:val="000000" w:themeColor="text1"/>
          <w:szCs w:val="24"/>
        </w:rPr>
        <w:t xml:space="preserve">. </w:t>
      </w:r>
    </w:p>
    <w:p w14:paraId="150BD2FF" w14:textId="77777777" w:rsidR="001B4ED5" w:rsidRPr="00895D0B" w:rsidRDefault="001B4ED5" w:rsidP="000778C3">
      <w:pPr>
        <w:pStyle w:val="NoSpacing"/>
      </w:pPr>
    </w:p>
    <w:p w14:paraId="01AA3D42" w14:textId="6333F976" w:rsidR="001B4ED5" w:rsidRDefault="006B41C0">
      <w:pPr>
        <w:spacing w:line="360" w:lineRule="auto"/>
        <w:rPr>
          <w:rFonts w:cs="Times New Roman"/>
          <w:color w:val="000000" w:themeColor="text1"/>
          <w:szCs w:val="24"/>
        </w:rPr>
      </w:pPr>
      <w:r w:rsidRPr="00895D0B">
        <w:rPr>
          <w:rFonts w:cs="Times New Roman"/>
          <w:i/>
          <w:color w:val="000000" w:themeColor="text1"/>
          <w:szCs w:val="24"/>
        </w:rPr>
        <w:t>Horizontal and Vertical Integration</w:t>
      </w:r>
      <w:r w:rsidRPr="00895D0B">
        <w:rPr>
          <w:rFonts w:cs="Times New Roman"/>
          <w:color w:val="000000" w:themeColor="text1"/>
          <w:szCs w:val="24"/>
        </w:rPr>
        <w:t xml:space="preserve"> – The NAP would utilize both Ghana's adaptation planning techniques, which include horizontal and vertical integration. A "vertical integration" is the "process of developing purposeful and strategic linkages between national and sub-national adaptation planning, implementation, and monitoring and evaluation" </w:t>
      </w:r>
      <w:r w:rsidRPr="00895D0B">
        <w:rPr>
          <w:rFonts w:cs="Times New Roman"/>
          <w:color w:val="000000" w:themeColor="text1"/>
          <w:szCs w:val="24"/>
        </w:rPr>
        <w:fldChar w:fldCharType="begin" w:fldLock="1"/>
      </w:r>
      <w:r w:rsidR="006E6AF5" w:rsidRPr="00895D0B">
        <w:rPr>
          <w:rFonts w:cs="Times New Roman"/>
          <w:color w:val="000000" w:themeColor="text1"/>
          <w:szCs w:val="24"/>
        </w:rPr>
        <w:instrText>ADDIN CSL_CITATION {"citationItems":[{"id":"ITEM-1","itemData":{"abstract":"Significant additional capacity building within government, including local governments, and support for vulnerable populations is needed for Burkina Faso to maintain the development gains achieved in recent years. Of particular concern are the country’s agricultural capacity, and the population’s limited access to medical professionals and improved sanitation facilities. High dependence on climate-sensitive livelihoods — agriculture, pastoralism, forestry and fisheries, leave Burkina Faso vulnerable. The issues are explored in this paper, which is one in a series of country reviews prepared to provide the Collaborative Adaptation Research Initiative in Africa and Asia (CARIAA) with a snapshot of adaptation action in its countries of engagement.","author":[{"dropping-particle":"","family":"Dazé","given":"A.","non-dropping-particle":"","parse-names":false,"suffix":""},{"dropping-particle":"","family":"Echeverría","given":"D.","non-dropping-particle":"","parse-names":false,"suffix":""}],"container-title":"CARIAA Working Paper no. 20","id":"ITEM-1","issued":{"date-parts":[["2016"]]},"number-of-pages":"72","title":"Review of Current and Planned Adaptation Action in Nepal","type":"report"},"uris":["http://www.mendeley.com/documents/?uuid=9a639bd7-1464-450e-a043-53a960990b37"]}],"mendeley":{"formattedCitation":"(Dazé &amp; Echeverría, 2016)","manualFormatting":"(Dazé &amp; Echeverría, 2016 pg 4)","plainTextFormattedCitation":"(Dazé &amp; Echeverría, 2016)","previouslyFormattedCitation":"(Dazé &amp; Echeverría, 2016)"},"properties":{"noteIndex":0},"schema":"https://github.com/citation-style-language/schema/raw/master/csl-citation.json"}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(Dazé &amp; Echeverría, 2016 pg 4)</w:t>
      </w:r>
      <w:r w:rsidRPr="00895D0B">
        <w:rPr>
          <w:rFonts w:cs="Times New Roman"/>
          <w:color w:val="000000" w:themeColor="text1"/>
          <w:szCs w:val="24"/>
        </w:rPr>
        <w:fldChar w:fldCharType="end"/>
      </w:r>
      <w:r w:rsidRPr="00895D0B">
        <w:rPr>
          <w:rFonts w:cs="Times New Roman"/>
          <w:color w:val="000000" w:themeColor="text1"/>
          <w:szCs w:val="24"/>
        </w:rPr>
        <w:t xml:space="preserve">.  It underlines the importance of embedding climate resilience into national and sub-national institutions, particularly district implementation plans, and is related to the decentralization movement happening in Ghana. Knowledge transfer and information sharing are crucial for strategic alliance success, hence these variables should be prepared for </w:t>
      </w:r>
      <w:r w:rsidRPr="00895D0B">
        <w:rPr>
          <w:rFonts w:cs="Times New Roman"/>
          <w:color w:val="000000" w:themeColor="text1"/>
          <w:szCs w:val="24"/>
        </w:rPr>
        <w:fldChar w:fldCharType="begin" w:fldLock="1"/>
      </w:r>
      <w:r w:rsidR="006E6AF5" w:rsidRPr="00895D0B">
        <w:rPr>
          <w:rFonts w:cs="Times New Roman"/>
          <w:color w:val="000000" w:themeColor="text1"/>
          <w:szCs w:val="24"/>
        </w:rPr>
        <w:instrText>ADDIN CSL_CITATION {"citationItems":[{"id":"ITEM-1","itemData":{"abstract":"Significant additional capacity building within government, including local governments, and support for vulnerable populations is needed for Burkina Faso to maintain the development gains achieved in recent years. Of particular concern are the country’s agricultural capacity, and the population’s limited access to medical professionals and improved sanitation facilities. High dependence on climate-sensitive livelihoods — agriculture, pastoralism, forestry and fisheries, leave Burkina Faso vulnerable. The issues are explored in this paper, which is one in a series of country reviews prepared to provide the Collaborative Adaptation Research Initiative in Africa and Asia (CARIAA) with a snapshot of adaptation action in its countries of engagement.","author":[{"dropping-particle":"","family":"Dazé","given":"A.","non-dropping-particle":"","parse-names":false,"suffix":""},{"dropping-particle":"","family":"Echeverría","given":"D.","non-dropping-particle":"","parse-names":false,"suffix":""}],"container-title":"CARIAA Working Paper no. 20","id":"ITEM-1","issued":{"date-parts":[["2016"]]},"number-of-pages":"72","title":"Review of Current and Planned Adaptation Action in Nepal","type":"report"},"uris":["http://www.mendeley.com/documents/?uuid=9a639bd7-1464-450e-a043-53a960990b37"]}],"mendeley":{"formattedCitation":"(Dazé &amp; Echeverría, 2016)","plainTextFormattedCitation":"(Dazé &amp; Echeverría, 2016)","previouslyFormattedCitation":"(Dazé &amp; Echeverría, 2016)"},"properties":{"noteIndex":0},"schema":"https://github.com/citation-style-language/schema/raw/master/csl-citation.json"}</w:instrText>
      </w:r>
      <w:r w:rsidRPr="00895D0B">
        <w:rPr>
          <w:rFonts w:cs="Times New Roman"/>
          <w:color w:val="000000" w:themeColor="text1"/>
          <w:szCs w:val="24"/>
        </w:rPr>
        <w:fldChar w:fldCharType="separate"/>
      </w:r>
      <w:r w:rsidR="006E6AF5" w:rsidRPr="00895D0B">
        <w:rPr>
          <w:rFonts w:cs="Times New Roman"/>
          <w:noProof/>
          <w:color w:val="000000" w:themeColor="text1"/>
          <w:szCs w:val="24"/>
        </w:rPr>
        <w:t>(Dazé &amp; Echeverría, 2016)</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i/>
          <w:color w:val="000000" w:themeColor="text1"/>
          <w:szCs w:val="24"/>
        </w:rPr>
        <w:t>Prioritization of the Ecosystem-Based Adaptation Approach</w:t>
      </w:r>
      <w:r w:rsidRPr="00895D0B">
        <w:rPr>
          <w:rFonts w:cs="Times New Roman"/>
          <w:color w:val="000000" w:themeColor="text1"/>
          <w:szCs w:val="24"/>
        </w:rPr>
        <w:t xml:space="preserve"> –  The NAP process will also include an ecosystem-based approach (EBA), which puts ecosystems at the core of adaptation planning, to enhance ecosystems while preserving biodiversity. The NCCP and NCCAS both place a strong emphasis on how Ghana's various populations rely on ecosystems, particularly marine, aquatic, and forest resources, for a range of environmental services, economic possibilities, and linked livelihoods. </w:t>
      </w:r>
      <w:r w:rsidRPr="00895D0B">
        <w:rPr>
          <w:rFonts w:cs="Times New Roman"/>
          <w:i/>
          <w:color w:val="000000" w:themeColor="text1"/>
          <w:szCs w:val="24"/>
        </w:rPr>
        <w:t>Harmonizing Timeframes</w:t>
      </w:r>
      <w:r w:rsidRPr="00895D0B">
        <w:rPr>
          <w:rFonts w:cs="Times New Roman"/>
          <w:color w:val="000000" w:themeColor="text1"/>
          <w:szCs w:val="24"/>
        </w:rPr>
        <w:t xml:space="preserve"> – Another strategy is to implement the NAP process using harmonising timeframes, which follow international standards. The strategy aims to implement both long-term and short-term climate change adaptation in order to address Ghana's development concerns. The majority of Ghana's developmental concerns are currently cantered on vulnerability without any long-term goals connected to climate change responses. </w:t>
      </w:r>
      <w:r w:rsidRPr="00895D0B">
        <w:rPr>
          <w:rFonts w:cs="Times New Roman"/>
          <w:i/>
          <w:color w:val="000000" w:themeColor="text1"/>
          <w:szCs w:val="24"/>
        </w:rPr>
        <w:t xml:space="preserve">Managing Potential Trade-offs – </w:t>
      </w:r>
      <w:r w:rsidRPr="00895D0B">
        <w:rPr>
          <w:rFonts w:cs="Times New Roman"/>
          <w:color w:val="000000" w:themeColor="text1"/>
          <w:szCs w:val="24"/>
        </w:rPr>
        <w:t xml:space="preserve">There seems to be a mechanism regarding handling trade-offs in the NAP process. For </w:t>
      </w:r>
      <w:r w:rsidRPr="00895D0B">
        <w:rPr>
          <w:rFonts w:cs="Times New Roman"/>
          <w:color w:val="000000" w:themeColor="text1"/>
          <w:szCs w:val="24"/>
        </w:rPr>
        <w:lastRenderedPageBreak/>
        <w:t xml:space="preserve">instance, the NDC's emphasis toward increasing biofuels use could have an effect on the development of food crops, which would pose problems for food security. </w:t>
      </w:r>
    </w:p>
    <w:p w14:paraId="694998E4" w14:textId="77777777" w:rsidR="003C2830" w:rsidRPr="00895D0B" w:rsidRDefault="003C2830" w:rsidP="003C2830">
      <w:pPr>
        <w:pStyle w:val="NoSpacing"/>
      </w:pPr>
    </w:p>
    <w:p w14:paraId="7AFCBE6D" w14:textId="2E44EE95" w:rsidR="001B4ED5" w:rsidRPr="00895D0B" w:rsidRDefault="006B41C0" w:rsidP="003C2830">
      <w:pPr>
        <w:pStyle w:val="Heading6"/>
      </w:pPr>
      <w:bookmarkStart w:id="38" w:name="_Toc167368585"/>
      <w:r w:rsidRPr="00895D0B">
        <w:t xml:space="preserve">Table 2. </w:t>
      </w:r>
      <w:r w:rsidR="00895D0B" w:rsidRPr="00895D0B">
        <w:fldChar w:fldCharType="begin"/>
      </w:r>
      <w:r w:rsidR="00895D0B" w:rsidRPr="00895D0B">
        <w:instrText xml:space="preserve"> SEQ Table_2. \* ARABIC </w:instrText>
      </w:r>
      <w:r w:rsidR="00895D0B" w:rsidRPr="00895D0B">
        <w:fldChar w:fldCharType="separate"/>
      </w:r>
      <w:r w:rsidR="0026489B">
        <w:rPr>
          <w:noProof/>
        </w:rPr>
        <w:t>1</w:t>
      </w:r>
      <w:r w:rsidR="00895D0B" w:rsidRPr="00895D0B">
        <w:fldChar w:fldCharType="end"/>
      </w:r>
      <w:r w:rsidRPr="00895D0B">
        <w:t>: Climate Change Adaptation Policies Dimensions</w:t>
      </w:r>
      <w:bookmarkEnd w:id="38"/>
    </w:p>
    <w:tbl>
      <w:tblPr>
        <w:tblW w:w="8642" w:type="dxa"/>
        <w:tblLook w:val="04A0" w:firstRow="1" w:lastRow="0" w:firstColumn="1" w:lastColumn="0" w:noHBand="0" w:noVBand="1"/>
      </w:tblPr>
      <w:tblGrid>
        <w:gridCol w:w="1870"/>
        <w:gridCol w:w="6772"/>
      </w:tblGrid>
      <w:tr w:rsidR="00895D0B" w:rsidRPr="00895D0B" w14:paraId="6BC4B458" w14:textId="77777777">
        <w:tc>
          <w:tcPr>
            <w:tcW w:w="1870" w:type="dxa"/>
            <w:tcBorders>
              <w:top w:val="single" w:sz="4" w:space="0" w:color="auto"/>
              <w:left w:val="single" w:sz="4" w:space="0" w:color="auto"/>
              <w:bottom w:val="single" w:sz="4" w:space="0" w:color="auto"/>
              <w:right w:val="single" w:sz="4" w:space="0" w:color="auto"/>
            </w:tcBorders>
            <w:shd w:val="clear" w:color="auto" w:fill="auto"/>
          </w:tcPr>
          <w:p w14:paraId="4D22574E" w14:textId="77777777" w:rsidR="001B4ED5" w:rsidRPr="00895D0B" w:rsidRDefault="006B41C0" w:rsidP="004B317E">
            <w:pPr>
              <w:spacing w:line="276" w:lineRule="auto"/>
              <w:jc w:val="center"/>
              <w:rPr>
                <w:rFonts w:cs="Times New Roman"/>
                <w:b/>
                <w:color w:val="000000" w:themeColor="text1"/>
                <w:szCs w:val="24"/>
              </w:rPr>
            </w:pPr>
            <w:r w:rsidRPr="00895D0B">
              <w:rPr>
                <w:rFonts w:cs="Times New Roman"/>
                <w:b/>
                <w:color w:val="000000" w:themeColor="text1"/>
                <w:szCs w:val="24"/>
              </w:rPr>
              <w:t>Sector</w:t>
            </w:r>
          </w:p>
        </w:tc>
        <w:tc>
          <w:tcPr>
            <w:tcW w:w="6772" w:type="dxa"/>
            <w:tcBorders>
              <w:top w:val="single" w:sz="4" w:space="0" w:color="auto"/>
              <w:left w:val="single" w:sz="4" w:space="0" w:color="auto"/>
              <w:bottom w:val="single" w:sz="4" w:space="0" w:color="auto"/>
              <w:right w:val="single" w:sz="4" w:space="0" w:color="auto"/>
            </w:tcBorders>
            <w:shd w:val="clear" w:color="auto" w:fill="auto"/>
          </w:tcPr>
          <w:p w14:paraId="397C2C85" w14:textId="77777777" w:rsidR="001B4ED5" w:rsidRPr="00895D0B" w:rsidRDefault="006B41C0" w:rsidP="004B317E">
            <w:pPr>
              <w:spacing w:line="276" w:lineRule="auto"/>
              <w:jc w:val="center"/>
              <w:rPr>
                <w:rFonts w:cs="Times New Roman"/>
                <w:b/>
                <w:color w:val="000000" w:themeColor="text1"/>
                <w:szCs w:val="24"/>
              </w:rPr>
            </w:pPr>
            <w:r w:rsidRPr="00895D0B">
              <w:rPr>
                <w:rFonts w:cs="Times New Roman"/>
                <w:b/>
                <w:color w:val="000000" w:themeColor="text1"/>
                <w:szCs w:val="24"/>
              </w:rPr>
              <w:t>Priority adaptation strategies</w:t>
            </w:r>
          </w:p>
        </w:tc>
      </w:tr>
      <w:tr w:rsidR="00895D0B" w:rsidRPr="00895D0B" w14:paraId="1C63DB40" w14:textId="77777777">
        <w:tc>
          <w:tcPr>
            <w:tcW w:w="1870" w:type="dxa"/>
            <w:tcBorders>
              <w:top w:val="single" w:sz="4" w:space="0" w:color="auto"/>
              <w:left w:val="single" w:sz="4" w:space="0" w:color="auto"/>
              <w:bottom w:val="single" w:sz="4" w:space="0" w:color="auto"/>
              <w:right w:val="single" w:sz="4" w:space="0" w:color="auto"/>
            </w:tcBorders>
          </w:tcPr>
          <w:p w14:paraId="74477F7D" w14:textId="77777777" w:rsidR="001B4ED5" w:rsidRPr="00895D0B" w:rsidRDefault="006B41C0" w:rsidP="004B317E">
            <w:pPr>
              <w:spacing w:line="276" w:lineRule="auto"/>
              <w:rPr>
                <w:rFonts w:cs="Times New Roman"/>
                <w:color w:val="000000" w:themeColor="text1"/>
                <w:szCs w:val="24"/>
              </w:rPr>
            </w:pPr>
            <w:r w:rsidRPr="00895D0B">
              <w:rPr>
                <w:rFonts w:cs="Times New Roman"/>
                <w:color w:val="000000" w:themeColor="text1"/>
                <w:szCs w:val="24"/>
              </w:rPr>
              <w:t xml:space="preserve">Agriculture </w:t>
            </w:r>
          </w:p>
        </w:tc>
        <w:tc>
          <w:tcPr>
            <w:tcW w:w="6772" w:type="dxa"/>
            <w:tcBorders>
              <w:top w:val="single" w:sz="4" w:space="0" w:color="auto"/>
              <w:left w:val="single" w:sz="4" w:space="0" w:color="auto"/>
              <w:bottom w:val="single" w:sz="4" w:space="0" w:color="auto"/>
              <w:right w:val="single" w:sz="4" w:space="0" w:color="auto"/>
            </w:tcBorders>
          </w:tcPr>
          <w:p w14:paraId="75F2D16C"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 xml:space="preserve">Build farmer alertness of climatic issues </w:t>
            </w:r>
          </w:p>
          <w:p w14:paraId="7F59158A"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 xml:space="preserve">Reinforce farmer ability to increase agricultural output </w:t>
            </w:r>
          </w:p>
          <w:p w14:paraId="179C5256"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 xml:space="preserve">Build the capability of extension officers to better support adaptation by farmers </w:t>
            </w:r>
          </w:p>
          <w:p w14:paraId="630F62D0"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Promoting biodiversity conservation in the agricultural system</w:t>
            </w:r>
          </w:p>
          <w:p w14:paraId="604EC0E5"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 xml:space="preserve">Promoting climate-resilient crop and livestock production practices </w:t>
            </w:r>
          </w:p>
          <w:p w14:paraId="484AEA48"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 xml:space="preserve">Promoting technologies to reduce post-harvest losses </w:t>
            </w:r>
          </w:p>
          <w:p w14:paraId="7D0AA4DE"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Identifying and documenting indigenous adaptations measures</w:t>
            </w:r>
          </w:p>
        </w:tc>
      </w:tr>
      <w:tr w:rsidR="00895D0B" w:rsidRPr="00895D0B" w14:paraId="2BED3C05" w14:textId="77777777">
        <w:tc>
          <w:tcPr>
            <w:tcW w:w="1870" w:type="dxa"/>
            <w:tcBorders>
              <w:top w:val="single" w:sz="4" w:space="0" w:color="auto"/>
              <w:left w:val="single" w:sz="4" w:space="0" w:color="auto"/>
              <w:bottom w:val="single" w:sz="4" w:space="0" w:color="auto"/>
              <w:right w:val="single" w:sz="4" w:space="0" w:color="auto"/>
            </w:tcBorders>
          </w:tcPr>
          <w:p w14:paraId="3DDEF0CE" w14:textId="77777777" w:rsidR="001B4ED5" w:rsidRPr="00895D0B" w:rsidRDefault="006B41C0" w:rsidP="004B317E">
            <w:pPr>
              <w:spacing w:line="276" w:lineRule="auto"/>
              <w:rPr>
                <w:rFonts w:cs="Times New Roman"/>
                <w:color w:val="000000" w:themeColor="text1"/>
                <w:szCs w:val="24"/>
              </w:rPr>
            </w:pPr>
            <w:r w:rsidRPr="00895D0B">
              <w:rPr>
                <w:rFonts w:cs="Times New Roman"/>
                <w:color w:val="000000" w:themeColor="text1"/>
                <w:szCs w:val="24"/>
              </w:rPr>
              <w:t xml:space="preserve">Multi-sectoral </w:t>
            </w:r>
          </w:p>
        </w:tc>
        <w:tc>
          <w:tcPr>
            <w:tcW w:w="6772" w:type="dxa"/>
            <w:tcBorders>
              <w:top w:val="single" w:sz="4" w:space="0" w:color="auto"/>
              <w:left w:val="single" w:sz="4" w:space="0" w:color="auto"/>
              <w:bottom w:val="single" w:sz="4" w:space="0" w:color="auto"/>
              <w:right w:val="single" w:sz="4" w:space="0" w:color="auto"/>
            </w:tcBorders>
          </w:tcPr>
          <w:p w14:paraId="2CC8DE69"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Implement risk-reduction tactics at the local level.</w:t>
            </w:r>
          </w:p>
          <w:p w14:paraId="3109383D"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Create or enhance a network of fast disaster response teams. Develop or strengthen information management and early warning systems for floods and droughts.</w:t>
            </w:r>
          </w:p>
          <w:p w14:paraId="49BF4AAF"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Raise the incomes and productivity of vulnerable people.</w:t>
            </w:r>
          </w:p>
          <w:p w14:paraId="4AA10333"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Increase public understanding of climate change and coping mechanisms</w:t>
            </w:r>
          </w:p>
          <w:p w14:paraId="1E049D63"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Expand consumer access to financial services, particularly credit</w:t>
            </w:r>
          </w:p>
          <w:p w14:paraId="32169AFC"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Boost resources' financial and technical capabilities to facilitate adaption</w:t>
            </w:r>
          </w:p>
          <w:p w14:paraId="28447BFB"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Improve connections between scientific and indigenous knowledge</w:t>
            </w:r>
          </w:p>
          <w:p w14:paraId="66551C21"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Encourage the management of sustainable lands</w:t>
            </w:r>
          </w:p>
          <w:p w14:paraId="6A2516EC"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Improve universities' and research institutions' ability to conduct climate change research</w:t>
            </w:r>
          </w:p>
        </w:tc>
      </w:tr>
      <w:tr w:rsidR="00895D0B" w:rsidRPr="00895D0B" w14:paraId="03DC40E3" w14:textId="77777777">
        <w:tc>
          <w:tcPr>
            <w:tcW w:w="1870" w:type="dxa"/>
            <w:tcBorders>
              <w:top w:val="single" w:sz="4" w:space="0" w:color="auto"/>
              <w:left w:val="single" w:sz="4" w:space="0" w:color="auto"/>
              <w:bottom w:val="single" w:sz="4" w:space="0" w:color="auto"/>
              <w:right w:val="single" w:sz="4" w:space="0" w:color="auto"/>
            </w:tcBorders>
          </w:tcPr>
          <w:p w14:paraId="47244EF4" w14:textId="77777777" w:rsidR="001B4ED5" w:rsidRPr="00895D0B" w:rsidRDefault="006B41C0" w:rsidP="004B317E">
            <w:pPr>
              <w:spacing w:line="276" w:lineRule="auto"/>
              <w:rPr>
                <w:rFonts w:cs="Times New Roman"/>
                <w:color w:val="000000" w:themeColor="text1"/>
                <w:szCs w:val="24"/>
              </w:rPr>
            </w:pPr>
            <w:r w:rsidRPr="00895D0B">
              <w:rPr>
                <w:rFonts w:cs="Times New Roman"/>
                <w:color w:val="000000" w:themeColor="text1"/>
                <w:szCs w:val="24"/>
              </w:rPr>
              <w:t>Land use</w:t>
            </w:r>
          </w:p>
        </w:tc>
        <w:tc>
          <w:tcPr>
            <w:tcW w:w="6772" w:type="dxa"/>
            <w:tcBorders>
              <w:top w:val="single" w:sz="4" w:space="0" w:color="auto"/>
              <w:left w:val="single" w:sz="4" w:space="0" w:color="auto"/>
              <w:bottom w:val="single" w:sz="4" w:space="0" w:color="auto"/>
              <w:right w:val="single" w:sz="4" w:space="0" w:color="auto"/>
            </w:tcBorders>
          </w:tcPr>
          <w:p w14:paraId="56F5B6E3"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 xml:space="preserve">Review land-use policies to fill identified gaps </w:t>
            </w:r>
          </w:p>
          <w:p w14:paraId="2B7610E9"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Building the capacity of the vulnerable to use land resources sustainably</w:t>
            </w:r>
          </w:p>
          <w:p w14:paraId="6B738A71" w14:textId="77777777" w:rsidR="001B4ED5" w:rsidRPr="00895D0B" w:rsidRDefault="006B41C0" w:rsidP="004B317E">
            <w:pPr>
              <w:pStyle w:val="ListParagraph"/>
              <w:numPr>
                <w:ilvl w:val="0"/>
                <w:numId w:val="3"/>
              </w:numPr>
              <w:spacing w:line="276" w:lineRule="auto"/>
              <w:rPr>
                <w:rFonts w:cs="Times New Roman"/>
                <w:color w:val="000000" w:themeColor="text1"/>
                <w:szCs w:val="24"/>
              </w:rPr>
            </w:pPr>
            <w:r w:rsidRPr="00895D0B">
              <w:rPr>
                <w:rFonts w:cs="Times New Roman"/>
                <w:color w:val="000000" w:themeColor="text1"/>
                <w:szCs w:val="24"/>
              </w:rPr>
              <w:t xml:space="preserve">Promoting good farming practices </w:t>
            </w:r>
          </w:p>
          <w:p w14:paraId="4A92FC0C" w14:textId="77777777" w:rsidR="001B4ED5" w:rsidRPr="00895D0B" w:rsidRDefault="006B41C0" w:rsidP="004B317E">
            <w:pPr>
              <w:pStyle w:val="ListParagraph"/>
              <w:spacing w:line="276" w:lineRule="auto"/>
              <w:rPr>
                <w:rFonts w:cs="Times New Roman"/>
                <w:color w:val="000000" w:themeColor="text1"/>
                <w:szCs w:val="24"/>
              </w:rPr>
            </w:pPr>
            <w:r w:rsidRPr="00895D0B">
              <w:rPr>
                <w:rFonts w:cs="Times New Roman"/>
                <w:color w:val="000000" w:themeColor="text1"/>
                <w:szCs w:val="24"/>
              </w:rPr>
              <w:t xml:space="preserve">Support abilities of universities and research institutions to conduct studies on climate change </w:t>
            </w:r>
          </w:p>
        </w:tc>
      </w:tr>
    </w:tbl>
    <w:p w14:paraId="33B206DA" w14:textId="4029C147" w:rsidR="001B4ED5" w:rsidRPr="00895D0B"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{"citationItems":[{"id":"ITEM-1","itemData":{"ISBN":"9789820005174","ISSN":"1178-2293","abstract":"Human activities, particularly, the burning of fuels 1 , cutting down of forests and other agricultural activities (such as the application of fertilizer in addition to natural processes), release gases includ-ing Carbon Dioxide (CO 2), Methane (CH 4) and Nitrous Oxide (N 2 O) into the atmosphere. These gases, have the ability to trap the in-frared radiation (sun's energy), which reflects in the form of tem-perature. Continuation and exacerbation of the human activities has added to these gases resulting in an increase of the earth's surface temperature, sea level, precipitation, droughts and floods. Evidence abounds in Ghana that temperatures in all the ecological zones are rising, whereas rainfall levels have been generally reducing and patterns have increasingly becoming erratic. Ghana's economy is heavi-ly dependent on climate sensitive sectors such as agriculture, fisheries, tourism, forest sector, etc.. Some of the expected impacts are: Agriculture: Based on a 20-year baseline climate observation, it is projected that yields of maize and other cereal crop will reduce by 7% by 2050. Despite limited irrigation facilities \" agriculture is currently the big-gest contributor to Ghana's GDP. But over the last decade its contribution has declined from 51% to 36% of GDP. As a result, the rural poor now account for almost three quarters of Ghanaians who live below the poverty line \" (ABN, 07th Sept 2010). Increase in temperature, decrease in rainfall and its unpredictability is likely to jeopardize the employment of about 60% of the active population, the majority of whom are small scale rural farmers, resulting in unsustainable livelihoods with negative consequences for food inse-curity, poverty, health, education, gender equality and environmental degradation.","author":[{"dropping-particle":"","family":"Ministry of Enviroenment Science Technology and Innotaion (MESTI)","given":"","non-dropping-particle":"","parse-names":false,"suffix":""}],"container-title":"Atemwegs- und Lungenkrankheiten","id":"ITEM-1","issued":{"date-parts":[["2013"]]},"page":"1-88","title":"Ghana National Climate Change Policy Ministry.","type":"article-journal"},"uris":["http://www.mendeley.com/documents/?uuid=bb821ab2-836c-46ec-a314-33f7f5a7c2fb"]}],"mendeley":{"formattedCitation":"(Ministry of Enviroenment Science Technology and Innotaion (MESTI), 2013)","manualFormatting":"(Ministry of Environment Science Technology and Innovation (MESTI), 2013","plainTextFormattedCitation":"(Ministry of Enviroenment Science Technology and Innotaion (MESTI), 2013)","previouslyFormattedCitation":"(Ministry of Enviroenment Science Technology and Innotaion (MESTI),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(Ministry of Environment Science Technology and Innovation (MESTI), 2013</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0959-3780","ISSN":"1756-5529","PMID":"25246403","author":[{"dropping-particle":"","family":"UNEP","given":"","non-dropping-particle":"","parse-names":false,"suffix":""},{"dropping-particle":"","family":"UNDP","given":"","non-dropping-particle":"","parse-names":false,"suffix":""}],"container-title":"Global Environmental Change","id":"ITEM-1","issue":"1","issued":{"date-parts":[["2013"]]},"number-of-pages":"1-11","publisher-place":"Accra, Ghana","title":"National Climate Change Adaptation Strategy","type":"report","volume":"5"},"uris":["http://www.mendeley.com/documents/?uuid=8e517268-587f-4084-b77b-d7b1fccf0b67"]}],"mendeley":{"formattedCitation":"(UNEP &amp; UNDP, 2013)","manualFormatting":"UNEP &amp; UNDP, 2013)","plainTextFormattedCitation":"(UNEP &amp; UNDP, 2013)","previouslyFormattedCitation":"(UNEP &amp; UNDP,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UNEP &amp; UNDP, 2013)</w:t>
      </w:r>
      <w:r w:rsidRPr="00895D0B">
        <w:rPr>
          <w:rFonts w:cs="Times New Roman"/>
          <w:color w:val="000000" w:themeColor="text1"/>
          <w:szCs w:val="24"/>
        </w:rPr>
        <w:fldChar w:fldCharType="end"/>
      </w:r>
      <w:r w:rsidR="004A5C2D" w:rsidRPr="00895D0B">
        <w:rPr>
          <w:rFonts w:cs="Times New Roman"/>
          <w:color w:val="000000" w:themeColor="text1"/>
          <w:szCs w:val="24"/>
        </w:rPr>
        <w:t>.</w:t>
      </w:r>
    </w:p>
    <w:p w14:paraId="4FBDB07C" w14:textId="2DE7B43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lastRenderedPageBreak/>
        <w:t>The employment of irrigation technologies to improve food production is a problem in Ghana's NDC. However,</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{"citationItems":[{"id":"ITEM-1","itemData":{"DOI":"10.1016/j.crm.2017.11.003","ISSN":"22120963","abstract":"How climate change adaptation practices can constrain development and deliver maladaptive outcomes in vulnerability hotspots is yet to be explored in-depth using case study analyses. This paper explores the effects of climate change coping and adaptation responses in three case study villages across the Central Gonja district of northern Ghana. The study addresses the following research questions: i) What are the key climatic and non-climatic stressors confronting households in northern Ghanaian communities? ii) How are households adapting to climatic and non-climatic stressors? and iii) What are the outcomes of these coping and adaptation responses on development? The study employs a mixed-method approach including key informant interviews, focus group discussions and household questionnaire surveys. Data identified socioeconomic stressors including a lack of access to (and high cost of) farm inputs, labour shortages and population growth. Climatic stressors include erratic rainfall, high temperature, droughts and floods. Climatic and non-climatic stressors interact to affect agricultural practices and related livelihoods. The study identified various adaptation measures including extensification and intensification of agriculture, temporary migration, planting of drought resistant varieties, irrigation, and livelihood diversification. We show that many coping measures (e.g. livelihood diversifications activities such as selling of firewood and charcoal production) and adaptation responses (including intensification, extensification and irrigation) currently deliver maladaptive outcomes, resulting in lock-ins that could exacerbate future climate vulnerabilities. The paper contributes to the growing literature on adaptation and climate risk management by providing empirical evidence showing how coping and adaptations measures can deliver maladaptive outcomes in vulnerable communities.","author":[{"dropping-particle":"","family":"Antwi-Agyei","given":"P.","non-dropping-particle":"","parse-names":false,"suffix":""},{"dropping-particle":"","family":"Dougill","given":"A. J.","non-dropping-particle":"","parse-names":false,"suffix":""},{"dropping-particle":"","family":"Stringer","given":"L. C.","non-dropping-particle":"","parse-names":false,"suffix":""},{"dropping-particle":"","family":"Codjoe","given":"S. N. A.","non-dropping-particle":"","parse-names":false,"suffix":""}],"container-title":"Climate Risk Management","id":"ITEM-1","issued":{"date-parts":[["2018"]]},"page":"83-93","title":"Adaptation opportunities and maladaptive outcomes in climate vulnerability hotspots of northern Ghana","type":"article-journal","volume":"19"},"uris":["http://www.mendeley.com/documents/?uuid=f7a40090-5f9a-4659-939b-46d1fb01bc87"]}],"mendeley":{"formattedCitation":"(Antwi-Agyei et al., 2018)","manualFormatting":" Antwi-Agyei et al. (2018)","plainTextFormattedCitation":"(Antwi-Agyei et al., 2018)","previouslyFormattedCitation":"(Antwi-Agyei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 xml:space="preserve"> Antwi-Agyei et al. (2018)</w:t>
      </w:r>
      <w:r w:rsidRPr="00895D0B">
        <w:rPr>
          <w:rFonts w:cs="Times New Roman"/>
          <w:color w:val="000000" w:themeColor="text1"/>
          <w:szCs w:val="24"/>
        </w:rPr>
        <w:fldChar w:fldCharType="end"/>
      </w:r>
      <w:r w:rsidRPr="00895D0B">
        <w:rPr>
          <w:rFonts w:cs="Times New Roman"/>
          <w:color w:val="000000" w:themeColor="text1"/>
          <w:szCs w:val="24"/>
        </w:rPr>
        <w:t xml:space="preserve"> emphasized that </w:t>
      </w:r>
      <w:r w:rsidR="004A5C2D" w:rsidRPr="00895D0B">
        <w:rPr>
          <w:rFonts w:cs="Times New Roman"/>
          <w:color w:val="000000" w:themeColor="text1"/>
          <w:szCs w:val="24"/>
        </w:rPr>
        <w:t>irrigation</w:t>
      </w:r>
      <w:r w:rsidRPr="00895D0B">
        <w:rPr>
          <w:rFonts w:cs="Times New Roman"/>
          <w:color w:val="000000" w:themeColor="text1"/>
          <w:szCs w:val="24"/>
        </w:rPr>
        <w:t xml:space="preserve"> could serve as breeding grounds for mosquitoes, hence having health effects on the people around them. Climate change adaptations in Ghana under the NAP process </w:t>
      </w:r>
      <w:r w:rsidR="004A5C2D" w:rsidRPr="00895D0B">
        <w:rPr>
          <w:rFonts w:cs="Times New Roman"/>
          <w:color w:val="000000" w:themeColor="text1"/>
          <w:szCs w:val="24"/>
        </w:rPr>
        <w:t>entails the concentration of action plans on rural farmers particularly cocoa growing areas in the Southern part of the country. Meanwhile, n</w:t>
      </w:r>
      <w:r w:rsidRPr="00895D0B">
        <w:rPr>
          <w:rFonts w:cs="Times New Roman"/>
          <w:color w:val="000000" w:themeColor="text1"/>
          <w:szCs w:val="24"/>
        </w:rPr>
        <w:t xml:space="preserve">orthern Ghana is agriculture dominated and the majority of the residents drive their livelihood from </w:t>
      </w:r>
      <w:r w:rsidR="004A5C2D" w:rsidRPr="00895D0B">
        <w:rPr>
          <w:rFonts w:cs="Times New Roman"/>
          <w:color w:val="000000" w:themeColor="text1"/>
          <w:szCs w:val="24"/>
        </w:rPr>
        <w:t>farming</w:t>
      </w:r>
      <w:r w:rsidRPr="00895D0B">
        <w:rPr>
          <w:rFonts w:cs="Times New Roman"/>
          <w:color w:val="000000" w:themeColor="text1"/>
          <w:szCs w:val="24"/>
        </w:rPr>
        <w:t>, yet the majority of them are in the rural areas.</w:t>
      </w:r>
      <w:r w:rsidR="004A5C2D" w:rsidRPr="00895D0B">
        <w:rPr>
          <w:rFonts w:cs="Times New Roman"/>
          <w:color w:val="000000" w:themeColor="text1"/>
          <w:szCs w:val="24"/>
        </w:rPr>
        <w:t xml:space="preserve"> This makes NAP process in the northern part of Ghana also rural centered meanwhile there are pockets of urban food production activities within the urban neighbourhood. For instance, i</w:t>
      </w:r>
      <w:r w:rsidRPr="00895D0B">
        <w:rPr>
          <w:rFonts w:cs="Times New Roman"/>
          <w:color w:val="000000" w:themeColor="text1"/>
          <w:szCs w:val="24"/>
        </w:rPr>
        <w:t>n Tamale, urban agriculture takes the form of open space intra-urban sites, and open space peri-urban sites.</w:t>
      </w:r>
    </w:p>
    <w:p w14:paraId="2368B9C9" w14:textId="77777777" w:rsidR="00403790" w:rsidRPr="00895D0B" w:rsidRDefault="00403790" w:rsidP="004B317E">
      <w:pPr>
        <w:pStyle w:val="NoSpacing"/>
      </w:pPr>
    </w:p>
    <w:p w14:paraId="4923222F" w14:textId="24B4E02C" w:rsidR="00831189" w:rsidRPr="00895D0B" w:rsidRDefault="004E07C6" w:rsidP="003D0790">
      <w:pPr>
        <w:pStyle w:val="Heading2"/>
      </w:pPr>
      <w:bookmarkStart w:id="39" w:name="_Toc167379874"/>
      <w:r w:rsidRPr="00895D0B">
        <w:t>2.9</w:t>
      </w:r>
      <w:r w:rsidR="00831189" w:rsidRPr="00895D0B">
        <w:t xml:space="preserve"> </w:t>
      </w:r>
      <w:r w:rsidR="00831189" w:rsidRPr="003D0790">
        <w:t>Theoretical</w:t>
      </w:r>
      <w:r w:rsidR="00831189" w:rsidRPr="00895D0B">
        <w:t xml:space="preserve"> Overview</w:t>
      </w:r>
      <w:bookmarkEnd w:id="39"/>
      <w:r w:rsidR="00831189" w:rsidRPr="00895D0B">
        <w:t xml:space="preserve"> </w:t>
      </w:r>
    </w:p>
    <w:p w14:paraId="63E331F3" w14:textId="77777777" w:rsidR="00831189" w:rsidRPr="00895D0B" w:rsidRDefault="00831189" w:rsidP="00831189">
      <w:pPr>
        <w:spacing w:after="4" w:line="360" w:lineRule="auto"/>
        <w:ind w:left="-5" w:right="14"/>
        <w:rPr>
          <w:rFonts w:cs="Times New Roman"/>
          <w:color w:val="000000" w:themeColor="text1"/>
          <w:szCs w:val="24"/>
        </w:rPr>
      </w:pPr>
      <w:r w:rsidRPr="00895D0B">
        <w:rPr>
          <w:rFonts w:cs="Times New Roman"/>
          <w:color w:val="000000" w:themeColor="text1"/>
          <w:szCs w:val="24"/>
        </w:rPr>
        <w:t>The study applied the social practice theory to understand urban households’ engagement in urban farming. This include how they are adapting to climatic stressors. These are highlighted subsequently in this section.</w:t>
      </w:r>
    </w:p>
    <w:p w14:paraId="1E001F0E" w14:textId="77777777" w:rsidR="00831189" w:rsidRPr="00895D0B" w:rsidRDefault="00831189" w:rsidP="003D0790">
      <w:pPr>
        <w:pStyle w:val="NoSpacing"/>
      </w:pPr>
    </w:p>
    <w:p w14:paraId="05B42585" w14:textId="6A5664AD" w:rsidR="00831189" w:rsidRPr="00895D0B" w:rsidRDefault="004E07C6" w:rsidP="009864E3">
      <w:pPr>
        <w:pStyle w:val="Heading3"/>
      </w:pPr>
      <w:bookmarkStart w:id="40" w:name="_Toc167379875"/>
      <w:r w:rsidRPr="00895D0B">
        <w:t>2.9</w:t>
      </w:r>
      <w:r w:rsidR="00831189" w:rsidRPr="00895D0B">
        <w:t>.1 The Social Practice Theory</w:t>
      </w:r>
      <w:bookmarkEnd w:id="40"/>
    </w:p>
    <w:p w14:paraId="6B101317" w14:textId="77777777" w:rsidR="00831189" w:rsidRPr="00895D0B" w:rsidRDefault="00831189" w:rsidP="00831189">
      <w:pPr>
        <w:spacing w:line="360" w:lineRule="auto"/>
        <w:ind w:right="13"/>
        <w:rPr>
          <w:rFonts w:cs="Times New Roman"/>
          <w:color w:val="000000" w:themeColor="text1"/>
          <w:szCs w:val="24"/>
        </w:rPr>
      </w:pPr>
      <w:r w:rsidRPr="00895D0B">
        <w:rPr>
          <w:rFonts w:cs="Times New Roman"/>
          <w:color w:val="000000" w:themeColor="text1"/>
          <w:szCs w:val="24"/>
        </w:rPr>
        <w:t xml:space="preserve">The social practice theory was first used in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{"citationItems":[{"id":"ITEM-1","itemData":{"DOI":"10.4324/9781003115083-9","abstract":"Our usual representations of the opposition between the \"civilized\" and the \"primitive\" derive from willfully ignoring the relationship of distance our social science sets up between the observer and the observed. In fact, the author argues, the relationship between the anthropologist and his object of study is a particular instance of the relationship between knowing and doing, interpreting and using, symbolic mastery and practical mastery—or between logical logic, armed with all the accumulated instruments of objectification, and the universally pre-logical logic of practice.","author":[{"dropping-particle":"","family":"Bourdieu","given":"P.","non-dropping-particle":"","parse-names":false,"suffix":""}],"container-title":"Bourdieu","id":"ITEM-1","issued":{"date-parts":[["1972"]]},"page":"208-239","title":"The logic of practice","type":"article-journal"},"uris":["http://www.mendeley.com/documents/?uuid=1877560a-e67e-4c42-9df3-bd48261091c2"]}],"mendeley":{"formattedCitation":"(Bourdieu, 1972)","manualFormatting":"Bourdieu (1972)","plainTextFormattedCitation":"(Bourdieu, 1972)","previouslyFormattedCitation":"(Bourdieu, 1972)"},"properties":{"noteIndex":0},"schema":"https://github.com/citation-style-language/schema/raw/master/csl-citation.json"}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Bourdieu (1972)</w:t>
      </w:r>
      <w:r w:rsidRPr="00895D0B">
        <w:rPr>
          <w:rFonts w:cs="Times New Roman"/>
          <w:color w:val="000000" w:themeColor="text1"/>
          <w:szCs w:val="24"/>
        </w:rPr>
        <w:fldChar w:fldCharType="end"/>
      </w:r>
      <w:r w:rsidRPr="00895D0B">
        <w:rPr>
          <w:rFonts w:cs="Times New Roman"/>
          <w:color w:val="000000" w:themeColor="text1"/>
          <w:szCs w:val="24"/>
        </w:rPr>
        <w:t xml:space="preserve"> to explain how practices in our society are influenced by our believes and norms. The Social practice theory serves as the study's guiding theoretical framework in urban agricultural practices. The theory presumes that as a consumer-focused approach, the social practice theory has entered the field of environmental sociology and is challenging the established theories of pro-environmental behaviour change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{"citationItems":[{"id":"ITEM-1","itemData":{"DOI":"10.4324/9780203335697-23","ISBN":"9780203335697","author":[{"dropping-particle":"","family":"Reckwitz","given":"A.","non-dropping-particle":"","parse-names":false,"suffix":""}],"container-title":"Practicing History: New Directions in Historical Writing after the Linguistic Turn","id":"ITEM-1","issue":"2","issued":{"date-parts":[["2004"]]},"page":"245-263","title":"Toward a theory of social practices: A development in culturalist theorizing","type":"article-journal","volume":"5"},"uris":["http://www.mendeley.com/documents/?uuid=c43890cd-ff90-4348-8c91-22036fe8ba66"]}],"mendeley":{"formattedCitation":"(Reckwitz, 2004)","plainTextFormattedCitation":"(Reckwitz, 2004)","previouslyFormattedCitation":"(Reckwitz, 2004)"},"properties":{"noteIndex":0},"schema":"https://github.com/citation-style-language/schema/raw/master/csl-citation.json"}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(Reckwitz, 2004)</w:t>
      </w:r>
      <w:r w:rsidRPr="00895D0B">
        <w:rPr>
          <w:rFonts w:cs="Times New Roman"/>
          <w:color w:val="000000" w:themeColor="text1"/>
          <w:szCs w:val="24"/>
        </w:rPr>
        <w:fldChar w:fldCharType="end"/>
      </w:r>
      <w:r w:rsidRPr="00895D0B">
        <w:rPr>
          <w:rFonts w:cs="Times New Roman"/>
          <w:color w:val="000000" w:themeColor="text1"/>
          <w:szCs w:val="24"/>
        </w:rPr>
        <w:t xml:space="preserve">. Marxism, existentialism, pragmatism, and analytical philosophy serve as their philosophical pillars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{"citationItems":[{"id":"ITEM-1","itemData":{"DOI":"10.1177/0170840609349860","ISSN":"01708406","abstract":"The study of practices has a long theoretical history and draws on a wide range of methods. This introductory essay sets the stage for the five articles presented in this Special Issue by explaining its background and providing one narrative of the theoretical background on which both its editors and the authors of its articles, in one way or another, draw and to which the latter make explicit or implicit reference. © The Author(s), 2009.","author":[{"dropping-particle":"","family":"Miettinen","given":"Reijo","non-dropping-particle":"","parse-names":false,"suffix":""},{"dropping-particle":"","family":"Samra-Fredericks","given":"Dalvir","non-dropping-particle":"","parse-names":false,"suffix":""},{"dropping-particle":"","family":"Yanow","given":"Dvora","non-dropping-particle":"","parse-names":false,"suffix":""}],"container-title":"Organization Studies","id":"ITEM-1","issue":"12","issued":{"date-parts":[["2009"]]},"page":"1309-1327","title":"Re-turn to practice: An introductory essay","type":"article-journal","volume":"30"},"uris":["http://www.mendeley.com/documents/?uuid=79158091-c942-4dc2-b4c4-a6a6c7e849b1"]}],"mendeley":{"formattedCitation":"(Miettinen et al., 2009)","plainTextFormattedCitation":"(Miettinen et al., 2009)","previouslyFormattedCitation":"(Miettinen et al., 2009)"},"properties":{"noteIndex":0},"schema":"https://github.com/citation-style-language/schema/raw/master/csl-citation.json"}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(Miettinen et al., 2009)</w:t>
      </w:r>
      <w:r w:rsidRPr="00895D0B">
        <w:rPr>
          <w:rFonts w:cs="Times New Roman"/>
          <w:color w:val="000000" w:themeColor="text1"/>
          <w:szCs w:val="24"/>
        </w:rPr>
        <w:fldChar w:fldCharType="end"/>
      </w:r>
      <w:r w:rsidRPr="00895D0B">
        <w:rPr>
          <w:rFonts w:cs="Times New Roman"/>
          <w:color w:val="000000" w:themeColor="text1"/>
          <w:szCs w:val="24"/>
        </w:rPr>
        <w:t xml:space="preserve">. Since it primarily relies on a cognitive and psychological approach, the conventional policy paradigm for promoting sustainable behaviour has been challenged as inadequate and unable to fulfil its purpose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{"citationItems":[{"id":"ITEM-1","itemData":{"DOI":"10.4337/9781784710606.00009","ISBN":"9781784710606","abstract":"Social practice theories are the subject of much discussion among those who study sustainability. Using social practice theories to analyze how routinized activity can contribute to unsustainability problems has resulted in a great deal of stimulating scholarship. In this introductory chapter, we begin by venturing back to some of the early work on social practices and offer an account of key theoretical contributions to the contemporary study of sustainable consumption. Our review indicates that concepts from Anthony Giddens’ theory of practice have had considerably more impact on the study of sustainable consumption than the practice-based concepts that Pierre Bourdieu developed. We suggest that this may have led to overlooking the power relations that keep certain materially consumptive social practices firmly rooted in everyday routines. The chapters in this volume advance current theorizing at the nexus of social practices and sustainable consumption. The chapters in Part II explore how the study of sustainable consumption must move beyond the household and into the public sphere. The third Part, ‘Collective Dimensions of Household Practices’, illustrates how the routines in a household such as driving and eating are shaped by societal variables and thus are not a reflection of individual agency. Part IV, ‘Sustainable Consumption and Social Innovation’, examines shifts in systems of provision that shape daily routines that have environmental consequences.","author":[{"dropping-particle":"","family":"Kennedy","given":"E. H.","non-dropping-particle":"","parse-names":false,"suffix":""},{"dropping-particle":"","family":"Cohen","given":"M. J.","non-dropping-particle":"","parse-names":false,"suffix":""},{"dropping-particle":"","family":"Krogman","given":"N. T.","non-dropping-particle":"","parse-names":false,"suffix":""}],"container-title":"Putting Sustainability into Practice: Applications and Advances in Research on Sustainable Consumption","id":"ITEM-1","issue":"Standing","issued":{"date-parts":[["2015"]]},"page":"3-22","title":"Social practice theories and research on sustainable consumption","type":"article-journal"},"uris":["http://www.mendeley.com/documents/?uuid=f0c0606d-4361-4606-a666-0bd9f809f4b3"]}],"mendeley":{"formattedCitation":"(Kennedy et al., 2015)","manualFormatting":"(Kennedy et al., 2015)","plainTextFormattedCitation":"(Kennedy et al., 2015)","previouslyFormattedCitation":"(Kennedy et al., 2015)"},"properties":{"noteIndex":0},"schema":"https://github.com/citation-style-language/schema/raw/master/csl-citation.json"}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(Kennedy et al., 2015)</w:t>
      </w:r>
      <w:r w:rsidRPr="00895D0B">
        <w:rPr>
          <w:rFonts w:cs="Times New Roman"/>
          <w:color w:val="000000" w:themeColor="text1"/>
          <w:szCs w:val="24"/>
        </w:rPr>
        <w:fldChar w:fldCharType="end"/>
      </w:r>
      <w:r w:rsidRPr="00895D0B">
        <w:rPr>
          <w:rFonts w:cs="Times New Roman"/>
          <w:color w:val="000000" w:themeColor="text1"/>
          <w:szCs w:val="24"/>
        </w:rPr>
        <w:t xml:space="preserve">. According to Shove, this is because it disregards the larger social context in which individuals behave, exist, and interact with one another as well as the interactions between action and structure or between micro and macro levels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{"citationItems":[{"id":"ITEM-1","itemData":{"DOI":"10.1177/1469540510390500","ISSN":"14695405","abstract":"This article applies the insights of social practice theory to the study of proenvironmental behaviour change through an ethnographic case study (nine months of participant observation and 38 semi-structured interviews) of a behaviour change initiative - Environment Champions - that occurred in a workplace. In contrast to conventional, individualistic and rationalist approaches to behaviour change, social practice theory de-centres individuals from analyses, and turns attention instead towards the social and collective organization of practices - broad cultural entities that shape individuals' perceptions, interpretations and actions within the world. By considering the planning and delivery of the Environment Champions initiative, the article suggests that practice theory provides a more holistic and grounded perspective on behaviour change processes as they occur in situ. In so doing, it offers up a wide range of mundane footholds for behavioural change, over and above individuals' attitudes or values. At the same time, it reveals the profound difficulties encountered in attempts to challenge and change practices, difficulties that extend far beyond the removal of contextual 'barriers' to change and instead implicate the organization of normal everyday life. The article concludes by considering the benefits and shortcomings of a practice-based approach emphasizing a need for it to develop a greater understanding of the role of social interactions and power relations in the grounded performance of practices. © The Author(s) 2011.","author":[{"dropping-particle":"","family":"Hargreaves","given":"T.","non-dropping-particle":"","parse-names":false,"suffix":""}],"container-title":"Journal of Consumer Culture","id":"ITEM-1","issue":"1","issued":{"date-parts":[["2011"]]},"page":"79-99","title":"Practice-ing behaviour change: Applying social practice theory to pro-environmental behaviour change","type":"article-journal","volume":"11"},"uris":["http://www.mendeley.com/documents/?uuid=11383985-83a3-4293-8a19-55b801bd1df8"]}],"mendeley":{"formattedCitation":"(Hargreaves, 2011)","plainTextFormattedCitation":"(Hargreaves, 2011)","previouslyFormattedCitation":"(Hargreaves, 2011)"},"properties":{"noteIndex":0},"schema":"https://github.com/citation-style-language/schema/raw/master/csl-citation.json"}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(Hargreaves, 2011)</w:t>
      </w:r>
      <w:r w:rsidRPr="00895D0B">
        <w:rPr>
          <w:rFonts w:cs="Times New Roman"/>
          <w:color w:val="000000" w:themeColor="text1"/>
          <w:szCs w:val="24"/>
        </w:rPr>
        <w:fldChar w:fldCharType="end"/>
      </w:r>
      <w:r w:rsidRPr="00895D0B">
        <w:rPr>
          <w:rFonts w:cs="Times New Roman"/>
          <w:color w:val="000000" w:themeColor="text1"/>
          <w:szCs w:val="24"/>
        </w:rPr>
        <w:t xml:space="preserve">. An analysis of behaviour change programs employed by the governments of Ghana on climate change shows that policy activities are more precisely wholly concentrated on teaching the individual assuming that unsustainable </w:t>
      </w:r>
      <w:r w:rsidRPr="00895D0B">
        <w:rPr>
          <w:rFonts w:cs="Times New Roman"/>
          <w:color w:val="000000" w:themeColor="text1"/>
          <w:szCs w:val="24"/>
        </w:rPr>
        <w:lastRenderedPageBreak/>
        <w:t xml:space="preserve">behaviours result from a lack of information and that bridging this information gap will allow rational, thoughtful customers to change their behaviours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{"citationItems":[{"id":"ITEM-1","itemData":{"DOI":"10.4337/9781784710606.00009","ISBN":"9781784710606","abstract":"Social practice theories are the subject of much discussion among those who study sustainability. Using social practice theories to analyze how routinized activity can contribute to unsustainability problems has resulted in a great deal of stimulating scholarship. In this introductory chapter, we begin by venturing back to some of the early work on social practices and offer an account of key theoretical contributions to the contemporary study of sustainable consumption. Our review indicates that concepts from Anthony Giddens’ theory of practice have had considerably more impact on the study of sustainable consumption than the practice-based concepts that Pierre Bourdieu developed. We suggest that this may have led to overlooking the power relations that keep certain materially consumptive social practices firmly rooted in everyday routines. The chapters in this volume advance current theorizing at the nexus of social practices and sustainable consumption. The chapters in Part II explore how the study of sustainable consumption must move beyond the household and into the public sphere. The third Part, ‘Collective Dimensions of Household Practices’, illustrates how the routines in a household such as driving and eating are shaped by societal variables and thus are not a reflection of individual agency. Part IV, ‘Sustainable Consumption and Social Innovation’, examines shifts in systems of provision that shape daily routines that have environmental consequences.","author":[{"dropping-particle":"","family":"Kennedy","given":"E. H.","non-dropping-particle":"","parse-names":false,"suffix":""},{"dropping-particle":"","family":"Cohen","given":"M. J.","non-dropping-particle":"","parse-names":false,"suffix":""},{"dropping-particle":"","family":"Krogman","given":"N. T.","non-dropping-particle":"","parse-names":false,"suffix":""}],"container-title":"Putting Sustainability into Practice: Applications and Advances in Research on Sustainable Consumption","id":"ITEM-1","issue":"Standing","issued":{"date-parts":[["2015"]]},"page":"3-22","title":"Social practice theories and research on sustainable consumption","type":"article-journal"},"uris":["http://www.mendeley.com/documents/?uuid=f0c0606d-4361-4606-a666-0bd9f809f4b3"]}],"mendeley":{"formattedCitation":"(Kennedy et al., 2015)","plainTextFormattedCitation":"(Kennedy et al., 2015)","previouslyFormattedCitation":"(Kennedy et al., 2015)"},"properties":{"noteIndex":0},"schema":"https://github.com/citation-style-language/schema/raw/master/csl-citation.json"}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(Kennedy et al., 2015)</w:t>
      </w:r>
      <w:r w:rsidRPr="00895D0B">
        <w:rPr>
          <w:rFonts w:cs="Times New Roman"/>
          <w:color w:val="000000" w:themeColor="text1"/>
          <w:szCs w:val="24"/>
        </w:rPr>
        <w:fldChar w:fldCharType="end"/>
      </w:r>
      <w:r w:rsidRPr="00895D0B">
        <w:rPr>
          <w:rFonts w:cs="Times New Roman"/>
          <w:color w:val="000000" w:themeColor="text1"/>
          <w:szCs w:val="24"/>
        </w:rPr>
        <w:t xml:space="preserve">. This is false, as research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{"citationItems":[{"id":"ITEM-1","itemData":{"DOI":"10.1186/s12874-020-01060-5","ISSN":"14712288","PMID":"32631324","abstract":"Background: Although there is trial evidence that complex interventions are effective for the self-management of heart failure, little evidence supports their effectiveness in routine practice. We used Social Practice Theory to guide a Type 1 Hybrid Trial: a mixed methods process evaluation of a complex intervention for heart failure. The objective of this paper is to explore the value of Social Practice Theory for implementation science. Methods: Social Practice Theory informed a mixed methods process evaluation of a multi-centre randomised controlled trial of a 12 week home-based intervention to optimise self-care support for people with heart failure and their caregivers - Rehabilitation EnAblement in Chronic Heart Failure (REACH-HF). Interviews were conducted with 19 people with heart failure and 17 caregivers at 4 months and 12 months after recruitment into the trial. Cases were constructed at the level of the individual, couple, facilitator and centre; and included multi-modal process and outcome data. Evaluative coding and subsequent within- and cross-case analyses enabled the development of a typology of relationships linking fidelity of intervention delivery and tailoring of content to individual needs and concerns. Social Practice Theory was used to interrogate the relationships between elements of the intervention and their implementation. Results: Of 216 trial participants, 107 were randomised to the intervention (REACH-HF plus usual care). The intervention was most effective when fidelity was high and delivery was tailored to the individual's needs, but less effective when both tailoring and fidelity were low. Theory-based analysis enabled us to model complex relationships between intervention elements (competencies, materials and meanings) and social context. The findings illustrate how intervention fidelity and tailoring are contextual and how the effectiveness of the REACH-HF intervention depended on both optimal alignment and implementation of these elements. Conclusion: The study demonstrates the utility of theory-based analysis which integrates data from multiple sources to highlight contexts and circumstances in which interventions work best. Social Practice Theory provides a framework for guiding and analysing the processes by which a complex intervention is evaluated in a clinical trial, and has the potential to guide context-specific implementation strategies for clinical practice. Trial registration: ISRCTN, IISRCTN86234930. Regi…","author":[{"dropping-particle":"","family":"Frost","given":"J.","non-dropping-particle":"","parse-names":false,"suffix":""},{"dropping-particle":"","family":"Wingham","given":"J.","non-dropping-particle":"","parse-names":false,"suffix":""},{"dropping-particle":"","family":"Britten","given":"N.","non-dropping-particle":"","parse-names":false,"suffix":""},{"dropping-particle":"","family":"Greaves","given":"C.","non-dropping-particle":"","parse-names":false,"suffix":""},{"dropping-particle":"","family":"Abraham","given":"C.","non-dropping-particle":"","parse-names":false,"suffix":""},{"dropping-particle":"","family":"Warren","given":"F. C.","non-dropping-particle":"","parse-names":false,"suffix":""},{"dropping-particle":"","family":"Dalal","given":"H.","non-dropping-particle":"","parse-names":false,"suffix":""},{"dropping-particle":"","family":"Taylor","given":"R. S.","non-dropping-particle":"","parse-names":false,"suffix":""}],"container-title":"BMC Medical Research Methodology","id":"ITEM-1","issue":"1","issued":{"date-parts":[["2020"]]},"page":"1-14","publisher":"BMC Medical Research Methodology","title":"The value of social practice theory for implementation science: Learning from a theory-based mixed methods process evaluation of a randomised controlled trial","type":"article-journal","volume":"20"},"uris":["http://www.mendeley.com/documents/?uuid=c09c3c79-fb02-4a2c-a40b-da5d89ba2417"]}],"mendeley":{"formattedCitation":"(Frost et al., 2020)","manualFormatting":"Frost et al. (2020)","plainTextFormattedCitation":"(Frost et al., 2020)","previouslyFormattedCitation":"(Frost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Frost et al. (2020)</w:t>
      </w:r>
      <w:r w:rsidRPr="00895D0B">
        <w:rPr>
          <w:rFonts w:cs="Times New Roman"/>
          <w:color w:val="000000" w:themeColor="text1"/>
          <w:szCs w:val="24"/>
        </w:rPr>
        <w:fldChar w:fldCharType="end"/>
      </w:r>
      <w:r w:rsidRPr="00895D0B">
        <w:rPr>
          <w:rFonts w:cs="Times New Roman"/>
          <w:color w:val="000000" w:themeColor="text1"/>
          <w:szCs w:val="24"/>
        </w:rPr>
        <w:t xml:space="preserve"> demonstrates that major changes to the socio-technical structure, as well as lifestyle and routine consumption changes for individuals, are required to address the current environmental crises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{"citationItems":[{"id":"ITEM-1","itemData":{"author":[{"dropping-particle":"","family":"Shove","given":"E.","non-dropping-particle":"","parse-names":false,"suffix":""}],"id":"ITEM-1","issue":"January","issued":{"date-parts":[["2011"]]},"page":"1-15","title":"How the social sciences can help climate change policy","type":"article-journal"},"uris":["http://www.mendeley.com/documents/?uuid=7add6c2b-4908-4ecd-936b-c59bf06a23dd"]}],"mendeley":{"formattedCitation":"(Shove, 2011)","plainTextFormattedCitation":"(Shove, 2011)","previouslyFormattedCitation":"(Shove, 2011)"},"properties":{"noteIndex":0},"schema":"https://github.com/citation-style-language/schema/raw/master/csl-citation.json"}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(Shove, 2011)</w:t>
      </w:r>
      <w:r w:rsidRPr="00895D0B">
        <w:rPr>
          <w:rFonts w:cs="Times New Roman"/>
          <w:color w:val="000000" w:themeColor="text1"/>
          <w:szCs w:val="24"/>
        </w:rPr>
        <w:fldChar w:fldCharType="end"/>
      </w:r>
      <w:r w:rsidRPr="00895D0B">
        <w:rPr>
          <w:rFonts w:cs="Times New Roman"/>
          <w:color w:val="000000" w:themeColor="text1"/>
          <w:szCs w:val="24"/>
        </w:rPr>
        <w:t xml:space="preserve">. Rather than focusing on an individual and their consumption patterns, social practice theory stresses social behaviours as the driving force behind societal transformation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{"citationItems":[{"id":"ITEM-1","itemData":{"DOI":"10.4324/9780203335697-23","ISBN":"9780203335697","author":[{"dropping-particle":"","family":"Reckwitz","given":"A.","non-dropping-particle":"","parse-names":false,"suffix":""}],"container-title":"Practicing History: New Directions in Historical Writing after the Linguistic Turn","id":"ITEM-1","issue":"2","issued":{"date-parts":[["2004"]]},"page":"245-263","title":"Toward a theory of social practices: A development in culturalist theorizing","type":"article-journal","volume":"5"},"uris":["http://www.mendeley.com/documents/?uuid=c43890cd-ff90-4348-8c91-22036fe8ba66"]}],"mendeley":{"formattedCitation":"(Reckwitz, 2004)","plainTextFormattedCitation":"(Reckwitz, 2004)","previouslyFormattedCitation":"(Reckwitz, 2004)"},"properties":{"noteIndex":0},"schema":"https://github.com/citation-style-language/schema/raw/master/csl-citation.json"}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(Reckwitz, 2004)</w:t>
      </w:r>
      <w:r w:rsidRPr="00895D0B">
        <w:rPr>
          <w:rFonts w:cs="Times New Roman"/>
          <w:color w:val="000000" w:themeColor="text1"/>
          <w:szCs w:val="24"/>
        </w:rPr>
        <w:fldChar w:fldCharType="end"/>
      </w:r>
      <w:r w:rsidRPr="00895D0B">
        <w:rPr>
          <w:rFonts w:cs="Times New Roman"/>
          <w:color w:val="000000" w:themeColor="text1"/>
          <w:szCs w:val="24"/>
        </w:rPr>
        <w:t xml:space="preserve">. Social practice theory explains how actors and social systems are related. Social practice theorists contend that actors influence social structures through the social practices they support, maintain, and incorporate into them. Although societal structures do not always dictate what actors do, they do not always enjoy complete creative freedom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{"citationItems":[{"id":"ITEM-1","itemData":{"DOI":"10.1080/13669877.2021.1936608","ISSN":"14664461","abstract":"Social science risk studies often begin with one of two starting points: a particular risk, such as that of natural or technical disasters, or, alternately, with the individual experiencing risk. But risk may not be the guiding concept for how people act in the social world. This article explores how social practice theory broadens the possible starting points for social science risk research and in turn improve our understanding of risk. It does so by drawing on existing empirical studies within risk research that make use of practice-oriented theories and outline three essential arguments for practice-based risk research. First, that risk is understood as embedded in socially shared practices, second, that risk is routinised, and third, that risk is present in both social and material relations. Together, these arguments make out an analytical starting point of ‘practices of interest and intersecting practices’, representing a methodological situationalism, where actions rather than actors are at the core of research. In conclusion, a sensibility for practice in risk research is suggested.","author":[{"dropping-particle":"","family":"Heidenstrøm","given":"N.","non-dropping-particle":"","parse-names":false,"suffix":""}],"container-title":"Journal of Risk Research","id":"ITEM-1","issue":"2","issued":{"date-parts":[["2022"]]},"page":"236-251","publisher":"Routledge","title":"The utility of social practice theory in risk research","type":"article-journal","volume":"25"},"uris":["http://www.mendeley.com/documents/?uuid=a40a44ba-b984-452d-b1a9-fbd49ba9a273"]}],"mendeley":{"formattedCitation":"(Heidenstrøm, 2022)","plainTextFormattedCitation":"(Heidenstrøm, 2022)","previouslyFormattedCitation":"(Heidenstrøm,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(Heidenstrøm, 2022)</w:t>
      </w:r>
      <w:r w:rsidRPr="00895D0B">
        <w:rPr>
          <w:rFonts w:cs="Times New Roman"/>
          <w:color w:val="000000" w:themeColor="text1"/>
          <w:szCs w:val="24"/>
        </w:rPr>
        <w:fldChar w:fldCharType="end"/>
      </w:r>
      <w:r w:rsidRPr="00895D0B">
        <w:rPr>
          <w:rFonts w:cs="Times New Roman"/>
          <w:color w:val="000000" w:themeColor="text1"/>
          <w:szCs w:val="24"/>
        </w:rPr>
        <w:t xml:space="preserve">. The aforementioned points must be understood to effectively promote pro-environmental behaviours. Social practice theory is a collection of theories that use social practices as the cornerstone for social transformation rather than focusing on the individual and their consumption behaviours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{"citationItems":[{"id":"ITEM-1","itemData":{"DOI":"10.4324/9780203335697-23","ISBN":"9780203335697","author":[{"dropping-particle":"","family":"Reckwitz","given":"A.","non-dropping-particle":"","parse-names":false,"suffix":""}],"container-title":"Practicing History: New Directions in Historical Writing after the Linguistic Turn","id":"ITEM-1","issue":"2","issued":{"date-parts":[["2004"]]},"page":"245-263","title":"Toward a theory of social practices: A development in culturalist theorizing","type":"article-journal","volume":"5"},"uris":["http://www.mendeley.com/documents/?uuid=c43890cd-ff90-4348-8c91-22036fe8ba66"]}],"mendeley":{"formattedCitation":"(Reckwitz, 2004)","plainTextFormattedCitation":"(Reckwitz, 2004)","previouslyFormattedCitation":"(Reckwitz, 2004)"},"properties":{"noteIndex":0},"schema":"https://github.com/citation-style-language/schema/raw/master/csl-citation.json"}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(Reckwitz, 2004)</w:t>
      </w:r>
      <w:r w:rsidRPr="00895D0B">
        <w:rPr>
          <w:rFonts w:cs="Times New Roman"/>
          <w:color w:val="000000" w:themeColor="text1"/>
          <w:szCs w:val="24"/>
        </w:rPr>
        <w:fldChar w:fldCharType="end"/>
      </w:r>
      <w:r w:rsidRPr="00895D0B">
        <w:rPr>
          <w:rFonts w:cs="Times New Roman"/>
          <w:color w:val="000000" w:themeColor="text1"/>
          <w:szCs w:val="24"/>
        </w:rPr>
        <w:t xml:space="preserve">. Social practice theory explains how social structures and actors are related to one another. Social practice theorists assert that social structures are embedded with these practices as well as being maintained and reproduced by actors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{"citationItems":[{"id":"ITEM-1","itemData":{"DOI":"10.1177/1469540510390500","ISSN":"14695405","abstract":"This article applies the insights of social practice theory to the study of proenvironmental behaviour change through an ethnographic case study (nine months of participant observation and 38 semi-structured interviews) of a behaviour change initiative - Environment Champions - that occurred in a workplace. In contrast to conventional, individualistic and rationalist approaches to behaviour change, social practice theory de-centres individuals from analyses, and turns attention instead towards the social and collective organization of practices - broad cultural entities that shape individuals' perceptions, interpretations and actions within the world. By considering the planning and delivery of the Environment Champions initiative, the article suggests that practice theory provides a more holistic and grounded perspective on behaviour change processes as they occur in situ. In so doing, it offers up a wide range of mundane footholds for behavioural change, over and above individuals' attitudes or values. At the same time, it reveals the profound difficulties encountered in attempts to challenge and change practices, difficulties that extend far beyond the removal of contextual 'barriers' to change and instead implicate the organization of normal everyday life. The article concludes by considering the benefits and shortcomings of a practice-based approach emphasizing a need for it to develop a greater understanding of the role of social interactions and power relations in the grounded performance of practices. © The Author(s) 2011.","author":[{"dropping-particle":"","family":"Hargreaves","given":"T.","non-dropping-particle":"","parse-names":false,"suffix":""}],"container-title":"Journal of Consumer Culture","id":"ITEM-1","issue":"1","issued":{"date-parts":[["2011"]]},"page":"79-99","title":"Practice-ing behaviour change: Applying social practice theory to pro-environmental behaviour change","type":"article-journal","volume":"11"},"uris":["http://www.mendeley.com/documents/?uuid=11383985-83a3-4293-8a19-55b801bd1df8"]}],"mendeley":{"formattedCitation":"(Hargreaves, 2011)","plainTextFormattedCitation":"(Hargreaves, 2011)","previouslyFormattedCitation":"(Hargreaves, 2011)"},"properties":{"noteIndex":0},"schema":"https://github.com/citation-style-language/schema/raw/master/csl-citation.json"}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(Hargreaves, 2011)</w:t>
      </w:r>
      <w:r w:rsidRPr="00895D0B">
        <w:rPr>
          <w:rFonts w:cs="Times New Roman"/>
          <w:color w:val="000000" w:themeColor="text1"/>
          <w:szCs w:val="24"/>
        </w:rPr>
        <w:fldChar w:fldCharType="end"/>
      </w:r>
      <w:r w:rsidRPr="00895D0B">
        <w:rPr>
          <w:rFonts w:cs="Times New Roman"/>
          <w:color w:val="000000" w:themeColor="text1"/>
          <w:szCs w:val="24"/>
        </w:rPr>
        <w:t xml:space="preserve">. </w:t>
      </w:r>
    </w:p>
    <w:p w14:paraId="62B946E6" w14:textId="77777777" w:rsidR="00831189" w:rsidRPr="00895D0B" w:rsidRDefault="00831189" w:rsidP="005573B9">
      <w:pPr>
        <w:pStyle w:val="NoSpacing"/>
      </w:pPr>
    </w:p>
    <w:p w14:paraId="78E1D4F8" w14:textId="00429A16" w:rsidR="00831189" w:rsidRPr="00895D0B" w:rsidRDefault="004E07C6" w:rsidP="009864E3">
      <w:pPr>
        <w:pStyle w:val="Heading3"/>
      </w:pPr>
      <w:bookmarkStart w:id="41" w:name="_Toc167379876"/>
      <w:r w:rsidRPr="00895D0B">
        <w:t>2.9</w:t>
      </w:r>
      <w:r w:rsidR="00831189" w:rsidRPr="00895D0B">
        <w:t xml:space="preserve">.2 </w:t>
      </w:r>
      <w:r w:rsidR="00403790" w:rsidRPr="00895D0B">
        <w:t>S</w:t>
      </w:r>
      <w:r w:rsidR="00831189" w:rsidRPr="00895D0B">
        <w:t>ocial practice theory on climate change adaptations and urban agriculture</w:t>
      </w:r>
      <w:bookmarkEnd w:id="41"/>
    </w:p>
    <w:p w14:paraId="0AB4321F" w14:textId="77777777" w:rsidR="00831189" w:rsidRPr="00895D0B" w:rsidRDefault="00831189" w:rsidP="00831189">
      <w:pPr>
        <w:pStyle w:val="NormalWeb"/>
        <w:shd w:val="clear" w:color="auto" w:fill="FFFFFF"/>
        <w:spacing w:before="0" w:beforeAutospacing="0" w:after="0" w:afterAutospacing="0" w:line="360" w:lineRule="auto"/>
        <w:jc w:val="both"/>
        <w:rPr>
          <w:color w:val="000000" w:themeColor="text1"/>
        </w:rPr>
      </w:pPr>
      <w:r w:rsidRPr="00895D0B">
        <w:rPr>
          <w:color w:val="000000" w:themeColor="text1"/>
        </w:rPr>
        <w:t xml:space="preserve">The application of social practice theory in climate change adaptation has been explored in various studies. Social practice theory focuses on understanding how social practices, such as daily routines and behaviours, contribute to the overall dynamics of society and shape individual actions. It emphasizes the importance of social norms, cultural values, and collective behaviour in influencing pro-environmental actions and adaptation strategies </w:t>
      </w:r>
      <w:r w:rsidRPr="00895D0B">
        <w:rPr>
          <w:color w:val="000000" w:themeColor="text1"/>
        </w:rPr>
        <w:fldChar w:fldCharType="begin" w:fldLock="1"/>
      </w:r>
      <w:r w:rsidRPr="00895D0B">
        <w:rPr>
          <w:color w:val="000000" w:themeColor="text1"/>
        </w:rPr>
        <w:instrText>ADDIN CSL_CITATION {"citationItems":[{"id":"ITEM-1","itemData":{"DOI":"10.1177/1469540510390500","ISSN":"14695405","abstract":"This article applies the insights of social practice theory to the study of proenvironmental behaviour change through an ethnographic case study (nine months of participant observation and 38 semi-structured interviews) of a behaviour change initiative - Environment Champions - that occurred in a workplace. In contrast to conventional, individualistic and rationalist approaches to behaviour change, social practice theory de-centres individuals from analyses, and turns attention instead towards the social and collective organization of practices - broad cultural entities that shape individuals' perceptions, interpretations and actions within the world. By considering the planning and delivery of the Environment Champions initiative, the article suggests that practice theory provides a more holistic and grounded perspective on behaviour change processes as they occur in situ. In so doing, it offers up a wide range of mundane footholds for behavioural change, over and above individuals' attitudes or values. At the same time, it reveals the profound difficulties encountered in attempts to challenge and change practices, difficulties that extend far beyond the removal of contextual 'barriers' to change and instead implicate the organization of normal everyday life. The article concludes by considering the benefits and shortcomings of a practice-based approach emphasizing a need for it to develop a greater understanding of the role of social interactions and power relations in the grounded performance of practices. © The Author(s) 2011.","author":[{"dropping-particle":"","family":"Hargreaves","given":"T.","non-dropping-particle":"","parse-names":false,"suffix":""}],"container-title":"Journal of Consumer Culture","id":"ITEM-1","issue":"1","issued":{"date-parts":[["2011"]]},"page":"79-99","title":"Practice-ing behaviour change: Applying social practice theory to pro-environmental behaviour change","type":"article-journal","volume":"11"},"uris":["http://www.mendeley.com/documents/?uuid=460d7840-ad00-476e-90a4-f3454f43e9c8"]}],"mendeley":{"formattedCitation":"(Hargreaves, 2011)","plainTextFormattedCitation":"(Hargreaves, 2011)","previouslyFormattedCitation":"(Hargreaves, 2011)"},"properties":{"noteIndex":0},"schema":"https://github.com/citation-style-language/schema/raw/master/csl-citation.json"}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(Hargreaves, 2011)</w:t>
      </w:r>
      <w:r w:rsidRPr="00895D0B">
        <w:rPr>
          <w:color w:val="000000" w:themeColor="text1"/>
        </w:rPr>
        <w:fldChar w:fldCharType="end"/>
      </w:r>
      <w:r w:rsidRPr="00895D0B">
        <w:rPr>
          <w:color w:val="000000" w:themeColor="text1"/>
        </w:rPr>
        <w:t xml:space="preserve">. The author added that the potential of social learning approaches, which are informed by social practice theory, in facilitating adaptation in developing countries. It emphasizes the importance of collective learning, knowledge sharing, and collaboration among different stakeholders to address the challenges posed by climate change </w:t>
      </w:r>
      <w:r w:rsidRPr="00895D0B">
        <w:rPr>
          <w:color w:val="000000" w:themeColor="text1"/>
        </w:rPr>
        <w:fldChar w:fldCharType="begin" w:fldLock="1"/>
      </w:r>
      <w:r w:rsidRPr="00895D0B">
        <w:rPr>
          <w:color w:val="000000" w:themeColor="text1"/>
        </w:rPr>
        <w:instrText>ADDIN CSL_CITATION {"citationItems":[{"id":"ITEM-1","itemData":{"DOI":"10.1002/wcc.348","ISSN":"17577799","abstract":"The potential for social learning to address complex, interconnected social and environmental challenges, such as climate change adaptation, is receiving increasing attention in research and practice. Social learning approaches vary, but commonly include cycles of knowledge sharing and joint action to co-create knowledge, relationships, and practices among diverse stakeholders. This results in learning and change that goes beyond the individual into communities, networks, or systems. Many authors have focused on analysis of case studies to better understand the contexts in which such learning occurs. In this paper, we look across this literature to draw out lessons for international development practice. To support those looking to purposively design social learning interventions for adaptation, we focus on four areas: lessons learned and the principles adopted when using a social learning approach, examples of tools and methods used, approaches to evaluating social learning, and examples of its impact. While we identify important lessons for practice within each of these areas, three cross-cutting themes emerge. These are: the importance of developing a shared view among those initiating learning processes of how change might happen and of how social learning fits within it, linking this locus of desired change to the tools employed; the centrality of skilled facilitation and in particular how practitioners may shift toward being participants in the collective learning process; and the need to attend to social difference, recognizing the complexity of social relations and the potential for less powerful actors to be co-opted in shared decision making.","author":[{"dropping-particle":"","family":"Ensor","given":"J.","non-dropping-particle":"","parse-names":false,"suffix":""},{"dropping-particle":"","family":"Harvey","given":"B.","non-dropping-particle":"","parse-names":false,"suffix":""}],"container-title":"Wiley Interdisciplinary Reviews: Climate Change","id":"ITEM-1","issue":"5","issued":{"date-parts":[["2015"]]},"page":"509-522","title":"Social learning and climate change adaptation: Evidence for international development practice","type":"article-journal","volume":"6"},"uris":["http://www.mendeley.com/documents/?uuid=b945c623-be3d-4b7b-b976-60bd1b30ff78"]}],"mendeley":{"formattedCitation":"(Ensor &amp; Harvey, 2015)","plainTextFormattedCitation":"(Ensor &amp; Harvey, 2015)","previouslyFormattedCitation":"(Ensor &amp; Harvey, 2015)"},"properties":{"noteIndex":0},"schema":"https://github.com/citation-style-language/schema/raw/master/csl-citation.json"}</w:instrText>
      </w:r>
      <w:r w:rsidRPr="00895D0B">
        <w:rPr>
          <w:color w:val="000000" w:themeColor="text1"/>
        </w:rPr>
        <w:fldChar w:fldCharType="separate"/>
      </w:r>
      <w:r w:rsidRPr="00895D0B">
        <w:rPr>
          <w:noProof/>
          <w:color w:val="000000" w:themeColor="text1"/>
        </w:rPr>
        <w:t>(Ensor &amp; Harvey, 2015)</w:t>
      </w:r>
      <w:r w:rsidRPr="00895D0B">
        <w:rPr>
          <w:color w:val="000000" w:themeColor="text1"/>
        </w:rPr>
        <w:fldChar w:fldCharType="end"/>
      </w:r>
      <w:r w:rsidRPr="00895D0B">
        <w:rPr>
          <w:color w:val="000000" w:themeColor="text1"/>
        </w:rPr>
        <w:t xml:space="preserve">. Another article applies social practice theory to the study of pro-environmental behaviour change through an ethnographic case study. It examines how social practices related to energy use and transportation contribute to carbon emissions and explores potential interventions to promote </w:t>
      </w:r>
      <w:r w:rsidRPr="00895D0B">
        <w:rPr>
          <w:color w:val="000000" w:themeColor="text1"/>
        </w:rPr>
        <w:lastRenderedPageBreak/>
        <w:t>sustainable farming behaviours </w:t>
      </w:r>
      <w:r w:rsidRPr="00895D0B">
        <w:rPr>
          <w:color w:val="000000" w:themeColor="text1"/>
        </w:rPr>
        <w:fldChar w:fldCharType="begin" w:fldLock="1"/>
      </w:r>
      <w:r w:rsidRPr="00895D0B">
        <w:rPr>
          <w:color w:val="000000" w:themeColor="text1"/>
        </w:rPr>
        <w:instrText>ADDIN CSL_CITATION {"citationItems":[{"id":"ITEM-1","itemData":{"DOI":"10.1177/1469540510390500","ISSN":"14695405","abstract":"This article applies the insights of social practice theory to the study of proenvironmental behaviour change through an ethnographic case study (nine months of participant observation and 38 semi-structured interviews) of a behaviour change initiative - Environment Champions - that occurred in a workplace. In contrast to conventional, individualistic and rationalist approaches to behaviour change, social practice theory de-centres individuals from analyses, and turns attention instead towards the social and collective organization of practices - broad cultural entities that shape individuals' perceptions, interpretations and actions within the world. By considering the planning and delivery of the Environment Champions initiative, the article suggests that practice theory provides a more holistic and grounded perspective on behaviour change processes as they occur in situ. In so doing, it offers up a wide range of mundane footholds for behavioural change, over and above individuals' attitudes or values. At the same time, it reveals the profound difficulties encountered in attempts to challenge and change practices, difficulties that extend far beyond the removal of contextual 'barriers' to change and instead implicate the organization of normal everyday life. The article concludes by considering the benefits and shortcomings of a practice-based approach emphasizing a need for it to develop a greater understanding of the role of social interactions and power relations in the grounded performance of practices. © The Author(s) 2011.","author":[{"dropping-particle":"","family":"Hargreaves","given":"T.","non-dropping-particle":"","parse-names":false,"suffix":""}],"container-title":"Journal of Consumer Culture","id":"ITEM-1","issue":"1","issued":{"date-parts":[["2011"]]},"page":"79-99","title":"Practice-ing behaviour change: Applying social practice theory to pro-environmental behaviour change","type":"article-journal","volume":"11"},"uris":["http://www.mendeley.com/documents/?uuid=460d7840-ad00-476e-90a4-f3454f43e9c8"]}],"mendeley":{"formattedCitation":"(Hargreaves, 2011)","plainTextFormattedCitation":"(Hargreaves, 2011)","previouslyFormattedCitation":"(Hargreaves, 2011)"},"properties":{"noteIndex":0},"schema":"https://github.com/citation-style-language/schema/raw/master/csl-citation.json"}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(Hargreaves, 2011)</w:t>
      </w:r>
      <w:r w:rsidRPr="00895D0B">
        <w:rPr>
          <w:color w:val="000000" w:themeColor="text1"/>
        </w:rPr>
        <w:fldChar w:fldCharType="end"/>
      </w:r>
      <w:r w:rsidRPr="00895D0B">
        <w:rPr>
          <w:color w:val="000000" w:themeColor="text1"/>
        </w:rPr>
        <w:t xml:space="preserve">. </w:t>
      </w:r>
      <w:r w:rsidRPr="00895D0B">
        <w:rPr>
          <w:color w:val="000000" w:themeColor="text1"/>
          <w:shd w:val="clear" w:color="auto" w:fill="FFFFFF"/>
        </w:rPr>
        <w:t xml:space="preserve">It is important to note that social practice theory can provide valuable insights into understanding and shaping individuals' behaviours and practices in relation to climate change adaptation. Smallholder farmers, like any other group of individuals, engage in various practices influenced by social norms, values, and systems. Therefore, applying social practice theory can help identify the social and cultural factors that shape farmers' adaptation practices, such as their knowledge, beliefs, networks, and access to resources </w:t>
      </w:r>
      <w:r w:rsidRPr="00895D0B">
        <w:rPr>
          <w:color w:val="000000" w:themeColor="text1"/>
          <w:shd w:val="clear" w:color="auto" w:fill="FFFFFF"/>
        </w:rPr>
        <w:fldChar w:fldCharType="begin" w:fldLock="1"/>
      </w:r>
      <w:r w:rsidRPr="00895D0B">
        <w:rPr>
          <w:color w:val="000000" w:themeColor="text1"/>
          <w:shd w:val="clear" w:color="auto" w:fill="FFFFFF"/>
        </w:rPr>
        <w:instrText>ADDIN CSL_CITATION {"citationItems":[{"id":"ITEM-1","itemData":{"DOI":"10.3390/su15118997","ISSN":"20711050","abstract":"Smallholder farmers who rely on home garden agroforestry are experiencing significant impacts from climate change. To mitigate these effects, it is crucial for farmers to have access to various adaptation strategies. This study collected data from 384 randomly selected respondents in 18 kebeles over three districts, using descriptive statistics and a multivariate probit model to evaluate the factors influencing smallholder farmers’ decisions on their adaptation strategies against climate change. In Ethiopia’s Gedeo zone, this study found that smallholder farmers employ a range of adaptation methods, including expanding their agroforestry system, implementing modern agriculture techniques, conserving soil and water, diversifying their livelihoods, and employing various coping mechanisms. By analyzing data using the multivariate probit model, this study found several factors that had a significant impact on smallholder farmers’ choice of adaptation options. These factors include social network, age, education level, farming experience, household size, cultivated land size, annual income, and livestock holding. In addition, factors such as perception of climate change, previous experience of crop failure, recurrent drought, and access to information about climate change, occurrence of frost, agricultural extension contacts, access to farmer-to-farmer extension services, and perception of land infertility also influence their decision-making process. Our findings highlight the importance of improving institutional services in rural areas, promoting education on climate change, and strengthening social networks to enhance the ability of smallholder farmers to cope with the effects of climate change.","author":[{"dropping-particle":"","family":"Darge","given":"A.","non-dropping-particle":"","parse-names":false,"suffix":""},{"dropping-particle":"","family":"Haji","given":"J.","non-dropping-particle":"","parse-names":false,"suffix":""},{"dropping-particle":"","family":"Beyene","given":"F.","non-dropping-particle":"","parse-names":false,"suffix":""},{"dropping-particle":"","family":"Ketema","given":"M.","non-dropping-particle":"","parse-names":false,"suffix":""}],"container-title":"Sustainability (Switzerland)","id":"ITEM-1","issue":"11","issued":{"date-parts":[["2023"]]},"title":"Smallholder Farmers’ Climate Change Adaptation Strategies in the Ethiopian Rift Valley: The Case of Home Garden Agroforestry Systems in the Gedeo Zone","type":"article-journal","volume":"15"},"uris":["http://www.mendeley.com/documents/?uuid=de61cf53-3140-4b63-a6c3-74de181110d7"]}],"mendeley":{"formattedCitation":"(Darge et al., 2023)","plainTextFormattedCitation":"(Darge et al., 2023)","previouslyFormattedCitation":"(Darge et al., 2023)"},"properties":{"noteIndex":0},"schema":"https://github.com/citation-style-language/schema/raw/master/csl-citation.json"}</w:instrText>
      </w:r>
      <w:r w:rsidRPr="00895D0B">
        <w:rPr>
          <w:color w:val="000000" w:themeColor="text1"/>
          <w:shd w:val="clear" w:color="auto" w:fill="FFFFFF"/>
        </w:rPr>
        <w:fldChar w:fldCharType="separate"/>
      </w:r>
      <w:r w:rsidRPr="00895D0B">
        <w:rPr>
          <w:noProof/>
          <w:color w:val="000000" w:themeColor="text1"/>
          <w:shd w:val="clear" w:color="auto" w:fill="FFFFFF"/>
        </w:rPr>
        <w:t>(Darge et al., 2023)</w:t>
      </w:r>
      <w:r w:rsidRPr="00895D0B">
        <w:rPr>
          <w:color w:val="000000" w:themeColor="text1"/>
          <w:shd w:val="clear" w:color="auto" w:fill="FFFFFF"/>
        </w:rPr>
        <w:fldChar w:fldCharType="end"/>
      </w:r>
      <w:r w:rsidRPr="00895D0B">
        <w:rPr>
          <w:color w:val="000000" w:themeColor="text1"/>
          <w:shd w:val="clear" w:color="auto" w:fill="FFFFFF"/>
        </w:rPr>
        <w:t>.</w:t>
      </w:r>
    </w:p>
    <w:p w14:paraId="3DF384D6" w14:textId="77777777" w:rsidR="00831189" w:rsidRPr="00895D0B" w:rsidRDefault="00831189" w:rsidP="005573B9">
      <w:pPr>
        <w:pStyle w:val="NoSpacing"/>
        <w:rPr>
          <w:shd w:val="clear" w:color="auto" w:fill="FFFFFF"/>
        </w:rPr>
      </w:pPr>
    </w:p>
    <w:p w14:paraId="423BDAB6" w14:textId="77777777" w:rsidR="00831189" w:rsidRPr="00895D0B" w:rsidRDefault="00831189" w:rsidP="00831189">
      <w:pPr>
        <w:pStyle w:val="NormalWeb"/>
        <w:shd w:val="clear" w:color="auto" w:fill="FFFFFF"/>
        <w:spacing w:before="0" w:beforeAutospacing="0" w:after="0" w:afterAutospacing="0" w:line="360" w:lineRule="auto"/>
        <w:jc w:val="both"/>
        <w:rPr>
          <w:color w:val="000000" w:themeColor="text1"/>
        </w:rPr>
      </w:pPr>
      <w:r w:rsidRPr="00895D0B">
        <w:rPr>
          <w:color w:val="000000" w:themeColor="text1"/>
          <w:shd w:val="clear" w:color="auto" w:fill="FFFFFF"/>
        </w:rPr>
        <w:t xml:space="preserve">Social practice theory can be applied to urban agriculture production. This approach recognizes sustainable urban agriculture as a means of providing food by comparing activities and socio-spatial characteristics </w:t>
      </w:r>
      <w:r w:rsidRPr="00895D0B">
        <w:rPr>
          <w:color w:val="000000" w:themeColor="text1"/>
          <w:shd w:val="clear" w:color="auto" w:fill="FFFFFF"/>
        </w:rPr>
        <w:fldChar w:fldCharType="begin" w:fldLock="1"/>
      </w:r>
      <w:r w:rsidRPr="00895D0B">
        <w:rPr>
          <w:color w:val="000000" w:themeColor="text1"/>
          <w:shd w:val="clear" w:color="auto" w:fill="FFFFFF"/>
        </w:rPr>
        <w:instrText>ADDIN CSL_CITATION {"citationItems":[{"id":"ITEM-1","itemData":{"DOI":"10.1016/j.proenv.2017.03.147","ISSN":"18780296","abstract":"The paper recognises sustainable urban agriculture approaches for food provision, by comparing activities and eight socio-spatial characteristics in three case studies, in the defined urban context of metropolitan Thessaloniki. The study considers urban agriculture activities for food provision, as part of alternative food networks, whilst the research design is based on Social Practice Theory and the Multi-Level Framework. The study concludes with policy and planning recommendations for urban agriculture in the metropolitan region of Thessaloniki. However, the research design can be used in different urban contexts as it corresponds to the diversity of urban environments by treating the data holistically.","author":[{"dropping-particle":"","family":"Kontothanasis","given":"G.","non-dropping-particle":"","parse-names":false,"suffix":""}],"container-title":"Procedia Environmental Sciences","id":"ITEM-1","issued":{"date-parts":[["2017"]]},"page":"666-673","publisher":"Elsevier B.V.","title":"Social Practices of Urban Agriculture in the Metropolitan Region of Thessaloniki","type":"article-journal","volume":"38"},"uris":["http://www.mendeley.com/documents/?uuid=54112113-f55a-4963-a6d0-757cbd751847"]}],"mendeley":{"formattedCitation":"(Kontothanasis, 2017)","manualFormatting":"(Kontothanasis, 2017","plainTextFormattedCitation":"(Kontothanasis, 2017)","previouslyFormattedCitation":"(Kontothanasis, 2017)"},"properties":{"noteIndex":0},"schema":"https://github.com/citation-style-language/schema/raw/master/csl-citation.json"}</w:instrText>
      </w:r>
      <w:r w:rsidRPr="00895D0B">
        <w:rPr>
          <w:color w:val="000000" w:themeColor="text1"/>
          <w:shd w:val="clear" w:color="auto" w:fill="FFFFFF"/>
        </w:rPr>
        <w:fldChar w:fldCharType="separate"/>
      </w:r>
      <w:r w:rsidRPr="00895D0B">
        <w:rPr>
          <w:noProof/>
          <w:color w:val="000000" w:themeColor="text1"/>
          <w:shd w:val="clear" w:color="auto" w:fill="FFFFFF"/>
        </w:rPr>
        <w:t>(Kontothanasis, 2017</w:t>
      </w:r>
      <w:r w:rsidRPr="00895D0B">
        <w:rPr>
          <w:color w:val="000000" w:themeColor="text1"/>
          <w:shd w:val="clear" w:color="auto" w:fill="FFFFFF"/>
        </w:rPr>
        <w:fldChar w:fldCharType="end"/>
      </w:r>
      <w:r w:rsidRPr="00895D0B">
        <w:rPr>
          <w:color w:val="000000" w:themeColor="text1"/>
          <w:shd w:val="clear" w:color="auto" w:fill="FFFFFF"/>
        </w:rPr>
        <w:t xml:space="preserve">: </w:t>
      </w:r>
      <w:r w:rsidRPr="00895D0B">
        <w:rPr>
          <w:color w:val="000000" w:themeColor="text1"/>
          <w:shd w:val="clear" w:color="auto" w:fill="FFFFFF"/>
        </w:rPr>
        <w:fldChar w:fldCharType="begin" w:fldLock="1"/>
      </w:r>
      <w:r w:rsidRPr="00895D0B">
        <w:rPr>
          <w:color w:val="000000" w:themeColor="text1"/>
          <w:shd w:val="clear" w:color="auto" w:fill="FFFFFF"/>
        </w:rPr>
        <w:instrText>ADDIN CSL_CITATION {"citationItems":[{"id":"ITEM-1","itemData":{"abstract":"The user has requested enhancement of the downloaded file.","author":[{"dropping-particle":"","family":"Tauliantos","given":"D.","non-dropping-particle":"","parse-names":false,"suffix":""}],"id":"ITEM-1","issue":"September","issued":{"date-parts":[["2018"]]},"publisher":"University of East Anglia","title":"Growing Urban Agriculture: Using Social Practice Theory to Assess How Transition Norwich can upscale Household Food Gardening in The City of Norwich Exploiting Vertical Growing Strategies for Sustainable Crop Production View project","type":"thesis"},"uris":["http://www.mendeley.com/documents/?uuid=64ea88c4-f2db-429c-a46e-a443262f5a62"]}],"mendeley":{"formattedCitation":"(Tauliantos, 2018)","manualFormatting":"Tauliantos, 2018)","plainTextFormattedCitation":"(Tauliantos, 2018)","previouslyFormattedCitation":"(Tauliantos, 2018)"},"properties":{"noteIndex":0},"schema":"https://github.com/citation-style-language/schema/raw/master/csl-citation.json"}</w:instrText>
      </w:r>
      <w:r w:rsidRPr="00895D0B">
        <w:rPr>
          <w:color w:val="000000" w:themeColor="text1"/>
          <w:shd w:val="clear" w:color="auto" w:fill="FFFFFF"/>
        </w:rPr>
        <w:fldChar w:fldCharType="separate"/>
      </w:r>
      <w:r w:rsidRPr="00895D0B">
        <w:rPr>
          <w:noProof/>
          <w:color w:val="000000" w:themeColor="text1"/>
          <w:shd w:val="clear" w:color="auto" w:fill="FFFFFF"/>
        </w:rPr>
        <w:t>Tauliantos, 2018)</w:t>
      </w:r>
      <w:r w:rsidRPr="00895D0B">
        <w:rPr>
          <w:color w:val="000000" w:themeColor="text1"/>
          <w:shd w:val="clear" w:color="auto" w:fill="FFFFFF"/>
        </w:rPr>
        <w:fldChar w:fldCharType="end"/>
      </w:r>
      <w:r w:rsidRPr="00895D0B">
        <w:rPr>
          <w:color w:val="000000" w:themeColor="text1"/>
          <w:shd w:val="clear" w:color="auto" w:fill="FFFFFF"/>
        </w:rPr>
        <w:t xml:space="preserve">. The social practice theory tries to examines the meanings attributed by community gardeners to the consumption of food from their allotments, using a practice theory approach </w:t>
      </w:r>
      <w:r w:rsidRPr="00895D0B">
        <w:rPr>
          <w:color w:val="000000" w:themeColor="text1"/>
          <w:shd w:val="clear" w:color="auto" w:fill="FFFFFF"/>
        </w:rPr>
        <w:fldChar w:fldCharType="begin" w:fldLock="1"/>
      </w:r>
      <w:r w:rsidRPr="00895D0B">
        <w:rPr>
          <w:color w:val="000000" w:themeColor="text1"/>
          <w:shd w:val="clear" w:color="auto" w:fill="FFFFFF"/>
        </w:rPr>
        <w:instrText>ADDIN CSL_CITATION {"citationItems":[{"id":"ITEM-1","itemData":{"DOI":"10.3390/su13084091","ISSN":"20711050","abstract":"The growing presence of community or allotment gardens seeks to respond to the challenges of today’s urban societies in terms of sustainability. The food dimension of this phenomenon is one of its most important aspects, with clear repercussions on improving the quality of life of the allotment gardeners and their families. Through observation and qualitative analysis of some community urban gardens in southern Spain (Andalusia), this paper notes that the people who cultivate allotments within these community gardens attribute a wide variety of different meanings to their practices. One essential contribution of this research is the finding that this plurality of meanings moves beyond the rational-technical dimension of the act of growing, while at the same time redefining the act of consuming organic food, because of its connection with productive and social activities.","author":[{"dropping-particle":"","family":"Jordi-Sánchez","given":"M.","non-dropping-particle":"","parse-names":false,"suffix":""},{"dropping-particle":"","family":"Díaz-Aguilar","given":"A. L.","non-dropping-particle":"","parse-names":false,"suffix":""}],"container-title":"Sustainability (Switzerland)","id":"ITEM-1","issue":"8","issued":{"date-parts":[["2021"]]},"title":"Constructing organic food through urban agriculture, community gardens in Seville","type":"article-journal","volume":"13"},"uris":["http://www.mendeley.com/documents/?uuid=5de0c54f-316a-4115-9e4c-c51605ac1d36"]}],"mendeley":{"formattedCitation":"(Jordi-Sánchez &amp; Díaz-Aguilar, 2021)","plainTextFormattedCitation":"(Jordi-Sánchez &amp; Díaz-Aguilar, 2021)","previouslyFormattedCitation":"(Jordi-Sánchez &amp; Díaz-Aguilar, 2021)"},"properties":{"noteIndex":0},"schema":"https://github.com/citation-style-language/schema/raw/master/csl-citation.json"}</w:instrText>
      </w:r>
      <w:r w:rsidRPr="00895D0B">
        <w:rPr>
          <w:color w:val="000000" w:themeColor="text1"/>
          <w:shd w:val="clear" w:color="auto" w:fill="FFFFFF"/>
        </w:rPr>
        <w:fldChar w:fldCharType="separate"/>
      </w:r>
      <w:r w:rsidRPr="00895D0B">
        <w:rPr>
          <w:noProof/>
          <w:color w:val="000000" w:themeColor="text1"/>
          <w:shd w:val="clear" w:color="auto" w:fill="FFFFFF"/>
        </w:rPr>
        <w:t>(Jordi-Sánchez &amp; Díaz-Aguilar, 2021)</w:t>
      </w:r>
      <w:r w:rsidRPr="00895D0B">
        <w:rPr>
          <w:color w:val="000000" w:themeColor="text1"/>
          <w:shd w:val="clear" w:color="auto" w:fill="FFFFFF"/>
        </w:rPr>
        <w:fldChar w:fldCharType="end"/>
      </w:r>
      <w:r w:rsidRPr="00895D0B">
        <w:rPr>
          <w:color w:val="000000" w:themeColor="text1"/>
          <w:shd w:val="clear" w:color="auto" w:fill="FFFFFF"/>
        </w:rPr>
        <w:t>. By understanding the social practices involved in urban agriculture, such as gardening techniques, food distribution, and community engagement, practitioners can assess how to upscale household food gardening in urban (</w:t>
      </w:r>
      <w:r w:rsidRPr="00895D0B">
        <w:rPr>
          <w:color w:val="000000" w:themeColor="text1"/>
          <w:shd w:val="clear" w:color="auto" w:fill="FFFFFF"/>
        </w:rPr>
        <w:fldChar w:fldCharType="begin" w:fldLock="1"/>
      </w:r>
      <w:r w:rsidRPr="00895D0B">
        <w:rPr>
          <w:color w:val="000000" w:themeColor="text1"/>
          <w:shd w:val="clear" w:color="auto" w:fill="FFFFFF"/>
        </w:rPr>
        <w:instrText>ADDIN CSL_CITATION {"citationItems":[{"id":"ITEM-1","itemData":{"abstract":"The user has requested enhancement of the downloaded file.","author":[{"dropping-particle":"","family":"Tauliantos","given":"D.","non-dropping-particle":"","parse-names":false,"suffix":""}],"id":"ITEM-1","issue":"September","issued":{"date-parts":[["2018"]]},"publisher":"University of East Anglia","title":"Growing Urban Agriculture: Using Social Practice Theory to Assess How Transition Norwich can upscale Household Food Gardening in The City of Norwich Exploiting Vertical Growing Strategies for Sustainable Crop Production View project","type":"thesis"},"uris":["http://www.mendeley.com/documents/?uuid=64ea88c4-f2db-429c-a46e-a443262f5a62"]}],"mendeley":{"formattedCitation":"(Tauliantos, 2018)","manualFormatting":"Tauliantos, 2018)","plainTextFormattedCitation":"(Tauliantos, 2018)","previouslyFormattedCitation":"(Tauliantos, 2018)"},"properties":{"noteIndex":0},"schema":"https://github.com/citation-style-language/schema/raw/master/csl-citation.json"}</w:instrText>
      </w:r>
      <w:r w:rsidRPr="00895D0B">
        <w:rPr>
          <w:color w:val="000000" w:themeColor="text1"/>
          <w:shd w:val="clear" w:color="auto" w:fill="FFFFFF"/>
        </w:rPr>
        <w:fldChar w:fldCharType="separate"/>
      </w:r>
      <w:r w:rsidRPr="00895D0B">
        <w:rPr>
          <w:noProof/>
          <w:color w:val="000000" w:themeColor="text1"/>
          <w:shd w:val="clear" w:color="auto" w:fill="FFFFFF"/>
        </w:rPr>
        <w:t>Tauliantos, 2018)</w:t>
      </w:r>
      <w:r w:rsidRPr="00895D0B">
        <w:rPr>
          <w:color w:val="000000" w:themeColor="text1"/>
          <w:shd w:val="clear" w:color="auto" w:fill="FFFFFF"/>
        </w:rPr>
        <w:fldChar w:fldCharType="end"/>
      </w:r>
      <w:r w:rsidRPr="00895D0B">
        <w:rPr>
          <w:color w:val="000000" w:themeColor="text1"/>
          <w:shd w:val="clear" w:color="auto" w:fill="FFFFFF"/>
        </w:rPr>
        <w:t>. This theoretical framework helps analyse the social dynamics, cultural norms, and everyday practices that shape urban agriculture and its impact on food provision </w:t>
      </w:r>
      <w:r w:rsidRPr="00895D0B">
        <w:rPr>
          <w:color w:val="000000" w:themeColor="text1"/>
          <w:shd w:val="clear" w:color="auto" w:fill="FFFFFF"/>
        </w:rPr>
        <w:fldChar w:fldCharType="begin" w:fldLock="1"/>
      </w:r>
      <w:r w:rsidRPr="00895D0B">
        <w:rPr>
          <w:color w:val="000000" w:themeColor="text1"/>
          <w:shd w:val="clear" w:color="auto" w:fill="FFFFFF"/>
        </w:rPr>
        <w:instrText>ADDIN CSL_CITATION {"citationItems":[{"id":"ITEM-1","itemData":{"DOI":"10.3390/su13084091","ISSN":"20711050","abstract":"The growing presence of community or allotment gardens seeks to respond to the challenges of today’s urban societies in terms of sustainability. The food dimension of this phenomenon is one of its most important aspects, with clear repercussions on improving the quality of life of the allotment gardeners and their families. Through observation and qualitative analysis of some community urban gardens in southern Spain (Andalusia), this paper notes that the people who cultivate allotments within these community gardens attribute a wide variety of different meanings to their practices. One essential contribution of this research is the finding that this plurality of meanings moves beyond the rational-technical dimension of the act of growing, while at the same time redefining the act of consuming organic food, because of its connection with productive and social activities.","author":[{"dropping-particle":"","family":"Jordi-Sánchez","given":"M.","non-dropping-particle":"","parse-names":false,"suffix":""},{"dropping-particle":"","family":"Díaz-Aguilar","given":"A. L.","non-dropping-particle":"","parse-names":false,"suffix":""}],"container-title":"Sustainability (Switzerland)","id":"ITEM-1","issue":"8","issued":{"date-parts":[["2021"]]},"title":"Constructing organic food through urban agriculture, community gardens in Seville","type":"article-journal","volume":"13"},"uris":["http://www.mendeley.com/documents/?uuid=5de0c54f-316a-4115-9e4c-c51605ac1d36"]}],"mendeley":{"formattedCitation":"(Jordi-Sánchez &amp; Díaz-Aguilar, 2021)","plainTextFormattedCitation":"(Jordi-Sánchez &amp; Díaz-Aguilar, 2021)","previouslyFormattedCitation":"(Jordi-Sánchez &amp; Díaz-Aguilar, 2021)"},"properties":{"noteIndex":0},"schema":"https://github.com/citation-style-language/schema/raw/master/csl-citation.json"}</w:instrText>
      </w:r>
      <w:r w:rsidRPr="00895D0B">
        <w:rPr>
          <w:color w:val="000000" w:themeColor="text1"/>
          <w:shd w:val="clear" w:color="auto" w:fill="FFFFFF"/>
        </w:rPr>
        <w:fldChar w:fldCharType="separate"/>
      </w:r>
      <w:r w:rsidRPr="00895D0B">
        <w:rPr>
          <w:noProof/>
          <w:color w:val="000000" w:themeColor="text1"/>
          <w:shd w:val="clear" w:color="auto" w:fill="FFFFFF"/>
        </w:rPr>
        <w:t>(Jordi-Sánchez &amp; Díaz-Aguilar, 2021)</w:t>
      </w:r>
      <w:r w:rsidRPr="00895D0B">
        <w:rPr>
          <w:color w:val="000000" w:themeColor="text1"/>
          <w:shd w:val="clear" w:color="auto" w:fill="FFFFFF"/>
        </w:rPr>
        <w:fldChar w:fldCharType="end"/>
      </w:r>
      <w:r w:rsidRPr="00895D0B">
        <w:rPr>
          <w:color w:val="000000" w:themeColor="text1"/>
          <w:shd w:val="clear" w:color="auto" w:fill="FFFFFF"/>
        </w:rPr>
        <w:t xml:space="preserve">. </w:t>
      </w:r>
      <w:r w:rsidRPr="00895D0B">
        <w:rPr>
          <w:color w:val="000000" w:themeColor="text1"/>
        </w:rPr>
        <w:t>Overall, the application of social practice theory in climate change adaptation offers valuable insights into the social and cultural factors that influence individual and collective responses to climate change. It helps identify barriers and opportunities for pro-environmental behaviour change and provides a framework for designing effective interventions and policies </w:t>
      </w:r>
      <w:r w:rsidRPr="00895D0B">
        <w:rPr>
          <w:color w:val="000000" w:themeColor="text1"/>
        </w:rPr>
        <w:fldChar w:fldCharType="begin" w:fldLock="1"/>
      </w:r>
      <w:r w:rsidRPr="00895D0B">
        <w:rPr>
          <w:color w:val="000000" w:themeColor="text1"/>
        </w:rPr>
        <w:instrText>ADDIN CSL_CITATION {"citationItems":[{"id":"ITEM-1","itemData":{"DOI":"10.3390/cli9010007","ISSN":"22251154","abstract":"Society is at an important intersection in dealing with the challenges of climate change, and this paper is presented at a critical juncture in light of growing recognition that the natural sciences are insufficient to deal with these challenges. Critical aspects of sociological perspectives related to climate change research are brought together in this review in the hope of fostering greater interdisciplinary collaboration between the natural and social sciences. We fervently argue for the need to inculcate interdisciplinary approaches that can provide innovative perspectives and solutions to the challenges we face from the impacts of climate change. As such, some critical sociological perspectives are addressed, with two objectives: (a) to provide a foundational opening for readers seeking an introductory perspective and potential core contributions of sociological insights on climate change; and (b) to explore opportunities and obstacles that may occur with increased interdisciplinary cooperation and collaboration. We lay out fundamental ideas by assembling a loosely connected body of sociological research, hoping to develop and advance the collaborative research agenda between sociology and other disciplines for the near future.","author":[{"dropping-particle":"","family":"Islam","given":"S.","non-dropping-particle":"","parse-names":false,"suffix":""},{"dropping-particle":"","family":"Kieu","given":"E.","non-dropping-particle":"","parse-names":false,"suffix":""}],"container-title":"Climate","id":"ITEM-1","issue":"1","issued":{"date-parts":[["2021"]]},"page":"1-14","title":"Sociological perspectives on climate change and society: A review","type":"article-journal","volume":"9"},"uris":["http://www.mendeley.com/documents/?uuid=1411c5e3-1a17-4456-b51f-9d267b954eec"]}],"mendeley":{"formattedCitation":"(Islam &amp; Kieu, 2021)","plainTextFormattedCitation":"(Islam &amp; Kieu, 2021)","previouslyFormattedCitation":"(Islam &amp; Kieu,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(Islam &amp; Kieu, 2021)</w:t>
      </w:r>
      <w:r w:rsidRPr="00895D0B">
        <w:rPr>
          <w:color w:val="000000" w:themeColor="text1"/>
        </w:rPr>
        <w:fldChar w:fldCharType="end"/>
      </w:r>
      <w:r w:rsidRPr="00895D0B">
        <w:rPr>
          <w:color w:val="000000" w:themeColor="text1"/>
        </w:rPr>
        <w:t>.</w:t>
      </w:r>
    </w:p>
    <w:p w14:paraId="0D425136" w14:textId="77777777" w:rsidR="00831189" w:rsidRPr="00895D0B" w:rsidRDefault="00831189" w:rsidP="000778C3">
      <w:pPr>
        <w:pStyle w:val="NoSpacing"/>
      </w:pPr>
    </w:p>
    <w:p w14:paraId="443236F8" w14:textId="30F90A50" w:rsidR="00831189" w:rsidRPr="00895D0B" w:rsidRDefault="004E07C6" w:rsidP="009864E3">
      <w:pPr>
        <w:pStyle w:val="Heading3"/>
      </w:pPr>
      <w:bookmarkStart w:id="42" w:name="_Toc167379877"/>
      <w:r w:rsidRPr="00895D0B">
        <w:t>2.9</w:t>
      </w:r>
      <w:r w:rsidR="00831189" w:rsidRPr="00895D0B">
        <w:t>.3</w:t>
      </w:r>
      <w:r w:rsidR="003D0790">
        <w:t xml:space="preserve"> </w:t>
      </w:r>
      <w:r w:rsidR="00831189" w:rsidRPr="00895D0B">
        <w:t>Conceptualizing urban household farming within a social practice theoretical perspective</w:t>
      </w:r>
      <w:bookmarkEnd w:id="42"/>
    </w:p>
    <w:p w14:paraId="530F8FAE" w14:textId="77777777" w:rsidR="00B914B9" w:rsidRPr="00895D0B" w:rsidRDefault="00831189" w:rsidP="00831189">
      <w:pPr>
        <w:spacing w:line="360" w:lineRule="auto"/>
        <w:ind w:right="467"/>
        <w:rPr>
          <w:rFonts w:cs="Times New Roman"/>
          <w:color w:val="000000" w:themeColor="text1"/>
          <w:szCs w:val="24"/>
        </w:rPr>
      </w:pPr>
      <w:r w:rsidRPr="00895D0B">
        <w:rPr>
          <w:rFonts w:cs="Times New Roman"/>
          <w:color w:val="000000" w:themeColor="text1"/>
          <w:szCs w:val="24"/>
        </w:rPr>
        <w:t xml:space="preserve">According to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{"citationItems":[{"id":"ITEM-1","itemData":{"DOI":"10.1177/1469540514547828","ISSN":"17412900","abstract":"Multi-disciplinary studies of consumption have proliferated in the last two decades. Heavily influenced by notions of 'the consumer' and tenets of 'the cultural turn', explanations have relied preponderantly upon models of voluntary action contextualised by webs of cultural meanings which constitute symbolic resources for individual choice. Arguably, the cultural turn has run its course and is beginning to unwind, a consequence of internal inconsistencies, misplaced emphases and the cycle of generational succession in theory development in the social sciences. Theories of practice provide a competing alternative approach which contests the colonisation of consumption by models of individual choice and cultural expressivism. To that end, this article explores the use of theories of practice as a lens to magnify aspects of common social processes which generate observable patterns of consumption. It is suggested that theories of practice might provide a general analytic framework for understanding consumption, one whose particular emphases capture important and relevant aspects overlooked by previously dominant approaches to consumption as culture. This article reviews reasons for the emergence of theories of practice and isolates some of their distinctive emphases. Strengths and weaknesses of the theory of practice as an approach to consumption are discussed.","author":[{"dropping-particle":"","family":"Warde","given":"A.","non-dropping-particle":"","parse-names":false,"suffix":""}],"container-title":"Journal of Consumer Culture","id":"ITEM-1","issue":"3","issued":{"date-parts":[["2014"]]},"page":"279-303","title":"After taste: Culture, consumption and theories of practice","type":"article-journal","volume":"14"},"uris":["http://www.mendeley.com/documents/?uuid=02434a92-2c45-4e65-851e-717f51f6e60e"]}],"mendeley":{"formattedCitation":"(Warde, 2014)","manualFormatting":"Warde (2014)","plainTextFormattedCitation":"(Warde, 2014)","previouslyFormattedCitation":"(Warde, 2014)"},"properties":{"noteIndex":0},"schema":"https://github.com/citation-style-language/schema/raw/master/csl-citation.json"}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Warde (2014)</w:t>
      </w:r>
      <w:r w:rsidRPr="00895D0B">
        <w:rPr>
          <w:rFonts w:cs="Times New Roman"/>
          <w:color w:val="000000" w:themeColor="text1"/>
          <w:szCs w:val="24"/>
        </w:rPr>
        <w:fldChar w:fldCharType="end"/>
      </w:r>
      <w:r w:rsidRPr="00895D0B">
        <w:rPr>
          <w:rFonts w:cs="Times New Roman"/>
          <w:color w:val="000000" w:themeColor="text1"/>
          <w:szCs w:val="24"/>
        </w:rPr>
        <w:t xml:space="preserve">, gardening is a practice that generates </w:t>
      </w:r>
      <w:r w:rsidR="00717432" w:rsidRPr="00895D0B">
        <w:rPr>
          <w:rFonts w:cs="Times New Roman"/>
          <w:color w:val="000000" w:themeColor="text1"/>
          <w:szCs w:val="24"/>
        </w:rPr>
        <w:t xml:space="preserve">income </w:t>
      </w:r>
      <w:r w:rsidRPr="00895D0B">
        <w:rPr>
          <w:rFonts w:cs="Times New Roman"/>
          <w:color w:val="000000" w:themeColor="text1"/>
          <w:szCs w:val="24"/>
        </w:rPr>
        <w:t xml:space="preserve">rather than consumption, which can happen unnoticed as consumption. For instance, a household that tends to a lawn rather than food production such as growing organic food and composting household waste is meeting environmental protection. The household contributes to environmental degradation due to its continuous reliance on the globalized food system and lack of consumption decrease. The author is </w:t>
      </w:r>
      <w:r w:rsidRPr="00895D0B">
        <w:rPr>
          <w:rFonts w:cs="Times New Roman"/>
          <w:color w:val="000000" w:themeColor="text1"/>
          <w:szCs w:val="24"/>
        </w:rPr>
        <w:lastRenderedPageBreak/>
        <w:t xml:space="preserve">aware that there are other factors at play, but for the study, the aforementioned argument was established by focusing on family food production. The above could be seen as a subtle consequence of domestic gardening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{"citationItems":[{"id":"ITEM-1","itemData":{"abstract":"The user has requested enhancement of the downloaded file.","author":[{"dropping-particle":"","family":"Touliatos","given":"D.D.","non-dropping-particle":"","parse-names":false,"suffix":""}],"id":"ITEM-1","issue":"January 2011","issued":{"date-parts":[["2018"]]},"title":"Growing Urban Agriculture: Using Social Practice Theory to Assess How Transition Norwich can upscale Household Food Gardening in The City of Norwich Exploiting Vertical Growing Strategies for Sustainable Crop Production View project organic-PLUS View proj","type":"article-journal"},"uris":["http://www.mendeley.com/documents/?uuid=17a09815-9001-4c1d-8c8d-ec87c31a60e0"]}],"mendeley":{"formattedCitation":"(Touliatos, 2018)","plainTextFormattedCitation":"(Touliatos, 2018)","previouslyFormattedCitation":"(Touliatos,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(Touliatos, 2018)</w:t>
      </w:r>
      <w:r w:rsidRPr="00895D0B">
        <w:rPr>
          <w:rFonts w:cs="Times New Roman"/>
          <w:color w:val="000000" w:themeColor="text1"/>
          <w:szCs w:val="24"/>
        </w:rPr>
        <w:fldChar w:fldCharType="end"/>
      </w:r>
      <w:r w:rsidRPr="00895D0B">
        <w:rPr>
          <w:rFonts w:cs="Times New Roman"/>
          <w:color w:val="000000" w:themeColor="text1"/>
          <w:szCs w:val="24"/>
        </w:rPr>
        <w:t xml:space="preserve">. </w:t>
      </w:r>
    </w:p>
    <w:p w14:paraId="5DF65D2C" w14:textId="77777777" w:rsidR="00B914B9" w:rsidRPr="00895D0B" w:rsidRDefault="00B914B9" w:rsidP="000778C3">
      <w:pPr>
        <w:pStyle w:val="NoSpacing"/>
      </w:pPr>
    </w:p>
    <w:p w14:paraId="4DC072F8" w14:textId="77777777" w:rsidR="00B914B9" w:rsidRPr="00895D0B" w:rsidRDefault="00831189" w:rsidP="00831189">
      <w:pPr>
        <w:spacing w:line="360" w:lineRule="auto"/>
        <w:ind w:right="467"/>
        <w:rPr>
          <w:rFonts w:cs="Times New Roman"/>
          <w:color w:val="000000" w:themeColor="text1"/>
          <w:szCs w:val="24"/>
        </w:rPr>
      </w:pPr>
      <w:r w:rsidRPr="00895D0B">
        <w:rPr>
          <w:rFonts w:cs="Times New Roman"/>
          <w:color w:val="000000" w:themeColor="text1"/>
          <w:szCs w:val="24"/>
        </w:rPr>
        <w:t xml:space="preserve">A shared understanding of what it means to carry out a certain work can be characterized as practice, which is a routinized style of action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{"citationItems":[{"id":"ITEM-1","itemData":{"author":[{"dropping-particle":"","family":"Hartmann","given":"B. J.","non-dropping-particle":"","parse-names":false,"suffix":""}],"id":"ITEM-1","issued":{"date-parts":[["2011"]]},"page":"519-520","title":"Practice Consumption and Value Creation :","type":"article-journal","volume":"39"},"uris":["http://www.mendeley.com/documents/?uuid=823c6e59-debf-4cb1-835a-04894950ac6e"]}],"mendeley":{"formattedCitation":"(Hartmann, 2011)","plainTextFormattedCitation":"(Hartmann, 2011)","previouslyFormattedCitation":"(Hartmann, 2011)"},"properties":{"noteIndex":0},"schema":"https://github.com/citation-style-language/schema/raw/master/csl-citation.json"}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(Hartmann, 2011)</w:t>
      </w:r>
      <w:r w:rsidRPr="00895D0B">
        <w:rPr>
          <w:rFonts w:cs="Times New Roman"/>
          <w:color w:val="000000" w:themeColor="text1"/>
          <w:szCs w:val="24"/>
        </w:rPr>
        <w:fldChar w:fldCharType="end"/>
      </w:r>
      <w:r w:rsidRPr="00895D0B">
        <w:rPr>
          <w:rFonts w:cs="Times New Roman"/>
          <w:color w:val="000000" w:themeColor="text1"/>
          <w:szCs w:val="24"/>
        </w:rPr>
        <w:t xml:space="preserve">. According to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{"citationItems":[{"id":"ITEM-1","itemData":{"DOI":"10.1145/1738826.1738861","ISBN":"9781605588544","abstract":"SmartGardenWatering is an innovative software tool that advises gardeners on watering schedules and watering use. In this paper we investigate how expert and novice gardeners respond to advice from this piece of computer software. Do they readily accept it and adapt their activities accordingly, or do they override it with their own local knowledge? We describe the project to develop the simulation, including the design of the user interface, and a study of 20 gardeners using the tool. The focus of the study was to identify factors in the design of the software that influence how well it might intervene in ongoing gardening practice. The findings focus on what brings confidence or a lack of trust in the underlying horticultural model and its application to a particular garden. Finally, we consider how these findings might inform ongoing development of the software. © ACM 2009.","author":[{"dropping-particle":"","family":"Pearce","given":"J.","non-dropping-particle":"","parse-names":false,"suffix":""},{"dropping-particle":"","family":"Smith","given":"W.","non-dropping-particle":"","parse-names":false,"suffix":""},{"dropping-particle":"","family":"Nansen","given":"B.","non-dropping-particle":"","parse-names":false,"suffix":""},{"dropping-particle":"","family":"Murphy","given":"J.","non-dropping-particle":"","parse-names":false,"suffix":""}],"container-title":"Proceedings of the 21st Annual Conference of the Australian Computer-Human Interaction Special Interest Group - Design: Open 24/7, OZCHI '09","id":"ITEM-1","issued":{"date-parts":[["2009"]]},"page":"217-224","title":"SmartGardenWatering: Experiences of using a garden watering simulation","type":"article-journal","volume":"411"},"uris":["http://www.mendeley.com/documents/?uuid=4dc562f5-60f1-4b92-8828-e06bc721b1c3"]}],"mendeley":{"formattedCitation":"(Pearce et al., 2009)","manualFormatting":"Pearce et al. (2009)","plainTextFormattedCitation":"(Pearce et al., 2009)","previouslyFormattedCitation":"(Pearce et al., 2009)"},"properties":{"noteIndex":0},"schema":"https://github.com/citation-style-language/schema/raw/master/csl-citation.json"}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Pearce et al. (2009)</w:t>
      </w:r>
      <w:r w:rsidRPr="00895D0B">
        <w:rPr>
          <w:rFonts w:cs="Times New Roman"/>
          <w:color w:val="000000" w:themeColor="text1"/>
          <w:szCs w:val="24"/>
        </w:rPr>
        <w:fldChar w:fldCharType="end"/>
      </w:r>
      <w:r w:rsidRPr="00895D0B">
        <w:rPr>
          <w:rFonts w:cs="Times New Roman"/>
          <w:color w:val="000000" w:themeColor="text1"/>
          <w:szCs w:val="24"/>
        </w:rPr>
        <w:t xml:space="preserve"> theory of structuration, practices (gardening, buying food) are the meso-level structures between a framework of social structures (household food provisioning, the garden design industry), and individual actions of agents (garden owner, gardener, food purchaser). The framework of social structures both influences and is modified by the individual actions of agents. This is achieved employing a mediation procedure that starts with the agent and develops through social interactions as a mediating notion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{"citationItems":[{"id":"ITEM-1","itemData":{"ISBN":"9781317326458","abstract":"There has been an upsurge in scholarship concerned with theories of social practices in various fields including sociology, geography and management studies. This book provides a systematic introduction and overview of recent formulations of practice theory organised around three important themes: the importance of analysing the role of the non-human alongside the human; the reflexive nature of social science research; and the dynamics of social change. Combining a rich variety of detailed empirical research examples with discussion of the relevance of practice theories for policy and social change, this book represents an excellent sourcebook for all academic and professional researchers interested in working with practice theory.","author":[{"dropping-particle":"","family":"Spaargaren","given":"G.","non-dropping-particle":"","parse-names":false,"suffix":""},{"dropping-particle":"","family":"Weenink","given":"D.","non-dropping-particle":"","parse-names":false,"suffix":""},{"dropping-particle":"","family":"Lamers","given":"M.","non-dropping-particle":"","parse-names":false,"suffix":""}],"container-title":"Practice Theory and Research","id":"ITEM-1","issued":{"date-parts":[["2016"]]},"title":"Practice Theory and Research","type":"book"},"uris":["http://www.mendeley.com/documents/?uuid=215a9b85-7c99-4218-a767-a382053bc333"]}],"mendeley":{"formattedCitation":"(Spaargaren et al., 2016)","plainTextFormattedCitation":"(Spaargaren et al., 2016)","previouslyFormattedCitation":"(Spaargaren et al., 2016)"},"properties":{"noteIndex":0},"schema":"https://github.com/citation-style-language/schema/raw/master/csl-citation.json"}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(Spaargaren et al., 2016)</w:t>
      </w:r>
      <w:r w:rsidRPr="00895D0B">
        <w:rPr>
          <w:rFonts w:cs="Times New Roman"/>
          <w:color w:val="000000" w:themeColor="text1"/>
          <w:szCs w:val="24"/>
        </w:rPr>
        <w:fldChar w:fldCharType="end"/>
      </w:r>
      <w:r w:rsidRPr="00895D0B">
        <w:rPr>
          <w:rFonts w:cs="Times New Roman"/>
          <w:color w:val="000000" w:themeColor="text1"/>
          <w:szCs w:val="24"/>
        </w:rPr>
        <w:t xml:space="preserve">. Earlier 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{"citationItems":[{"id":"ITEM-1","itemData":{"abstract":"Working Paper No. 6","author":[{"dropping-particle":"","family":"Strengers","given":"Y.","non-dropping-particle":"","parse-names":false,"suffix":""}],"container-title":"Behaviour Change","id":"ITEM-1","issue":"6","issued":{"date-parts":[["2010"]]},"page":"1-21","title":"Conceptualising everyday practices : composition , reproduction and change","type":"article-journal"},"uris":["http://www.mendeley.com/documents/?uuid=5c462213-eb76-4c40-ae16-2fbf2f7c1ca3"]}],"mendeley":{"formattedCitation":"(Strengers, 2010)","manualFormatting":"Strengers (2010)","plainTextFormattedCitation":"(Strengers, 2010)","previouslyFormattedCitation":"(Strengers, 2010)"},"properties":{"noteIndex":0},"schema":"https://github.com/citation-style-language/schema/raw/master/csl-citation.json"}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Strengers (2010)</w:t>
      </w:r>
      <w:r w:rsidRPr="00895D0B">
        <w:rPr>
          <w:rFonts w:cs="Times New Roman"/>
          <w:color w:val="000000" w:themeColor="text1"/>
          <w:szCs w:val="24"/>
        </w:rPr>
        <w:fldChar w:fldCharType="end"/>
      </w:r>
      <w:r w:rsidRPr="00895D0B">
        <w:rPr>
          <w:rFonts w:cs="Times New Roman"/>
          <w:color w:val="000000" w:themeColor="text1"/>
          <w:szCs w:val="24"/>
        </w:rPr>
        <w:t xml:space="preserve"> asserts that the family food provision/garden design business is created by the gardening/food purchasing habits (practices) of the gardener/food buyer/garden owner (actor), who is the "carrier" of the practice (social structures). </w:t>
      </w:r>
    </w:p>
    <w:p w14:paraId="30446FA2" w14:textId="77777777" w:rsidR="00B914B9" w:rsidRPr="00895D0B" w:rsidRDefault="00B914B9" w:rsidP="005573B9">
      <w:pPr>
        <w:pStyle w:val="NoSpacing"/>
      </w:pPr>
    </w:p>
    <w:p w14:paraId="6F75ED65" w14:textId="3AABCD57" w:rsidR="00831189" w:rsidRDefault="00831189" w:rsidP="00831189">
      <w:pPr>
        <w:spacing w:line="360" w:lineRule="auto"/>
        <w:ind w:right="467"/>
        <w:rPr>
          <w:rFonts w:cs="Times New Roman"/>
          <w:color w:val="000000" w:themeColor="text1"/>
          <w:szCs w:val="24"/>
        </w:rPr>
      </w:pPr>
      <w:r w:rsidRPr="00895D0B">
        <w:rPr>
          <w:rFonts w:cs="Times New Roman"/>
          <w:color w:val="000000" w:themeColor="text1"/>
          <w:szCs w:val="24"/>
        </w:rPr>
        <w:t xml:space="preserve">The above point of view serves as an example of how social activities have a dynamic impact on social structures. In light of this, the social practice theory states that Society is regarded as created by social practices that are produced and reproduced throughout time and space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{"citationItems":[{"id":"ITEM-1","itemData":{"abstract":"Working Paper No. 6","author":[{"dropping-particle":"","family":"Strengers","given":"Y.","non-dropping-particle":"","parse-names":false,"suffix":""}],"container-title":"Behaviour Change","id":"ITEM-1","issue":"6","issued":{"date-parts":[["2010"]]},"page":"1-21","title":"Conceptualising everyday practices : composition , reproduction and change","type":"article-journal"},"uris":["http://www.mendeley.com/documents/?uuid=5c462213-eb76-4c40-ae16-2fbf2f7c1ca3"]}],"mendeley":{"formattedCitation":"(Strengers, 2010)","plainTextFormattedCitation":"(Strengers, 2010)","previouslyFormattedCitation":"(Strengers, 2010)"},"properties":{"noteIndex":0},"schema":"https://github.com/citation-style-language/schema/raw/master/csl-citation.json"}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(Strengers, 2010)</w:t>
      </w:r>
      <w:r w:rsidRPr="00895D0B">
        <w:rPr>
          <w:rFonts w:cs="Times New Roman"/>
          <w:color w:val="000000" w:themeColor="text1"/>
          <w:szCs w:val="24"/>
        </w:rPr>
        <w:fldChar w:fldCharType="end"/>
      </w:r>
      <w:r w:rsidRPr="00895D0B">
        <w:rPr>
          <w:rFonts w:cs="Times New Roman"/>
          <w:color w:val="000000" w:themeColor="text1"/>
          <w:szCs w:val="24"/>
        </w:rPr>
        <w:t xml:space="preserve">. Changing activities to make them more environmentally friendly is a more successful strategy to promote pro-environmental behaviours, according to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{"citationItems":[{"id":"ITEM-1","itemData":{"abstract":"The user has requested enhancement of the downloaded file.","author":[{"dropping-particle":"","family":"Touliatos","given":"D.D.","non-dropping-particle":"","parse-names":false,"suffix":""}],"id":"ITEM-1","issue":"January 2011","issued":{"date-parts":[["2018"]]},"title":"Growing Urban Agriculture: Using Social Practice Theory to Assess How Transition Norwich can upscale Household Food Gardening in The City of Norwich Exploiting Vertical Growing Strategies for Sustainable Crop Production View project organic-PLUS View proj","type":"article-journal"},"uris":["http://www.mendeley.com/documents/?uuid=17a09815-9001-4c1d-8c8d-ec87c31a60e0"]}],"mendeley":{"formattedCitation":"(Touliatos, 2018)","manualFormatting":"Touliatos (2018)","plainTextFormattedCitation":"(Touliatos, 2018)","previouslyFormattedCitation":"(Touliatos,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Touliatos (2018)</w:t>
      </w:r>
      <w:r w:rsidRPr="00895D0B">
        <w:rPr>
          <w:rFonts w:cs="Times New Roman"/>
          <w:color w:val="000000" w:themeColor="text1"/>
          <w:szCs w:val="24"/>
        </w:rPr>
        <w:fldChar w:fldCharType="end"/>
      </w:r>
      <w:r w:rsidRPr="00895D0B">
        <w:rPr>
          <w:rFonts w:cs="Times New Roman"/>
          <w:color w:val="000000" w:themeColor="text1"/>
          <w:szCs w:val="24"/>
        </w:rPr>
        <w:t xml:space="preserve">, than educating or persuading individuals to make new choices. Before we can accomplish this change in our practices, we must first understand the nature and evolution of practices in daily life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{"citationItems":[{"id":"ITEM-1","itemData":{"DOI":"10.1080/14649365.2018.1550803","ISSN":"14701197","abstract":"Based on an empirical study in Copenhagen, Denmark, this article investigates whether and how a more diverse nature can be integrated in the dwelling practices of garden owners and users. Is concern for biodiversity part of the engagements inherent in gardening practices? And are such engagements integrated in the embodied competences of garden owners? Drawing on and discussing the theoretical approaches applied in affordance theory, Tim Ingold’s dwelling perspective, relational geography and practice theory, the article analyses the affordances and affects that are maintained in common gardening practices and how these practices sustain or hinder the integration of a broader variety of species in suburban gardens. The study finds that concern for biodiversity and a deeper care for wildlife do not appear to play a significant role in gardening practices. But concern for wildlife and biodiversity does have a latent presence among the affects, conceptions and ideals that are–or potentially could be–enacted in the constitution of gardens landscapes. Based on its empirical findings and theoretical discussions, the article furthermore suggests that we need to consider how secondary experiences and media representations are an integral part of the co-constitution of landscape and dwelling.","author":[{"dropping-particle":"","family":"Petersen","given":"L. K.","non-dropping-particle":"","parse-names":false,"suffix":""}],"container-title":"Social and Cultural Geography","id":"ITEM-1","issue":"1","issued":{"date-parts":[["2021"]]},"page":"11-32","publisher":"Routledge","title":"Engaging with nature through the dwelling practices in garden landscapes","type":"article-journal","volume":"22"},"uris":["http://www.mendeley.com/documents/?uuid=b30d12b3-953c-4d19-aa56-23b6af5e086e"]}],"mendeley":{"formattedCitation":"(Petersen, 2021)","plainTextFormattedCitation":"(Petersen, 2021)","previouslyFormattedCitation":"(Petersen,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(Petersen, 2021)</w:t>
      </w:r>
      <w:r w:rsidRPr="00895D0B">
        <w:rPr>
          <w:rFonts w:cs="Times New Roman"/>
          <w:color w:val="000000" w:themeColor="text1"/>
          <w:szCs w:val="24"/>
        </w:rPr>
        <w:fldChar w:fldCharType="end"/>
      </w:r>
      <w:r w:rsidRPr="00895D0B">
        <w:rPr>
          <w:rFonts w:cs="Times New Roman"/>
          <w:color w:val="000000" w:themeColor="text1"/>
          <w:szCs w:val="24"/>
        </w:rPr>
        <w:t xml:space="preserve">. According to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Quist","given":"J.","non-dropping-particle":"","parse-names":false,"suffix":""},{"dropping-particle":"","family":"Wittmayer","given":"J.","non-dropping-particle":"","parse-names":false,"suffix":""},{"dropping-particle":"","family":"Umpfenbach","given":"K.","non-dropping-particle":"","parse-names":false,"suffix":""},{"dropping-particle":"","family":"Bauler","given":"T.","non-dropping-particle":"","parse-names":false,"suffix":""}],"id":"ITEM-1","issue":"3","issued":{"date-parts":[["2013"]]},"page":"361","title":"Sustainable Consumption Transitions Series Issue 3 Pathways , Transitions and Backcasting for Low-Carbon and Sustainable Lifestyles","type":"article-journal"},"uris":["http://www.mendeley.com/documents/?uuid=347b2f33-8e9d-4117-b2ee-c3c131ee7035"]}],"mendeley":{"formattedCitation":"(Quist et al., 2013)","manualFormatting":"Quist et al.( 2013)","plainTextFormattedCitation":"(Quist et al., 2013)","previouslyFormattedCitation":"(Quist et al.,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Quist et al.( 2013)</w:t>
      </w:r>
      <w:r w:rsidRPr="00895D0B">
        <w:rPr>
          <w:rFonts w:cs="Times New Roman"/>
          <w:color w:val="000000" w:themeColor="text1"/>
          <w:szCs w:val="24"/>
        </w:rPr>
        <w:fldChar w:fldCharType="end"/>
      </w:r>
      <w:r w:rsidRPr="00895D0B">
        <w:rPr>
          <w:rFonts w:cs="Times New Roman"/>
          <w:color w:val="000000" w:themeColor="text1"/>
          <w:szCs w:val="24"/>
        </w:rPr>
        <w:t xml:space="preserve"> practices are typically long-lasting entities that are melded together by sets of norms, doings, know-how, and materials.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{"citationItems":[{"id":"ITEM-1","itemData":{"DOI":"10.4324/9780203335697-23","ISBN":"9780203335697","author":[{"dropping-particle":"","family":"Reckwitz","given":"A.","non-dropping-particle":"","parse-names":false,"suffix":""}],"container-title":"Practicing History: New Directions in Historical Writing after the Linguistic Turn","id":"ITEM-1","issue":"2","issued":{"date-parts":[["2004"]]},"page":"245-263","title":"Toward a theory of social practices: A development in culturalist theorizing","type":"article-journal","volume":"5"},"uris":["http://www.mendeley.com/documents/?uuid=c43890cd-ff90-4348-8c91-22036fe8ba66"]},{"id":"ITEM-2","itemData":{"author":[{"dropping-particle":"","family":"Shove","given":"E.","non-dropping-particle":"","parse-names":false,"suffix":""}],"id":"ITEM-2","issue":"January","issued":{"date-parts":[["2011"]]},"page":"1-15","title":"How the social sciences can help climate change policy","type":"article-journal"},"uris":["http://www.mendeley.com/documents/?uuid=7add6c2b-4908-4ecd-936b-c59bf06a23dd"]}],"mendeley":{"formattedCitation":"(Reckwitz, 2004; Shove, 2011)","manualFormatting":"Reckwitz (2004) and Shove (2011)","plainTextFormattedCitation":"(Reckwitz, 2004; Shove, 2011)","previouslyFormattedCitation":"(Reckwitz, 2004; Shove, 2011)"},"properties":{"noteIndex":0},"schema":"https://github.com/citation-style-language/schema/raw/master/csl-citation.json"}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Reckwitz (2004) and Shove (2011)</w:t>
      </w:r>
      <w:r w:rsidRPr="00895D0B">
        <w:rPr>
          <w:rFonts w:cs="Times New Roman"/>
          <w:color w:val="000000" w:themeColor="text1"/>
          <w:szCs w:val="24"/>
        </w:rPr>
        <w:fldChar w:fldCharType="end"/>
      </w:r>
      <w:r w:rsidRPr="00895D0B">
        <w:rPr>
          <w:rFonts w:cs="Times New Roman"/>
          <w:color w:val="000000" w:themeColor="text1"/>
          <w:szCs w:val="24"/>
        </w:rPr>
        <w:t xml:space="preserve"> define practices as the synthesis of three core elements: stuff (materials, technology, and tangibly present items), pictures (domain of symbols and meanings), and skills (competence, know-how, and techniques). Practices are established and used in daily</w:t>
      </w:r>
      <w:r w:rsidR="00F024CB" w:rsidRPr="00895D0B">
        <w:rPr>
          <w:rFonts w:cs="Times New Roman"/>
          <w:color w:val="000000" w:themeColor="text1"/>
          <w:szCs w:val="24"/>
        </w:rPr>
        <w:t xml:space="preserve"> life when the links are there.</w:t>
      </w:r>
    </w:p>
    <w:p w14:paraId="20013C91" w14:textId="77777777" w:rsidR="005573B9" w:rsidRDefault="005573B9" w:rsidP="00831189">
      <w:pPr>
        <w:spacing w:line="360" w:lineRule="auto"/>
        <w:ind w:right="467"/>
        <w:rPr>
          <w:rFonts w:cs="Times New Roman"/>
          <w:color w:val="000000" w:themeColor="text1"/>
          <w:szCs w:val="24"/>
        </w:rPr>
      </w:pPr>
    </w:p>
    <w:p w14:paraId="52CF79BB" w14:textId="77777777" w:rsidR="00831189" w:rsidRPr="00895D0B" w:rsidRDefault="00831189" w:rsidP="00831189">
      <w:pPr>
        <w:spacing w:line="360" w:lineRule="auto"/>
        <w:ind w:left="756" w:right="467"/>
        <w:rPr>
          <w:rFonts w:cs="Times New Roman"/>
          <w:color w:val="000000" w:themeColor="text1"/>
          <w:szCs w:val="24"/>
        </w:rPr>
      </w:pPr>
      <w:r w:rsidRPr="00895D0B">
        <w:rPr>
          <w:rFonts w:cs="Times New Roman"/>
          <w:noProof/>
          <w:color w:val="000000" w:themeColor="text1"/>
          <w:szCs w:val="24"/>
          <w:lang w:eastAsia="en-GB"/>
        </w:rPr>
        <w:lastRenderedPageBreak/>
        <mc:AlternateContent>
          <mc:Choice Requires="wpg">
            <w:drawing>
              <wp:anchor distT="0" distB="0" distL="114300" distR="114300" simplePos="0" relativeHeight="251663360" behindDoc="0" locked="0" layoutInCell="1" allowOverlap="1" wp14:anchorId="7730071A" wp14:editId="02C16DB2">
                <wp:simplePos x="0" y="0"/>
                <wp:positionH relativeFrom="column">
                  <wp:posOffset>0</wp:posOffset>
                </wp:positionH>
                <wp:positionV relativeFrom="paragraph">
                  <wp:posOffset>171449</wp:posOffset>
                </wp:positionV>
                <wp:extent cx="5372100" cy="3933825"/>
                <wp:effectExtent l="19050" t="19050" r="19050" b="28575"/>
                <wp:wrapNone/>
                <wp:docPr id="52"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72100" cy="3933825"/>
                          <a:chOff x="0" y="0"/>
                          <a:chExt cx="5741581" cy="4093535"/>
                        </a:xfrm>
                      </wpg:grpSpPr>
                      <wps:wsp>
                        <wps:cNvPr id="53" name="Rectangle 53"/>
                        <wps:cNvSpPr/>
                        <wps:spPr>
                          <a:xfrm>
                            <a:off x="1066699" y="19050"/>
                            <a:ext cx="1740195" cy="1331285"/>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6B11A143" w14:textId="77777777" w:rsidR="00895D0B" w:rsidRDefault="00895D0B" w:rsidP="00831189">
                              <w:pPr>
                                <w:spacing w:line="240" w:lineRule="auto"/>
                                <w:ind w:left="174"/>
                                <w:jc w:val="center"/>
                                <w:rPr>
                                  <w:rFonts w:eastAsia="Trebuchet MS" w:cs="Times New Roman"/>
                                  <w:b/>
                                  <w:i/>
                                  <w:color w:val="1A1A1A"/>
                                  <w:szCs w:val="24"/>
                                </w:rPr>
                              </w:pPr>
                              <w:r>
                                <w:rPr>
                                  <w:rFonts w:eastAsia="Trebuchet MS" w:cs="Times New Roman"/>
                                  <w:b/>
                                  <w:i/>
                                  <w:color w:val="1A1A1A"/>
                                  <w:szCs w:val="24"/>
                                </w:rPr>
                                <w:t>Images;</w:t>
                              </w:r>
                            </w:p>
                            <w:p w14:paraId="1E648526" w14:textId="77777777" w:rsidR="00895D0B" w:rsidRDefault="00895D0B" w:rsidP="00831189">
                              <w:pPr>
                                <w:spacing w:line="240" w:lineRule="auto"/>
                                <w:ind w:left="174"/>
                                <w:jc w:val="left"/>
                                <w:rPr>
                                  <w:rFonts w:cs="Times New Roman"/>
                                  <w:i/>
                                  <w:szCs w:val="24"/>
                                </w:rPr>
                              </w:pPr>
                              <w:r>
                                <w:rPr>
                                  <w:rFonts w:eastAsia="Trebuchet MS" w:cs="Times New Roman"/>
                                  <w:color w:val="1A1A1A"/>
                                  <w:szCs w:val="24"/>
                                </w:rPr>
                                <w:t>Meanings, symbols, common understandings and social norms.</w:t>
                              </w:r>
                            </w:p>
                          </w:txbxContent>
                        </wps:txbx>
                        <wps:bodyPr rot="0" spcFirstLastPara="0" vert="horz" wrap="square" lIns="91440" tIns="45720" rIns="91440" bIns="45720" numCol="1" spcCol="0" rtlCol="0" fromWordArt="0" anchor="ctr" anchorCtr="0" forceAA="0" compatLnSpc="1">
                          <a:noAutofit/>
                        </wps:bodyPr>
                      </wps:wsp>
                      <wps:wsp>
                        <wps:cNvPr id="54" name="Rectangle 54"/>
                        <wps:cNvSpPr/>
                        <wps:spPr>
                          <a:xfrm>
                            <a:off x="0" y="9525"/>
                            <a:ext cx="885825" cy="4084010"/>
                          </a:xfrm>
                          <a:prstGeom prst="rect">
                            <a:avLst/>
                          </a:prstGeom>
                          <a:ln w="38100"/>
                        </wps:spPr>
                        <wps:style>
                          <a:lnRef idx="2">
                            <a:schemeClr val="dk1"/>
                          </a:lnRef>
                          <a:fillRef idx="1">
                            <a:schemeClr val="lt1"/>
                          </a:fillRef>
                          <a:effectRef idx="0">
                            <a:schemeClr val="dk1"/>
                          </a:effectRef>
                          <a:fontRef idx="minor">
                            <a:schemeClr val="dk1"/>
                          </a:fontRef>
                        </wps:style>
                        <wps:txbx>
                          <w:txbxContent>
                            <w:p w14:paraId="79BF3B60" w14:textId="77777777" w:rsidR="00895D0B" w:rsidRDefault="00895D0B" w:rsidP="00831189">
                              <w:pPr>
                                <w:spacing w:line="240" w:lineRule="auto"/>
                                <w:jc w:val="center"/>
                                <w:rPr>
                                  <w:rFonts w:cs="Times New Roman"/>
                                  <w:szCs w:val="24"/>
                                </w:rPr>
                              </w:pPr>
                              <w:r>
                                <w:rPr>
                                  <w:rFonts w:cs="Times New Roman"/>
                                  <w:b/>
                                  <w:color w:val="000000" w:themeColor="text1"/>
                                  <w:szCs w:val="24"/>
                                </w:rPr>
                                <w:t>Social practice theory tenants</w:t>
                              </w:r>
                              <w:r>
                                <w:rPr>
                                  <w:rFonts w:cs="Times New Roman"/>
                                  <w:szCs w:val="24"/>
                                </w:rPr>
                                <w:t xml:space="preserve"> </w:t>
                              </w:r>
                            </w:p>
                          </w:txbxContent>
                        </wps:txbx>
                        <wps:bodyPr rot="0" spcFirstLastPara="0" vert="horz" wrap="square" lIns="91440" tIns="45720" rIns="91440" bIns="45720" numCol="1" spcCol="0" rtlCol="0" fromWordArt="0" anchor="ctr" anchorCtr="0" forceAA="0" compatLnSpc="1">
                          <a:noAutofit/>
                        </wps:bodyPr>
                      </wps:wsp>
                      <wps:wsp>
                        <wps:cNvPr id="55" name="Rectangle 55"/>
                        <wps:cNvSpPr/>
                        <wps:spPr>
                          <a:xfrm>
                            <a:off x="1066497" y="1409701"/>
                            <a:ext cx="1740195" cy="1344133"/>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510148A6" w14:textId="77777777" w:rsidR="00895D0B" w:rsidRDefault="00895D0B" w:rsidP="00831189">
                              <w:pPr>
                                <w:spacing w:line="240" w:lineRule="auto"/>
                                <w:jc w:val="center"/>
                                <w:rPr>
                                  <w:rFonts w:cs="Times New Roman"/>
                                  <w:b/>
                                  <w:i/>
                                  <w:color w:val="000000" w:themeColor="text1"/>
                                  <w:szCs w:val="24"/>
                                </w:rPr>
                              </w:pPr>
                              <w:r>
                                <w:rPr>
                                  <w:rFonts w:cs="Times New Roman"/>
                                  <w:b/>
                                  <w:i/>
                                  <w:color w:val="000000" w:themeColor="text1"/>
                                  <w:szCs w:val="24"/>
                                </w:rPr>
                                <w:t xml:space="preserve">Skills: </w:t>
                              </w:r>
                            </w:p>
                            <w:p w14:paraId="394CDEEC" w14:textId="77777777" w:rsidR="00895D0B" w:rsidRDefault="00895D0B" w:rsidP="00831189">
                              <w:pPr>
                                <w:spacing w:line="240" w:lineRule="auto"/>
                                <w:jc w:val="left"/>
                                <w:rPr>
                                  <w:rFonts w:cs="Times New Roman"/>
                                  <w:b/>
                                  <w:i/>
                                  <w:color w:val="000000" w:themeColor="text1"/>
                                  <w:szCs w:val="24"/>
                                </w:rPr>
                              </w:pPr>
                              <w:r>
                                <w:rPr>
                                  <w:rFonts w:cs="Times New Roman"/>
                                  <w:color w:val="000000" w:themeColor="text1"/>
                                  <w:szCs w:val="24"/>
                                </w:rPr>
                                <w:t>Competence, knowledge and techniques</w:t>
                              </w:r>
                            </w:p>
                          </w:txbxContent>
                        </wps:txbx>
                        <wps:bodyPr rot="0" spcFirstLastPara="0" vert="horz" wrap="square" lIns="91440" tIns="45720" rIns="91440" bIns="45720" numCol="1" spcCol="0" rtlCol="0" fromWordArt="0" anchor="ctr" anchorCtr="0" forceAA="0" compatLnSpc="1">
                          <a:noAutofit/>
                        </wps:bodyPr>
                      </wps:wsp>
                      <wps:wsp>
                        <wps:cNvPr id="56" name="Rectangle 56"/>
                        <wps:cNvSpPr/>
                        <wps:spPr>
                          <a:xfrm>
                            <a:off x="3016545" y="0"/>
                            <a:ext cx="2725036" cy="1350335"/>
                          </a:xfrm>
                          <a:prstGeom prst="rect">
                            <a:avLst/>
                          </a:prstGeom>
                        </wps:spPr>
                        <wps:style>
                          <a:lnRef idx="2">
                            <a:schemeClr val="dk1"/>
                          </a:lnRef>
                          <a:fillRef idx="1">
                            <a:schemeClr val="lt1"/>
                          </a:fillRef>
                          <a:effectRef idx="0">
                            <a:schemeClr val="dk1"/>
                          </a:effectRef>
                          <a:fontRef idx="minor">
                            <a:schemeClr val="dk1"/>
                          </a:fontRef>
                        </wps:style>
                        <wps:txbx>
                          <w:txbxContent>
                            <w:p w14:paraId="02EEA3A1" w14:textId="77777777" w:rsidR="00895D0B" w:rsidRDefault="00895D0B" w:rsidP="00831189">
                              <w:pPr>
                                <w:spacing w:line="240" w:lineRule="auto"/>
                                <w:ind w:left="56"/>
                                <w:jc w:val="left"/>
                                <w:rPr>
                                  <w:rFonts w:cs="Times New Roman"/>
                                  <w:color w:val="000000" w:themeColor="text1"/>
                                  <w:szCs w:val="24"/>
                                </w:rPr>
                              </w:pPr>
                              <w:r>
                                <w:rPr>
                                  <w:rFonts w:cs="Times New Roman"/>
                                  <w:color w:val="000000" w:themeColor="text1"/>
                                  <w:szCs w:val="24"/>
                                </w:rPr>
                                <w:t xml:space="preserve">Self-sufficiency and rational food production, food security, land acquisition modalities, the trade-off and synergies in using a parcel of land for urban agriculture and other land uses, beliefs and practices in growing crops and animals  </w:t>
                              </w:r>
                            </w:p>
                            <w:p w14:paraId="1808159B" w14:textId="77777777" w:rsidR="00895D0B" w:rsidRDefault="00895D0B" w:rsidP="00831189">
                              <w:pPr>
                                <w:spacing w:line="240" w:lineRule="auto"/>
                                <w:ind w:left="-29"/>
                                <w:rPr>
                                  <w:rFonts w:asciiTheme="minorHAnsi" w:hAnsiTheme="minorHAnsi"/>
                                  <w:color w:val="000000" w:themeColor="text1"/>
                                  <w:sz w:val="22"/>
                                  <w:szCs w:val="24"/>
                                </w:rPr>
                              </w:pPr>
                              <w:r>
                                <w:rPr>
                                  <w:rFonts w:eastAsia="Trebuchet MS" w:cs="Times New Roman"/>
                                  <w:b/>
                                  <w:color w:val="000000" w:themeColor="text1"/>
                                  <w:szCs w:val="24"/>
                                </w:rPr>
                                <w:t xml:space="preserve">   </w:t>
                              </w:r>
                            </w:p>
                          </w:txbxContent>
                        </wps:txbx>
                        <wps:bodyPr rot="0" spcFirstLastPara="0" vert="horz" wrap="square" lIns="91440" tIns="45720" rIns="91440" bIns="45720" numCol="1" spcCol="0" rtlCol="0" fromWordArt="0" anchor="ctr" anchorCtr="0" forceAA="0" compatLnSpc="1">
                          <a:noAutofit/>
                        </wps:bodyPr>
                      </wps:wsp>
                      <wps:wsp>
                        <wps:cNvPr id="57" name="Rectangle 57"/>
                        <wps:cNvSpPr/>
                        <wps:spPr>
                          <a:xfrm>
                            <a:off x="1057073" y="2870790"/>
                            <a:ext cx="1792683" cy="1222745"/>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50955749" w14:textId="77777777" w:rsidR="00895D0B" w:rsidRDefault="00895D0B" w:rsidP="00831189">
                              <w:pPr>
                                <w:spacing w:line="240" w:lineRule="auto"/>
                                <w:jc w:val="center"/>
                                <w:rPr>
                                  <w:rFonts w:cs="Times New Roman"/>
                                  <w:b/>
                                  <w:i/>
                                  <w:color w:val="000000" w:themeColor="text1"/>
                                  <w:szCs w:val="24"/>
                                </w:rPr>
                              </w:pPr>
                              <w:r>
                                <w:rPr>
                                  <w:rFonts w:cs="Times New Roman"/>
                                  <w:b/>
                                  <w:i/>
                                  <w:color w:val="000000" w:themeColor="text1"/>
                                  <w:szCs w:val="24"/>
                                </w:rPr>
                                <w:t>Stuff:</w:t>
                              </w:r>
                            </w:p>
                            <w:p w14:paraId="0C425F85" w14:textId="77777777" w:rsidR="00895D0B" w:rsidRDefault="00895D0B" w:rsidP="00831189">
                              <w:pPr>
                                <w:spacing w:line="240" w:lineRule="auto"/>
                                <w:jc w:val="left"/>
                                <w:rPr>
                                  <w:rFonts w:cs="Times New Roman"/>
                                  <w:color w:val="000000" w:themeColor="text1"/>
                                  <w:szCs w:val="24"/>
                                </w:rPr>
                              </w:pPr>
                              <w:r>
                                <w:rPr>
                                  <w:rFonts w:cs="Times New Roman"/>
                                  <w:color w:val="000000" w:themeColor="text1"/>
                                  <w:szCs w:val="24"/>
                                </w:rPr>
                                <w:t>Materials, physical entities, technologies and tangibles</w:t>
                              </w:r>
                            </w:p>
                          </w:txbxContent>
                        </wps:txbx>
                        <wps:bodyPr rot="0" spcFirstLastPara="0" vert="horz" wrap="square" lIns="91440" tIns="45720" rIns="91440" bIns="45720" numCol="1" spcCol="0" rtlCol="0" fromWordArt="0" anchor="ctr" anchorCtr="0" forceAA="0" compatLnSpc="1">
                          <a:noAutofit/>
                        </wps:bodyPr>
                      </wps:wsp>
                      <wps:wsp>
                        <wps:cNvPr id="58" name="Rectangle 58"/>
                        <wps:cNvSpPr/>
                        <wps:spPr>
                          <a:xfrm>
                            <a:off x="3016546" y="1409701"/>
                            <a:ext cx="2725035" cy="1344132"/>
                          </a:xfrm>
                          <a:prstGeom prst="rect">
                            <a:avLst/>
                          </a:prstGeom>
                        </wps:spPr>
                        <wps:style>
                          <a:lnRef idx="2">
                            <a:schemeClr val="dk1"/>
                          </a:lnRef>
                          <a:fillRef idx="1">
                            <a:schemeClr val="lt1"/>
                          </a:fillRef>
                          <a:effectRef idx="0">
                            <a:schemeClr val="dk1"/>
                          </a:effectRef>
                          <a:fontRef idx="minor">
                            <a:schemeClr val="dk1"/>
                          </a:fontRef>
                        </wps:style>
                        <wps:txbx>
                          <w:txbxContent>
                            <w:p w14:paraId="4CFACAA3" w14:textId="77777777" w:rsidR="00895D0B" w:rsidRDefault="00895D0B" w:rsidP="00831189">
                              <w:pPr>
                                <w:spacing w:line="240" w:lineRule="auto"/>
                                <w:jc w:val="left"/>
                                <w:rPr>
                                  <w:color w:val="000000" w:themeColor="text1"/>
                                  <w:szCs w:val="24"/>
                                </w:rPr>
                              </w:pPr>
                              <w:r>
                                <w:rPr>
                                  <w:rFonts w:cs="Times New Roman"/>
                                  <w:color w:val="000000" w:themeColor="text1"/>
                                  <w:szCs w:val="24"/>
                                </w:rPr>
                                <w:t>Knowing how to grow food in the urban settings under climate change; general farming practices that are adaptive to climate change stressors (crops and animals’ production) including choices of crops and animals’ varieties, internal and external agricultural services.</w:t>
                              </w:r>
                            </w:p>
                          </w:txbxContent>
                        </wps:txbx>
                        <wps:bodyPr rot="0" spcFirstLastPara="0" vert="horz" wrap="square" lIns="91440" tIns="45720" rIns="91440" bIns="45720" numCol="1" spcCol="0" rtlCol="0" fromWordArt="0" anchor="ctr" anchorCtr="0" forceAA="0" compatLnSpc="1">
                          <a:noAutofit/>
                        </wps:bodyPr>
                      </wps:wsp>
                      <wps:wsp>
                        <wps:cNvPr id="59" name="Rectangle 59"/>
                        <wps:cNvSpPr/>
                        <wps:spPr>
                          <a:xfrm>
                            <a:off x="3059508" y="2870790"/>
                            <a:ext cx="2682073" cy="1222745"/>
                          </a:xfrm>
                          <a:prstGeom prst="rect">
                            <a:avLst/>
                          </a:prstGeom>
                        </wps:spPr>
                        <wps:style>
                          <a:lnRef idx="2">
                            <a:schemeClr val="dk1"/>
                          </a:lnRef>
                          <a:fillRef idx="1">
                            <a:schemeClr val="lt1"/>
                          </a:fillRef>
                          <a:effectRef idx="0">
                            <a:schemeClr val="dk1"/>
                          </a:effectRef>
                          <a:fontRef idx="minor">
                            <a:schemeClr val="dk1"/>
                          </a:fontRef>
                        </wps:style>
                        <wps:txbx>
                          <w:txbxContent>
                            <w:p w14:paraId="4DCF7406" w14:textId="77777777" w:rsidR="00895D0B" w:rsidRDefault="00895D0B" w:rsidP="00F024CB">
                              <w:pPr>
                                <w:spacing w:line="240" w:lineRule="auto"/>
                                <w:jc w:val="left"/>
                                <w:rPr>
                                  <w:rFonts w:cs="Times New Roman"/>
                                  <w:color w:val="000000" w:themeColor="text1"/>
                                  <w:szCs w:val="24"/>
                                </w:rPr>
                              </w:pPr>
                              <w:r>
                                <w:rPr>
                                  <w:rFonts w:cs="Times New Roman"/>
                                  <w:color w:val="000000" w:themeColor="text1"/>
                                  <w:szCs w:val="24"/>
                                </w:rPr>
                                <w:t>Enough space for agricultural production, availability of seeds, labour, extension services, climate information and training on climate change adaptation strategies, tools and implements use.</w:t>
                              </w:r>
                            </w:p>
                          </w:txbxContent>
                        </wps:txbx>
                        <wps:bodyPr rot="0" spcFirstLastPara="0" vert="horz" wrap="square" lIns="91440" tIns="45720" rIns="91440" bIns="45720" numCol="1" spcCol="0" rtlCol="0" fromWordArt="0" anchor="ctr" anchorCtr="0" forceAA="0" compatLnSpc="1">
                          <a:noAutofit/>
                        </wps:bodyPr>
                      </wps:wsp>
                      <wps:wsp>
                        <wps:cNvPr id="60" name="Straight Arrow Connector 60"/>
                        <wps:cNvCnPr/>
                        <wps:spPr>
                          <a:xfrm>
                            <a:off x="885825" y="638175"/>
                            <a:ext cx="219075" cy="508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61" name="Straight Arrow Connector 61"/>
                        <wps:cNvCnPr/>
                        <wps:spPr>
                          <a:xfrm>
                            <a:off x="885825" y="2219325"/>
                            <a:ext cx="190500" cy="2894"/>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62" name="Straight Arrow Connector 62"/>
                        <wps:cNvCnPr/>
                        <wps:spPr>
                          <a:xfrm>
                            <a:off x="876300" y="3733800"/>
                            <a:ext cx="200025" cy="4443"/>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63" name="Straight Arrow Connector 63"/>
                        <wps:cNvCnPr/>
                        <wps:spPr>
                          <a:xfrm flipV="1">
                            <a:off x="2807426" y="669280"/>
                            <a:ext cx="219075" cy="4467"/>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64" name="Straight Arrow Connector 64"/>
                        <wps:cNvCnPr/>
                        <wps:spPr>
                          <a:xfrm flipV="1">
                            <a:off x="2806995" y="2298670"/>
                            <a:ext cx="209550" cy="15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65" name="Straight Arrow Connector 65"/>
                        <wps:cNvCnPr/>
                        <wps:spPr>
                          <a:xfrm flipV="1">
                            <a:off x="2849958" y="3747561"/>
                            <a:ext cx="209550" cy="4236"/>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7730071A" id="Group 52" o:spid="_x0000_s1027" style="position:absolute;left:0;text-align:left;margin-left:0;margin-top:13.5pt;width:423pt;height:309.75pt;z-index:251663360" coordsize="57415,409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">
                <v:rect id="Rectangle 53" o:spid="_x0000_s1028" style="position:absolute;left:10666;top:190;width:17402;height:133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" fillcolor="white [3201]" strokecolor="black [3200]" strokeweight="1.5pt">
                  <v:textbox>
                    <w:txbxContent>
                      <w:p w14:paraId="6B11A143" w14:textId="77777777" w:rsidR="00895D0B" w:rsidRDefault="00895D0B" w:rsidP="00831189">
                        <w:pPr>
                          <w:spacing w:line="240" w:lineRule="auto"/>
                          <w:ind w:left="174"/>
                          <w:jc w:val="center"/>
                          <w:rPr>
                            <w:rFonts w:eastAsia="Trebuchet MS" w:cs="Times New Roman"/>
                            <w:b/>
                            <w:i/>
                            <w:color w:val="1A1A1A"/>
                            <w:szCs w:val="24"/>
                          </w:rPr>
                        </w:pPr>
                        <w:r>
                          <w:rPr>
                            <w:rFonts w:eastAsia="Trebuchet MS" w:cs="Times New Roman"/>
                            <w:b/>
                            <w:i/>
                            <w:color w:val="1A1A1A"/>
                            <w:szCs w:val="24"/>
                          </w:rPr>
                          <w:t>Images;</w:t>
                        </w:r>
                      </w:p>
                      <w:p w14:paraId="1E648526" w14:textId="77777777" w:rsidR="00895D0B" w:rsidRDefault="00895D0B" w:rsidP="00831189">
                        <w:pPr>
                          <w:spacing w:line="240" w:lineRule="auto"/>
                          <w:ind w:left="174"/>
                          <w:jc w:val="left"/>
                          <w:rPr>
                            <w:rFonts w:cs="Times New Roman"/>
                            <w:i/>
                            <w:szCs w:val="24"/>
                          </w:rPr>
                        </w:pPr>
                        <w:r>
                          <w:rPr>
                            <w:rFonts w:eastAsia="Trebuchet MS" w:cs="Times New Roman"/>
                            <w:color w:val="1A1A1A"/>
                            <w:szCs w:val="24"/>
                          </w:rPr>
                          <w:t>Meanings, symbols, common understandings and social norms.</w:t>
                        </w:r>
                      </w:p>
                    </w:txbxContent>
                  </v:textbox>
                </v:rect>
                <v:rect id="Rectangle 54" o:spid="_x0000_s1029" style="position:absolute;top:95;width:8858;height:40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" fillcolor="white [3201]" strokecolor="black [3200]" strokeweight="3pt">
                  <v:textbox>
                    <w:txbxContent>
                      <w:p w14:paraId="79BF3B60" w14:textId="77777777" w:rsidR="00895D0B" w:rsidRDefault="00895D0B" w:rsidP="00831189">
                        <w:pPr>
                          <w:spacing w:line="240" w:lineRule="auto"/>
                          <w:jc w:val="center"/>
                          <w:rPr>
                            <w:rFonts w:cs="Times New Roman"/>
                            <w:szCs w:val="24"/>
                          </w:rPr>
                        </w:pPr>
                        <w:r>
                          <w:rPr>
                            <w:rFonts w:cs="Times New Roman"/>
                            <w:b/>
                            <w:color w:val="000000" w:themeColor="text1"/>
                            <w:szCs w:val="24"/>
                          </w:rPr>
                          <w:t>Social practice theory tenants</w:t>
                        </w:r>
                        <w:r>
                          <w:rPr>
                            <w:rFonts w:cs="Times New Roman"/>
                            <w:szCs w:val="24"/>
                          </w:rPr>
                          <w:t xml:space="preserve"> </w:t>
                        </w:r>
                      </w:p>
                    </w:txbxContent>
                  </v:textbox>
                </v:rect>
                <v:rect id="Rectangle 55" o:spid="_x0000_s1030" style="position:absolute;left:10664;top:14097;width:17402;height:13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" fillcolor="white [3201]" strokecolor="black [3200]" strokeweight="1.5pt">
                  <v:textbox>
                    <w:txbxContent>
                      <w:p w14:paraId="510148A6" w14:textId="77777777" w:rsidR="00895D0B" w:rsidRDefault="00895D0B" w:rsidP="00831189">
                        <w:pPr>
                          <w:spacing w:line="240" w:lineRule="auto"/>
                          <w:jc w:val="center"/>
                          <w:rPr>
                            <w:rFonts w:cs="Times New Roman"/>
                            <w:b/>
                            <w:i/>
                            <w:color w:val="000000" w:themeColor="text1"/>
                            <w:szCs w:val="24"/>
                          </w:rPr>
                        </w:pPr>
                        <w:r>
                          <w:rPr>
                            <w:rFonts w:cs="Times New Roman"/>
                            <w:b/>
                            <w:i/>
                            <w:color w:val="000000" w:themeColor="text1"/>
                            <w:szCs w:val="24"/>
                          </w:rPr>
                          <w:t xml:space="preserve">Skills: </w:t>
                        </w:r>
                      </w:p>
                      <w:p w14:paraId="394CDEEC" w14:textId="77777777" w:rsidR="00895D0B" w:rsidRDefault="00895D0B" w:rsidP="00831189">
                        <w:pPr>
                          <w:spacing w:line="240" w:lineRule="auto"/>
                          <w:jc w:val="left"/>
                          <w:rPr>
                            <w:rFonts w:cs="Times New Roman"/>
                            <w:b/>
                            <w:i/>
                            <w:color w:val="000000" w:themeColor="text1"/>
                            <w:szCs w:val="24"/>
                          </w:rPr>
                        </w:pPr>
                        <w:r>
                          <w:rPr>
                            <w:rFonts w:cs="Times New Roman"/>
                            <w:color w:val="000000" w:themeColor="text1"/>
                            <w:szCs w:val="24"/>
                          </w:rPr>
                          <w:t>Competence, knowledge and techniques</w:t>
                        </w:r>
                      </w:p>
                    </w:txbxContent>
                  </v:textbox>
                </v:rect>
                <v:rect id="Rectangle 56" o:spid="_x0000_s1031" style="position:absolute;left:30165;width:27250;height:135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" fillcolor="white [3201]" strokecolor="black [3200]" strokeweight="2pt">
                  <v:textbox>
                    <w:txbxContent>
                      <w:p w14:paraId="02EEA3A1" w14:textId="77777777" w:rsidR="00895D0B" w:rsidRDefault="00895D0B" w:rsidP="00831189">
                        <w:pPr>
                          <w:spacing w:line="240" w:lineRule="auto"/>
                          <w:ind w:left="56"/>
                          <w:jc w:val="left"/>
                          <w:rPr>
                            <w:rFonts w:cs="Times New Roman"/>
                            <w:color w:val="000000" w:themeColor="text1"/>
                            <w:szCs w:val="24"/>
                          </w:rPr>
                        </w:pPr>
                        <w:r>
                          <w:rPr>
                            <w:rFonts w:cs="Times New Roman"/>
                            <w:color w:val="000000" w:themeColor="text1"/>
                            <w:szCs w:val="24"/>
                          </w:rPr>
                          <w:t xml:space="preserve">Self-sufficiency and rational food production, food security, land acquisition modalities, the trade-off and synergies in using a parcel of land for urban agriculture and other land uses, beliefs and practices in growing crops and animals  </w:t>
                        </w:r>
                      </w:p>
                      <w:p w14:paraId="1808159B" w14:textId="77777777" w:rsidR="00895D0B" w:rsidRDefault="00895D0B" w:rsidP="00831189">
                        <w:pPr>
                          <w:spacing w:line="240" w:lineRule="auto"/>
                          <w:ind w:left="-29"/>
                          <w:rPr>
                            <w:rFonts w:asciiTheme="minorHAnsi" w:hAnsiTheme="minorHAnsi"/>
                            <w:color w:val="000000" w:themeColor="text1"/>
                            <w:sz w:val="22"/>
                            <w:szCs w:val="24"/>
                          </w:rPr>
                        </w:pPr>
                        <w:r>
                          <w:rPr>
                            <w:rFonts w:eastAsia="Trebuchet MS" w:cs="Times New Roman"/>
                            <w:b/>
                            <w:color w:val="000000" w:themeColor="text1"/>
                            <w:szCs w:val="24"/>
                          </w:rPr>
                          <w:t xml:space="preserve">   </w:t>
                        </w:r>
                      </w:p>
                    </w:txbxContent>
                  </v:textbox>
                </v:rect>
                <v:rect id="Rectangle 57" o:spid="_x0000_s1032" style="position:absolute;left:10570;top:28707;width:17927;height:122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" fillcolor="white [3201]" strokecolor="black [3200]" strokeweight="1.5pt">
                  <v:textbox>
                    <w:txbxContent>
                      <w:p w14:paraId="50955749" w14:textId="77777777" w:rsidR="00895D0B" w:rsidRDefault="00895D0B" w:rsidP="00831189">
                        <w:pPr>
                          <w:spacing w:line="240" w:lineRule="auto"/>
                          <w:jc w:val="center"/>
                          <w:rPr>
                            <w:rFonts w:cs="Times New Roman"/>
                            <w:b/>
                            <w:i/>
                            <w:color w:val="000000" w:themeColor="text1"/>
                            <w:szCs w:val="24"/>
                          </w:rPr>
                        </w:pPr>
                        <w:r>
                          <w:rPr>
                            <w:rFonts w:cs="Times New Roman"/>
                            <w:b/>
                            <w:i/>
                            <w:color w:val="000000" w:themeColor="text1"/>
                            <w:szCs w:val="24"/>
                          </w:rPr>
                          <w:t>Stuff:</w:t>
                        </w:r>
                      </w:p>
                      <w:p w14:paraId="0C425F85" w14:textId="77777777" w:rsidR="00895D0B" w:rsidRDefault="00895D0B" w:rsidP="00831189">
                        <w:pPr>
                          <w:spacing w:line="240" w:lineRule="auto"/>
                          <w:jc w:val="left"/>
                          <w:rPr>
                            <w:rFonts w:cs="Times New Roman"/>
                            <w:color w:val="000000" w:themeColor="text1"/>
                            <w:szCs w:val="24"/>
                          </w:rPr>
                        </w:pPr>
                        <w:r>
                          <w:rPr>
                            <w:rFonts w:cs="Times New Roman"/>
                            <w:color w:val="000000" w:themeColor="text1"/>
                            <w:szCs w:val="24"/>
                          </w:rPr>
                          <w:t>Materials, physical entities, technologies and tangibles</w:t>
                        </w:r>
                      </w:p>
                    </w:txbxContent>
                  </v:textbox>
                </v:rect>
                <v:rect id="Rectangle 58" o:spid="_x0000_s1033" style="position:absolute;left:30165;top:14097;width:27250;height:13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" fillcolor="white [3201]" strokecolor="black [3200]" strokeweight="2pt">
                  <v:textbox>
                    <w:txbxContent>
                      <w:p w14:paraId="4CFACAA3" w14:textId="77777777" w:rsidR="00895D0B" w:rsidRDefault="00895D0B" w:rsidP="00831189">
                        <w:pPr>
                          <w:spacing w:line="240" w:lineRule="auto"/>
                          <w:jc w:val="left"/>
                          <w:rPr>
                            <w:color w:val="000000" w:themeColor="text1"/>
                            <w:szCs w:val="24"/>
                          </w:rPr>
                        </w:pPr>
                        <w:r>
                          <w:rPr>
                            <w:rFonts w:cs="Times New Roman"/>
                            <w:color w:val="000000" w:themeColor="text1"/>
                            <w:szCs w:val="24"/>
                          </w:rPr>
                          <w:t>Knowing how to grow food in the urban settings under climate change; general farming practices that are adaptive to climate change stressors (crops and animals’ production) including choices of crops and animals’ varieties, internal and external agricultural services.</w:t>
                        </w:r>
                      </w:p>
                    </w:txbxContent>
                  </v:textbox>
                </v:rect>
                <v:rect id="Rectangle 59" o:spid="_x0000_s1034" style="position:absolute;left:30595;top:28707;width:26820;height:122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" fillcolor="white [3201]" strokecolor="black [3200]" strokeweight="2pt">
                  <v:textbox>
                    <w:txbxContent>
                      <w:p w14:paraId="4DCF7406" w14:textId="77777777" w:rsidR="00895D0B" w:rsidRDefault="00895D0B" w:rsidP="00F024CB">
                        <w:pPr>
                          <w:spacing w:line="240" w:lineRule="auto"/>
                          <w:jc w:val="left"/>
                          <w:rPr>
                            <w:rFonts w:cs="Times New Roman"/>
                            <w:color w:val="000000" w:themeColor="text1"/>
                            <w:szCs w:val="24"/>
                          </w:rPr>
                        </w:pPr>
                        <w:r>
                          <w:rPr>
                            <w:rFonts w:cs="Times New Roman"/>
                            <w:color w:val="000000" w:themeColor="text1"/>
                            <w:szCs w:val="24"/>
                          </w:rPr>
                          <w:t>Enough space for agricultural production, availability of seeds, labour, extension services, climate information and training on climate change adaptation strategies, tools and implements use.</w:t>
                        </w:r>
                      </w:p>
                    </w:txbxContent>
                  </v:textbox>
                </v:rect>
                <v:shapetype id="_x0000_t32" coordsize="21600,21600" o:spt="32" o:oned="t" path="m,l21600,21600e" filled="f">
                  <v:path arrowok="t" fillok="f" o:connecttype="none"/>
                  <o:lock v:ext="edit" shapetype="t"/>
                </v:shapetype>
                <v:shape id="Straight Arrow Connector 60" o:spid="_x0000_s1035" type="#_x0000_t32" style="position:absolute;left:8858;top:6381;width:2191;height: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" strokecolor="black [3200]" strokeweight="3pt">
                  <v:stroke endarrow="block"/>
                  <v:shadow on="t" color="black" opacity="22937f" origin=",.5" offset="0,.63889mm"/>
                </v:shape>
                <v:shape id="Straight Arrow Connector 61" o:spid="_x0000_s1036" type="#_x0000_t32" style="position:absolute;left:8858;top:22193;width:1905;height: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" strokecolor="black [3200]" strokeweight="3pt">
                  <v:stroke endarrow="block"/>
                  <v:shadow on="t" color="black" opacity="22937f" origin=",.5" offset="0,.63889mm"/>
                </v:shape>
                <v:shape id="Straight Arrow Connector 62" o:spid="_x0000_s1037" type="#_x0000_t32" style="position:absolute;left:8763;top:37338;width:2000;height: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" strokecolor="black [3200]" strokeweight="3pt">
                  <v:stroke endarrow="block"/>
                  <v:shadow on="t" color="black" opacity="22937f" origin=",.5" offset="0,.63889mm"/>
                </v:shape>
                <v:shape id="Straight Arrow Connector 63" o:spid="_x0000_s1038" type="#_x0000_t32" style="position:absolute;left:28074;top:6692;width:2191;height: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" strokecolor="black [3200]" strokeweight="3pt">
                  <v:stroke endarrow="block"/>
                  <v:shadow on="t" color="black" opacity="22937f" origin=",.5" offset="0,.63889mm"/>
                </v:shape>
                <v:shape id="Straight Arrow Connector 64" o:spid="_x0000_s1039" type="#_x0000_t32" style="position:absolute;left:28069;top:22986;width:2096;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" strokecolor="black [3200]" strokeweight="3pt">
                  <v:stroke endarrow="block"/>
                  <v:shadow on="t" color="black" opacity="22937f" origin=",.5" offset="0,.63889mm"/>
                </v:shape>
                <v:shape id="Straight Arrow Connector 65" o:spid="_x0000_s1040" type="#_x0000_t32" style="position:absolute;left:28499;top:37475;width:2096;height:4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" strokecolor="black [3200]" strokeweight="3pt">
                  <v:stroke endarrow="block"/>
                  <v:shadow on="t" color="black" opacity="22937f" origin=",.5" offset="0,.63889mm"/>
                </v:shape>
              </v:group>
            </w:pict>
          </mc:Fallback>
        </mc:AlternateContent>
      </w:r>
    </w:p>
    <w:p w14:paraId="7C7DD991" w14:textId="77777777" w:rsidR="00831189" w:rsidRPr="00895D0B" w:rsidRDefault="00831189" w:rsidP="00831189">
      <w:pPr>
        <w:spacing w:line="360" w:lineRule="auto"/>
        <w:rPr>
          <w:rFonts w:eastAsiaTheme="minorEastAsia" w:cs="Times New Roman"/>
          <w:color w:val="000000" w:themeColor="text1"/>
          <w:szCs w:val="24"/>
          <w:lang w:eastAsia="en-GB"/>
        </w:rPr>
      </w:pPr>
    </w:p>
    <w:p w14:paraId="03107954" w14:textId="77777777" w:rsidR="00831189" w:rsidRPr="00895D0B" w:rsidRDefault="00831189" w:rsidP="00831189">
      <w:pPr>
        <w:spacing w:line="360" w:lineRule="auto"/>
        <w:rPr>
          <w:rFonts w:eastAsiaTheme="minorEastAsia" w:cs="Times New Roman"/>
          <w:color w:val="000000" w:themeColor="text1"/>
          <w:szCs w:val="24"/>
          <w:lang w:eastAsia="en-GB"/>
        </w:rPr>
      </w:pPr>
    </w:p>
    <w:p w14:paraId="2A0B437D" w14:textId="77777777" w:rsidR="00831189" w:rsidRPr="00895D0B" w:rsidRDefault="00831189" w:rsidP="00831189">
      <w:pPr>
        <w:spacing w:line="360" w:lineRule="auto"/>
        <w:rPr>
          <w:rFonts w:eastAsiaTheme="minorEastAsia" w:cs="Times New Roman"/>
          <w:color w:val="000000" w:themeColor="text1"/>
          <w:szCs w:val="24"/>
          <w:lang w:eastAsia="en-GB"/>
        </w:rPr>
      </w:pPr>
    </w:p>
    <w:p w14:paraId="0D28E031" w14:textId="77777777" w:rsidR="00831189" w:rsidRPr="00895D0B" w:rsidRDefault="00831189" w:rsidP="00831189">
      <w:pPr>
        <w:spacing w:line="360" w:lineRule="auto"/>
        <w:rPr>
          <w:rFonts w:eastAsiaTheme="minorEastAsia" w:cs="Times New Roman"/>
          <w:color w:val="000000" w:themeColor="text1"/>
          <w:szCs w:val="24"/>
          <w:lang w:eastAsia="en-GB"/>
        </w:rPr>
      </w:pPr>
    </w:p>
    <w:p w14:paraId="742D70BE" w14:textId="77777777" w:rsidR="00831189" w:rsidRPr="00895D0B" w:rsidRDefault="00831189" w:rsidP="00831189">
      <w:pPr>
        <w:spacing w:line="360" w:lineRule="auto"/>
        <w:rPr>
          <w:rFonts w:eastAsiaTheme="minorEastAsia" w:cs="Times New Roman"/>
          <w:color w:val="000000" w:themeColor="text1"/>
          <w:szCs w:val="24"/>
          <w:lang w:eastAsia="en-GB"/>
        </w:rPr>
      </w:pPr>
    </w:p>
    <w:p w14:paraId="0E4B2B07" w14:textId="77777777" w:rsidR="00831189" w:rsidRPr="00895D0B" w:rsidRDefault="00831189" w:rsidP="00831189">
      <w:pPr>
        <w:spacing w:line="360" w:lineRule="auto"/>
        <w:rPr>
          <w:rFonts w:eastAsiaTheme="minorEastAsia" w:cs="Times New Roman"/>
          <w:color w:val="000000" w:themeColor="text1"/>
          <w:szCs w:val="24"/>
          <w:lang w:eastAsia="en-GB"/>
        </w:rPr>
      </w:pPr>
    </w:p>
    <w:p w14:paraId="74BE64B6" w14:textId="77777777" w:rsidR="00831189" w:rsidRPr="00895D0B" w:rsidRDefault="00831189" w:rsidP="00831189">
      <w:pPr>
        <w:spacing w:line="360" w:lineRule="auto"/>
        <w:rPr>
          <w:rFonts w:eastAsiaTheme="minorEastAsia" w:cs="Times New Roman"/>
          <w:color w:val="000000" w:themeColor="text1"/>
          <w:szCs w:val="24"/>
          <w:lang w:eastAsia="en-GB"/>
        </w:rPr>
      </w:pPr>
    </w:p>
    <w:p w14:paraId="472A8AA9" w14:textId="77777777" w:rsidR="00831189" w:rsidRPr="00895D0B" w:rsidRDefault="00831189" w:rsidP="00831189">
      <w:pPr>
        <w:spacing w:line="360" w:lineRule="auto"/>
        <w:rPr>
          <w:rFonts w:eastAsiaTheme="minorEastAsia" w:cs="Times New Roman"/>
          <w:color w:val="000000" w:themeColor="text1"/>
          <w:szCs w:val="24"/>
          <w:lang w:eastAsia="en-GB"/>
        </w:rPr>
      </w:pPr>
    </w:p>
    <w:p w14:paraId="461648A4" w14:textId="77777777" w:rsidR="00831189" w:rsidRPr="00895D0B" w:rsidRDefault="00831189" w:rsidP="00831189">
      <w:pPr>
        <w:spacing w:line="360" w:lineRule="auto"/>
        <w:rPr>
          <w:rFonts w:eastAsiaTheme="minorEastAsia" w:cs="Times New Roman"/>
          <w:color w:val="000000" w:themeColor="text1"/>
          <w:szCs w:val="24"/>
          <w:lang w:eastAsia="en-GB"/>
        </w:rPr>
      </w:pPr>
    </w:p>
    <w:p w14:paraId="5FED8DD9" w14:textId="77777777" w:rsidR="00831189" w:rsidRPr="00895D0B" w:rsidRDefault="00831189" w:rsidP="00831189">
      <w:pPr>
        <w:spacing w:line="360" w:lineRule="auto"/>
        <w:rPr>
          <w:rFonts w:eastAsiaTheme="minorEastAsia" w:cs="Times New Roman"/>
          <w:color w:val="000000" w:themeColor="text1"/>
          <w:szCs w:val="24"/>
          <w:lang w:eastAsia="en-GB"/>
        </w:rPr>
      </w:pPr>
    </w:p>
    <w:p w14:paraId="3767A89B" w14:textId="77777777" w:rsidR="00831189" w:rsidRPr="00895D0B" w:rsidRDefault="00831189" w:rsidP="00831189">
      <w:pPr>
        <w:spacing w:line="360" w:lineRule="auto"/>
        <w:rPr>
          <w:rFonts w:eastAsiaTheme="minorEastAsia" w:cs="Times New Roman"/>
          <w:color w:val="000000" w:themeColor="text1"/>
          <w:szCs w:val="24"/>
          <w:lang w:eastAsia="en-GB"/>
        </w:rPr>
      </w:pPr>
    </w:p>
    <w:p w14:paraId="1EBC15EE" w14:textId="77777777" w:rsidR="00831189" w:rsidRPr="00895D0B" w:rsidRDefault="00831189" w:rsidP="00831189">
      <w:pPr>
        <w:spacing w:line="360" w:lineRule="auto"/>
        <w:rPr>
          <w:rFonts w:eastAsiaTheme="minorEastAsia" w:cs="Times New Roman"/>
          <w:color w:val="000000" w:themeColor="text1"/>
          <w:szCs w:val="24"/>
          <w:lang w:eastAsia="en-GB"/>
        </w:rPr>
      </w:pPr>
    </w:p>
    <w:p w14:paraId="30A21A36" w14:textId="77777777" w:rsidR="00831189" w:rsidRDefault="00831189" w:rsidP="00831189">
      <w:pPr>
        <w:spacing w:line="360" w:lineRule="auto"/>
        <w:rPr>
          <w:rFonts w:eastAsiaTheme="minorEastAsia" w:cs="Times New Roman"/>
          <w:color w:val="000000" w:themeColor="text1"/>
          <w:szCs w:val="24"/>
          <w:lang w:eastAsia="en-GB"/>
        </w:rPr>
      </w:pPr>
    </w:p>
    <w:p w14:paraId="192EA051" w14:textId="77777777" w:rsidR="0026489B" w:rsidRPr="00895D0B" w:rsidRDefault="0026489B" w:rsidP="00831189">
      <w:pPr>
        <w:spacing w:line="360" w:lineRule="auto"/>
        <w:rPr>
          <w:rFonts w:eastAsiaTheme="minorEastAsia" w:cs="Times New Roman"/>
          <w:color w:val="000000" w:themeColor="text1"/>
          <w:szCs w:val="24"/>
          <w:lang w:eastAsia="en-GB"/>
        </w:rPr>
      </w:pPr>
    </w:p>
    <w:p w14:paraId="55D45FC9" w14:textId="77777777" w:rsidR="00831189" w:rsidRPr="00895D0B" w:rsidRDefault="00831189" w:rsidP="00831189">
      <w:pPr>
        <w:spacing w:line="360" w:lineRule="auto"/>
        <w:rPr>
          <w:rFonts w:eastAsiaTheme="minorEastAsia" w:cs="Times New Roman"/>
          <w:color w:val="000000" w:themeColor="text1"/>
          <w:szCs w:val="24"/>
          <w:lang w:eastAsia="en-GB"/>
        </w:rPr>
      </w:pPr>
    </w:p>
    <w:p w14:paraId="44DA3AF3" w14:textId="31EAD1ED" w:rsidR="00831189" w:rsidRPr="00895D0B" w:rsidRDefault="00831189" w:rsidP="00831189">
      <w:pPr>
        <w:pStyle w:val="Caption"/>
        <w:spacing w:after="0" w:line="360" w:lineRule="auto"/>
        <w:jc w:val="both"/>
      </w:pPr>
      <w:r w:rsidRPr="00895D0B">
        <w:t>Figure 2.</w:t>
      </w:r>
      <w:fldSimple w:instr=" SEQ 2._ \* ARABIC ">
        <w:r w:rsidR="0026489B">
          <w:rPr>
            <w:noProof/>
          </w:rPr>
          <w:t>1</w:t>
        </w:r>
      </w:fldSimple>
      <w:r w:rsidRPr="00895D0B">
        <w:t>: The Relationship between Images, Skills and Stuff and Adoption of Social Practice</w:t>
      </w:r>
    </w:p>
    <w:p w14:paraId="03145B24" w14:textId="4F62EB3B" w:rsidR="00831189" w:rsidRDefault="00831189" w:rsidP="00831189">
      <w:pPr>
        <w:spacing w:line="360" w:lineRule="auto"/>
        <w:ind w:right="13"/>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Author construct, 2022</w:t>
      </w:r>
    </w:p>
    <w:p w14:paraId="60E4EA93" w14:textId="77777777" w:rsidR="005573B9" w:rsidRDefault="005573B9" w:rsidP="00831189">
      <w:pPr>
        <w:spacing w:line="360" w:lineRule="auto"/>
        <w:ind w:right="13"/>
        <w:rPr>
          <w:rFonts w:cs="Times New Roman"/>
          <w:color w:val="000000" w:themeColor="text1"/>
          <w:szCs w:val="24"/>
        </w:rPr>
      </w:pPr>
    </w:p>
    <w:p w14:paraId="71AA43E6" w14:textId="5270B6DD" w:rsidR="00F024CB" w:rsidRPr="00895D0B" w:rsidRDefault="00F024CB" w:rsidP="00F024CB">
      <w:pPr>
        <w:spacing w:line="360" w:lineRule="auto"/>
        <w:ind w:right="467"/>
        <w:rPr>
          <w:rFonts w:cs="Times New Roman"/>
          <w:color w:val="000000" w:themeColor="text1"/>
          <w:szCs w:val="24"/>
        </w:rPr>
      </w:pPr>
      <w:r w:rsidRPr="00895D0B">
        <w:rPr>
          <w:rFonts w:cs="Times New Roman"/>
          <w:color w:val="000000" w:themeColor="text1"/>
          <w:szCs w:val="24"/>
        </w:rPr>
        <w:t xml:space="preserve">In the case of household gardening, a change in practice from lawn to edible plants or from decorative gardening to food productive gardening can be made through the active negotiation of novel combinations of skills, things, and images that constitute the practices of household gardening and food purchasing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{"citationItems":[{"id":"ITEM-1","itemData":{"DOI":"10.4337/9781784710606.00009","ISBN":"9781784710606","abstract":"Social practice theories are the subject of much discussion among those who study sustainability. Using social practice theories to analyze how routinized activity can contribute to unsustainability problems has resulted in a great deal of stimulating scholarship. In this introductory chapter, we begin by venturing back to some of the early work on social practices and offer an account of key theoretical contributions to the contemporary study of sustainable consumption. Our review indicates that concepts from Anthony Giddens’ theory of practice have had considerably more impact on the study of sustainable consumption than the practice-based concepts that Pierre Bourdieu developed. We suggest that this may have led to overlooking the power relations that keep certain materially consumptive social practices firmly rooted in everyday routines. The chapters in this volume advance current theorizing at the nexus of social practices and sustainable consumption. The chapters in Part II explore how the study of sustainable consumption must move beyond the household and into the public sphere. The third Part, ‘Collective Dimensions of Household Practices’, illustrates how the routines in a household such as driving and eating are shaped by societal variables and thus are not a reflection of individual agency. Part IV, ‘Sustainable Consumption and Social Innovation’, examines shifts in systems of provision that shape daily routines that have environmental consequences.","author":[{"dropping-particle":"","family":"Kennedy","given":"E. H.","non-dropping-particle":"","parse-names":false,"suffix":""},{"dropping-particle":"","family":"Cohen","given":"M. J.","non-dropping-particle":"","parse-names":false,"suffix":""},{"dropping-particle":"","family":"Krogman","given":"N. T.","non-dropping-particle":"","parse-names":false,"suffix":""}],"container-title":"Putting Sustainability into Practice: Applications and Advances in Research on Sustainable Consumption","id":"ITEM-1","issue":"Standing","issued":{"date-parts":[["2015"]]},"page":"3-22","title":"Social practice theories and research on sustainable consumption","type":"article-journal"},"uris":["http://www.mendeley.com/documents/?uuid=f0c0606d-4361-4606-a666-0bd9f809f4b3"]}],"mendeley":{"formattedCitation":"(Kennedy et al., 2015)","plainTextFormattedCitation":"(Kennedy et al., 2015)","previouslyFormattedCitation":"(Kennedy et al., 2015)"},"properties":{"noteIndex":0},"schema":"https://github.com/citation-style-language/schema/raw/master/csl-citation.json"}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(Kennedy et al., 2015)</w:t>
      </w:r>
      <w:r w:rsidRPr="00895D0B">
        <w:rPr>
          <w:rFonts w:cs="Times New Roman"/>
          <w:color w:val="000000" w:themeColor="text1"/>
          <w:szCs w:val="24"/>
        </w:rPr>
        <w:fldChar w:fldCharType="end"/>
      </w:r>
      <w:r w:rsidRPr="00895D0B">
        <w:rPr>
          <w:rFonts w:cs="Times New Roman"/>
          <w:color w:val="000000" w:themeColor="text1"/>
          <w:szCs w:val="24"/>
        </w:rPr>
        <w:t xml:space="preserve">. The three elements of each of the two different approaches to the practice of gardening were revealed via the examination of the qualitative data, the factors that would need to change in order for household gardens to yield more food. Urban farming makes sense to the city's residents in acknowledgment of the reality that people's thoughts and behaviours simultaneously shape and are shaped by the social context in which they live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{"citationItems":[{"id":"ITEM-1","itemData":{"DOI":"10.1145/1738826.1738861","ISBN":"9781605588544","abstract":"SmartGardenWatering is an innovative software tool that advises gardeners on watering schedules and watering use. In this paper we investigate how expert and novice gardeners respond to advice from this piece of computer software. Do they readily accept it and adapt their activities accordingly, or do they override it with their own local knowledge? We describe the project to develop the simulation, including the design of the user interface, and a study of 20 gardeners using the tool. The focus of the study was to identify factors in the design of the software that influence how well it might intervene in ongoing gardening practice. The findings focus on what brings confidence or a lack of trust in the underlying horticultural model and its application to a particular garden. Finally, we consider how these findings might inform ongoing development of the software. © ACM 2009.","author":[{"dropping-particle":"","family":"Pearce","given":"J.","non-dropping-particle":"","parse-names":false,"suffix":""},{"dropping-particle":"","family":"Smith","given":"W.","non-dropping-particle":"","parse-names":false,"suffix":""},{"dropping-particle":"","family":"Nansen","given":"B.","non-dropping-particle":"","parse-names":false,"suffix":""},{"dropping-particle":"","family":"Murphy","given":"J.","non-dropping-particle":"","parse-names":false,"suffix":""}],"container-title":"Proceedings of the 21st Annual Conference of the Australian Computer-Human Interaction Special Interest Group - Design: Open 24/7, OZCHI '09","id":"ITEM-1","issued":{"date-parts":[["2009"]]},"page":"217-224","title":"SmartGardenWatering: Experiences of using a garden watering simulation","type":"article-journal","volume":"411"},"uris":["http://www.mendeley.com/documents/?uuid=4dc562f5-60f1-4b92-8828-e06bc721b1c3"]},{"id":"ITEM-2","itemData":{"DOI":"10.1111/j.1470-6431.2011.01022.x","ISSN":"14706423","abstract":"In recent debates on sustainable consumption, consumer's responsibility for the outcome of consumption has been outlined. Even though (co-)responsibilities have to be acknowledged, a general notion of responsibility is not unproblematic. Consequently, this article challenges conceptions of the responsible and thoughtful consumer. In providing a perspective on theorizing domestic consumption as social practice, the analysis of diary data encompassing a period of 20 years elucidates on the contours of routinized practices. The empirical material consists of diaries kept by a housewife during the years 1970-1990 in a mid-sized German town. In analysing the data, distinct features such as seasonality and constancy of routines in domestic practices become apparent. In this study, it is possible to stress the longevity of the repetitive and routine character of domestic practices and provide a perspective on often unrecognized and unaware aspects in routines. Assuming that routine consumption processes are taking place as moments in domestic practices, the data analysed here illustrate interesting directions for more sustainable consumption and further developments in home economics and consumer studies. © 2011 Blackwell Publishing Ltd.","author":[{"dropping-particle":"","family":"Wahlen","given":"S.","non-dropping-particle":"","parse-names":false,"suffix":""}],"container-title":"International Journal of Consumer Studies","id":"ITEM-2","issue":"5","issued":{"date-parts":[["2011"]]},"page":"507-513","title":"The routinely forgotten routine character of domestic practices","type":"article-journal","volume":"35"},"uris":["http://www.mendeley.com/documents/?uuid=6a2f00b2-0521-41d8-8480-cda1065a7c74"]},{"id":"ITEM-3","itemData":{"author":[{"dropping-particle":"","family":"Quist","given":"J.","non-dropping-particle":"","parse-names":false,"suffix":""},{"dropping-particle":"","family":"Wittmayer","given":"J.","non-dropping-particle":"","parse-names":false,"suffix":""},{"dropping-particle":"","family":"Umpfenbach","given":"K.","non-dropping-particle":"","parse-names":false,"suffix":""},{"dropping-particle":"","family":"Bauler","given":"T.","non-dropping-particle":"","parse-names":false,"suffix":""}],"id":"ITEM-3","issue":"3","issued":{"date-parts":[["2013"]]},"page":"361","title":"Sustainable Consumption Transitions Series Issue 3 Pathways , Transitions and Backcasting for Low-Carbon and Sustainable Lifestyles","type":"article-journal"},"uris":["http://www.mendeley.com/documents/?uuid=347b2f33-8e9d-4117-b2ee-c3c131ee7035"]}],"mendeley":{"formattedCitation":"(Pearce et al., 2009; Quist et al., 2013; Wahlen, 2011)","manualFormatting":"(Pearce et al., 2009; Wahlen, 2011; Quist et al., 2013)","plainTextFormattedCitation":"(Pearce et al., 2009; Quist et al., 2013; Wahlen, 2011)","previouslyFormattedCitation":"(Pearce et al., 2009; Quist et al., 2013; Wahlen, 2011)"},"properties":{"noteIndex":0},"schema":"https://github.com/citation-style-language/schema/raw/master/csl-citation.json"}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(Pearce et al., 2009; Wahlen, 2011; Quist et al., 2013)</w:t>
      </w:r>
      <w:r w:rsidRPr="00895D0B">
        <w:rPr>
          <w:rFonts w:cs="Times New Roman"/>
          <w:color w:val="000000" w:themeColor="text1"/>
          <w:szCs w:val="24"/>
        </w:rPr>
        <w:fldChar w:fldCharType="end"/>
      </w:r>
      <w:r w:rsidRPr="00895D0B">
        <w:rPr>
          <w:rFonts w:cs="Times New Roman"/>
          <w:color w:val="000000" w:themeColor="text1"/>
          <w:szCs w:val="24"/>
        </w:rPr>
        <w:t xml:space="preserve">.  In showing how objects, abilities, and images combine to create social norms, the creation, maintenance, and eventual demise or "fossilization" of a practice has been demonstrated in detail using a practice that went full circle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{"citationItems":[{"id":"ITEM-1","itemData":{"author":[{"dropping-particle":"","family":"Shove","given":"E.","non-dropping-particle":"","parse-names":false,"suffix":""}],"id":"ITEM-1","issue":"January","issued":{"date-parts":[["2011"]]},"page":"1-15","title":"How the social sciences can help climate change policy","type":"article-journal"},"uris":["http://www.mendeley.com/documents/?uuid=7add6c2b-4908-4ecd-936b-c59bf06a23dd"]}],"mendeley":{"formattedCitation":"(Shove, 2011)","plainTextFormattedCitation":"(Shove, 2011)","previouslyFormattedCitation":"(Shove, 2011)"},"properties":{"noteIndex":0},"schema":"https://github.com/citation-style-language/schema/raw/master/csl-citation.json"}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(Shove, 2011)</w:t>
      </w:r>
      <w:r w:rsidRPr="00895D0B">
        <w:rPr>
          <w:rFonts w:cs="Times New Roman"/>
          <w:color w:val="000000" w:themeColor="text1"/>
          <w:szCs w:val="24"/>
        </w:rPr>
        <w:fldChar w:fldCharType="end"/>
      </w:r>
      <w:r w:rsidRPr="00895D0B">
        <w:rPr>
          <w:rFonts w:cs="Times New Roman"/>
          <w:color w:val="000000" w:themeColor="text1"/>
          <w:szCs w:val="24"/>
        </w:rPr>
        <w:t xml:space="preserve">. Home gardens were utilized in Ghana as a means of ensuring the </w:t>
      </w:r>
      <w:r w:rsidRPr="00895D0B">
        <w:rPr>
          <w:rFonts w:cs="Times New Roman"/>
          <w:color w:val="000000" w:themeColor="text1"/>
          <w:szCs w:val="24"/>
        </w:rPr>
        <w:lastRenderedPageBreak/>
        <w:t>nation's survival throughout the two world wars of the 20th century when resources were limited. Urban agriculture has quickly gained popularity and is now being practiced by many city people, but this does not imply that all urban dwellers are involved in it.</w:t>
      </w:r>
    </w:p>
    <w:p w14:paraId="20E71046" w14:textId="77777777" w:rsidR="005B686B" w:rsidRPr="00895D0B" w:rsidRDefault="005B686B" w:rsidP="000778C3">
      <w:pPr>
        <w:pStyle w:val="NoSpacing"/>
      </w:pPr>
    </w:p>
    <w:p w14:paraId="1A50B3A9" w14:textId="77777777" w:rsidR="001B4ED5" w:rsidRPr="00895D0B" w:rsidRDefault="006B41C0" w:rsidP="003D0790">
      <w:pPr>
        <w:pStyle w:val="Heading2"/>
      </w:pPr>
      <w:bookmarkStart w:id="43" w:name="_Toc167379878"/>
      <w:r w:rsidRPr="00895D0B">
        <w:t>2.10 Conceptual Framework for Urban Agriculture and Climate Change Adaptations</w:t>
      </w:r>
      <w:bookmarkEnd w:id="43"/>
      <w:r w:rsidRPr="00895D0B">
        <w:t xml:space="preserve"> </w:t>
      </w:r>
    </w:p>
    <w:p w14:paraId="25091BE2" w14:textId="77777777" w:rsidR="001B4ED5" w:rsidRPr="00895D0B" w:rsidRDefault="006B41C0">
      <w:pPr>
        <w:pStyle w:val="Default"/>
        <w:spacing w:line="360" w:lineRule="auto"/>
        <w:jc w:val="both"/>
        <w:rPr>
          <w:color w:val="000000" w:themeColor="text1"/>
        </w:rPr>
      </w:pPr>
      <w:r w:rsidRPr="00895D0B">
        <w:rPr>
          <w:color w:val="000000" w:themeColor="text1"/>
        </w:rPr>
        <w:t>The study is underpinned by the sustainability theory and the concept of sustainable cities in the specific context of sustainable urban development, agriculture, and livelihoods. In particular, the study draws on sustainable urban agriculture as an avenue for pursuing the particular goals of socioeconomic transformation and food security. The study then identifies and focuses on urban land use change, and climate change and variability as vitiating factors to sustainable urban agriculture. To understand how these factors, impede sustainable urban agriculture, the study has interrogated their respective missing linkages in the geographical context of Ghana to address the research problem. At the end of the study, findings from these linkages have produced certain outcomes towards promoting marginal urban agriculture and farmers’ climate change adaptation (CCA) strategies (</w:t>
      </w:r>
      <w:r w:rsidRPr="00895D0B">
        <w:rPr>
          <w:i/>
          <w:color w:val="000000" w:themeColor="text1"/>
        </w:rPr>
        <w:t>See Figure 2.2</w:t>
      </w:r>
      <w:r w:rsidRPr="00895D0B">
        <w:rPr>
          <w:color w:val="000000" w:themeColor="text1"/>
        </w:rPr>
        <w:t>).</w:t>
      </w:r>
    </w:p>
    <w:p w14:paraId="697F7D7F" w14:textId="77777777" w:rsidR="001B4ED5" w:rsidRPr="00895D0B" w:rsidRDefault="001B4ED5" w:rsidP="003D0790">
      <w:pPr>
        <w:pStyle w:val="NoSpacing"/>
      </w:pPr>
    </w:p>
    <w:p w14:paraId="5AFE6D84" w14:textId="77777777" w:rsidR="001B4ED5" w:rsidRPr="00895D0B" w:rsidRDefault="006B41C0" w:rsidP="009864E3">
      <w:pPr>
        <w:pStyle w:val="Heading3"/>
      </w:pPr>
      <w:bookmarkStart w:id="44" w:name="_Toc167379879"/>
      <w:r w:rsidRPr="00895D0B">
        <w:t>2.10.1 Urban Environment Sustainability and the Goal of urban agriculture</w:t>
      </w:r>
      <w:bookmarkEnd w:id="44"/>
      <w:r w:rsidRPr="00895D0B">
        <w:t xml:space="preserve"> </w:t>
      </w:r>
    </w:p>
    <w:p w14:paraId="4C269086" w14:textId="2E0829AF" w:rsidR="00B914B9" w:rsidRDefault="006B41C0">
      <w:pPr>
        <w:pStyle w:val="Default"/>
        <w:spacing w:line="360" w:lineRule="auto"/>
        <w:jc w:val="both"/>
        <w:rPr>
          <w:color w:val="000000" w:themeColor="text1"/>
        </w:rPr>
      </w:pPr>
      <w:r w:rsidRPr="00895D0B">
        <w:rPr>
          <w:color w:val="000000" w:themeColor="text1"/>
        </w:rPr>
        <w:t xml:space="preserve">For the purpose of this study, urban environment sustainability is </w:t>
      </w:r>
      <w:r w:rsidR="00BA4874" w:rsidRPr="00895D0B">
        <w:rPr>
          <w:color w:val="000000" w:themeColor="text1"/>
        </w:rPr>
        <w:t>promoted through three pillars—</w:t>
      </w:r>
      <w:r w:rsidRPr="00895D0B">
        <w:rPr>
          <w:color w:val="000000" w:themeColor="text1"/>
        </w:rPr>
        <w:t>sustainable urban development, sustainable urban agriculture and sustainable urban livelihoods (</w:t>
      </w:r>
      <w:r w:rsidRPr="00895D0B">
        <w:rPr>
          <w:i/>
          <w:color w:val="000000" w:themeColor="text1"/>
        </w:rPr>
        <w:t>See Figure 2.1</w:t>
      </w:r>
      <w:r w:rsidRPr="00895D0B">
        <w:rPr>
          <w:color w:val="000000" w:themeColor="text1"/>
        </w:rPr>
        <w:t xml:space="preserve">). </w:t>
      </w:r>
      <w:r w:rsidR="00BA4874" w:rsidRPr="00895D0B">
        <w:rPr>
          <w:color w:val="000000" w:themeColor="text1"/>
        </w:rPr>
        <w:t>These are interrelated and explained further below.</w:t>
      </w:r>
    </w:p>
    <w:p w14:paraId="4EF8EF72" w14:textId="77777777" w:rsidR="005573B9" w:rsidRDefault="005573B9">
      <w:pPr>
        <w:pStyle w:val="Default"/>
        <w:spacing w:line="360" w:lineRule="auto"/>
        <w:jc w:val="both"/>
        <w:rPr>
          <w:color w:val="000000" w:themeColor="text1"/>
        </w:rPr>
      </w:pPr>
    </w:p>
    <w:p w14:paraId="009C31B2" w14:textId="77777777" w:rsidR="005573B9" w:rsidRDefault="005573B9">
      <w:pPr>
        <w:pStyle w:val="Default"/>
        <w:spacing w:line="360" w:lineRule="auto"/>
        <w:jc w:val="both"/>
        <w:rPr>
          <w:color w:val="000000" w:themeColor="text1"/>
        </w:rPr>
      </w:pPr>
    </w:p>
    <w:p w14:paraId="2A4471B1" w14:textId="77777777" w:rsidR="005573B9" w:rsidRDefault="005573B9">
      <w:pPr>
        <w:pStyle w:val="Default"/>
        <w:spacing w:line="360" w:lineRule="auto"/>
        <w:jc w:val="both"/>
        <w:rPr>
          <w:color w:val="000000" w:themeColor="text1"/>
        </w:rPr>
      </w:pPr>
    </w:p>
    <w:p w14:paraId="5635AF68" w14:textId="77777777" w:rsidR="005573B9" w:rsidRDefault="005573B9">
      <w:pPr>
        <w:pStyle w:val="Default"/>
        <w:spacing w:line="360" w:lineRule="auto"/>
        <w:jc w:val="both"/>
        <w:rPr>
          <w:color w:val="000000" w:themeColor="text1"/>
        </w:rPr>
      </w:pPr>
    </w:p>
    <w:p w14:paraId="11C65E78" w14:textId="77777777" w:rsidR="005573B9" w:rsidRDefault="005573B9">
      <w:pPr>
        <w:pStyle w:val="Default"/>
        <w:spacing w:line="360" w:lineRule="auto"/>
        <w:jc w:val="both"/>
        <w:rPr>
          <w:color w:val="000000" w:themeColor="text1"/>
        </w:rPr>
      </w:pPr>
    </w:p>
    <w:p w14:paraId="0D0FE851" w14:textId="77777777" w:rsidR="005573B9" w:rsidRDefault="005573B9">
      <w:pPr>
        <w:pStyle w:val="Default"/>
        <w:spacing w:line="360" w:lineRule="auto"/>
        <w:jc w:val="both"/>
        <w:rPr>
          <w:color w:val="000000" w:themeColor="text1"/>
        </w:rPr>
      </w:pPr>
    </w:p>
    <w:p w14:paraId="3E000714" w14:textId="77777777" w:rsidR="005573B9" w:rsidRDefault="005573B9">
      <w:pPr>
        <w:pStyle w:val="Default"/>
        <w:spacing w:line="360" w:lineRule="auto"/>
        <w:jc w:val="both"/>
        <w:rPr>
          <w:color w:val="000000" w:themeColor="text1"/>
        </w:rPr>
      </w:pPr>
    </w:p>
    <w:p w14:paraId="37614429" w14:textId="77777777" w:rsidR="005573B9" w:rsidRDefault="005573B9">
      <w:pPr>
        <w:pStyle w:val="Default"/>
        <w:spacing w:line="360" w:lineRule="auto"/>
        <w:jc w:val="both"/>
        <w:rPr>
          <w:color w:val="000000" w:themeColor="text1"/>
        </w:rPr>
      </w:pPr>
    </w:p>
    <w:p w14:paraId="48E58D03" w14:textId="77777777" w:rsidR="005573B9" w:rsidRDefault="005573B9">
      <w:pPr>
        <w:pStyle w:val="Default"/>
        <w:spacing w:line="360" w:lineRule="auto"/>
        <w:jc w:val="both"/>
        <w:rPr>
          <w:color w:val="000000" w:themeColor="text1"/>
        </w:rPr>
      </w:pPr>
    </w:p>
    <w:p w14:paraId="51A7615D" w14:textId="77777777" w:rsidR="005573B9" w:rsidRDefault="005573B9">
      <w:pPr>
        <w:pStyle w:val="Default"/>
        <w:spacing w:line="360" w:lineRule="auto"/>
        <w:jc w:val="both"/>
        <w:rPr>
          <w:color w:val="000000" w:themeColor="text1"/>
        </w:rPr>
      </w:pPr>
    </w:p>
    <w:p w14:paraId="0C5C141C" w14:textId="77777777" w:rsidR="003D0790" w:rsidRDefault="003D0790" w:rsidP="000778C3">
      <w:pPr>
        <w:pStyle w:val="NoSpacing"/>
      </w:pPr>
    </w:p>
    <w:p w14:paraId="6C2AACC2" w14:textId="6169F58E" w:rsidR="001B4ED5" w:rsidRPr="00895D0B" w:rsidRDefault="005E69CC">
      <w:pPr>
        <w:spacing w:line="360" w:lineRule="auto"/>
        <w:rPr>
          <w:rFonts w:cs="Times New Roman"/>
          <w:color w:val="000000" w:themeColor="text1"/>
          <w:szCs w:val="24"/>
        </w:rPr>
      </w:pPr>
      <w:r w:rsidRPr="00895D0B">
        <w:rPr>
          <w:rFonts w:cs="Times New Roman"/>
          <w:noProof/>
          <w:color w:val="000000" w:themeColor="text1"/>
          <w:szCs w:val="24"/>
          <w:lang w:eastAsia="en-GB"/>
        </w:rPr>
        <mc:AlternateContent>
          <mc:Choice Requires="wpg">
            <w:drawing>
              <wp:anchor distT="0" distB="0" distL="114300" distR="114300" simplePos="0" relativeHeight="251660288" behindDoc="0" locked="0" layoutInCell="1" allowOverlap="1" wp14:anchorId="19C01813" wp14:editId="375447A5">
                <wp:simplePos x="0" y="0"/>
                <wp:positionH relativeFrom="column">
                  <wp:posOffset>35966</wp:posOffset>
                </wp:positionH>
                <wp:positionV relativeFrom="paragraph">
                  <wp:posOffset>38100</wp:posOffset>
                </wp:positionV>
                <wp:extent cx="5234636" cy="5751195"/>
                <wp:effectExtent l="76200" t="38100" r="61595" b="97155"/>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34636" cy="5751195"/>
                          <a:chOff x="0" y="0"/>
                          <a:chExt cx="5579745" cy="5832114"/>
                        </a:xfrm>
                      </wpg:grpSpPr>
                      <wps:wsp>
                        <wps:cNvPr id="75" name="Rectangle 75"/>
                        <wps:cNvSpPr/>
                        <wps:spPr>
                          <a:xfrm>
                            <a:off x="247650" y="95250"/>
                            <a:ext cx="5038725" cy="82867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3102E0" w14:textId="77777777" w:rsidR="00895D0B" w:rsidRDefault="00895D0B">
                              <w:pPr>
                                <w:spacing w:line="240" w:lineRule="auto"/>
                                <w:ind w:firstLine="720"/>
                                <w:jc w:val="center"/>
                                <w:rPr>
                                  <w:rFonts w:cs="Times New Roman"/>
                                  <w:b/>
                                  <w:color w:val="000000" w:themeColor="text1"/>
                                  <w:szCs w:val="24"/>
                                </w:rPr>
                              </w:pPr>
                              <w:r>
                                <w:rPr>
                                  <w:rFonts w:cs="Times New Roman"/>
                                  <w:b/>
                                  <w:color w:val="000000" w:themeColor="text1"/>
                                  <w:szCs w:val="24"/>
                                </w:rPr>
                                <w:t>Urban Environments Sustainability</w:t>
                              </w:r>
                            </w:p>
                            <w:p w14:paraId="4F480332" w14:textId="77777777" w:rsidR="00895D0B" w:rsidRDefault="00895D0B">
                              <w:pPr>
                                <w:pStyle w:val="ListParagraph"/>
                                <w:numPr>
                                  <w:ilvl w:val="0"/>
                                  <w:numId w:val="4"/>
                                </w:numPr>
                                <w:spacing w:line="240" w:lineRule="auto"/>
                                <w:rPr>
                                  <w:rFonts w:cs="Times New Roman"/>
                                  <w:color w:val="000000" w:themeColor="text1"/>
                                  <w:szCs w:val="24"/>
                                </w:rPr>
                              </w:pPr>
                              <w:r>
                                <w:rPr>
                                  <w:rFonts w:cs="Times New Roman"/>
                                  <w:color w:val="000000" w:themeColor="text1"/>
                                  <w:szCs w:val="24"/>
                                </w:rPr>
                                <w:t>Sustainable urban development</w:t>
                              </w:r>
                            </w:p>
                            <w:p w14:paraId="18AF7B5E" w14:textId="77777777" w:rsidR="00895D0B" w:rsidRDefault="00895D0B">
                              <w:pPr>
                                <w:pStyle w:val="ListParagraph"/>
                                <w:numPr>
                                  <w:ilvl w:val="0"/>
                                  <w:numId w:val="4"/>
                                </w:numPr>
                                <w:spacing w:line="240" w:lineRule="auto"/>
                                <w:rPr>
                                  <w:rFonts w:cs="Times New Roman"/>
                                  <w:color w:val="000000" w:themeColor="text1"/>
                                  <w:szCs w:val="24"/>
                                </w:rPr>
                              </w:pPr>
                              <w:r>
                                <w:rPr>
                                  <w:rFonts w:cs="Times New Roman"/>
                                  <w:color w:val="000000" w:themeColor="text1"/>
                                  <w:szCs w:val="24"/>
                                </w:rPr>
                                <w:t>Sustainable urban agriculture</w:t>
                              </w:r>
                            </w:p>
                            <w:p w14:paraId="1F1C95B3" w14:textId="77777777" w:rsidR="00895D0B" w:rsidRDefault="00895D0B">
                              <w:pPr>
                                <w:pStyle w:val="ListParagraph"/>
                                <w:numPr>
                                  <w:ilvl w:val="0"/>
                                  <w:numId w:val="4"/>
                                </w:numPr>
                                <w:spacing w:line="240" w:lineRule="auto"/>
                                <w:rPr>
                                  <w:rFonts w:cs="Times New Roman"/>
                                  <w:color w:val="000000" w:themeColor="text1"/>
                                  <w:szCs w:val="24"/>
                                </w:rPr>
                              </w:pPr>
                              <w:r>
                                <w:rPr>
                                  <w:rFonts w:cs="Times New Roman"/>
                                  <w:color w:val="000000" w:themeColor="text1"/>
                                  <w:szCs w:val="24"/>
                                </w:rPr>
                                <w:t>Sustainable urban livelihoods</w:t>
                              </w:r>
                            </w:p>
                            <w:p w14:paraId="26A7B19F" w14:textId="77777777" w:rsidR="00895D0B" w:rsidRDefault="00895D0B">
                              <w:pPr>
                                <w:spacing w:line="240" w:lineRule="auto"/>
                                <w:rPr>
                                  <w:rFonts w:asciiTheme="minorHAnsi" w:hAnsiTheme="minorHAnsi" w:cs="Times New Roman"/>
                                  <w:color w:val="000000" w:themeColor="text1"/>
                                  <w:sz w:val="22"/>
                                </w:rPr>
                              </w:pPr>
                            </w:p>
                          </w:txbxContent>
                        </wps:txbx>
                        <wps:bodyPr rot="0" spcFirstLastPara="0" vert="horz" wrap="square" lIns="36000" tIns="36000" rIns="36000" bIns="36000" numCol="1" spcCol="0" rtlCol="0" fromWordArt="0" anchor="ctr" anchorCtr="0" forceAA="0" compatLnSpc="1">
                          <a:noAutofit/>
                        </wps:bodyPr>
                      </wps:wsp>
                      <wps:wsp>
                        <wps:cNvPr id="76" name="Straight Connector 76"/>
                        <wps:cNvCnPr/>
                        <wps:spPr>
                          <a:xfrm>
                            <a:off x="0" y="0"/>
                            <a:ext cx="5570220" cy="8890"/>
                          </a:xfrm>
                          <a:prstGeom prst="line">
                            <a:avLst/>
                          </a:prstGeom>
                        </wps:spPr>
                        <wps:style>
                          <a:lnRef idx="3">
                            <a:schemeClr val="dk1"/>
                          </a:lnRef>
                          <a:fillRef idx="0">
                            <a:schemeClr val="dk1"/>
                          </a:fillRef>
                          <a:effectRef idx="2">
                            <a:schemeClr val="dk1"/>
                          </a:effectRef>
                          <a:fontRef idx="minor">
                            <a:schemeClr val="tx1"/>
                          </a:fontRef>
                        </wps:style>
                        <wps:bodyPr/>
                      </wps:wsp>
                      <wps:wsp>
                        <wps:cNvPr id="77" name="Straight Connector 77"/>
                        <wps:cNvCnPr/>
                        <wps:spPr>
                          <a:xfrm>
                            <a:off x="5553075" y="9525"/>
                            <a:ext cx="26670" cy="5822589"/>
                          </a:xfrm>
                          <a:prstGeom prst="line">
                            <a:avLst/>
                          </a:prstGeom>
                        </wps:spPr>
                        <wps:style>
                          <a:lnRef idx="3">
                            <a:schemeClr val="dk1"/>
                          </a:lnRef>
                          <a:fillRef idx="0">
                            <a:schemeClr val="dk1"/>
                          </a:fillRef>
                          <a:effectRef idx="2">
                            <a:schemeClr val="dk1"/>
                          </a:effectRef>
                          <a:fontRef idx="minor">
                            <a:schemeClr val="tx1"/>
                          </a:fontRef>
                        </wps:style>
                        <wps:bodyPr/>
                      </wps:wsp>
                      <wps:wsp>
                        <wps:cNvPr id="78" name="Text Box 25"/>
                        <wps:cNvSpPr txBox="1"/>
                        <wps:spPr>
                          <a:xfrm>
                            <a:off x="2171700" y="2047874"/>
                            <a:ext cx="1934650" cy="238125"/>
                          </a:xfrm>
                          <a:prstGeom prst="rect">
                            <a:avLst/>
                          </a:prstGeom>
                          <a:noFill/>
                          <a:ln>
                            <a:noFill/>
                          </a:ln>
                        </wps:spPr>
                        <wps:style>
                          <a:lnRef idx="0">
                            <a:scrgbClr r="0" g="0" b="0"/>
                          </a:lnRef>
                          <a:fillRef idx="0">
                            <a:scrgbClr r="0" g="0" b="0"/>
                          </a:fillRef>
                          <a:effectRef idx="0">
                            <a:scrgbClr r="0" g="0" b="0"/>
                          </a:effectRef>
                          <a:fontRef idx="minor">
                            <a:schemeClr val="accent3"/>
                          </a:fontRef>
                        </wps:style>
                        <wps:txbx>
                          <w:txbxContent>
                            <w:p w14:paraId="1B822567" w14:textId="77777777" w:rsidR="00895D0B" w:rsidRPr="00783081" w:rsidRDefault="00895D0B">
                              <w:pPr>
                                <w:jc w:val="center"/>
                                <w:rPr>
                                  <w:rFonts w:cs="Times New Roman"/>
                                  <w:color w:val="000000" w:themeColor="text1"/>
                                  <w:szCs w:val="24"/>
                                </w:rPr>
                              </w:pPr>
                              <w:r w:rsidRPr="00783081">
                                <w:rPr>
                                  <w:rFonts w:cs="Times New Roman"/>
                                  <w:color w:val="000000" w:themeColor="text1"/>
                                  <w:szCs w:val="24"/>
                                </w:rPr>
                                <w:t>Impacted By</w:t>
                              </w:r>
                            </w:p>
                          </w:txbxContent>
                        </wps:txbx>
                        <wps:bodyPr rot="0" spcFirstLastPara="0" vert="horz" wrap="square" lIns="36000" tIns="0" rIns="36000" bIns="0" numCol="1" spcCol="0" rtlCol="0" fromWordArt="0" anchor="t" anchorCtr="0" forceAA="0" compatLnSpc="1">
                          <a:noAutofit/>
                        </wps:bodyPr>
                      </wps:wsp>
                      <wps:wsp>
                        <wps:cNvPr id="79" name="Straight Connector 79"/>
                        <wps:cNvCnPr/>
                        <wps:spPr>
                          <a:xfrm>
                            <a:off x="9525" y="9525"/>
                            <a:ext cx="9525" cy="5822589"/>
                          </a:xfrm>
                          <a:prstGeom prst="line">
                            <a:avLst/>
                          </a:prstGeom>
                        </wps:spPr>
                        <wps:style>
                          <a:lnRef idx="3">
                            <a:schemeClr val="dk1"/>
                          </a:lnRef>
                          <a:fillRef idx="0">
                            <a:schemeClr val="dk1"/>
                          </a:fillRef>
                          <a:effectRef idx="2">
                            <a:schemeClr val="dk1"/>
                          </a:effectRef>
                          <a:fontRef idx="minor">
                            <a:schemeClr val="tx1"/>
                          </a:fontRef>
                        </wps:style>
                        <wps:bodyPr/>
                      </wps:wsp>
                      <wps:wsp>
                        <wps:cNvPr id="80" name="Rectangle 80"/>
                        <wps:cNvSpPr/>
                        <wps:spPr>
                          <a:xfrm>
                            <a:off x="247650" y="2286000"/>
                            <a:ext cx="5038725" cy="105271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0A88D4" w14:textId="77777777" w:rsidR="00895D0B" w:rsidRDefault="00895D0B">
                              <w:pPr>
                                <w:spacing w:line="240" w:lineRule="auto"/>
                                <w:jc w:val="center"/>
                                <w:rPr>
                                  <w:rFonts w:cs="Times New Roman"/>
                                  <w:color w:val="000000" w:themeColor="text1"/>
                                  <w:szCs w:val="24"/>
                                </w:rPr>
                              </w:pPr>
                              <w:r>
                                <w:rPr>
                                  <w:rFonts w:cs="Times New Roman"/>
                                  <w:b/>
                                  <w:color w:val="000000" w:themeColor="text1"/>
                                  <w:szCs w:val="24"/>
                                </w:rPr>
                                <w:t>Climate Change and Variability stressors</w:t>
                              </w:r>
                            </w:p>
                            <w:p w14:paraId="0E300BF4" w14:textId="77777777" w:rsidR="00895D0B" w:rsidRDefault="00895D0B">
                              <w:pPr>
                                <w:pStyle w:val="ListParagraph"/>
                                <w:numPr>
                                  <w:ilvl w:val="1"/>
                                  <w:numId w:val="5"/>
                                </w:numPr>
                                <w:spacing w:line="240" w:lineRule="auto"/>
                                <w:jc w:val="left"/>
                                <w:rPr>
                                  <w:rFonts w:cs="Times New Roman"/>
                                  <w:color w:val="000000" w:themeColor="text1"/>
                                  <w:szCs w:val="24"/>
                                </w:rPr>
                              </w:pPr>
                              <w:r>
                                <w:rPr>
                                  <w:rFonts w:cs="Times New Roman"/>
                                  <w:color w:val="000000" w:themeColor="text1"/>
                                  <w:szCs w:val="24"/>
                                </w:rPr>
                                <w:t xml:space="preserve">Rising temperatures </w:t>
                              </w:r>
                            </w:p>
                            <w:p w14:paraId="64474882" w14:textId="77777777" w:rsidR="00895D0B" w:rsidRDefault="00895D0B">
                              <w:pPr>
                                <w:pStyle w:val="ListParagraph"/>
                                <w:numPr>
                                  <w:ilvl w:val="1"/>
                                  <w:numId w:val="5"/>
                                </w:numPr>
                                <w:spacing w:line="240" w:lineRule="auto"/>
                                <w:jc w:val="left"/>
                                <w:rPr>
                                  <w:rFonts w:cs="Times New Roman"/>
                                  <w:color w:val="000000" w:themeColor="text1"/>
                                  <w:szCs w:val="24"/>
                                </w:rPr>
                              </w:pPr>
                              <w:r>
                                <w:rPr>
                                  <w:rFonts w:cs="Times New Roman"/>
                                  <w:color w:val="000000" w:themeColor="text1"/>
                                  <w:szCs w:val="24"/>
                                </w:rPr>
                                <w:t xml:space="preserve">Irregular and unpredictable rain patterns </w:t>
                              </w:r>
                            </w:p>
                            <w:p w14:paraId="1DB59E43" w14:textId="77777777" w:rsidR="00895D0B" w:rsidRDefault="00895D0B">
                              <w:pPr>
                                <w:pStyle w:val="ListParagraph"/>
                                <w:numPr>
                                  <w:ilvl w:val="1"/>
                                  <w:numId w:val="5"/>
                                </w:numPr>
                                <w:spacing w:line="240" w:lineRule="auto"/>
                                <w:jc w:val="left"/>
                                <w:rPr>
                                  <w:rFonts w:cs="Times New Roman"/>
                                  <w:color w:val="000000" w:themeColor="text1"/>
                                  <w:szCs w:val="24"/>
                                </w:rPr>
                              </w:pPr>
                              <w:r>
                                <w:rPr>
                                  <w:rFonts w:cs="Times New Roman"/>
                                  <w:color w:val="000000" w:themeColor="text1"/>
                                  <w:szCs w:val="24"/>
                                </w:rPr>
                                <w:t xml:space="preserve">Drought spell </w:t>
                              </w:r>
                            </w:p>
                            <w:p w14:paraId="5B852D8E" w14:textId="77777777" w:rsidR="00895D0B" w:rsidRDefault="00895D0B">
                              <w:pPr>
                                <w:pStyle w:val="ListParagraph"/>
                                <w:numPr>
                                  <w:ilvl w:val="1"/>
                                  <w:numId w:val="5"/>
                                </w:numPr>
                                <w:spacing w:line="240" w:lineRule="auto"/>
                                <w:jc w:val="left"/>
                                <w:rPr>
                                  <w:rFonts w:cs="Times New Roman"/>
                                  <w:color w:val="000000" w:themeColor="text1"/>
                                  <w:szCs w:val="24"/>
                                </w:rPr>
                              </w:pPr>
                              <w:r>
                                <w:rPr>
                                  <w:rFonts w:cs="Times New Roman"/>
                                  <w:color w:val="000000" w:themeColor="text1"/>
                                  <w:szCs w:val="24"/>
                                </w:rPr>
                                <w:t xml:space="preserve">Disease outbreak </w:t>
                              </w:r>
                            </w:p>
                          </w:txbxContent>
                        </wps:txbx>
                        <wps:bodyPr rot="0" spcFirstLastPara="0" vert="horz" wrap="square" lIns="36000" tIns="36000" rIns="36000" bIns="36000" numCol="1" spcCol="0" rtlCol="0" fromWordArt="0" anchor="ctr" anchorCtr="0" forceAA="0" compatLnSpc="1">
                          <a:noAutofit/>
                        </wps:bodyPr>
                      </wps:wsp>
                      <wps:wsp>
                        <wps:cNvPr id="81" name="Rectangle 81"/>
                        <wps:cNvSpPr/>
                        <wps:spPr>
                          <a:xfrm>
                            <a:off x="248920" y="3548260"/>
                            <a:ext cx="4742815" cy="92392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7FBEC2" w14:textId="77777777" w:rsidR="00895D0B" w:rsidRDefault="00895D0B">
                              <w:pPr>
                                <w:spacing w:line="240" w:lineRule="auto"/>
                                <w:jc w:val="center"/>
                                <w:rPr>
                                  <w:b/>
                                  <w:bCs/>
                                  <w:color w:val="000000" w:themeColor="text1"/>
                                </w:rPr>
                              </w:pPr>
                              <w:r>
                                <w:rPr>
                                  <w:rFonts w:cs="Times New Roman"/>
                                  <w:b/>
                                  <w:color w:val="000000" w:themeColor="text1"/>
                                  <w:szCs w:val="24"/>
                                </w:rPr>
                                <w:t xml:space="preserve">Missing Linkages in </w:t>
                              </w:r>
                              <w:r>
                                <w:rPr>
                                  <w:b/>
                                  <w:bCs/>
                                  <w:color w:val="000000" w:themeColor="text1"/>
                                </w:rPr>
                                <w:t>Urban Agriculture and Policy Interventions</w:t>
                              </w:r>
                            </w:p>
                            <w:p w14:paraId="21C5F10B" w14:textId="77777777" w:rsidR="00895D0B" w:rsidRDefault="00895D0B">
                              <w:pPr>
                                <w:pStyle w:val="ListParagraph"/>
                                <w:numPr>
                                  <w:ilvl w:val="0"/>
                                  <w:numId w:val="6"/>
                                </w:numPr>
                                <w:spacing w:line="240" w:lineRule="auto"/>
                                <w:rPr>
                                  <w:rFonts w:cs="Times New Roman"/>
                                  <w:color w:val="000000" w:themeColor="text1"/>
                                  <w:szCs w:val="24"/>
                                </w:rPr>
                              </w:pPr>
                              <w:r>
                                <w:rPr>
                                  <w:rFonts w:cs="Times New Roman"/>
                                  <w:color w:val="000000" w:themeColor="text1"/>
                                  <w:szCs w:val="24"/>
                                </w:rPr>
                                <w:t xml:space="preserve">Participation and potentials in UA </w:t>
                              </w:r>
                            </w:p>
                            <w:p w14:paraId="41BD014C" w14:textId="77777777" w:rsidR="00895D0B" w:rsidRDefault="00895D0B">
                              <w:pPr>
                                <w:pStyle w:val="ListParagraph"/>
                                <w:numPr>
                                  <w:ilvl w:val="0"/>
                                  <w:numId w:val="6"/>
                                </w:numPr>
                                <w:spacing w:line="240" w:lineRule="auto"/>
                                <w:jc w:val="left"/>
                                <w:rPr>
                                  <w:rFonts w:cs="Times New Roman"/>
                                  <w:color w:val="000000" w:themeColor="text1"/>
                                  <w:szCs w:val="24"/>
                                </w:rPr>
                              </w:pPr>
                              <w:r>
                                <w:rPr>
                                  <w:rFonts w:cs="Times New Roman"/>
                                  <w:color w:val="000000" w:themeColor="text1"/>
                                  <w:szCs w:val="24"/>
                                </w:rPr>
                                <w:t xml:space="preserve">Patterns and characteristics of UA production </w:t>
                              </w:r>
                            </w:p>
                            <w:p w14:paraId="0AE79355" w14:textId="77777777" w:rsidR="00895D0B" w:rsidRDefault="00895D0B">
                              <w:pPr>
                                <w:pStyle w:val="ListParagraph"/>
                                <w:numPr>
                                  <w:ilvl w:val="0"/>
                                  <w:numId w:val="6"/>
                                </w:numPr>
                                <w:spacing w:line="240" w:lineRule="auto"/>
                                <w:jc w:val="left"/>
                                <w:rPr>
                                  <w:rFonts w:cs="Times New Roman"/>
                                  <w:color w:val="000000" w:themeColor="text1"/>
                                  <w:szCs w:val="24"/>
                                </w:rPr>
                              </w:pPr>
                              <w:r>
                                <w:rPr>
                                  <w:rFonts w:cs="Times New Roman"/>
                                  <w:color w:val="000000" w:themeColor="text1"/>
                                  <w:szCs w:val="24"/>
                                </w:rPr>
                                <w:t xml:space="preserve">Policies on UA and Climate change adaption measures </w:t>
                              </w:r>
                            </w:p>
                          </w:txbxContent>
                        </wps:txbx>
                        <wps:bodyPr rot="0" spcFirstLastPara="0" vert="horz" wrap="square" lIns="36000" tIns="36000" rIns="36000" bIns="36000" numCol="1" spcCol="0" rtlCol="0" fromWordArt="0" anchor="ctr" anchorCtr="0" forceAA="0" compatLnSpc="1">
                          <a:noAutofit/>
                        </wps:bodyPr>
                      </wps:wsp>
                      <wps:wsp>
                        <wps:cNvPr id="82" name="Rectangle 82"/>
                        <wps:cNvSpPr/>
                        <wps:spPr>
                          <a:xfrm>
                            <a:off x="248285" y="4639825"/>
                            <a:ext cx="4743450" cy="113157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5F6C8D" w14:textId="77777777" w:rsidR="00895D0B" w:rsidRDefault="00895D0B">
                              <w:pPr>
                                <w:spacing w:line="240" w:lineRule="auto"/>
                                <w:jc w:val="center"/>
                                <w:rPr>
                                  <w:rFonts w:cs="Times New Roman"/>
                                  <w:b/>
                                  <w:color w:val="000000" w:themeColor="text1"/>
                                  <w:szCs w:val="24"/>
                                </w:rPr>
                              </w:pPr>
                              <w:r>
                                <w:rPr>
                                  <w:rFonts w:cs="Times New Roman"/>
                                  <w:b/>
                                  <w:color w:val="000000" w:themeColor="text1"/>
                                  <w:szCs w:val="24"/>
                                </w:rPr>
                                <w:t>Outcomes of Linkages</w:t>
                              </w:r>
                            </w:p>
                            <w:p w14:paraId="74D454BB" w14:textId="77777777" w:rsidR="00895D0B" w:rsidRDefault="00895D0B">
                              <w:pPr>
                                <w:pStyle w:val="ListParagraph"/>
                                <w:numPr>
                                  <w:ilvl w:val="0"/>
                                  <w:numId w:val="7"/>
                                </w:numPr>
                                <w:spacing w:line="240" w:lineRule="auto"/>
                                <w:ind w:left="284" w:hanging="142"/>
                                <w:jc w:val="left"/>
                                <w:rPr>
                                  <w:rFonts w:cs="Times New Roman"/>
                                  <w:color w:val="000000" w:themeColor="text1"/>
                                  <w:szCs w:val="24"/>
                                </w:rPr>
                              </w:pPr>
                              <w:r>
                                <w:rPr>
                                  <w:rFonts w:cs="Times New Roman"/>
                                  <w:color w:val="000000" w:themeColor="text1"/>
                                  <w:szCs w:val="24"/>
                                </w:rPr>
                                <w:t>Visioning the role of marginal UA</w:t>
                              </w:r>
                            </w:p>
                            <w:p w14:paraId="10C37F59" w14:textId="77777777" w:rsidR="00895D0B" w:rsidRDefault="00895D0B">
                              <w:pPr>
                                <w:pStyle w:val="ListParagraph"/>
                                <w:numPr>
                                  <w:ilvl w:val="0"/>
                                  <w:numId w:val="7"/>
                                </w:numPr>
                                <w:spacing w:line="240" w:lineRule="auto"/>
                                <w:ind w:left="284" w:hanging="142"/>
                                <w:jc w:val="left"/>
                                <w:rPr>
                                  <w:rFonts w:cs="Times New Roman"/>
                                  <w:color w:val="000000" w:themeColor="text1"/>
                                  <w:szCs w:val="24"/>
                                </w:rPr>
                              </w:pPr>
                              <w:r>
                                <w:rPr>
                                  <w:rFonts w:cs="Times New Roman"/>
                                  <w:color w:val="000000" w:themeColor="text1"/>
                                  <w:szCs w:val="24"/>
                                </w:rPr>
                                <w:t>Integrating climate change adaptation policies in UA</w:t>
                              </w:r>
                            </w:p>
                            <w:p w14:paraId="36F94516" w14:textId="77777777" w:rsidR="00895D0B" w:rsidRDefault="00895D0B">
                              <w:pPr>
                                <w:pStyle w:val="ListParagraph"/>
                                <w:numPr>
                                  <w:ilvl w:val="0"/>
                                  <w:numId w:val="7"/>
                                </w:numPr>
                                <w:spacing w:line="240" w:lineRule="auto"/>
                                <w:ind w:left="284" w:hanging="142"/>
                                <w:jc w:val="left"/>
                                <w:rPr>
                                  <w:rFonts w:cs="Times New Roman"/>
                                  <w:color w:val="000000" w:themeColor="text1"/>
                                  <w:szCs w:val="24"/>
                                </w:rPr>
                              </w:pPr>
                              <w:r>
                                <w:rPr>
                                  <w:rFonts w:cs="Times New Roman"/>
                                  <w:color w:val="000000" w:themeColor="text1"/>
                                  <w:szCs w:val="24"/>
                                </w:rPr>
                                <w:t>Innovative solutions to UA challenges</w:t>
                              </w:r>
                            </w:p>
                            <w:p w14:paraId="13DC28F9" w14:textId="77777777" w:rsidR="00895D0B" w:rsidRDefault="00895D0B">
                              <w:pPr>
                                <w:pStyle w:val="ListParagraph"/>
                                <w:numPr>
                                  <w:ilvl w:val="0"/>
                                  <w:numId w:val="7"/>
                                </w:numPr>
                                <w:spacing w:line="240" w:lineRule="auto"/>
                                <w:ind w:left="284" w:hanging="142"/>
                                <w:jc w:val="left"/>
                                <w:rPr>
                                  <w:rFonts w:cs="Times New Roman"/>
                                  <w:color w:val="000000" w:themeColor="text1"/>
                                  <w:szCs w:val="24"/>
                                </w:rPr>
                              </w:pPr>
                              <w:r>
                                <w:rPr>
                                  <w:rFonts w:cs="Times New Roman"/>
                                  <w:color w:val="000000" w:themeColor="text1"/>
                                  <w:szCs w:val="24"/>
                                </w:rPr>
                                <w:t>Proactive planning of urban land use and zoning to include UA</w:t>
                              </w:r>
                            </w:p>
                          </w:txbxContent>
                        </wps:txbx>
                        <wps:bodyPr rot="0" spcFirstLastPara="0" vert="horz" wrap="square" lIns="36000" tIns="36000" rIns="36000" bIns="36000" numCol="1" spcCol="0" rtlCol="0" fromWordArt="0" anchor="ctr" anchorCtr="0" forceAA="0" compatLnSpc="1">
                          <a:noAutofit/>
                        </wps:bodyPr>
                      </wps:wsp>
                      <wps:wsp>
                        <wps:cNvPr id="83" name="Straight Connector 83"/>
                        <wps:cNvCnPr/>
                        <wps:spPr>
                          <a:xfrm flipH="1">
                            <a:off x="19050" y="5832114"/>
                            <a:ext cx="5560695" cy="0"/>
                          </a:xfrm>
                          <a:prstGeom prst="line">
                            <a:avLst/>
                          </a:prstGeom>
                        </wps:spPr>
                        <wps:style>
                          <a:lnRef idx="3">
                            <a:schemeClr val="dk1"/>
                          </a:lnRef>
                          <a:fillRef idx="0">
                            <a:schemeClr val="dk1"/>
                          </a:fillRef>
                          <a:effectRef idx="2">
                            <a:schemeClr val="dk1"/>
                          </a:effectRef>
                          <a:fontRef idx="minor">
                            <a:schemeClr val="tx1"/>
                          </a:fontRef>
                        </wps:style>
                        <wps:bodyPr/>
                      </wps:wsp>
                      <wps:wsp>
                        <wps:cNvPr id="84" name="Straight Arrow Connector 84"/>
                        <wps:cNvCnPr/>
                        <wps:spPr>
                          <a:xfrm flipH="1">
                            <a:off x="2656995" y="4472185"/>
                            <a:ext cx="1" cy="167640"/>
                          </a:xfrm>
                          <a:prstGeom prst="straightConnector1">
                            <a:avLst/>
                          </a:prstGeom>
                          <a:ln w="38100">
                            <a:tailEnd type="triangle"/>
                          </a:ln>
                        </wps:spPr>
                        <wps:style>
                          <a:lnRef idx="3">
                            <a:schemeClr val="dk1"/>
                          </a:lnRef>
                          <a:fillRef idx="0">
                            <a:schemeClr val="dk1"/>
                          </a:fillRef>
                          <a:effectRef idx="2">
                            <a:schemeClr val="dk1"/>
                          </a:effectRef>
                          <a:fontRef idx="minor">
                            <a:schemeClr val="tx1"/>
                          </a:fontRef>
                        </wps:style>
                        <wps:bodyPr/>
                      </wps:wsp>
                      <wps:wsp>
                        <wps:cNvPr id="85" name="Straight Arrow Connector 85"/>
                        <wps:cNvCnPr/>
                        <wps:spPr>
                          <a:xfrm>
                            <a:off x="2539440" y="3338710"/>
                            <a:ext cx="5105" cy="209550"/>
                          </a:xfrm>
                          <a:prstGeom prst="straightConnector1">
                            <a:avLst/>
                          </a:prstGeom>
                          <a:ln w="38100">
                            <a:tailEnd type="triangle"/>
                          </a:ln>
                        </wps:spPr>
                        <wps:style>
                          <a:lnRef idx="3">
                            <a:schemeClr val="dk1"/>
                          </a:lnRef>
                          <a:fillRef idx="0">
                            <a:schemeClr val="dk1"/>
                          </a:fillRef>
                          <a:effectRef idx="2">
                            <a:schemeClr val="dk1"/>
                          </a:effectRef>
                          <a:fontRef idx="minor">
                            <a:schemeClr val="tx1"/>
                          </a:fontRef>
                        </wps:style>
                        <wps:bodyPr/>
                      </wps:wsp>
                      <wps:wsp>
                        <wps:cNvPr id="86" name="Straight Arrow Connector 86"/>
                        <wps:cNvCnPr/>
                        <wps:spPr>
                          <a:xfrm flipH="1">
                            <a:off x="4991100" y="3857759"/>
                            <a:ext cx="209306"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87" name="Straight Connector 87"/>
                        <wps:cNvCnPr/>
                        <wps:spPr>
                          <a:xfrm>
                            <a:off x="5200650" y="3848100"/>
                            <a:ext cx="0" cy="1133475"/>
                          </a:xfrm>
                          <a:prstGeom prst="line">
                            <a:avLst/>
                          </a:prstGeom>
                        </wps:spPr>
                        <wps:style>
                          <a:lnRef idx="3">
                            <a:schemeClr val="dk1"/>
                          </a:lnRef>
                          <a:fillRef idx="0">
                            <a:schemeClr val="dk1"/>
                          </a:fillRef>
                          <a:effectRef idx="2">
                            <a:schemeClr val="dk1"/>
                          </a:effectRef>
                          <a:fontRef idx="minor">
                            <a:schemeClr val="tx1"/>
                          </a:fontRef>
                        </wps:style>
                        <wps:bodyPr/>
                      </wps:wsp>
                      <wps:wsp>
                        <wps:cNvPr id="88" name="Straight Connector 88"/>
                        <wps:cNvCnPr/>
                        <wps:spPr>
                          <a:xfrm>
                            <a:off x="4991100" y="4981575"/>
                            <a:ext cx="209550" cy="0"/>
                          </a:xfrm>
                          <a:prstGeom prst="line">
                            <a:avLst/>
                          </a:prstGeom>
                        </wps:spPr>
                        <wps:style>
                          <a:lnRef idx="3">
                            <a:schemeClr val="dk1"/>
                          </a:lnRef>
                          <a:fillRef idx="0">
                            <a:schemeClr val="dk1"/>
                          </a:fillRef>
                          <a:effectRef idx="2">
                            <a:schemeClr val="dk1"/>
                          </a:effectRef>
                          <a:fontRef idx="minor">
                            <a:schemeClr val="tx1"/>
                          </a:fontRef>
                        </wps:style>
                        <wps:bodyPr/>
                      </wps:wsp>
                      <wps:wsp>
                        <wps:cNvPr id="89" name="Rectangle 89"/>
                        <wps:cNvSpPr/>
                        <wps:spPr>
                          <a:xfrm>
                            <a:off x="1590675" y="1133475"/>
                            <a:ext cx="2333625" cy="857250"/>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633F5556" w14:textId="77777777" w:rsidR="00895D0B" w:rsidRDefault="00895D0B">
                              <w:pPr>
                                <w:spacing w:line="240" w:lineRule="auto"/>
                                <w:jc w:val="center"/>
                                <w:rPr>
                                  <w:b/>
                                </w:rPr>
                              </w:pPr>
                              <w:r>
                                <w:rPr>
                                  <w:b/>
                                </w:rPr>
                                <w:t>Urban agricultural Practices and Goal</w:t>
                              </w:r>
                            </w:p>
                            <w:p w14:paraId="0FB9C041" w14:textId="77777777" w:rsidR="00895D0B" w:rsidRDefault="00895D0B">
                              <w:pPr>
                                <w:pStyle w:val="ListParagraph"/>
                                <w:numPr>
                                  <w:ilvl w:val="0"/>
                                  <w:numId w:val="8"/>
                                </w:numPr>
                                <w:spacing w:line="240" w:lineRule="auto"/>
                              </w:pPr>
                              <w:r>
                                <w:t>Crop production</w:t>
                              </w:r>
                            </w:p>
                            <w:p w14:paraId="641130B6" w14:textId="5A5BF13C" w:rsidR="00895D0B" w:rsidRDefault="00895D0B">
                              <w:pPr>
                                <w:pStyle w:val="ListParagraph"/>
                                <w:numPr>
                                  <w:ilvl w:val="0"/>
                                  <w:numId w:val="8"/>
                                </w:numPr>
                                <w:spacing w:line="240" w:lineRule="auto"/>
                              </w:pPr>
                              <w:r>
                                <w:t xml:space="preserve">Animal production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0" name="Rectangle 90"/>
                        <wps:cNvSpPr/>
                        <wps:spPr>
                          <a:xfrm>
                            <a:off x="4105275" y="1133475"/>
                            <a:ext cx="1181100" cy="857250"/>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045B017C" w14:textId="77777777" w:rsidR="00895D0B" w:rsidRDefault="00895D0B">
                              <w:pPr>
                                <w:spacing w:line="240" w:lineRule="auto"/>
                                <w:jc w:val="center"/>
                                <w:rPr>
                                  <w:rFonts w:cs="Times New Roman"/>
                                  <w:color w:val="000000" w:themeColor="text1"/>
                                  <w:szCs w:val="24"/>
                                </w:rPr>
                              </w:pPr>
                              <w:r>
                                <w:rPr>
                                  <w:rFonts w:cs="Times New Roman"/>
                                  <w:color w:val="000000" w:themeColor="text1"/>
                                  <w:szCs w:val="24"/>
                                </w:rPr>
                                <w:t>Socio-economic and livelihood transformation</w:t>
                              </w:r>
                            </w:p>
                            <w:p w14:paraId="3254980A" w14:textId="77777777" w:rsidR="00895D0B" w:rsidRDefault="00895D0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1" name="Rectangle 91"/>
                        <wps:cNvSpPr/>
                        <wps:spPr>
                          <a:xfrm>
                            <a:off x="247650" y="1133475"/>
                            <a:ext cx="1181100" cy="857249"/>
                          </a:xfrm>
                          <a:prstGeom prst="rect">
                            <a:avLst/>
                          </a:prstGeom>
                          <a:ln w="12700"/>
                        </wps:spPr>
                        <wps:style>
                          <a:lnRef idx="2">
                            <a:schemeClr val="dk1"/>
                          </a:lnRef>
                          <a:fillRef idx="1">
                            <a:schemeClr val="lt1"/>
                          </a:fillRef>
                          <a:effectRef idx="0">
                            <a:schemeClr val="dk1"/>
                          </a:effectRef>
                          <a:fontRef idx="minor">
                            <a:schemeClr val="dk1"/>
                          </a:fontRef>
                        </wps:style>
                        <wps:txbx>
                          <w:txbxContent>
                            <w:p w14:paraId="6F681916" w14:textId="77777777" w:rsidR="00895D0B" w:rsidRDefault="00895D0B">
                              <w:pPr>
                                <w:spacing w:line="240" w:lineRule="auto"/>
                                <w:ind w:left="360"/>
                                <w:jc w:val="center"/>
                                <w:rPr>
                                  <w:rFonts w:cs="Times New Roman"/>
                                  <w:color w:val="000000" w:themeColor="text1"/>
                                  <w:szCs w:val="24"/>
                                </w:rPr>
                              </w:pPr>
                              <w:r>
                                <w:rPr>
                                  <w:rFonts w:cs="Times New Roman"/>
                                  <w:color w:val="000000" w:themeColor="text1"/>
                                  <w:szCs w:val="24"/>
                                </w:rPr>
                                <w:t>Meeting Urban food demands</w:t>
                              </w:r>
                            </w:p>
                            <w:p w14:paraId="07974E04" w14:textId="77777777" w:rsidR="00895D0B" w:rsidRDefault="00895D0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2" name="Straight Arrow Connector 92"/>
                        <wps:cNvCnPr/>
                        <wps:spPr>
                          <a:xfrm>
                            <a:off x="3924300" y="1524000"/>
                            <a:ext cx="180975" cy="9525"/>
                          </a:xfrm>
                          <a:prstGeom prst="straightConnector1">
                            <a:avLst/>
                          </a:prstGeom>
                          <a:ln w="38100">
                            <a:tailEnd type="triangle"/>
                          </a:ln>
                        </wps:spPr>
                        <wps:style>
                          <a:lnRef idx="3">
                            <a:schemeClr val="dk1"/>
                          </a:lnRef>
                          <a:fillRef idx="0">
                            <a:schemeClr val="dk1"/>
                          </a:fillRef>
                          <a:effectRef idx="2">
                            <a:schemeClr val="dk1"/>
                          </a:effectRef>
                          <a:fontRef idx="minor">
                            <a:schemeClr val="tx1"/>
                          </a:fontRef>
                        </wps:style>
                        <wps:bodyPr/>
                      </wps:wsp>
                      <wps:wsp>
                        <wps:cNvPr id="93" name="Straight Arrow Connector 93"/>
                        <wps:cNvCnPr/>
                        <wps:spPr>
                          <a:xfrm flipH="1">
                            <a:off x="1428750" y="1533525"/>
                            <a:ext cx="161925" cy="0"/>
                          </a:xfrm>
                          <a:prstGeom prst="straightConnector1">
                            <a:avLst/>
                          </a:prstGeom>
                          <a:ln w="38100">
                            <a:tailEnd type="triangle"/>
                          </a:ln>
                        </wps:spPr>
                        <wps:style>
                          <a:lnRef idx="3">
                            <a:schemeClr val="dk1"/>
                          </a:lnRef>
                          <a:fillRef idx="0">
                            <a:schemeClr val="dk1"/>
                          </a:fillRef>
                          <a:effectRef idx="2">
                            <a:schemeClr val="dk1"/>
                          </a:effectRef>
                          <a:fontRef idx="minor">
                            <a:schemeClr val="tx1"/>
                          </a:fontRef>
                        </wps:style>
                        <wps:bodyPr/>
                      </wps:wsp>
                      <wps:wsp>
                        <wps:cNvPr id="94" name="Straight Arrow Connector 94"/>
                        <wps:cNvCnPr/>
                        <wps:spPr>
                          <a:xfrm>
                            <a:off x="2647950" y="923925"/>
                            <a:ext cx="9045" cy="209550"/>
                          </a:xfrm>
                          <a:prstGeom prst="straightConnector1">
                            <a:avLst/>
                          </a:prstGeom>
                          <a:ln w="38100">
                            <a:tailEnd type="triangle"/>
                          </a:ln>
                        </wps:spPr>
                        <wps:style>
                          <a:lnRef idx="3">
                            <a:schemeClr val="dk1"/>
                          </a:lnRef>
                          <a:fillRef idx="0">
                            <a:schemeClr val="dk1"/>
                          </a:fillRef>
                          <a:effectRef idx="2">
                            <a:schemeClr val="dk1"/>
                          </a:effectRef>
                          <a:fontRef idx="minor">
                            <a:schemeClr val="tx1"/>
                          </a:fontRef>
                        </wps:style>
                        <wps:bodyPr/>
                      </wps:wsp>
                      <wps:wsp>
                        <wps:cNvPr id="95" name="Straight Arrow Connector 95"/>
                        <wps:cNvCnPr/>
                        <wps:spPr>
                          <a:xfrm>
                            <a:off x="2619375" y="2000250"/>
                            <a:ext cx="0" cy="295275"/>
                          </a:xfrm>
                          <a:prstGeom prst="straightConnector1">
                            <a:avLst/>
                          </a:prstGeom>
                          <a:ln w="38100">
                            <a:tailEnd type="triangle"/>
                          </a:ln>
                        </wps:spPr>
                        <wps:style>
                          <a:lnRef idx="3">
                            <a:schemeClr val="dk1"/>
                          </a:lnRef>
                          <a:fillRef idx="0">
                            <a:schemeClr val="dk1"/>
                          </a:fillRef>
                          <a:effectRef idx="2">
                            <a:schemeClr val="dk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19C01813" id="Group 18" o:spid="_x0000_s1041" style="position:absolute;left:0;text-align:left;margin-left:2.85pt;margin-top:3pt;width:412.2pt;height:452.85pt;z-index:251660288" coordsize="55797,58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">
                <v:rect id="Rectangle 75" o:spid="_x0000_s1042" style="position:absolute;left:2476;top:952;width:50387;height:8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" filled="f" strokecolor="black [3213]" strokeweight="1pt">
                  <v:textbox inset="1mm,1mm,1mm,1mm">
                    <w:txbxContent>
                      <w:p w14:paraId="0C3102E0" w14:textId="77777777" w:rsidR="00895D0B" w:rsidRDefault="00895D0B">
                        <w:pPr>
                          <w:spacing w:line="240" w:lineRule="auto"/>
                          <w:ind w:firstLine="720"/>
                          <w:jc w:val="center"/>
                          <w:rPr>
                            <w:rFonts w:cs="Times New Roman"/>
                            <w:b/>
                            <w:color w:val="000000" w:themeColor="text1"/>
                            <w:szCs w:val="24"/>
                          </w:rPr>
                        </w:pPr>
                        <w:r>
                          <w:rPr>
                            <w:rFonts w:cs="Times New Roman"/>
                            <w:b/>
                            <w:color w:val="000000" w:themeColor="text1"/>
                            <w:szCs w:val="24"/>
                          </w:rPr>
                          <w:t>Urban Environments Sustainability</w:t>
                        </w:r>
                      </w:p>
                      <w:p w14:paraId="4F480332" w14:textId="77777777" w:rsidR="00895D0B" w:rsidRDefault="00895D0B">
                        <w:pPr>
                          <w:pStyle w:val="ListParagraph"/>
                          <w:numPr>
                            <w:ilvl w:val="0"/>
                            <w:numId w:val="4"/>
                          </w:numPr>
                          <w:spacing w:line="240" w:lineRule="auto"/>
                          <w:rPr>
                            <w:rFonts w:cs="Times New Roman"/>
                            <w:color w:val="000000" w:themeColor="text1"/>
                            <w:szCs w:val="24"/>
                          </w:rPr>
                        </w:pPr>
                        <w:r>
                          <w:rPr>
                            <w:rFonts w:cs="Times New Roman"/>
                            <w:color w:val="000000" w:themeColor="text1"/>
                            <w:szCs w:val="24"/>
                          </w:rPr>
                          <w:t>Sustainable urban development</w:t>
                        </w:r>
                      </w:p>
                      <w:p w14:paraId="18AF7B5E" w14:textId="77777777" w:rsidR="00895D0B" w:rsidRDefault="00895D0B">
                        <w:pPr>
                          <w:pStyle w:val="ListParagraph"/>
                          <w:numPr>
                            <w:ilvl w:val="0"/>
                            <w:numId w:val="4"/>
                          </w:numPr>
                          <w:spacing w:line="240" w:lineRule="auto"/>
                          <w:rPr>
                            <w:rFonts w:cs="Times New Roman"/>
                            <w:color w:val="000000" w:themeColor="text1"/>
                            <w:szCs w:val="24"/>
                          </w:rPr>
                        </w:pPr>
                        <w:r>
                          <w:rPr>
                            <w:rFonts w:cs="Times New Roman"/>
                            <w:color w:val="000000" w:themeColor="text1"/>
                            <w:szCs w:val="24"/>
                          </w:rPr>
                          <w:t>Sustainable urban agriculture</w:t>
                        </w:r>
                      </w:p>
                      <w:p w14:paraId="1F1C95B3" w14:textId="77777777" w:rsidR="00895D0B" w:rsidRDefault="00895D0B">
                        <w:pPr>
                          <w:pStyle w:val="ListParagraph"/>
                          <w:numPr>
                            <w:ilvl w:val="0"/>
                            <w:numId w:val="4"/>
                          </w:numPr>
                          <w:spacing w:line="240" w:lineRule="auto"/>
                          <w:rPr>
                            <w:rFonts w:cs="Times New Roman"/>
                            <w:color w:val="000000" w:themeColor="text1"/>
                            <w:szCs w:val="24"/>
                          </w:rPr>
                        </w:pPr>
                        <w:r>
                          <w:rPr>
                            <w:rFonts w:cs="Times New Roman"/>
                            <w:color w:val="000000" w:themeColor="text1"/>
                            <w:szCs w:val="24"/>
                          </w:rPr>
                          <w:t>Sustainable urban livelihoods</w:t>
                        </w:r>
                      </w:p>
                      <w:p w14:paraId="26A7B19F" w14:textId="77777777" w:rsidR="00895D0B" w:rsidRDefault="00895D0B">
                        <w:pPr>
                          <w:spacing w:line="240" w:lineRule="auto"/>
                          <w:rPr>
                            <w:rFonts w:asciiTheme="minorHAnsi" w:hAnsiTheme="minorHAnsi" w:cs="Times New Roman"/>
                            <w:color w:val="000000" w:themeColor="text1"/>
                            <w:sz w:val="22"/>
                          </w:rPr>
                        </w:pPr>
                      </w:p>
                    </w:txbxContent>
                  </v:textbox>
                </v:rect>
                <v:line id="Straight Connector 76" o:spid="_x0000_s1043" style="position:absolute;visibility:visible;mso-wrap-style:square" from="0,0" to="5570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" strokecolor="black [3200]" strokeweight="3pt">
                  <v:shadow on="t" color="black" opacity="22937f" origin=",.5" offset="0,.63889mm"/>
                </v:line>
                <v:line id="Straight Connector 77" o:spid="_x0000_s1044" style="position:absolute;visibility:visible;mso-wrap-style:square" from="55530,95" to="55797,58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" strokecolor="black [3200]" strokeweight="3pt">
                  <v:shadow on="t" color="black" opacity="22937f" origin=",.5" offset="0,.63889mm"/>
                </v:line>
                <v:shape id="Text Box 25" o:spid="_x0000_s1045" type="#_x0000_t202" style="position:absolute;left:21717;top:20478;width:19346;height:2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" filled="f" stroked="f">
                  <v:textbox inset="1mm,0,1mm,0">
                    <w:txbxContent>
                      <w:p w14:paraId="1B822567" w14:textId="77777777" w:rsidR="00895D0B" w:rsidRPr="00783081" w:rsidRDefault="00895D0B">
                        <w:pPr>
                          <w:jc w:val="center"/>
                          <w:rPr>
                            <w:rFonts w:cs="Times New Roman"/>
                            <w:color w:val="000000" w:themeColor="text1"/>
                            <w:szCs w:val="24"/>
                          </w:rPr>
                        </w:pPr>
                        <w:r w:rsidRPr="00783081">
                          <w:rPr>
                            <w:rFonts w:cs="Times New Roman"/>
                            <w:color w:val="000000" w:themeColor="text1"/>
                            <w:szCs w:val="24"/>
                          </w:rPr>
                          <w:t>Impacted By</w:t>
                        </w:r>
                      </w:p>
                    </w:txbxContent>
                  </v:textbox>
                </v:shape>
                <v:line id="Straight Connector 79" o:spid="_x0000_s1046" style="position:absolute;visibility:visible;mso-wrap-style:square" from="95,95" to="190,58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" strokecolor="black [3200]" strokeweight="3pt">
                  <v:shadow on="t" color="black" opacity="22937f" origin=",.5" offset="0,.63889mm"/>
                </v:line>
                <v:rect id="Rectangle 80" o:spid="_x0000_s1047" style="position:absolute;left:2476;top:22860;width:50387;height:105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" filled="f" strokecolor="black [3213]" strokeweight="1pt">
                  <v:textbox inset="1mm,1mm,1mm,1mm">
                    <w:txbxContent>
                      <w:p w14:paraId="6B0A88D4" w14:textId="77777777" w:rsidR="00895D0B" w:rsidRDefault="00895D0B">
                        <w:pPr>
                          <w:spacing w:line="240" w:lineRule="auto"/>
                          <w:jc w:val="center"/>
                          <w:rPr>
                            <w:rFonts w:cs="Times New Roman"/>
                            <w:color w:val="000000" w:themeColor="text1"/>
                            <w:szCs w:val="24"/>
                          </w:rPr>
                        </w:pPr>
                        <w:r>
                          <w:rPr>
                            <w:rFonts w:cs="Times New Roman"/>
                            <w:b/>
                            <w:color w:val="000000" w:themeColor="text1"/>
                            <w:szCs w:val="24"/>
                          </w:rPr>
                          <w:t>Climate Change and Variability stressors</w:t>
                        </w:r>
                      </w:p>
                      <w:p w14:paraId="0E300BF4" w14:textId="77777777" w:rsidR="00895D0B" w:rsidRDefault="00895D0B">
                        <w:pPr>
                          <w:pStyle w:val="ListParagraph"/>
                          <w:numPr>
                            <w:ilvl w:val="1"/>
                            <w:numId w:val="5"/>
                          </w:numPr>
                          <w:spacing w:line="240" w:lineRule="auto"/>
                          <w:jc w:val="left"/>
                          <w:rPr>
                            <w:rFonts w:cs="Times New Roman"/>
                            <w:color w:val="000000" w:themeColor="text1"/>
                            <w:szCs w:val="24"/>
                          </w:rPr>
                        </w:pPr>
                        <w:r>
                          <w:rPr>
                            <w:rFonts w:cs="Times New Roman"/>
                            <w:color w:val="000000" w:themeColor="text1"/>
                            <w:szCs w:val="24"/>
                          </w:rPr>
                          <w:t xml:space="preserve">Rising temperatures </w:t>
                        </w:r>
                      </w:p>
                      <w:p w14:paraId="64474882" w14:textId="77777777" w:rsidR="00895D0B" w:rsidRDefault="00895D0B">
                        <w:pPr>
                          <w:pStyle w:val="ListParagraph"/>
                          <w:numPr>
                            <w:ilvl w:val="1"/>
                            <w:numId w:val="5"/>
                          </w:numPr>
                          <w:spacing w:line="240" w:lineRule="auto"/>
                          <w:jc w:val="left"/>
                          <w:rPr>
                            <w:rFonts w:cs="Times New Roman"/>
                            <w:color w:val="000000" w:themeColor="text1"/>
                            <w:szCs w:val="24"/>
                          </w:rPr>
                        </w:pPr>
                        <w:r>
                          <w:rPr>
                            <w:rFonts w:cs="Times New Roman"/>
                            <w:color w:val="000000" w:themeColor="text1"/>
                            <w:szCs w:val="24"/>
                          </w:rPr>
                          <w:t xml:space="preserve">Irregular and unpredictable rain patterns </w:t>
                        </w:r>
                      </w:p>
                      <w:p w14:paraId="1DB59E43" w14:textId="77777777" w:rsidR="00895D0B" w:rsidRDefault="00895D0B">
                        <w:pPr>
                          <w:pStyle w:val="ListParagraph"/>
                          <w:numPr>
                            <w:ilvl w:val="1"/>
                            <w:numId w:val="5"/>
                          </w:numPr>
                          <w:spacing w:line="240" w:lineRule="auto"/>
                          <w:jc w:val="left"/>
                          <w:rPr>
                            <w:rFonts w:cs="Times New Roman"/>
                            <w:color w:val="000000" w:themeColor="text1"/>
                            <w:szCs w:val="24"/>
                          </w:rPr>
                        </w:pPr>
                        <w:r>
                          <w:rPr>
                            <w:rFonts w:cs="Times New Roman"/>
                            <w:color w:val="000000" w:themeColor="text1"/>
                            <w:szCs w:val="24"/>
                          </w:rPr>
                          <w:t xml:space="preserve">Drought spell </w:t>
                        </w:r>
                      </w:p>
                      <w:p w14:paraId="5B852D8E" w14:textId="77777777" w:rsidR="00895D0B" w:rsidRDefault="00895D0B">
                        <w:pPr>
                          <w:pStyle w:val="ListParagraph"/>
                          <w:numPr>
                            <w:ilvl w:val="1"/>
                            <w:numId w:val="5"/>
                          </w:numPr>
                          <w:spacing w:line="240" w:lineRule="auto"/>
                          <w:jc w:val="left"/>
                          <w:rPr>
                            <w:rFonts w:cs="Times New Roman"/>
                            <w:color w:val="000000" w:themeColor="text1"/>
                            <w:szCs w:val="24"/>
                          </w:rPr>
                        </w:pPr>
                        <w:r>
                          <w:rPr>
                            <w:rFonts w:cs="Times New Roman"/>
                            <w:color w:val="000000" w:themeColor="text1"/>
                            <w:szCs w:val="24"/>
                          </w:rPr>
                          <w:t xml:space="preserve">Disease outbreak </w:t>
                        </w:r>
                      </w:p>
                    </w:txbxContent>
                  </v:textbox>
                </v:rect>
                <v:rect id="Rectangle 81" o:spid="_x0000_s1048" style="position:absolute;left:2489;top:35482;width:47428;height:9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" filled="f" strokecolor="black [3213]" strokeweight="1pt">
                  <v:textbox inset="1mm,1mm,1mm,1mm">
                    <w:txbxContent>
                      <w:p w14:paraId="4A7FBEC2" w14:textId="77777777" w:rsidR="00895D0B" w:rsidRDefault="00895D0B">
                        <w:pPr>
                          <w:spacing w:line="240" w:lineRule="auto"/>
                          <w:jc w:val="center"/>
                          <w:rPr>
                            <w:b/>
                            <w:bCs/>
                            <w:color w:val="000000" w:themeColor="text1"/>
                          </w:rPr>
                        </w:pPr>
                        <w:r>
                          <w:rPr>
                            <w:rFonts w:cs="Times New Roman"/>
                            <w:b/>
                            <w:color w:val="000000" w:themeColor="text1"/>
                            <w:szCs w:val="24"/>
                          </w:rPr>
                          <w:t xml:space="preserve">Missing Linkages in </w:t>
                        </w:r>
                        <w:r>
                          <w:rPr>
                            <w:b/>
                            <w:bCs/>
                            <w:color w:val="000000" w:themeColor="text1"/>
                          </w:rPr>
                          <w:t>Urban Agriculture and Policy Interventions</w:t>
                        </w:r>
                      </w:p>
                      <w:p w14:paraId="21C5F10B" w14:textId="77777777" w:rsidR="00895D0B" w:rsidRDefault="00895D0B">
                        <w:pPr>
                          <w:pStyle w:val="ListParagraph"/>
                          <w:numPr>
                            <w:ilvl w:val="0"/>
                            <w:numId w:val="6"/>
                          </w:numPr>
                          <w:spacing w:line="240" w:lineRule="auto"/>
                          <w:rPr>
                            <w:rFonts w:cs="Times New Roman"/>
                            <w:color w:val="000000" w:themeColor="text1"/>
                            <w:szCs w:val="24"/>
                          </w:rPr>
                        </w:pPr>
                        <w:r>
                          <w:rPr>
                            <w:rFonts w:cs="Times New Roman"/>
                            <w:color w:val="000000" w:themeColor="text1"/>
                            <w:szCs w:val="24"/>
                          </w:rPr>
                          <w:t xml:space="preserve">Participation and potentials in UA </w:t>
                        </w:r>
                      </w:p>
                      <w:p w14:paraId="41BD014C" w14:textId="77777777" w:rsidR="00895D0B" w:rsidRDefault="00895D0B">
                        <w:pPr>
                          <w:pStyle w:val="ListParagraph"/>
                          <w:numPr>
                            <w:ilvl w:val="0"/>
                            <w:numId w:val="6"/>
                          </w:numPr>
                          <w:spacing w:line="240" w:lineRule="auto"/>
                          <w:jc w:val="left"/>
                          <w:rPr>
                            <w:rFonts w:cs="Times New Roman"/>
                            <w:color w:val="000000" w:themeColor="text1"/>
                            <w:szCs w:val="24"/>
                          </w:rPr>
                        </w:pPr>
                        <w:r>
                          <w:rPr>
                            <w:rFonts w:cs="Times New Roman"/>
                            <w:color w:val="000000" w:themeColor="text1"/>
                            <w:szCs w:val="24"/>
                          </w:rPr>
                          <w:t xml:space="preserve">Patterns and characteristics of UA production </w:t>
                        </w:r>
                      </w:p>
                      <w:p w14:paraId="0AE79355" w14:textId="77777777" w:rsidR="00895D0B" w:rsidRDefault="00895D0B">
                        <w:pPr>
                          <w:pStyle w:val="ListParagraph"/>
                          <w:numPr>
                            <w:ilvl w:val="0"/>
                            <w:numId w:val="6"/>
                          </w:numPr>
                          <w:spacing w:line="240" w:lineRule="auto"/>
                          <w:jc w:val="left"/>
                          <w:rPr>
                            <w:rFonts w:cs="Times New Roman"/>
                            <w:color w:val="000000" w:themeColor="text1"/>
                            <w:szCs w:val="24"/>
                          </w:rPr>
                        </w:pPr>
                        <w:r>
                          <w:rPr>
                            <w:rFonts w:cs="Times New Roman"/>
                            <w:color w:val="000000" w:themeColor="text1"/>
                            <w:szCs w:val="24"/>
                          </w:rPr>
                          <w:t xml:space="preserve">Policies on UA and Climate change adaption measures </w:t>
                        </w:r>
                      </w:p>
                    </w:txbxContent>
                  </v:textbox>
                </v:rect>
                <v:rect id="Rectangle 82" o:spid="_x0000_s1049" style="position:absolute;left:2482;top:46398;width:47435;height:113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" filled="f" strokecolor="black [3213]" strokeweight="1pt">
                  <v:textbox inset="1mm,1mm,1mm,1mm">
                    <w:txbxContent>
                      <w:p w14:paraId="715F6C8D" w14:textId="77777777" w:rsidR="00895D0B" w:rsidRDefault="00895D0B">
                        <w:pPr>
                          <w:spacing w:line="240" w:lineRule="auto"/>
                          <w:jc w:val="center"/>
                          <w:rPr>
                            <w:rFonts w:cs="Times New Roman"/>
                            <w:b/>
                            <w:color w:val="000000" w:themeColor="text1"/>
                            <w:szCs w:val="24"/>
                          </w:rPr>
                        </w:pPr>
                        <w:r>
                          <w:rPr>
                            <w:rFonts w:cs="Times New Roman"/>
                            <w:b/>
                            <w:color w:val="000000" w:themeColor="text1"/>
                            <w:szCs w:val="24"/>
                          </w:rPr>
                          <w:t>Outcomes of Linkages</w:t>
                        </w:r>
                      </w:p>
                      <w:p w14:paraId="74D454BB" w14:textId="77777777" w:rsidR="00895D0B" w:rsidRDefault="00895D0B">
                        <w:pPr>
                          <w:pStyle w:val="ListParagraph"/>
                          <w:numPr>
                            <w:ilvl w:val="0"/>
                            <w:numId w:val="7"/>
                          </w:numPr>
                          <w:spacing w:line="240" w:lineRule="auto"/>
                          <w:ind w:left="284" w:hanging="142"/>
                          <w:jc w:val="left"/>
                          <w:rPr>
                            <w:rFonts w:cs="Times New Roman"/>
                            <w:color w:val="000000" w:themeColor="text1"/>
                            <w:szCs w:val="24"/>
                          </w:rPr>
                        </w:pPr>
                        <w:r>
                          <w:rPr>
                            <w:rFonts w:cs="Times New Roman"/>
                            <w:color w:val="000000" w:themeColor="text1"/>
                            <w:szCs w:val="24"/>
                          </w:rPr>
                          <w:t>Visioning the role of marginal UA</w:t>
                        </w:r>
                      </w:p>
                      <w:p w14:paraId="10C37F59" w14:textId="77777777" w:rsidR="00895D0B" w:rsidRDefault="00895D0B">
                        <w:pPr>
                          <w:pStyle w:val="ListParagraph"/>
                          <w:numPr>
                            <w:ilvl w:val="0"/>
                            <w:numId w:val="7"/>
                          </w:numPr>
                          <w:spacing w:line="240" w:lineRule="auto"/>
                          <w:ind w:left="284" w:hanging="142"/>
                          <w:jc w:val="left"/>
                          <w:rPr>
                            <w:rFonts w:cs="Times New Roman"/>
                            <w:color w:val="000000" w:themeColor="text1"/>
                            <w:szCs w:val="24"/>
                          </w:rPr>
                        </w:pPr>
                        <w:r>
                          <w:rPr>
                            <w:rFonts w:cs="Times New Roman"/>
                            <w:color w:val="000000" w:themeColor="text1"/>
                            <w:szCs w:val="24"/>
                          </w:rPr>
                          <w:t>Integrating climate change adaptation policies in UA</w:t>
                        </w:r>
                      </w:p>
                      <w:p w14:paraId="36F94516" w14:textId="77777777" w:rsidR="00895D0B" w:rsidRDefault="00895D0B">
                        <w:pPr>
                          <w:pStyle w:val="ListParagraph"/>
                          <w:numPr>
                            <w:ilvl w:val="0"/>
                            <w:numId w:val="7"/>
                          </w:numPr>
                          <w:spacing w:line="240" w:lineRule="auto"/>
                          <w:ind w:left="284" w:hanging="142"/>
                          <w:jc w:val="left"/>
                          <w:rPr>
                            <w:rFonts w:cs="Times New Roman"/>
                            <w:color w:val="000000" w:themeColor="text1"/>
                            <w:szCs w:val="24"/>
                          </w:rPr>
                        </w:pPr>
                        <w:r>
                          <w:rPr>
                            <w:rFonts w:cs="Times New Roman"/>
                            <w:color w:val="000000" w:themeColor="text1"/>
                            <w:szCs w:val="24"/>
                          </w:rPr>
                          <w:t>Innovative solutions to UA challenges</w:t>
                        </w:r>
                      </w:p>
                      <w:p w14:paraId="13DC28F9" w14:textId="77777777" w:rsidR="00895D0B" w:rsidRDefault="00895D0B">
                        <w:pPr>
                          <w:pStyle w:val="ListParagraph"/>
                          <w:numPr>
                            <w:ilvl w:val="0"/>
                            <w:numId w:val="7"/>
                          </w:numPr>
                          <w:spacing w:line="240" w:lineRule="auto"/>
                          <w:ind w:left="284" w:hanging="142"/>
                          <w:jc w:val="left"/>
                          <w:rPr>
                            <w:rFonts w:cs="Times New Roman"/>
                            <w:color w:val="000000" w:themeColor="text1"/>
                            <w:szCs w:val="24"/>
                          </w:rPr>
                        </w:pPr>
                        <w:r>
                          <w:rPr>
                            <w:rFonts w:cs="Times New Roman"/>
                            <w:color w:val="000000" w:themeColor="text1"/>
                            <w:szCs w:val="24"/>
                          </w:rPr>
                          <w:t>Proactive planning of urban land use and zoning to include UA</w:t>
                        </w:r>
                      </w:p>
                    </w:txbxContent>
                  </v:textbox>
                </v:rect>
                <v:line id="Straight Connector 83" o:spid="_x0000_s1050" style="position:absolute;flip:x;visibility:visible;mso-wrap-style:square" from="190,58321" to="55797,58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" strokecolor="black [3200]" strokeweight="3pt">
                  <v:shadow on="t" color="black" opacity="22937f" origin=",.5" offset="0,.63889mm"/>
                </v:line>
                <v:shape id="Straight Arrow Connector 84" o:spid="_x0000_s1051" type="#_x0000_t32" style="position:absolute;left:26569;top:44721;width:0;height:16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" strokecolor="black [3200]" strokeweight="3pt">
                  <v:stroke endarrow="block"/>
                  <v:shadow on="t" color="black" opacity="22937f" origin=",.5" offset="0,.63889mm"/>
                </v:shape>
                <v:shape id="Straight Arrow Connector 85" o:spid="_x0000_s1052" type="#_x0000_t32" style="position:absolute;left:25394;top:33387;width:51;height:2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" strokecolor="black [3200]" strokeweight="3pt">
                  <v:stroke endarrow="block"/>
                  <v:shadow on="t" color="black" opacity="22937f" origin=",.5" offset="0,.63889mm"/>
                </v:shape>
                <v:shape id="Straight Arrow Connector 86" o:spid="_x0000_s1053" type="#_x0000_t32" style="position:absolute;left:49911;top:38577;width:209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" strokecolor="black [3200]" strokeweight="3pt">
                  <v:stroke endarrow="block"/>
                  <v:shadow on="t" color="black" opacity="22937f" origin=",.5" offset="0,.63889mm"/>
                </v:shape>
                <v:line id="Straight Connector 87" o:spid="_x0000_s1054" style="position:absolute;visibility:visible;mso-wrap-style:square" from="52006,38481" to="52006,49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" strokecolor="black [3200]" strokeweight="3pt">
                  <v:shadow on="t" color="black" opacity="22937f" origin=",.5" offset="0,.63889mm"/>
                </v:line>
                <v:line id="Straight Connector 88" o:spid="_x0000_s1055" style="position:absolute;visibility:visible;mso-wrap-style:square" from="49911,49815" to="52006,49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" strokecolor="black [3200]" strokeweight="3pt">
                  <v:shadow on="t" color="black" opacity="22937f" origin=",.5" offset="0,.63889mm"/>
                </v:line>
                <v:rect id="Rectangle 89" o:spid="_x0000_s1056" style="position:absolute;left:15906;top:11334;width:23337;height:8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" fillcolor="white [3201]" strokecolor="black [3200]" strokeweight="1pt">
                  <v:textbox>
                    <w:txbxContent>
                      <w:p w14:paraId="633F5556" w14:textId="77777777" w:rsidR="00895D0B" w:rsidRDefault="00895D0B">
                        <w:pPr>
                          <w:spacing w:line="240" w:lineRule="auto"/>
                          <w:jc w:val="center"/>
                          <w:rPr>
                            <w:b/>
                          </w:rPr>
                        </w:pPr>
                        <w:r>
                          <w:rPr>
                            <w:b/>
                          </w:rPr>
                          <w:t>Urban agricultural Practices and Goal</w:t>
                        </w:r>
                      </w:p>
                      <w:p w14:paraId="0FB9C041" w14:textId="77777777" w:rsidR="00895D0B" w:rsidRDefault="00895D0B">
                        <w:pPr>
                          <w:pStyle w:val="ListParagraph"/>
                          <w:numPr>
                            <w:ilvl w:val="0"/>
                            <w:numId w:val="8"/>
                          </w:numPr>
                          <w:spacing w:line="240" w:lineRule="auto"/>
                        </w:pPr>
                        <w:r>
                          <w:t>Crop production</w:t>
                        </w:r>
                      </w:p>
                      <w:p w14:paraId="641130B6" w14:textId="5A5BF13C" w:rsidR="00895D0B" w:rsidRDefault="00895D0B">
                        <w:pPr>
                          <w:pStyle w:val="ListParagraph"/>
                          <w:numPr>
                            <w:ilvl w:val="0"/>
                            <w:numId w:val="8"/>
                          </w:numPr>
                          <w:spacing w:line="240" w:lineRule="auto"/>
                        </w:pPr>
                        <w:r>
                          <w:t xml:space="preserve">Animal production </w:t>
                        </w:r>
                      </w:p>
                    </w:txbxContent>
                  </v:textbox>
                </v:rect>
                <v:rect id="Rectangle 90" o:spid="_x0000_s1057" style="position:absolute;left:41052;top:11334;width:11811;height:8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" fillcolor="white [3201]" strokecolor="black [3200]" strokeweight="1pt">
                  <v:textbox>
                    <w:txbxContent>
                      <w:p w14:paraId="045B017C" w14:textId="77777777" w:rsidR="00895D0B" w:rsidRDefault="00895D0B">
                        <w:pPr>
                          <w:spacing w:line="240" w:lineRule="auto"/>
                          <w:jc w:val="center"/>
                          <w:rPr>
                            <w:rFonts w:cs="Times New Roman"/>
                            <w:color w:val="000000" w:themeColor="text1"/>
                            <w:szCs w:val="24"/>
                          </w:rPr>
                        </w:pPr>
                        <w:r>
                          <w:rPr>
                            <w:rFonts w:cs="Times New Roman"/>
                            <w:color w:val="000000" w:themeColor="text1"/>
                            <w:szCs w:val="24"/>
                          </w:rPr>
                          <w:t>Socio-economic and livelihood transformation</w:t>
                        </w:r>
                      </w:p>
                      <w:p w14:paraId="3254980A" w14:textId="77777777" w:rsidR="00895D0B" w:rsidRDefault="00895D0B">
                        <w:pPr>
                          <w:jc w:val="center"/>
                        </w:pPr>
                      </w:p>
                    </w:txbxContent>
                  </v:textbox>
                </v:rect>
                <v:rect id="Rectangle 91" o:spid="_x0000_s1058" style="position:absolute;left:2476;top:11334;width:11811;height:8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" fillcolor="white [3201]" strokecolor="black [3200]" strokeweight="1pt">
                  <v:textbox>
                    <w:txbxContent>
                      <w:p w14:paraId="6F681916" w14:textId="77777777" w:rsidR="00895D0B" w:rsidRDefault="00895D0B">
                        <w:pPr>
                          <w:spacing w:line="240" w:lineRule="auto"/>
                          <w:ind w:left="360"/>
                          <w:jc w:val="center"/>
                          <w:rPr>
                            <w:rFonts w:cs="Times New Roman"/>
                            <w:color w:val="000000" w:themeColor="text1"/>
                            <w:szCs w:val="24"/>
                          </w:rPr>
                        </w:pPr>
                        <w:r>
                          <w:rPr>
                            <w:rFonts w:cs="Times New Roman"/>
                            <w:color w:val="000000" w:themeColor="text1"/>
                            <w:szCs w:val="24"/>
                          </w:rPr>
                          <w:t>Meeting Urban food demands</w:t>
                        </w:r>
                      </w:p>
                      <w:p w14:paraId="07974E04" w14:textId="77777777" w:rsidR="00895D0B" w:rsidRDefault="00895D0B">
                        <w:pPr>
                          <w:jc w:val="center"/>
                        </w:pPr>
                      </w:p>
                    </w:txbxContent>
                  </v:textbox>
                </v:rect>
                <v:shape id="Straight Arrow Connector 92" o:spid="_x0000_s1059" type="#_x0000_t32" style="position:absolute;left:39243;top:15240;width:1809;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" strokecolor="black [3200]" strokeweight="3pt">
                  <v:stroke endarrow="block"/>
                  <v:shadow on="t" color="black" opacity="22937f" origin=",.5" offset="0,.63889mm"/>
                </v:shape>
                <v:shape id="Straight Arrow Connector 93" o:spid="_x0000_s1060" type="#_x0000_t32" style="position:absolute;left:14287;top:15335;width:161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" strokecolor="black [3200]" strokeweight="3pt">
                  <v:stroke endarrow="block"/>
                  <v:shadow on="t" color="black" opacity="22937f" origin=",.5" offset="0,.63889mm"/>
                </v:shape>
                <v:shape id="Straight Arrow Connector 94" o:spid="_x0000_s1061" type="#_x0000_t32" style="position:absolute;left:26479;top:9239;width:90;height:2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" strokecolor="black [3200]" strokeweight="3pt">
                  <v:stroke endarrow="block"/>
                  <v:shadow on="t" color="black" opacity="22937f" origin=",.5" offset="0,.63889mm"/>
                </v:shape>
                <v:shape id="Straight Arrow Connector 95" o:spid="_x0000_s1062" type="#_x0000_t32" style="position:absolute;left:26193;top:20002;width:0;height:2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" strokecolor="black [3200]" strokeweight="3pt">
                  <v:stroke endarrow="block"/>
                  <v:shadow on="t" color="black" opacity="22937f" origin=",.5" offset="0,.63889mm"/>
                </v:shape>
              </v:group>
            </w:pict>
          </mc:Fallback>
        </mc:AlternateContent>
      </w:r>
    </w:p>
    <w:p w14:paraId="3C32701C" w14:textId="77777777" w:rsidR="001B4ED5" w:rsidRPr="00895D0B" w:rsidRDefault="001B4ED5">
      <w:pPr>
        <w:spacing w:line="360" w:lineRule="auto"/>
        <w:rPr>
          <w:rFonts w:cs="Times New Roman"/>
          <w:color w:val="000000" w:themeColor="text1"/>
          <w:szCs w:val="24"/>
        </w:rPr>
      </w:pPr>
    </w:p>
    <w:p w14:paraId="7603AFB8" w14:textId="77777777" w:rsidR="001B4ED5" w:rsidRPr="00895D0B" w:rsidRDefault="001B4ED5">
      <w:pPr>
        <w:spacing w:line="360" w:lineRule="auto"/>
        <w:rPr>
          <w:rFonts w:cs="Times New Roman"/>
          <w:color w:val="000000" w:themeColor="text1"/>
          <w:szCs w:val="24"/>
        </w:rPr>
      </w:pPr>
    </w:p>
    <w:p w14:paraId="067925FA" w14:textId="77777777" w:rsidR="001B4ED5" w:rsidRPr="00895D0B" w:rsidRDefault="001B4ED5">
      <w:pPr>
        <w:spacing w:line="360" w:lineRule="auto"/>
        <w:rPr>
          <w:rFonts w:cs="Times New Roman"/>
          <w:color w:val="000000" w:themeColor="text1"/>
          <w:szCs w:val="24"/>
        </w:rPr>
      </w:pPr>
    </w:p>
    <w:p w14:paraId="70B28C4F" w14:textId="77777777" w:rsidR="001B4ED5" w:rsidRPr="00895D0B" w:rsidRDefault="001B4ED5">
      <w:pPr>
        <w:spacing w:line="360" w:lineRule="auto"/>
        <w:rPr>
          <w:rFonts w:cs="Times New Roman"/>
          <w:color w:val="000000" w:themeColor="text1"/>
          <w:szCs w:val="24"/>
        </w:rPr>
      </w:pPr>
    </w:p>
    <w:p w14:paraId="0CBD9E26" w14:textId="77777777" w:rsidR="001B4ED5" w:rsidRPr="00895D0B" w:rsidRDefault="001B4ED5">
      <w:pPr>
        <w:spacing w:line="360" w:lineRule="auto"/>
        <w:rPr>
          <w:rFonts w:cs="Times New Roman"/>
          <w:color w:val="000000" w:themeColor="text1"/>
          <w:szCs w:val="24"/>
        </w:rPr>
      </w:pPr>
    </w:p>
    <w:p w14:paraId="6168DD90" w14:textId="77777777" w:rsidR="001B4ED5" w:rsidRPr="00895D0B" w:rsidRDefault="006B41C0">
      <w:pPr>
        <w:tabs>
          <w:tab w:val="left" w:pos="2870"/>
        </w:tabs>
        <w:spacing w:line="360" w:lineRule="auto"/>
        <w:rPr>
          <w:rFonts w:cs="Times New Roman"/>
          <w:color w:val="000000" w:themeColor="text1"/>
          <w:szCs w:val="24"/>
        </w:rPr>
      </w:pPr>
      <w:r w:rsidRPr="00895D0B">
        <w:rPr>
          <w:rFonts w:cs="Times New Roman"/>
          <w:color w:val="000000" w:themeColor="text1"/>
          <w:szCs w:val="24"/>
        </w:rPr>
        <w:tab/>
      </w:r>
    </w:p>
    <w:p w14:paraId="0F08BB47" w14:textId="77777777" w:rsidR="001B4ED5" w:rsidRPr="00895D0B" w:rsidRDefault="001B4ED5">
      <w:pPr>
        <w:widowControl w:val="0"/>
        <w:autoSpaceDE w:val="0"/>
        <w:autoSpaceDN w:val="0"/>
        <w:adjustRightInd w:val="0"/>
        <w:spacing w:before="40" w:line="360" w:lineRule="auto"/>
        <w:rPr>
          <w:rFonts w:cs="Times New Roman"/>
          <w:color w:val="000000" w:themeColor="text1"/>
          <w:szCs w:val="24"/>
        </w:rPr>
      </w:pPr>
    </w:p>
    <w:p w14:paraId="5D053DBA" w14:textId="77777777" w:rsidR="001B4ED5" w:rsidRPr="00895D0B" w:rsidRDefault="001B4ED5">
      <w:pPr>
        <w:widowControl w:val="0"/>
        <w:autoSpaceDE w:val="0"/>
        <w:autoSpaceDN w:val="0"/>
        <w:adjustRightInd w:val="0"/>
        <w:spacing w:before="40" w:line="360" w:lineRule="auto"/>
        <w:rPr>
          <w:rFonts w:cs="Times New Roman"/>
          <w:color w:val="000000" w:themeColor="text1"/>
          <w:szCs w:val="24"/>
        </w:rPr>
      </w:pPr>
    </w:p>
    <w:p w14:paraId="2D1DE57C" w14:textId="77777777" w:rsidR="001B4ED5" w:rsidRPr="00895D0B" w:rsidRDefault="001B4ED5">
      <w:pPr>
        <w:widowControl w:val="0"/>
        <w:autoSpaceDE w:val="0"/>
        <w:autoSpaceDN w:val="0"/>
        <w:adjustRightInd w:val="0"/>
        <w:spacing w:before="40" w:line="360" w:lineRule="auto"/>
        <w:rPr>
          <w:rFonts w:cs="Times New Roman"/>
          <w:color w:val="000000" w:themeColor="text1"/>
          <w:szCs w:val="24"/>
        </w:rPr>
      </w:pPr>
    </w:p>
    <w:p w14:paraId="6EF98283" w14:textId="77777777" w:rsidR="001B4ED5" w:rsidRPr="00895D0B" w:rsidRDefault="001B4ED5">
      <w:pPr>
        <w:widowControl w:val="0"/>
        <w:autoSpaceDE w:val="0"/>
        <w:autoSpaceDN w:val="0"/>
        <w:adjustRightInd w:val="0"/>
        <w:spacing w:before="40" w:line="360" w:lineRule="auto"/>
        <w:rPr>
          <w:rFonts w:cs="Times New Roman"/>
          <w:color w:val="000000" w:themeColor="text1"/>
          <w:szCs w:val="24"/>
        </w:rPr>
      </w:pPr>
    </w:p>
    <w:p w14:paraId="7510CBD4" w14:textId="77777777" w:rsidR="001B4ED5" w:rsidRPr="00895D0B" w:rsidRDefault="001B4ED5">
      <w:pPr>
        <w:widowControl w:val="0"/>
        <w:autoSpaceDE w:val="0"/>
        <w:autoSpaceDN w:val="0"/>
        <w:adjustRightInd w:val="0"/>
        <w:spacing w:before="40" w:line="360" w:lineRule="auto"/>
        <w:rPr>
          <w:rFonts w:cs="Times New Roman"/>
          <w:color w:val="000000" w:themeColor="text1"/>
          <w:szCs w:val="24"/>
        </w:rPr>
      </w:pPr>
    </w:p>
    <w:p w14:paraId="2068881E" w14:textId="77777777" w:rsidR="001B4ED5" w:rsidRPr="00895D0B" w:rsidRDefault="001B4ED5">
      <w:pPr>
        <w:widowControl w:val="0"/>
        <w:autoSpaceDE w:val="0"/>
        <w:autoSpaceDN w:val="0"/>
        <w:adjustRightInd w:val="0"/>
        <w:spacing w:before="40" w:line="360" w:lineRule="auto"/>
        <w:rPr>
          <w:rFonts w:cs="Times New Roman"/>
          <w:color w:val="000000" w:themeColor="text1"/>
          <w:szCs w:val="24"/>
        </w:rPr>
      </w:pPr>
    </w:p>
    <w:p w14:paraId="653AA35D" w14:textId="77777777" w:rsidR="001B4ED5" w:rsidRPr="00895D0B" w:rsidRDefault="001B4ED5">
      <w:pPr>
        <w:widowControl w:val="0"/>
        <w:autoSpaceDE w:val="0"/>
        <w:autoSpaceDN w:val="0"/>
        <w:adjustRightInd w:val="0"/>
        <w:spacing w:before="40" w:line="360" w:lineRule="auto"/>
        <w:rPr>
          <w:rFonts w:cs="Times New Roman"/>
          <w:color w:val="000000" w:themeColor="text1"/>
          <w:szCs w:val="24"/>
        </w:rPr>
      </w:pPr>
    </w:p>
    <w:p w14:paraId="159A1708" w14:textId="77777777" w:rsidR="001B4ED5" w:rsidRPr="00895D0B" w:rsidRDefault="001B4ED5">
      <w:pPr>
        <w:widowControl w:val="0"/>
        <w:autoSpaceDE w:val="0"/>
        <w:autoSpaceDN w:val="0"/>
        <w:adjustRightInd w:val="0"/>
        <w:spacing w:before="40" w:line="360" w:lineRule="auto"/>
        <w:rPr>
          <w:rFonts w:cs="Times New Roman"/>
          <w:color w:val="000000" w:themeColor="text1"/>
          <w:szCs w:val="24"/>
        </w:rPr>
      </w:pPr>
    </w:p>
    <w:p w14:paraId="53724521" w14:textId="77777777" w:rsidR="001B4ED5" w:rsidRPr="00895D0B" w:rsidRDefault="001B4ED5">
      <w:pPr>
        <w:widowControl w:val="0"/>
        <w:autoSpaceDE w:val="0"/>
        <w:autoSpaceDN w:val="0"/>
        <w:adjustRightInd w:val="0"/>
        <w:spacing w:before="40" w:line="360" w:lineRule="auto"/>
        <w:rPr>
          <w:rFonts w:cs="Times New Roman"/>
          <w:color w:val="000000" w:themeColor="text1"/>
          <w:szCs w:val="24"/>
        </w:rPr>
      </w:pPr>
    </w:p>
    <w:p w14:paraId="61D2D7CE" w14:textId="77777777" w:rsidR="001B4ED5" w:rsidRPr="00895D0B" w:rsidRDefault="001B4ED5">
      <w:pPr>
        <w:spacing w:line="360" w:lineRule="auto"/>
        <w:rPr>
          <w:rFonts w:cs="Times New Roman"/>
          <w:color w:val="000000" w:themeColor="text1"/>
          <w:szCs w:val="24"/>
        </w:rPr>
      </w:pPr>
    </w:p>
    <w:p w14:paraId="70ADEB5A" w14:textId="77777777" w:rsidR="001B4ED5" w:rsidRPr="00895D0B" w:rsidRDefault="001B4ED5">
      <w:pPr>
        <w:spacing w:line="360" w:lineRule="auto"/>
        <w:rPr>
          <w:rFonts w:cs="Times New Roman"/>
          <w:color w:val="000000" w:themeColor="text1"/>
          <w:szCs w:val="24"/>
        </w:rPr>
      </w:pPr>
    </w:p>
    <w:p w14:paraId="5B2ABCA7" w14:textId="77777777" w:rsidR="001B4ED5" w:rsidRPr="00895D0B" w:rsidRDefault="001B4ED5">
      <w:pPr>
        <w:spacing w:line="360" w:lineRule="auto"/>
        <w:rPr>
          <w:rFonts w:cs="Times New Roman"/>
          <w:color w:val="000000" w:themeColor="text1"/>
          <w:szCs w:val="24"/>
        </w:rPr>
      </w:pPr>
    </w:p>
    <w:p w14:paraId="11942E4F" w14:textId="77777777" w:rsidR="001B4ED5" w:rsidRPr="00895D0B" w:rsidRDefault="001B4ED5">
      <w:pPr>
        <w:spacing w:line="360" w:lineRule="auto"/>
        <w:rPr>
          <w:rFonts w:cs="Times New Roman"/>
          <w:color w:val="000000" w:themeColor="text1"/>
          <w:szCs w:val="24"/>
        </w:rPr>
      </w:pPr>
    </w:p>
    <w:p w14:paraId="7CC145CB" w14:textId="77777777" w:rsidR="001B4ED5" w:rsidRPr="00895D0B" w:rsidRDefault="001B4ED5">
      <w:pPr>
        <w:spacing w:line="360" w:lineRule="auto"/>
        <w:rPr>
          <w:rFonts w:cs="Times New Roman"/>
          <w:color w:val="000000" w:themeColor="text1"/>
          <w:szCs w:val="24"/>
        </w:rPr>
      </w:pPr>
    </w:p>
    <w:p w14:paraId="195F955A" w14:textId="77777777" w:rsidR="00BA4874" w:rsidRPr="00895D0B" w:rsidRDefault="00BA4874" w:rsidP="00BA4874">
      <w:pPr>
        <w:pStyle w:val="Caption"/>
        <w:spacing w:after="0" w:line="360" w:lineRule="auto"/>
      </w:pPr>
      <w:bookmarkStart w:id="45" w:name="_Toc148890732"/>
    </w:p>
    <w:p w14:paraId="07252F16" w14:textId="50E4C4E3" w:rsidR="001B4ED5" w:rsidRPr="00895D0B" w:rsidRDefault="006B41C0" w:rsidP="00F04051">
      <w:pPr>
        <w:pStyle w:val="Heading5"/>
      </w:pPr>
      <w:r w:rsidRPr="00895D0B">
        <w:t xml:space="preserve">Figure 2. </w:t>
      </w:r>
      <w:r w:rsidR="00895D0B" w:rsidRPr="00895D0B">
        <w:fldChar w:fldCharType="begin"/>
      </w:r>
      <w:r w:rsidR="00895D0B" w:rsidRPr="00895D0B">
        <w:instrText xml:space="preserve"> SEQ Figure_2. \* ARABIC </w:instrText>
      </w:r>
      <w:r w:rsidR="00895D0B" w:rsidRPr="00895D0B">
        <w:fldChar w:fldCharType="separate"/>
      </w:r>
      <w:r w:rsidR="0026489B">
        <w:rPr>
          <w:noProof/>
        </w:rPr>
        <w:t>1</w:t>
      </w:r>
      <w:r w:rsidR="00895D0B" w:rsidRPr="00895D0B">
        <w:fldChar w:fldCharType="end"/>
      </w:r>
      <w:r w:rsidRPr="00895D0B">
        <w:t xml:space="preserve">: Conceptual Framework for the Promotion of Urban Agriculture under Climate Change </w:t>
      </w:r>
      <w:bookmarkEnd w:id="45"/>
    </w:p>
    <w:p w14:paraId="388C038F" w14:textId="77777777" w:rsidR="001B4ED5" w:rsidRDefault="006B41C0" w:rsidP="00BA4874">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Authors Construct, 2022</w:t>
      </w:r>
    </w:p>
    <w:p w14:paraId="2B06B530" w14:textId="77777777" w:rsidR="003D0790" w:rsidRPr="00895D0B" w:rsidRDefault="003D0790" w:rsidP="00BA4874">
      <w:pPr>
        <w:spacing w:line="360" w:lineRule="auto"/>
        <w:rPr>
          <w:rFonts w:cs="Times New Roman"/>
          <w:color w:val="000000" w:themeColor="text1"/>
          <w:szCs w:val="24"/>
        </w:rPr>
      </w:pPr>
    </w:p>
    <w:p w14:paraId="1FB8649A" w14:textId="2AAC6957" w:rsidR="00BA4874" w:rsidRPr="00895D0B" w:rsidRDefault="00BA4874" w:rsidP="00BA4874">
      <w:pPr>
        <w:pStyle w:val="Default"/>
        <w:spacing w:line="360" w:lineRule="auto"/>
        <w:jc w:val="both"/>
        <w:rPr>
          <w:color w:val="000000" w:themeColor="text1"/>
          <w:shd w:val="clear" w:color="auto" w:fill="FFFFFF"/>
        </w:rPr>
      </w:pPr>
      <w:r w:rsidRPr="00895D0B">
        <w:rPr>
          <w:color w:val="000000" w:themeColor="text1"/>
          <w:shd w:val="clear" w:color="auto" w:fill="FFFFFF"/>
        </w:rPr>
        <w:t xml:space="preserve">Sustainable urban development refers to the practice of building and designing cities in a way that promotes long-term viability and addresses environmental, social, and economic challenges. Urban food production involves creating integrated urban spaces that reduce consumption, waste, and harmful impacts on people and the environment, while enhancing overall well-being. This approach focuses on mitigating climate </w:t>
      </w:r>
      <w:r w:rsidRPr="00895D0B">
        <w:rPr>
          <w:color w:val="000000" w:themeColor="text1"/>
          <w:shd w:val="clear" w:color="auto" w:fill="FFFFFF"/>
        </w:rPr>
        <w:lastRenderedPageBreak/>
        <w:t xml:space="preserve">change, promoting affordable and environmentally-friendly housing, and implementing responsible growth strategies </w:t>
      </w:r>
      <w:r w:rsidRPr="00895D0B">
        <w:rPr>
          <w:color w:val="000000" w:themeColor="text1"/>
          <w:shd w:val="clear" w:color="auto" w:fill="FFFFFF"/>
        </w:rPr>
        <w:fldChar w:fldCharType="begin" w:fldLock="1"/>
      </w:r>
      <w:r w:rsidRPr="00895D0B">
        <w:rPr>
          <w:color w:val="000000" w:themeColor="text1"/>
          <w:shd w:val="clear" w:color="auto" w:fill="FFFFFF"/>
        </w:rPr>
        <w:instrText>ADDIN CSL_CITATION {"citationItems":[{"id":"ITEM-1","itemData":{"DOI":"10.1016/j.cities.2019.04.006","ISSN":"02642751","abstract":"The debate on the role of urban agriculture in the sustainable city discourse remains unresolved in the conventional literature. Therefore, the purpose of this study was to review relevant literature to clarify the role of urban agriculture in sustainable cities. The search for literature was guided by themes such as: a)urban agricultural practices, b)indicators for the measurement of sustainable cities, c)economic, social and environmental benefits of urban agriculture, and d)negative effects of urban agriculture on the city. The results from a synthesis of the literature indicate that urban agriculture supports the economic, social and environmental sustainability of cities. However, if the discussion gives credence to only the economic dimension of sustainability, then urban agriculture loses the debate. This is because the economic benefits of prime city land that is used used for non-agricultural purposes (such as commercial or industrial)is profound. However, the social and environmental functions of responsible urban agriculture, particularly in reducing the rift between urbanisation and nature, may be difficult to quantify. These social and environmental functions underscore the importance of urban agriculture in the city landscape. The paper concludes by arguing that focussing on only economic sustainability in the urban agriculture-sustainable city discourse is a travesty of the idea of sustainable development. The paper presents practical steps that can be taken to preserve agriculture in cities towards their sustainability.","author":[{"dropping-particle":"","family":"Azunre","given":"G. A.","non-dropping-particle":"","parse-names":false,"suffix":""},{"dropping-particle":"","family":"Amponsah","given":"O.","non-dropping-particle":"","parse-names":false,"suffix":""},{"dropping-particle":"","family":"Peprah","given":"C.","non-dropping-particle":"","parse-names":false,"suffix":""},{"dropping-particle":"","family":"Takyi","given":"S. A.","non-dropping-particle":"","parse-names":false,"suffix":""},{"dropping-particle":"","family":"Braimah","given":"I.","non-dropping-particle":"","parse-names":false,"suffix":""}],"container-title":"Cities","id":"ITEM-1","issue":"March 2018","issued":{"date-parts":[["2019"]]},"page":"104-119","title":"A review of the role of urban agriculture in the sustainable city discourse","type":"article-journal","volume":"93"},"uris":["http://www.mendeley.com/documents/?uuid=6920e924-364b-4b71-b1c2-080e087c9a8c"]}],"mendeley":{"formattedCitation":"(Azunre, Amponsah, Peprah, Takyi, et al., 2019)","manualFormatting":"(Azunre, et al., 2019)","plainTextFormattedCitation":"(Azunre, Amponsah, Peprah, Takyi, et al., 2019)","previouslyFormattedCitation":"(Azunre, Amponsah, Peprah, Takyi, et al., 2019)"},"properties":{"noteIndex":0},"schema":"https://github.com/citation-style-language/schema/raw/master/csl-citation.json"}</w:instrText>
      </w:r>
      <w:r w:rsidRPr="00895D0B">
        <w:rPr>
          <w:color w:val="000000" w:themeColor="text1"/>
          <w:shd w:val="clear" w:color="auto" w:fill="FFFFFF"/>
        </w:rPr>
        <w:fldChar w:fldCharType="separate"/>
      </w:r>
      <w:r w:rsidRPr="00895D0B">
        <w:rPr>
          <w:noProof/>
          <w:color w:val="000000" w:themeColor="text1"/>
          <w:shd w:val="clear" w:color="auto" w:fill="FFFFFF"/>
        </w:rPr>
        <w:t>(Azunre, et al., 2019)</w:t>
      </w:r>
      <w:r w:rsidRPr="00895D0B">
        <w:rPr>
          <w:color w:val="000000" w:themeColor="text1"/>
          <w:shd w:val="clear" w:color="auto" w:fill="FFFFFF"/>
        </w:rPr>
        <w:fldChar w:fldCharType="end"/>
      </w:r>
      <w:r w:rsidRPr="00895D0B">
        <w:rPr>
          <w:color w:val="000000" w:themeColor="text1"/>
          <w:shd w:val="clear" w:color="auto" w:fill="FFFFFF"/>
        </w:rPr>
        <w:t xml:space="preserve">. Also. sustainable urban agriculture is an emerging field that involves the practice of growing fruits, vegetables, and other food crops within city limits, using methods that are environmentally friendly and socially responsible. It aims to produce food in urban environments while mitigating the negative impacts on the ecosystem and promoting the well-being of local communities. It can be seen as a way to repurpose urban spaces for food production, addressing issues such as climate change and resource scarcity </w:t>
      </w:r>
      <w:r w:rsidRPr="00895D0B">
        <w:rPr>
          <w:color w:val="000000" w:themeColor="text1"/>
          <w:shd w:val="clear" w:color="auto" w:fill="FFFFFF"/>
        </w:rPr>
        <w:fldChar w:fldCharType="begin" w:fldLock="1"/>
      </w:r>
      <w:r w:rsidRPr="00895D0B">
        <w:rPr>
          <w:color w:val="000000" w:themeColor="text1"/>
          <w:shd w:val="clear" w:color="auto" w:fill="FFFFFF"/>
        </w:rPr>
        <w:instrText>ADDIN CSL_CITATION {"citationItems":[{"id":"ITEM-1","itemData":{"DOI":"10.5751/ES-10650-240218","ISSN":"17083087","abstract":"Urban agriculture is a significant driver of urban sustainability and resilience, yet the contribution of urban agriculture to resilience is complicated by governance systems that require further investigation. This study deploys a mixed-methods approach to investigate the agricultural values and understandings of urban agricultural governance among farmers, garden leaders, and other actors in urban agriculture in Lansing, Michigan. Drawing from semistructured interviews and Q-methodology, agricultural values are used to identify four types of urban agriculture stakeholders: Urban agricultural stewards, risk managers, food desert irrigators, and urban agricultural contextualists. These groups differ in terms of their agricultural values as well as their participation in local governance and general understandings of the purpose of governance. Urban agricultural stewards place comparatively higher priority on community building, environmental sustainability, and food sovereignty; they participate in the city’s formal governance systems and view governance as an opportunity to codify shared norms. Risk managers place comparatively higher priority on safety, and they largely view governance in the traditional mold of state-legislated regulations to which stakeholders should comply. Food desert irrigators place comparatively higher priority on environmental sustainability, health, food access, and convenience; they expect governance to support stakeholders with the greatest needs, and though not active in formal governance, work to craft empathetic policies in their particular organizations. Urban agricultural contextualists place comparatively higher priority on community building and health, and hold that the prioritization of additional values should be determined through local and inclusive governance. The coupling of agricultural values with understandings of governance can support effective and legitimate policy making attentive to the process through which, and scale at which, stakeholders expect their values to inform decision making.","author":[{"dropping-particle":"","family":"Piso","given":"Z.","non-dropping-particle":"","parse-names":false,"suffix":""},{"dropping-particle":"","family":"Goralnik","given":"L.","non-dropping-particle":"","parse-names":false,"suffix":""},{"dropping-particle":"","family":"Libarkin","given":"J. C.","non-dropping-particle":"","parse-names":false,"suffix":""},{"dropping-particle":"","family":"Lopez","given":"M. C.","non-dropping-particle":"","parse-names":false,"suffix":""}],"container-title":"Ecology and Society","id":"ITEM-1","issue":"2","issued":{"date-parts":[["2019"]]},"title":"Types of Urban agricultural stakeholders and their understandings of governance","type":"article-journal","volume":"24"},"uris":["http://www.mendeley.com/documents/?uuid=dd112db9-c234-488e-8923-dd8d0c4b0055"]}],"mendeley":{"formattedCitation":"(Piso et al., 2019)","plainTextFormattedCitation":"(Piso et al., 2019)","previouslyFormattedCitation":"(Piso et al., 2019)"},"properties":{"noteIndex":0},"schema":"https://github.com/citation-style-language/schema/raw/master/csl-citation.json"}</w:instrText>
      </w:r>
      <w:r w:rsidRPr="00895D0B">
        <w:rPr>
          <w:color w:val="000000" w:themeColor="text1"/>
          <w:shd w:val="clear" w:color="auto" w:fill="FFFFFF"/>
        </w:rPr>
        <w:fldChar w:fldCharType="separate"/>
      </w:r>
      <w:r w:rsidRPr="00895D0B">
        <w:rPr>
          <w:noProof/>
          <w:color w:val="000000" w:themeColor="text1"/>
          <w:shd w:val="clear" w:color="auto" w:fill="FFFFFF"/>
        </w:rPr>
        <w:t>(Piso et al., 2019)</w:t>
      </w:r>
      <w:r w:rsidRPr="00895D0B">
        <w:rPr>
          <w:color w:val="000000" w:themeColor="text1"/>
          <w:shd w:val="clear" w:color="auto" w:fill="FFFFFF"/>
        </w:rPr>
        <w:fldChar w:fldCharType="end"/>
      </w:r>
      <w:r w:rsidRPr="00895D0B">
        <w:rPr>
          <w:color w:val="000000" w:themeColor="text1"/>
          <w:shd w:val="clear" w:color="auto" w:fill="FFFFFF"/>
        </w:rPr>
        <w:t xml:space="preserve">. This form of agriculture can include various techniques, from traditional to innovative, to cultivate, process, and distribute agricultural products in urban and suburban areas. Again, sustainable urban livelihoods refer to the ability of individuals and communities living in urban areas to secure a sustainable and adequate standard of living. It involves ensuring access to basic necessities such as food, shelter, healthcare, education, and livelihood opportunities, while also considering the long-term environmental and social sustainability of urban areas </w:t>
      </w:r>
      <w:r w:rsidRPr="00895D0B">
        <w:rPr>
          <w:color w:val="000000" w:themeColor="text1"/>
          <w:shd w:val="clear" w:color="auto" w:fill="FFFFFF"/>
        </w:rPr>
        <w:fldChar w:fldCharType="begin" w:fldLock="1"/>
      </w:r>
      <w:r w:rsidRPr="00895D0B">
        <w:rPr>
          <w:color w:val="000000" w:themeColor="text1"/>
          <w:shd w:val="clear" w:color="auto" w:fill="FFFFFF"/>
        </w:rPr>
        <w:instrText>ADDIN CSL_CITATION {"citationItems":[{"id":"ITEM-1","itemData":{"author":[{"dropping-particle":"","family":"Bank","given":"World","non-dropping-particle":"","parse-names":false,"suffix":""}],"id":"ITEM-1","issued":{"date-parts":[["2020"]]},"page":"2020","title":"Ghana - Agriculture, forestry, and fishing, value added (% of GDP). World Development Indicators database.","type":"article-journal"},"uris":["http://www.mendeley.com/documents/?uuid=426e1cfc-910b-45b3-a253-d26fc67ebb02"]}],"mendeley":{"formattedCitation":"(Bank, 2020)","plainTextFormattedCitation":"(Bank, 2020)","previouslyFormattedCitation":"(Bank, 2020)"},"properties":{"noteIndex":0},"schema":"https://github.com/citation-style-language/schema/raw/master/csl-citation.json"}</w:instrText>
      </w:r>
      <w:r w:rsidRPr="00895D0B">
        <w:rPr>
          <w:color w:val="000000" w:themeColor="text1"/>
          <w:shd w:val="clear" w:color="auto" w:fill="FFFFFF"/>
        </w:rPr>
        <w:fldChar w:fldCharType="separate"/>
      </w:r>
      <w:r w:rsidRPr="00895D0B">
        <w:rPr>
          <w:noProof/>
          <w:color w:val="000000" w:themeColor="text1"/>
          <w:shd w:val="clear" w:color="auto" w:fill="FFFFFF"/>
        </w:rPr>
        <w:t>(Bank, 2020)</w:t>
      </w:r>
      <w:r w:rsidRPr="00895D0B">
        <w:rPr>
          <w:color w:val="000000" w:themeColor="text1"/>
          <w:shd w:val="clear" w:color="auto" w:fill="FFFFFF"/>
        </w:rPr>
        <w:fldChar w:fldCharType="end"/>
      </w:r>
      <w:r w:rsidRPr="00895D0B">
        <w:rPr>
          <w:color w:val="000000" w:themeColor="text1"/>
          <w:shd w:val="clear" w:color="auto" w:fill="FFFFFF"/>
        </w:rPr>
        <w:t xml:space="preserve">. Sustainable urban livelihoods focus on promoting economic, social, and environmental resilience in urban settings, taking into account factors such as natural resources, financial assets, occupations, vulnerability, disaster preparedness, and social capital </w:t>
      </w:r>
      <w:r w:rsidRPr="00895D0B">
        <w:rPr>
          <w:color w:val="000000" w:themeColor="text1"/>
          <w:shd w:val="clear" w:color="auto" w:fill="FFFFFF"/>
        </w:rPr>
        <w:fldChar w:fldCharType="begin" w:fldLock="1"/>
      </w:r>
      <w:r w:rsidRPr="00895D0B">
        <w:rPr>
          <w:color w:val="000000" w:themeColor="text1"/>
          <w:shd w:val="clear" w:color="auto" w:fill="FFFFFF"/>
        </w:rPr>
        <w:instrText>ADDIN CSL_CITATION {"citationItems":[{"id":"ITEM-1","itemData":{"DOI":"10.1007/978-3-319-95675-6_56","ISBN":"9783319696263","abstract":"… social levels. This includes the notion of self-efficacy, ie, perceptions of competence, personal control, and positive self-image (Zimmerman 2000). Youth empowerment … Security Page 9. Finacial support to young agriculture enterpreneurs in Turkey In …","author":[{"dropping-particle":"","family":"Özçatalbaş","given":"O.","non-dropping-particle":"","parse-names":false,"suffix":""},{"dropping-particle":"","family":"Imran","given":"M.","non-dropping-particle":"","parse-names":false,"suffix":""}],"id":"ITEM-1","issued":{"date-parts":[["2020"]]},"page":"487-498","title":"Linking Youth Empowerment with Agricultural Production and Food Security","type":"article-journal"},"uris":["http://www.mendeley.com/documents/?uuid=7829a2f4-41d8-4b2b-aed0-7258faf60906"]}],"mendeley":{"formattedCitation":"(Özçatalbaş &amp; Imran, 2020)","plainTextFormattedCitation":"(Özçatalbaş &amp; Imran, 2020)","previouslyFormattedCitation":"(Özçatalbaş &amp; Imran, 2020)"},"properties":{"noteIndex":0},"schema":"https://github.com/citation-style-language/schema/raw/master/csl-citation.json"}</w:instrText>
      </w:r>
      <w:r w:rsidRPr="00895D0B">
        <w:rPr>
          <w:color w:val="000000" w:themeColor="text1"/>
          <w:shd w:val="clear" w:color="auto" w:fill="FFFFFF"/>
        </w:rPr>
        <w:fldChar w:fldCharType="separate"/>
      </w:r>
      <w:r w:rsidRPr="00895D0B">
        <w:rPr>
          <w:noProof/>
          <w:color w:val="000000" w:themeColor="text1"/>
          <w:shd w:val="clear" w:color="auto" w:fill="FFFFFF"/>
        </w:rPr>
        <w:t>(Özçatalbaş &amp; Imran, 2020)</w:t>
      </w:r>
      <w:r w:rsidRPr="00895D0B">
        <w:rPr>
          <w:color w:val="000000" w:themeColor="text1"/>
          <w:shd w:val="clear" w:color="auto" w:fill="FFFFFF"/>
        </w:rPr>
        <w:fldChar w:fldCharType="end"/>
      </w:r>
      <w:r w:rsidRPr="00895D0B">
        <w:rPr>
          <w:color w:val="000000" w:themeColor="text1"/>
          <w:shd w:val="clear" w:color="auto" w:fill="FFFFFF"/>
        </w:rPr>
        <w:t>.</w:t>
      </w:r>
    </w:p>
    <w:p w14:paraId="6E715100" w14:textId="77777777" w:rsidR="001B4ED5" w:rsidRPr="00895D0B" w:rsidRDefault="001B4ED5" w:rsidP="005573B9">
      <w:pPr>
        <w:pStyle w:val="NoSpacing"/>
      </w:pPr>
    </w:p>
    <w:p w14:paraId="0C3D54DB" w14:textId="2518ED66" w:rsidR="001B4ED5" w:rsidRPr="00895D0B" w:rsidRDefault="006B41C0">
      <w:pPr>
        <w:pStyle w:val="Default"/>
        <w:spacing w:line="360" w:lineRule="auto"/>
        <w:jc w:val="both"/>
        <w:rPr>
          <w:color w:val="000000" w:themeColor="text1"/>
          <w:shd w:val="clear" w:color="auto" w:fill="FFFFFF"/>
        </w:rPr>
      </w:pPr>
      <w:r w:rsidRPr="00895D0B">
        <w:rPr>
          <w:color w:val="000000" w:themeColor="text1"/>
          <w:shd w:val="clear" w:color="auto" w:fill="FFFFFF"/>
        </w:rPr>
        <w:t>It recognizes that poverty in urban areas is often characterized by insecurity and aims to address these insecurities through sustainable and inclusive development strategies</w:t>
      </w:r>
      <w:r w:rsidR="00240296" w:rsidRPr="00895D0B">
        <w:rPr>
          <w:color w:val="000000" w:themeColor="text1"/>
          <w:shd w:val="clear" w:color="auto" w:fill="FFFFFF"/>
        </w:rPr>
        <w:t xml:space="preserve"> </w:t>
      </w:r>
      <w:r w:rsidRPr="00895D0B">
        <w:rPr>
          <w:color w:val="000000" w:themeColor="text1"/>
          <w:shd w:val="clear" w:color="auto" w:fill="FFFFFF"/>
        </w:rPr>
        <w:t>. Furthermore, the goal of urban agriculture is to address various challenges related to food, nutrition, and sustainability in urban areas</w:t>
      </w:r>
      <w:r w:rsidR="00240296" w:rsidRPr="00895D0B">
        <w:rPr>
          <w:color w:val="000000" w:themeColor="text1"/>
          <w:shd w:val="clear" w:color="auto" w:fill="FFFFFF"/>
        </w:rPr>
        <w:t xml:space="preserve"> </w:t>
      </w:r>
      <w:r w:rsidR="00240296" w:rsidRPr="00895D0B">
        <w:rPr>
          <w:color w:val="000000" w:themeColor="text1"/>
          <w:shd w:val="clear" w:color="auto" w:fill="FFFFFF"/>
        </w:rPr>
        <w:fldChar w:fldCharType="begin" w:fldLock="1"/>
      </w:r>
      <w:r w:rsidR="0071020C" w:rsidRPr="00895D0B">
        <w:rPr>
          <w:color w:val="000000" w:themeColor="text1"/>
          <w:shd w:val="clear" w:color="auto" w:fill="FFFFFF"/>
        </w:rPr>
        <w:instrText>ADDIN CSL_CITATION {"citationItems":[{"id":"ITEM-1","itemData":{"DOI":"10.1007/978-3-319-95675-6_56","ISBN":"9783319696263","abstract":"… social levels. This includes the notion of self-efficacy, ie, perceptions of competence, personal control, and positive self-image (Zimmerman 2000). Youth empowerment … Security Page 9. Finacial support to young agriculture enterpreneurs in Turkey In …","author":[{"dropping-particle":"","family":"Özçatalbaş","given":"O.","non-dropping-particle":"","parse-names":false,"suffix":""},{"dropping-particle":"","family":"Imran","given":"M.","non-dropping-particle":"","parse-names":false,"suffix":""}],"id":"ITEM-1","issued":{"date-parts":[["2020"]]},"page":"487-498","title":"Linking Youth Empowerment with Agricultural Production and Food Security","type":"article-journal"},"uris":["http://www.mendeley.com/documents/?uuid=7829a2f4-41d8-4b2b-aed0-7258faf60906"]}],"mendeley":{"formattedCitation":"(Özçatalbaş &amp; Imran, 2020)","plainTextFormattedCitation":"(Özçatalbaş &amp; Imran, 2020)","previouslyFormattedCitation":"(Özçatalbaş &amp; Imran, 2020)"},"properties":{"noteIndex":0},"schema":"https://github.com/citation-style-language/schema/raw/master/csl-citation.json"}</w:instrText>
      </w:r>
      <w:r w:rsidR="00240296" w:rsidRPr="00895D0B">
        <w:rPr>
          <w:color w:val="000000" w:themeColor="text1"/>
          <w:shd w:val="clear" w:color="auto" w:fill="FFFFFF"/>
        </w:rPr>
        <w:fldChar w:fldCharType="separate"/>
      </w:r>
      <w:r w:rsidR="00240296" w:rsidRPr="00895D0B">
        <w:rPr>
          <w:noProof/>
          <w:color w:val="000000" w:themeColor="text1"/>
          <w:shd w:val="clear" w:color="auto" w:fill="FFFFFF"/>
        </w:rPr>
        <w:t>(Özçatalbaş &amp; Imran, 2020)</w:t>
      </w:r>
      <w:r w:rsidR="00240296" w:rsidRPr="00895D0B">
        <w:rPr>
          <w:color w:val="000000" w:themeColor="text1"/>
          <w:shd w:val="clear" w:color="auto" w:fill="FFFFFF"/>
        </w:rPr>
        <w:fldChar w:fldCharType="end"/>
      </w:r>
      <w:r w:rsidRPr="00895D0B">
        <w:rPr>
          <w:color w:val="000000" w:themeColor="text1"/>
          <w:shd w:val="clear" w:color="auto" w:fill="FFFFFF"/>
        </w:rPr>
        <w:t xml:space="preserve">. It aims to increase food quantities, reduce hunger, promote self-sufficiency, and improve local access to fresh and healthy produce. Urban agriculture also contributes to community and economic development, promotes environmental sustainability, and enhances the overall well-being of urban residents. </w:t>
      </w:r>
      <w:r w:rsidR="00240296" w:rsidRPr="00895D0B">
        <w:rPr>
          <w:color w:val="000000" w:themeColor="text1"/>
          <w:shd w:val="clear" w:color="auto" w:fill="FFFFFF"/>
        </w:rPr>
        <w:t>In</w:t>
      </w:r>
      <w:r w:rsidRPr="00895D0B">
        <w:rPr>
          <w:color w:val="000000" w:themeColor="text1"/>
          <w:shd w:val="clear" w:color="auto" w:fill="FFFFFF"/>
        </w:rPr>
        <w:t>cultivating, processing, and distributing food within urban areas, it helps to create a more resilient and sustainable food system</w:t>
      </w:r>
      <w:r w:rsidR="00240296" w:rsidRPr="00895D0B">
        <w:rPr>
          <w:color w:val="000000" w:themeColor="text1"/>
          <w:shd w:val="clear" w:color="auto" w:fill="FFFFFF"/>
        </w:rPr>
        <w:t xml:space="preserve"> </w:t>
      </w:r>
      <w:r w:rsidR="00240296" w:rsidRPr="00895D0B">
        <w:rPr>
          <w:color w:val="000000" w:themeColor="text1"/>
          <w:shd w:val="clear" w:color="auto" w:fill="FFFFFF"/>
        </w:rPr>
        <w:fldChar w:fldCharType="begin" w:fldLock="1"/>
      </w:r>
      <w:r w:rsidR="00240296" w:rsidRPr="00895D0B">
        <w:rPr>
          <w:color w:val="000000" w:themeColor="text1"/>
          <w:shd w:val="clear" w:color="auto" w:fill="FFFFFF"/>
        </w:rPr>
        <w:instrText>ADDIN CSL_CITATION {"citationItems":[{"id":"ITEM-1","itemData":{"DOI":"10.1016/j.landurbplan.2021.104055","ISSN":"01692046","abstract":"The Covid-19 pandemic newly brings food resilience in cities to our attention and the need to question the desired degree of food self-sufficiency through urban agriculture. While these questions are by no means new and periodically entering the global research focus and policy discussions during periods of crises — the last time during the global financial crisis and resulting food price increases in 2008 — urban and peri-urban agriculture continue to be replaced by land-uses rendering higher market values (e.g. housing, transport, leisure). The loss of priority for urban agriculture in urban land-use planning is a global trend with only a few exceptions. We argue in this essay that this development has widely taken place due to three blind spots in urban planning. First, the limited consideration of social and ecological vulnerabilities and risk-related inequalities of urban inhabitants, food shortage among them, in the face of different scenarios of global change, including climate change or pandemic events such as Covid-19. Second, the disregard of the intensified negative environmental (and related social) externalities caused by distant agricultural production, as well as lacking consideration of nutrient re-cycling potentials in cities (e.g. from wastewater) to replace emission intensive mineral fertilizer use. Third, the lack of accounting for the multifunctionality of urban agriculture and the multiple benefits it provides beyond the provision of food, including social benefits and insurance values, for instance the maintenance of cultural heritage and agro-biodiversity. Along these lines, we argue that existing and new knowledge about urban risks and vulnerabilities, the spatially explicit urban metabolism (e.g. energy, water, nutrients), as well as ecosystem services need to be stronger and jointly considered in land-use decision-making.","author":[{"dropping-particle":"","family":"Langemeyer","given":"J.","non-dropping-particle":"","parse-names":false,"suffix":""},{"dropping-particle":"","family":"Madrid-Lopez","given":"C.","non-dropping-particle":"","parse-names":false,"suffix":""},{"dropping-particle":"","family":"Mendoza Beltran","given":"A.","non-dropping-particle":"","parse-names":false,"suffix":""},{"dropping-particle":"","family":"Villalba Mendez","given":"G.","non-dropping-particle":"","parse-names":false,"suffix":""}],"container-title":"Landscape and Urban Planning","id":"ITEM-1","issued":{"date-parts":[["2021"]]},"page":"104055","publisher":"Elsevier B.V.","title":"Urban agriculture — A necessary pathway towards urban resilience and global sustainability?","type":"article-journal","volume":"210"},"uris":["http://www.mendeley.com/documents/?uuid=b69d3b6d-82e0-487c-975c-36dc63a5e615"]}],"mendeley":{"formattedCitation":"(Langemeyer, Madrid-Lopez, et al., 2021)","manualFormatting":"(Langemeyer, et al., 2021)","plainTextFormattedCitation":"(Langemeyer, Madrid-Lopez, et al., 2021)","previouslyFormattedCitation":"(Langemeyer, Madrid-Lopez, et al., 2021)"},"properties":{"noteIndex":0},"schema":"https://github.com/citation-style-language/schema/raw/master/csl-citation.json"}</w:instrText>
      </w:r>
      <w:r w:rsidR="00240296" w:rsidRPr="00895D0B">
        <w:rPr>
          <w:color w:val="000000" w:themeColor="text1"/>
          <w:shd w:val="clear" w:color="auto" w:fill="FFFFFF"/>
        </w:rPr>
        <w:fldChar w:fldCharType="separate"/>
      </w:r>
      <w:r w:rsidR="00240296" w:rsidRPr="00895D0B">
        <w:rPr>
          <w:noProof/>
          <w:color w:val="000000" w:themeColor="text1"/>
          <w:shd w:val="clear" w:color="auto" w:fill="FFFFFF"/>
        </w:rPr>
        <w:t>(Langemeyer, et al., 2021)</w:t>
      </w:r>
      <w:r w:rsidR="00240296" w:rsidRPr="00895D0B">
        <w:rPr>
          <w:color w:val="000000" w:themeColor="text1"/>
          <w:shd w:val="clear" w:color="auto" w:fill="FFFFFF"/>
        </w:rPr>
        <w:fldChar w:fldCharType="end"/>
      </w:r>
      <w:r w:rsidRPr="00895D0B">
        <w:rPr>
          <w:color w:val="000000" w:themeColor="text1"/>
          <w:shd w:val="clear" w:color="auto" w:fill="FFFFFF"/>
        </w:rPr>
        <w:t>. However, urban agricultural activities are affected by land use change and climate change and variability as discussed below.</w:t>
      </w:r>
    </w:p>
    <w:p w14:paraId="4A1BFFFA" w14:textId="77777777" w:rsidR="001B4ED5" w:rsidRPr="00895D0B" w:rsidRDefault="006B41C0" w:rsidP="009864E3">
      <w:pPr>
        <w:pStyle w:val="Heading3"/>
      </w:pPr>
      <w:bookmarkStart w:id="46" w:name="_Toc167379880"/>
      <w:r w:rsidRPr="00895D0B">
        <w:lastRenderedPageBreak/>
        <w:t>2.10.2 The effects of urban agriculture by urban land use change and climate change and variability</w:t>
      </w:r>
      <w:bookmarkEnd w:id="46"/>
      <w:r w:rsidRPr="00895D0B">
        <w:t xml:space="preserve"> </w:t>
      </w:r>
    </w:p>
    <w:p w14:paraId="2F37FF80" w14:textId="77777777" w:rsidR="001B4ED5" w:rsidRPr="00895D0B" w:rsidRDefault="006B41C0">
      <w:pPr>
        <w:pStyle w:val="NormalWeb"/>
        <w:shd w:val="clear" w:color="auto" w:fill="FFFFFF"/>
        <w:spacing w:before="90" w:beforeAutospacing="0" w:after="90" w:afterAutospacing="0" w:line="360" w:lineRule="auto"/>
        <w:jc w:val="both"/>
        <w:rPr>
          <w:color w:val="000000" w:themeColor="text1"/>
        </w:rPr>
      </w:pPr>
      <w:r w:rsidRPr="00895D0B">
        <w:rPr>
          <w:color w:val="000000" w:themeColor="text1"/>
        </w:rPr>
        <w:t>Urban land use change can have significant effects on urban agriculture. As cities expand and develop, agricultural land is often converted into urban infrastructure and residential areas. This transformation can lead to various impacts on urban agriculture:</w:t>
      </w:r>
    </w:p>
    <w:p w14:paraId="125197A3" w14:textId="77777777" w:rsidR="001B4ED5" w:rsidRPr="00895D0B" w:rsidRDefault="006B41C0">
      <w:pPr>
        <w:pStyle w:val="NormalWeb"/>
        <w:numPr>
          <w:ilvl w:val="0"/>
          <w:numId w:val="9"/>
        </w:numPr>
        <w:shd w:val="clear" w:color="auto" w:fill="FFFFFF"/>
        <w:spacing w:before="90" w:beforeAutospacing="0" w:after="90" w:afterAutospacing="0" w:line="360" w:lineRule="auto"/>
        <w:jc w:val="both"/>
        <w:rPr>
          <w:color w:val="000000" w:themeColor="text1"/>
        </w:rPr>
      </w:pPr>
      <w:r w:rsidRPr="00895D0B">
        <w:rPr>
          <w:color w:val="000000" w:themeColor="text1"/>
        </w:rPr>
        <w:t xml:space="preserve">Loss of agricultural land: Urbanization usually involves the conversion of agricultural land into built-up areas, resulting in a reduction in available land for farming. This loss of agricultural land can limit the space for urban farmers to cultivate crops or raise livestock </w:t>
      </w:r>
      <w:r w:rsidRPr="00895D0B">
        <w:rPr>
          <w:color w:val="000000" w:themeColor="text1"/>
        </w:rPr>
        <w:fldChar w:fldCharType="begin" w:fldLock="1"/>
      </w:r>
      <w:r w:rsidRPr="00895D0B">
        <w:rPr>
          <w:color w:val="000000" w:themeColor="text1"/>
        </w:rPr>
        <w:instrText>ADDIN CSL_CITATION {"citationItems":[{"id":"ITEM-1","itemData":{"DOI":"10.3390/su151612143","ISSN":"20711050","abstract":"As a response to food security, urban agriculture is essential for sustainable development. The primary goal of this study is to provide the basic formulation and theoretical knowledge for sustainable urban agriculture by analyzing the impact of urbanization on urban agriculture and food security. For the food security assessment, the variables included food consumption and quality of food as the independent variables, and monthly income of local dwellers as the dependent variable; these were considered for the regression analysis and statistical analysis. The food security assessment was checked and expressed using regression values of R, which was 0.857, and an adjusted R square, with a value of 0.728. The results show extensive change in food security issues and land use due to urbanization causes, large-scale damage to agricultural land in the area, and loss of biodiversity, which threaten food security by converting natural land into built-up areas. The study concludes that urban agriculture is a fundamental environmental activity to ensure food security by increasing food production for locals and improving urban biodiversity.","author":[{"dropping-particle":"","family":"Anwar","given":"M. M.","non-dropping-particle":"","parse-names":false,"suffix":""},{"dropping-particle":"","family":"Breuste","given":"J. H.","non-dropping-particle":"","parse-names":false,"suffix":""},{"dropping-particle":"","family":"Ahmad","given":"A.","non-dropping-particle":"","parse-names":false,"suffix":""},{"dropping-particle":"","family":"Aziz","given":"A.","non-dropping-particle":"","parse-names":false,"suffix":""},{"dropping-particle":"","family":"Aldosari","given":"A. A.","non-dropping-particle":"","parse-names":false,"suffix":""}],"container-title":"Sustainability (Switzerland)","id":"ITEM-1","issue":"16","issued":{"date-parts":[["2023"]]},"title":"Quantifying the Impacts of Urbanization on Urban Agriculture and Food Security in the Megacity Lahore, Pakistan","type":"article-journal","volume":"15"},"uris":["http://www.mendeley.com/documents/?uuid=56dffa1c-4972-43a3-b8d8-3670ab3132b9"]}],"mendeley":{"formattedCitation":"(Anwar et al., 2023)","plainTextFormattedCitation":"(Anwar et al., 2023)","previouslyFormattedCitation":"(Anwar et al., 2023)"},"properties":{"noteIndex":0},"schema":"https://github.com/citation-style-language/schema/raw/master/csl-citation.json"}</w:instrText>
      </w:r>
      <w:r w:rsidRPr="00895D0B">
        <w:rPr>
          <w:color w:val="000000" w:themeColor="text1"/>
        </w:rPr>
        <w:fldChar w:fldCharType="separate"/>
      </w:r>
      <w:r w:rsidRPr="00895D0B">
        <w:rPr>
          <w:noProof/>
          <w:color w:val="000000" w:themeColor="text1"/>
        </w:rPr>
        <w:t>(Anwar et al., 2023)</w:t>
      </w:r>
      <w:r w:rsidRPr="00895D0B">
        <w:rPr>
          <w:color w:val="000000" w:themeColor="text1"/>
        </w:rPr>
        <w:fldChar w:fldCharType="end"/>
      </w:r>
      <w:r w:rsidRPr="00895D0B">
        <w:rPr>
          <w:color w:val="000000" w:themeColor="text1"/>
        </w:rPr>
        <w:t>.</w:t>
      </w:r>
    </w:p>
    <w:p w14:paraId="5F32FC4A" w14:textId="77777777" w:rsidR="001B4ED5" w:rsidRPr="00895D0B" w:rsidRDefault="006B41C0">
      <w:pPr>
        <w:pStyle w:val="NormalWeb"/>
        <w:numPr>
          <w:ilvl w:val="0"/>
          <w:numId w:val="9"/>
        </w:numPr>
        <w:shd w:val="clear" w:color="auto" w:fill="FFFFFF"/>
        <w:spacing w:before="90" w:beforeAutospacing="0" w:after="90" w:afterAutospacing="0" w:line="360" w:lineRule="auto"/>
        <w:jc w:val="both"/>
        <w:rPr>
          <w:color w:val="000000" w:themeColor="text1"/>
        </w:rPr>
      </w:pPr>
      <w:r w:rsidRPr="00895D0B">
        <w:rPr>
          <w:color w:val="000000" w:themeColor="text1"/>
        </w:rPr>
        <w:t xml:space="preserve">Decreased agricultural productivity: The fragmentation and shrinking of agricultural land due to urbanization can lead to decreased agricultural productivity. Urban agriculture may face challenges such as limited access to water, soil degradation, and increased competition for resources </w:t>
      </w:r>
      <w:r w:rsidRPr="00895D0B">
        <w:rPr>
          <w:color w:val="000000" w:themeColor="text1"/>
        </w:rPr>
        <w:fldChar w:fldCharType="begin" w:fldLock="1"/>
      </w:r>
      <w:r w:rsidRPr="00895D0B">
        <w:rPr>
          <w:color w:val="000000" w:themeColor="text1"/>
        </w:rPr>
        <w:instrText>ADDIN CSL_CITATION {"citationItems":[{"id":"ITEM-1","itemData":{"DOI":"10.1007/s10708-019-10127-w","ISBN":"0123456789","ISSN":"15729893","abstract":"A strong need exists to increase the knowledge and recognize the values of neighborhood services. This paper makes an attempt to examine the impact of neighborhood services on land values, through analysis based on results obtained from multi linear regression analysis. This case study was done in area of dense urban settlement to check the consequence of neighborhood services through the hedonic pricing model base variables which include the structural, locational, community and neighborhood services. The regression coefficient was checked at (p &lt; 0.05) level of significance for each variable. The primary data was collect through the questionnaire filling by random sampling and Punjab Urban Gazette was used for the verification of land values in study area. The results found a valuable potential on land and property values of neighborhood services through the regression analysis results express through R (0.926), R2 (0.856) and coefficient tables to represent the effect of each individual variable on property and land values. Every individual variable play role in defining the values of land and property based upon its utilization such as larger the structure of a property, more the covered area, larger size of a property more the land area higher price. Similarly, for locational factor study in geography, a piece of land adjacent to the road have high land values 50–70% compare to those located at distance. Very less attention has been paid on such issues in the world due to lack of effective urban planning and research on such crucial issues. If empirical studies on such issue has been done, effective way can be obtained for urban planning.","author":[{"dropping-particle":"","family":"Aziz","given":"A.","non-dropping-particle":"","parse-names":false,"suffix":""},{"dropping-particle":"","family":"Anwar","given":"M.","non-dropping-particle":"","parse-names":false,"suffix":""},{"dropping-particle":"","family":"Dawood","given":"M.","non-dropping-particle":"","parse-names":false,"suffix":""}],"container-title":"GeoJournal","id":"ITEM-1","issue":"4","issued":{"date-parts":[["2021"]]},"page":"1915-1925","publisher":"Springer Netherlands","title":"The impact of neighborhood services on land values: an estimation through the hedonic pricing model","type":"article-journal","volume":"86"},"uris":["http://www.mendeley.com/documents/?uuid=7e245b15-f506-489b-8bcc-642e5eda0e66"]}],"mendeley":{"formattedCitation":"(Aziz et al., 2021)","plainTextFormattedCitation":"(Aziz et al., 2021)","previouslyFormattedCitation":"(Aziz et al.,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(Aziz et al., 2021)</w:t>
      </w:r>
      <w:r w:rsidRPr="00895D0B">
        <w:rPr>
          <w:color w:val="000000" w:themeColor="text1"/>
        </w:rPr>
        <w:fldChar w:fldCharType="end"/>
      </w:r>
      <w:r w:rsidRPr="00895D0B">
        <w:rPr>
          <w:color w:val="000000" w:themeColor="text1"/>
        </w:rPr>
        <w:t>.</w:t>
      </w:r>
    </w:p>
    <w:p w14:paraId="420585F0" w14:textId="77777777" w:rsidR="001B4ED5" w:rsidRPr="00895D0B" w:rsidRDefault="006B41C0">
      <w:pPr>
        <w:pStyle w:val="NormalWeb"/>
        <w:numPr>
          <w:ilvl w:val="0"/>
          <w:numId w:val="9"/>
        </w:numPr>
        <w:shd w:val="clear" w:color="auto" w:fill="FFFFFF"/>
        <w:spacing w:before="90" w:beforeAutospacing="0" w:after="90" w:afterAutospacing="0" w:line="360" w:lineRule="auto"/>
        <w:jc w:val="both"/>
        <w:rPr>
          <w:color w:val="000000" w:themeColor="text1"/>
        </w:rPr>
      </w:pPr>
      <w:r w:rsidRPr="00895D0B">
        <w:rPr>
          <w:color w:val="000000" w:themeColor="text1"/>
        </w:rPr>
        <w:t>Increased land prices: As urbanization progresses, the demand for land in urban areas often increases, leading to higher land prices. This can make it financially challenging for urban farmers to acquire or lease land for agricultural purposes </w:t>
      </w:r>
      <w:r w:rsidRPr="00895D0B">
        <w:rPr>
          <w:color w:val="000000" w:themeColor="text1"/>
        </w:rPr>
        <w:fldChar w:fldCharType="begin" w:fldLock="1"/>
      </w:r>
      <w:r w:rsidRPr="00895D0B">
        <w:rPr>
          <w:color w:val="000000" w:themeColor="text1"/>
        </w:rPr>
        <w:instrText>ADDIN CSL_CITATION {"citationItems":[{"id":"ITEM-1","itemData":{"DOI":"10.3390/su151612143","ISSN":"20711050","abstract":"As a response to food security, urban agriculture is essential for sustainable development. The primary goal of this study is to provide the basic formulation and theoretical knowledge for sustainable urban agriculture by analyzing the impact of urbanization on urban agriculture and food security. For the food security assessment, the variables included food consumption and quality of food as the independent variables, and monthly income of local dwellers as the dependent variable; these were considered for the regression analysis and statistical analysis. The food security assessment was checked and expressed using regression values of R, which was 0.857, and an adjusted R square, with a value of 0.728. The results show extensive change in food security issues and land use due to urbanization causes, large-scale damage to agricultural land in the area, and loss of biodiversity, which threaten food security by converting natural land into built-up areas. The study concludes that urban agriculture is a fundamental environmental activity to ensure food security by increasing food production for locals and improving urban biodiversity.","author":[{"dropping-particle":"","family":"Anwar","given":"M. M.","non-dropping-particle":"","parse-names":false,"suffix":""},{"dropping-particle":"","family":"Breuste","given":"J. H.","non-dropping-particle":"","parse-names":false,"suffix":""},{"dropping-particle":"","family":"Ahmad","given":"A.","non-dropping-particle":"","parse-names":false,"suffix":""},{"dropping-particle":"","family":"Aziz","given":"A.","non-dropping-particle":"","parse-names":false,"suffix":""},{"dropping-particle":"","family":"Aldosari","given":"A. A.","non-dropping-particle":"","parse-names":false,"suffix":""}],"container-title":"Sustainability (Switzerland)","id":"ITEM-1","issue":"16","issued":{"date-parts":[["2023"]]},"title":"Quantifying the Impacts of Urbanization on Urban Agriculture and Food Security in the Megacity Lahore, Pakistan","type":"article-journal","volume":"15"},"uris":["http://www.mendeley.com/documents/?uuid=56dffa1c-4972-43a3-b8d8-3670ab3132b9"]}],"mendeley":{"formattedCitation":"(Anwar et al., 2023)","plainTextFormattedCitation":"(Anwar et al., 2023)","previouslyFormattedCitation":"(Anwar et al., 2023)"},"properties":{"noteIndex":0},"schema":"https://github.com/citation-style-language/schema/raw/master/csl-citation.json"}</w:instrText>
      </w:r>
      <w:r w:rsidRPr="00895D0B">
        <w:rPr>
          <w:color w:val="000000" w:themeColor="text1"/>
        </w:rPr>
        <w:fldChar w:fldCharType="separate"/>
      </w:r>
      <w:r w:rsidRPr="00895D0B">
        <w:rPr>
          <w:noProof/>
          <w:color w:val="000000" w:themeColor="text1"/>
        </w:rPr>
        <w:t>(Anwar et al., 2023)</w:t>
      </w:r>
      <w:r w:rsidRPr="00895D0B">
        <w:rPr>
          <w:color w:val="000000" w:themeColor="text1"/>
        </w:rPr>
        <w:fldChar w:fldCharType="end"/>
      </w:r>
      <w:r w:rsidRPr="00895D0B">
        <w:rPr>
          <w:color w:val="000000" w:themeColor="text1"/>
        </w:rPr>
        <w:t>.</w:t>
      </w:r>
    </w:p>
    <w:p w14:paraId="68F026F8" w14:textId="77777777" w:rsidR="001B4ED5" w:rsidRPr="00895D0B" w:rsidRDefault="006B41C0">
      <w:pPr>
        <w:pStyle w:val="NormalWeb"/>
        <w:numPr>
          <w:ilvl w:val="0"/>
          <w:numId w:val="9"/>
        </w:numPr>
        <w:shd w:val="clear" w:color="auto" w:fill="FFFFFF"/>
        <w:spacing w:before="90" w:beforeAutospacing="0" w:after="90" w:afterAutospacing="0" w:line="360" w:lineRule="auto"/>
        <w:jc w:val="both"/>
        <w:rPr>
          <w:color w:val="000000" w:themeColor="text1"/>
        </w:rPr>
      </w:pPr>
      <w:r w:rsidRPr="00895D0B">
        <w:rPr>
          <w:color w:val="000000" w:themeColor="text1"/>
        </w:rPr>
        <w:t xml:space="preserve">Changes in farming practices: Urban land use change can result in changes in farming practices. For example, traditional open-field farming might be replaced by vertical farming, rooftop gardens, or hydroponics to maximize limited space in urban areas </w:t>
      </w:r>
      <w:r w:rsidRPr="00895D0B">
        <w:rPr>
          <w:color w:val="000000" w:themeColor="text1"/>
        </w:rPr>
        <w:fldChar w:fldCharType="begin" w:fldLock="1"/>
      </w:r>
      <w:r w:rsidRPr="00895D0B">
        <w:rPr>
          <w:color w:val="000000" w:themeColor="text1"/>
        </w:rPr>
        <w:instrText>ADDIN CSL_CITATION {"citationItems":[{"id":"ITEM-1","itemData":{"DOI":"10.1007/s10708-020-10208-1","ISSN":"15729893","abstract":"A limited number of researches observed the relative effect of urban agriculture on sustainable food security, which influences the decisions of urban dwellers in Pakistan regarding food choices. Based on the food preferences of consumers, this study examined the direct effects of various urban agriculture determinants on food safety. Therefore, we adopted the Household Food Insecurity Access Scale; to determine food security because of its quantitative nature, which is highly computable. The authors collected the data by using a structured questionnaire and applied structural equation modeling using analysis of a moment structures version 23 for current hypothetical study. The empirical results described that urban agriculture positively contributes to the household sustainable food security of urban dwellers and assist in building livelihood strategies. Considering the key contribution of urban agriculture to transform the sustainable food security of urban dwellers, we endorse the enactment of legislation to create and support the urban agriculture program in Pakistan. This study also proposed for the future researcher to describe ways and the impact of urban agriculture on urban farmers’ livelihoods. Urban farmers and major stakeholders are expected to get benefit from this research to design market-oriented strategies for food security.","author":[{"dropping-particle":"","family":"Zulfiqar","given":"F.","non-dropping-particle":"","parse-names":false,"suffix":""},{"dropping-particle":"","family":"Shang","given":"J.","non-dropping-particle":"","parse-names":false,"suffix":""},{"dropping-particle":"","family":"Yasmeen","given":"S.","non-dropping-particle":"","parse-names":false,"suffix":""},{"dropping-particle":"","family":"Wattoo","given":"M. U.","non-dropping-particle":"","parse-names":false,"suffix":""},{"dropping-particle":"","family":"Nasrullah","given":"M.","non-dropping-particle":"","parse-names":false,"suffix":""},{"dropping-particle":"","family":"Alam","given":"Q.","non-dropping-particle":"","parse-names":false,"suffix":""}],"container-title":"GeoJournal","id":"ITEM-1","issue":"5","issued":{"date-parts":[["2021"]]},"page":"2419-2433","title":"Urban agriculture can transform the sustainable food security for urban dwellers in Pakistan","type":"article-journal","volume":"86"},"uris":["http://www.mendeley.com/documents/?uuid=bcb0cf70-a0f7-41bc-9941-d9eeef35b504"]}],"mendeley":{"formattedCitation":"(Zulfiqar et al., 2021)","plainTextFormattedCitation":"(Zulfiqar et al., 2021)","previouslyFormattedCitation":"(Zulfiqar et al.,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(Zulfiqar et al., 2021)</w:t>
      </w:r>
      <w:r w:rsidRPr="00895D0B">
        <w:rPr>
          <w:color w:val="000000" w:themeColor="text1"/>
        </w:rPr>
        <w:fldChar w:fldCharType="end"/>
      </w:r>
      <w:r w:rsidRPr="00895D0B">
        <w:rPr>
          <w:color w:val="000000" w:themeColor="text1"/>
        </w:rPr>
        <w:t>.</w:t>
      </w:r>
    </w:p>
    <w:p w14:paraId="6013EFAD" w14:textId="77777777" w:rsidR="001B4ED5" w:rsidRPr="00895D0B" w:rsidRDefault="006B41C0">
      <w:pPr>
        <w:pStyle w:val="NormalWeb"/>
        <w:numPr>
          <w:ilvl w:val="0"/>
          <w:numId w:val="9"/>
        </w:numPr>
        <w:shd w:val="clear" w:color="auto" w:fill="FFFFFF"/>
        <w:spacing w:before="90" w:beforeAutospacing="0" w:after="90" w:afterAutospacing="0" w:line="360" w:lineRule="auto"/>
        <w:jc w:val="both"/>
        <w:rPr>
          <w:color w:val="000000" w:themeColor="text1"/>
        </w:rPr>
      </w:pPr>
      <w:r w:rsidRPr="00895D0B">
        <w:rPr>
          <w:color w:val="000000" w:themeColor="text1"/>
        </w:rPr>
        <w:t xml:space="preserve">Environmental impacts: Urbanization can bring pollution, increased runoff, and changes in microclimates, which can affect urban agriculture. Air pollution, noise pollution, and the loss of green spaces may have detrimental effects on crop health and productivity </w:t>
      </w:r>
      <w:r w:rsidRPr="00895D0B">
        <w:rPr>
          <w:color w:val="000000" w:themeColor="text1"/>
        </w:rPr>
        <w:fldChar w:fldCharType="begin" w:fldLock="1"/>
      </w:r>
      <w:r w:rsidRPr="00895D0B">
        <w:rPr>
          <w:color w:val="000000" w:themeColor="text1"/>
        </w:rPr>
        <w:instrText>ADDIN CSL_CITATION {"citationItems":[{"id":"ITEM-1","itemData":{"DOI":"10.1007/s10708-020-10208-1","ISSN":"15729893","abstract":"A limited number of researches observed the relative effect of urban agriculture on sustainable food security, which influences the decisions of urban dwellers in Pakistan regarding food choices. Based on the food preferences of consumers, this study examined the direct effects of various urban agriculture determinants on food safety. Therefore, we adopted the Household Food Insecurity Access Scale; to determine food security because of its quantitative nature, which is highly computable. The authors collected the data by using a structured questionnaire and applied structural equation modeling using analysis of a moment structures version 23 for current hypothetical study. The empirical results described that urban agriculture positively contributes to the household sustainable food security of urban dwellers and assist in building livelihood strategies. Considering the key contribution of urban agriculture to transform the sustainable food security of urban dwellers, we endorse the enactment of legislation to create and support the urban agriculture program in Pakistan. This study also proposed for the future researcher to describe ways and the impact of urban agriculture on urban farmers’ livelihoods. Urban farmers and major stakeholders are expected to get benefit from this research to design market-oriented strategies for food security.","author":[{"dropping-particle":"","family":"Zulfiqar","given":"F.","non-dropping-particle":"","parse-names":false,"suffix":""},{"dropping-particle":"","family":"Shang","given":"J.","non-dropping-particle":"","parse-names":false,"suffix":""},{"dropping-particle":"","family":"Yasmeen","given":"S.","non-dropping-particle":"","parse-names":false,"suffix":""},{"dropping-particle":"","family":"Wattoo","given":"M. U.","non-dropping-particle":"","parse-names":false,"suffix":""},{"dropping-particle":"","family":"Nasrullah","given":"M.","non-dropping-particle":"","parse-names":false,"suffix":""},{"dropping-particle":"","family":"Alam","given":"Q.","non-dropping-particle":"","parse-names":false,"suffix":""}],"container-title":"GeoJournal","id":"ITEM-1","issue":"5","issued":{"date-parts":[["2021"]]},"page":"2419-2433","title":"Urban agriculture can transform the sustainable food security for urban dwellers in Pakistan","type":"article-journal","volume":"86"},"uris":["http://www.mendeley.com/documents/?uuid=bcb0cf70-a0f7-41bc-9941-d9eeef35b504"]}],"mendeley":{"formattedCitation":"(Zulfiqar et al., 2021)","plainTextFormattedCitation":"(Zulfiqar et al., 2021)","previouslyFormattedCitation":"(Zulfiqar et al.,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(Zulfiqar et al., 2021)</w:t>
      </w:r>
      <w:r w:rsidRPr="00895D0B">
        <w:rPr>
          <w:color w:val="000000" w:themeColor="text1"/>
        </w:rPr>
        <w:fldChar w:fldCharType="end"/>
      </w:r>
      <w:r w:rsidRPr="00895D0B">
        <w:rPr>
          <w:color w:val="000000" w:themeColor="text1"/>
        </w:rPr>
        <w:t>.</w:t>
      </w:r>
    </w:p>
    <w:p w14:paraId="77DEBC27" w14:textId="77777777" w:rsidR="001B4ED5" w:rsidRDefault="006B41C0">
      <w:pPr>
        <w:pStyle w:val="NormalWeb"/>
        <w:numPr>
          <w:ilvl w:val="0"/>
          <w:numId w:val="9"/>
        </w:numPr>
        <w:shd w:val="clear" w:color="auto" w:fill="FFFFFF"/>
        <w:spacing w:before="90" w:beforeAutospacing="0" w:after="90" w:afterAutospacing="0" w:line="360" w:lineRule="auto"/>
        <w:jc w:val="both"/>
        <w:rPr>
          <w:color w:val="000000" w:themeColor="text1"/>
        </w:rPr>
      </w:pPr>
      <w:r w:rsidRPr="00895D0B">
        <w:rPr>
          <w:color w:val="000000" w:themeColor="text1"/>
        </w:rPr>
        <w:t xml:space="preserve">Community support and policy implications: Urban land use change may impact the availability of community support and policy frameworks for urban agriculture. As urban areas expand, there might be a need for supportive policies, zoning regulations, and incentives to promote and sustain urban agriculture </w:t>
      </w:r>
      <w:r w:rsidRPr="00895D0B">
        <w:rPr>
          <w:color w:val="000000" w:themeColor="text1"/>
        </w:rPr>
        <w:fldChar w:fldCharType="begin" w:fldLock="1"/>
      </w:r>
      <w:r w:rsidRPr="00895D0B">
        <w:rPr>
          <w:color w:val="000000" w:themeColor="text1"/>
        </w:rPr>
        <w:instrText>ADDIN CSL_CITATION {"citationItems":[{"id":"ITEM-1","itemData":{"DOI":"10.3390/su151612143","ISSN":"20711050","abstract":"As a response to food security, urban agriculture is essential for sustainable development. The primary goal of this study is to provide the basic formulation and theoretical knowledge for sustainable urban agriculture by analyzing the impact of urbanization on urban agriculture and food security. For the food security assessment, the variables included food consumption and quality of food as the independent variables, and monthly income of local dwellers as the dependent variable; these were considered for the regression analysis and statistical analysis. The food security assessment was checked and expressed using regression values of R, which was 0.857, and an adjusted R square, with a value of 0.728. The results show extensive change in food security issues and land use due to urbanization causes, large-scale damage to agricultural land in the area, and loss of biodiversity, which threaten food security by converting natural land into built-up areas. The study concludes that urban agriculture is a fundamental environmental activity to ensure food security by increasing food production for locals and improving urban biodiversity.","author":[{"dropping-particle":"","family":"Anwar","given":"M. M.","non-dropping-particle":"","parse-names":false,"suffix":""},{"dropping-particle":"","family":"Breuste","given":"J. H.","non-dropping-particle":"","parse-names":false,"suffix":""},{"dropping-particle":"","family":"Ahmad","given":"A.","non-dropping-particle":"","parse-names":false,"suffix":""},{"dropping-particle":"","family":"Aziz","given":"A.","non-dropping-particle":"","parse-names":false,"suffix":""},{"dropping-particle":"","family":"Aldosari","given":"A. A.","non-dropping-particle":"","parse-names":false,"suffix":""}],"container-title":"Sustainability (Switzerland)","id":"ITEM-1","issue":"16","issued":{"date-parts":[["2023"]]},"title":"Quantifying the Impacts of Urbanization on Urban Agriculture and Food Security in the Megacity Lahore, Pakistan","type":"article-journal","volume":"15"},"uris":["http://www.mendeley.com/documents/?uuid=56dffa1c-4972-43a3-b8d8-3670ab3132b9"]}],"mendeley":{"formattedCitation":"(Anwar et al., 2023)","plainTextFormattedCitation":"(Anwar et al., 2023)","previouslyFormattedCitation":"(Anwar et al., 2023)"},"properties":{"noteIndex":0},"schema":"https://github.com/citation-style-language/schema/raw/master/csl-citation.json"}</w:instrText>
      </w:r>
      <w:r w:rsidRPr="00895D0B">
        <w:rPr>
          <w:color w:val="000000" w:themeColor="text1"/>
        </w:rPr>
        <w:fldChar w:fldCharType="separate"/>
      </w:r>
      <w:r w:rsidRPr="00895D0B">
        <w:rPr>
          <w:noProof/>
          <w:color w:val="000000" w:themeColor="text1"/>
        </w:rPr>
        <w:t>(Anwar et al., 2023)</w:t>
      </w:r>
      <w:r w:rsidRPr="00895D0B">
        <w:rPr>
          <w:color w:val="000000" w:themeColor="text1"/>
        </w:rPr>
        <w:fldChar w:fldCharType="end"/>
      </w:r>
      <w:r w:rsidRPr="00895D0B">
        <w:rPr>
          <w:color w:val="000000" w:themeColor="text1"/>
        </w:rPr>
        <w:t>.</w:t>
      </w:r>
    </w:p>
    <w:p w14:paraId="51EE300D" w14:textId="77777777" w:rsidR="005573B9" w:rsidRPr="00895D0B" w:rsidRDefault="005573B9" w:rsidP="005573B9">
      <w:pPr>
        <w:pStyle w:val="NoSpacing"/>
      </w:pPr>
    </w:p>
    <w:p w14:paraId="36E50B1F" w14:textId="77777777" w:rsidR="001B4ED5" w:rsidRPr="00895D0B" w:rsidRDefault="006B41C0">
      <w:pPr>
        <w:pStyle w:val="NormalWeb"/>
        <w:shd w:val="clear" w:color="auto" w:fill="FFFFFF"/>
        <w:spacing w:before="0" w:beforeAutospacing="0" w:after="0" w:afterAutospacing="0" w:line="360" w:lineRule="auto"/>
        <w:jc w:val="both"/>
        <w:rPr>
          <w:color w:val="000000" w:themeColor="text1"/>
        </w:rPr>
      </w:pPr>
      <w:r w:rsidRPr="00895D0B">
        <w:rPr>
          <w:color w:val="000000" w:themeColor="text1"/>
        </w:rPr>
        <w:lastRenderedPageBreak/>
        <w:t xml:space="preserve">It is important to note that the effects of urban land use change on urban agriculture can vary depending on the specific context, location, and the level of urbanization. Therefore, understanding the local dynamics and implementing appropriate strategies are crucial for mitigating the negative climatic impacts and ensuring the sustainability of urban agriculture. Aside, the effects of land use on urban agriculture there are associated challenges from climate change and variability. </w:t>
      </w:r>
    </w:p>
    <w:p w14:paraId="0BE86DEB" w14:textId="77777777" w:rsidR="001B4ED5" w:rsidRPr="00895D0B" w:rsidRDefault="001B4ED5" w:rsidP="005573B9">
      <w:pPr>
        <w:pStyle w:val="NoSpacing"/>
      </w:pPr>
    </w:p>
    <w:p w14:paraId="6ECD990D" w14:textId="77777777" w:rsidR="001B4ED5" w:rsidRPr="00895D0B" w:rsidRDefault="006B41C0">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The effects of climate change on urban agriculture can be both positive and negative. On one hand, urban farming and gardening can contribute positively to climate adaptation by increasing vegetation cover in cities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{"citationItems":[{"id":"ITEM-1","itemData":{"DOI":"10.1177/0969776417736098","ISBN":"0969776417736","ISSN":"14617145","abstract":"Throughout the 20th century, urban gardening in central and northern Europe as well as in North America has received a great deal of academic attention. However, the recent proliferation of urban gardening in other geographies, such as southern Europe in the aftermath of the economic crisis of 2007–2008, remains underexplored. The economic crisis put on hold urban developments in many southern European cities, leaving idle plots of land waiting to be urbanized. The crisis also triggered radical political demands, such as those of the Indignados, as well as fuelling narratives revolving around social entrepreneurship and social innovation. Barcelona emerges as a laboratory of urban gardening initiatives in vacant lots mobilizing either radical urban demands or embedding new post-crisis rhetoric around social entrepreneurship. Through a combination of qualitative methods, including participant observation, a literature review, semi-structured interviews, informal conversations and field diaries, we present a characterization and evolution of the three most prominent urban gardening initiatives in the city of Barcelona (including 54 gardens at the end of 2016): the Network of Municipal Gardens (municipally led gardens for retired people); the Network of Communitarian Gardens (social movements); and the Empty Plots Plan (social entrepreneurial urban gardening). Subsequently, we discuss the different meanings of gardening in crisis/post-crisis Barcelona as well as the urban politics that each initiative articulates. Our results show that urban gardens within the city are an expression of different and non-exclusive meanings that explicitly or implicitly, in a context of crisis and post-crisis, mobilize notions of political gardening.","author":[{"dropping-particle":"","family":"Calvet-Mir","given":"L.","non-dropping-particle":"","parse-names":false,"suffix":""},{"dropping-particle":"","family":"March","given":"H.","non-dropping-particle":"","parse-names":false,"suffix":""}],"container-title":"European Urban and Regional Studies","id":"ITEM-1","issue":"1","issued":{"date-parts":[["2019"]]},"page":"97-112","title":"Crisis and post-crisis urban gardening initiatives from a Southern European perspective: The case of Barcelona","type":"article-journal","volume":"26"},"uris":["http://www.mendeley.com/documents/?uuid=e47bee81-97f5-4826-9abb-5d0e4f80f5db"]}],"mendeley":{"formattedCitation":"(Calvet-Mir &amp; March, 2019)","plainTextFormattedCitation":"(Calvet-Mir &amp; March, 2019)","previouslyFormattedCitation":"(Calvet-Mir &amp; March, 2019)"},"properties":{"noteIndex":0},"schema":"https://github.com/citation-style-language/schema/raw/master/csl-citation.json"}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(Calvet-Mir &amp; March, 2019)</w:t>
      </w:r>
      <w:r w:rsidRPr="00895D0B">
        <w:rPr>
          <w:rFonts w:eastAsia="Times New Roman" w:cs="Times New Roman"/>
          <w:color w:val="000000" w:themeColor="text1"/>
          <w:szCs w:val="24"/>
          <w:lang w:eastAsia="en-GB"/>
        </w:rPr>
        <w:fldChar w:fldCharType="end"/>
      </w:r>
      <w:r w:rsidRPr="00895D0B">
        <w:rPr>
          <w:rFonts w:cs="Times New Roman"/>
          <w:color w:val="000000" w:themeColor="text1"/>
          <w:szCs w:val="24"/>
          <w:shd w:val="clear" w:color="auto" w:fill="FFFFFF"/>
        </w:rPr>
        <w:t xml:space="preserve">. </w:t>
      </w:r>
      <w:r w:rsidRPr="00895D0B">
        <w:rPr>
          <w:rFonts w:eastAsia="Times New Roman" w:cs="Times New Roman"/>
          <w:color w:val="000000" w:themeColor="text1"/>
          <w:szCs w:val="24"/>
          <w:lang w:eastAsia="en-GB"/>
        </w:rPr>
        <w:t xml:space="preserve"> However, climate change can also have detrimental impacts on urban agriculture. One of the main challenges is the potential for more irregular and intense precipitation, as well as increased temperatures, which can lead to significant declines in crop yields and stability. Extreme weather events such as drought, flooding, wildfires, and storms can also greatly impact urban farming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{"citationItems":[{"id":"ITEM-1","itemData":{"DOI":"10.3390/ijerph17186740","ISSN":"16604601","PMID":"32947857","abstract":"The financial and health burdens of stress associated with increased urbanization have led to a demand for mental health enhancement strategies. While some extant literature details mental health benefits of community gardening, a coherent narrative on the construct of resilience and its relationship with the mental health benefits of community gardening is lacking. The present study examined the relationship between community gardening and a number of mental health benefits, in the forms of subjective well-being, stress, resilience potentials, and resilience factors (self-esteem, optimism, and openness). A total of 111 residents in Singapore completed a survey. Results from Multivariate Analysis of Covariance (MANCOVA) and Pearson’s correlation analyses show that, after controlling for age and levels of connection to nature, community gardeners reported significantly higher levels of subjective well-being than individual/home gardeners and non-gardeners, indicating that engagement in community gardening may be superior to individual/home gardening or non-gardening outdoor activities. Community gardeners reported higher levels of resilience and optimism than the non-gardening control group. These novel results indicate some potential for mental health benefits in urban environments, specifically in terms of subjective well-being and resilience. These findings have implications for future research in clinical psychology, mental health promotion, and policy.","author":[{"dropping-particle":"","family":"Koay","given":"W. I.","non-dropping-particle":"","parse-names":false,"suffix":""},{"dropping-particle":"","family":"Dillon","given":"D.","non-dropping-particle":"","parse-names":false,"suffix":""}],"container-title":"International Journal of Environmental Research and Public Health","id":"ITEM-1","issue":"18","issued":{"date-parts":[["2020"]]},"page":"1-31","title":"Community gardening: Stress, well-being, and resilience potentials","type":"article-journal","volume":"17"},"uris":["http://www.mendeley.com/documents/?uuid=c532939b-f98a-4344-b53e-e8c61ea3dde9"]}],"mendeley":{"formattedCitation":"(Koay &amp; Dillon, 2020)","plainTextFormattedCitation":"(Koay &amp; Dillon, 2020)","previouslyFormattedCitation":"(Koay &amp; Dillon, 2020)"},"properties":{"noteIndex":0},"schema":"https://github.com/citation-style-language/schema/raw/master/csl-citation.json"}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(Koay &amp; Dillon, 2020)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Furthermore, climate change can disrupt the balance of ecosystems and affect the availability of natural resources, such as water and nutrients. This can make it more challenging to grow crops in urban areas. It is important to note that urban areas often face additional challenges compared to rural areas when it comes to adapting to climate change. Limited space, competition for resources, and higher vulnerability to heat island effects can further exacerbate the impacts on urban agriculture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{"citationItems":[{"id":"ITEM-1","itemData":{"DOI":"10.1016/j.ufug.2021.127059","ISSN":"16108167","abstract":"Australia is currently grappling with a range of social and environmental challenges, many of which impact the way our public health system, and society more broadly, function. In this short communication paper we explore urban agriculture in Australia as a Nature-Based Solution (NBS) to address some of the ecological, social, economic and health challenges facing the continent. We argue that urban agriculture has the potential to mitigate the effects of climate change extremes while simultaneously providing multiple benefits such as improving wellbeing, people-nature connections, and food security. We present three exemplar case studies diverse in geography, context and governance from Queensland, Tasmania, and New South Wales exploring verge gardening, market gardening, and a community greening program respectively to highlight the benefits of urban agriculture as a NBS. We advocate that various forms of urban agriculture need to be researched and considered for their potential impacts and multiple benefits to be fully supported, governed, and understood in light of the social-ecological challenges Australian cities face.","author":[{"dropping-particle":"","family":"Kingsley","given":"J.","non-dropping-particle":"","parse-names":false,"suffix":""},{"dropping-particle":"","family":"Egerer","given":"M.","non-dropping-particle":"","parse-names":false,"suffix":""},{"dropping-particle":"","family":"Nuttman","given":"S.","non-dropping-particle":"","parse-names":false,"suffix":""},{"dropping-particle":"","family":"Keniger","given":"L.","non-dropping-particle":"","parse-names":false,"suffix":""},{"dropping-particle":"","family":"Pettitt","given":"P","non-dropping-particle":"","parse-names":false,"suffix":""},{"dropping-particle":"","family":"Frantzeskaki","given":"N.","non-dropping-particle":"","parse-names":false,"suffix":""},{"dropping-particle":"","family":"Gray","given":"T.","non-dropping-particle":"","parse-names":false,"suffix":""},{"dropping-particle":"","family":"Ossola","given":"A.","non-dropping-particle":"","parse-names":false,"suffix":""},{"dropping-particle":"","family":"Lin","given":"B.","non-dropping-particle":"","parse-names":false,"suffix":""},{"dropping-particle":"","family":"Bailey","given":"A.","non-dropping-particle":"","parse-names":false,"suffix":""},{"dropping-particle":"","family":"Tracey","given":"D.","non-dropping-particle":"","parse-names":false,"suffix":""},{"dropping-particle":"","family":"Barron","given":"S.","non-dropping-particle":"","parse-names":false,"suffix":""},{"dropping-particle":"","family":"Marsh","given":"P.","non-dropping-particle":"","parse-names":false,"suffix":""}],"container-title":"Urban Forestry and Urban Greening","id":"ITEM-1","issue":"November 2020","issued":{"date-parts":[["2021"]]},"page":"127059","publisher":"Elsevier GmbH","title":"Urban agriculture as a nature-based solution to address socio-ecological challenges in Australian cities","type":"article-journal","volume":"60"},"uris":["http://www.mendeley.com/documents/?uuid=04ac322a-a588-423e-80fa-a7c975179bf2"]}],"mendeley":{"formattedCitation":"(Kingsley et al., 2021)","plainTextFormattedCitation":"(Kingsley et al., 2021)","previouslyFormattedCitation":"(Kingsley et al., 2021)"},"properties":{"noteIndex":0},"schema":"https://github.com/citation-style-language/schema/raw/master/csl-citation.json"}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(Kingsley et al., 2021)</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Overall, while urban agriculture has the potential to contribute to climate adaptation, it is also vulnerable to the negative effects of climate change. Strategies such as implementing sustainable water management, adopting climate-resilient farming techniques, and integrating urban agriculture into climate change adaptation plans can help mitigate these challenges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{"citationItems":[{"id":"ITEM-1","itemData":{"DOI":"10.1177/0969776417736098","ISBN":"0969776417736","ISSN":"14617145","abstract":"Throughout the 20th century, urban gardening in central and northern Europe as well as in North America has received a great deal of academic attention. However, the recent proliferation of urban gardening in other geographies, such as southern Europe in the aftermath of the economic crisis of 2007–2008, remains underexplored. The economic crisis put on hold urban developments in many southern European cities, leaving idle plots of land waiting to be urbanized. The crisis also triggered radical political demands, such as those of the Indignados, as well as fuelling narratives revolving around social entrepreneurship and social innovation. Barcelona emerges as a laboratory of urban gardening initiatives in vacant lots mobilizing either radical urban demands or embedding new post-crisis rhetoric around social entrepreneurship. Through a combination of qualitative methods, including participant observation, a literature review, semi-structured interviews, informal conversations and field diaries, we present a characterization and evolution of the three most prominent urban gardening initiatives in the city of Barcelona (including 54 gardens at the end of 2016): the Network of Municipal Gardens (municipally led gardens for retired people); the Network of Communitarian Gardens (social movements); and the Empty Plots Plan (social entrepreneurial urban gardening). Subsequently, we discuss the different meanings of gardening in crisis/post-crisis Barcelona as well as the urban politics that each initiative articulates. Our results show that urban gardens within the city are an expression of different and non-exclusive meanings that explicitly or implicitly, in a context of crisis and post-crisis, mobilize notions of political gardening.","author":[{"dropping-particle":"","family":"Calvet-Mir","given":"L.","non-dropping-particle":"","parse-names":false,"suffix":""},{"dropping-particle":"","family":"March","given":"H.","non-dropping-particle":"","parse-names":false,"suffix":""}],"container-title":"European Urban and Regional Studies","id":"ITEM-1","issue":"1","issued":{"date-parts":[["2019"]]},"page":"97-112","title":"Crisis and post-crisis urban gardening initiatives from a Southern European perspective: The case of Barcelona","type":"article-journal","volume":"26"},"uris":["http://www.mendeley.com/documents/?uuid=e47bee81-97f5-4826-9abb-5d0e4f80f5db"]}],"mendeley":{"formattedCitation":"(Calvet-Mir &amp; March, 2019)","plainTextFormattedCitation":"(Calvet-Mir &amp; March, 2019)","previouslyFormattedCitation":"(Calvet-Mir &amp; March, 2019)"},"properties":{"noteIndex":0},"schema":"https://github.com/citation-style-language/schema/raw/master/csl-citation.json"}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(Calvet-Mir &amp; March, 2019)</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w:t>
      </w:r>
    </w:p>
    <w:p w14:paraId="607568E7" w14:textId="77777777" w:rsidR="001B4ED5" w:rsidRPr="00895D0B" w:rsidRDefault="001B4ED5" w:rsidP="006C7099">
      <w:pPr>
        <w:pStyle w:val="NoSpacing"/>
        <w:rPr>
          <w:lang w:eastAsia="en-GB"/>
        </w:rPr>
      </w:pPr>
    </w:p>
    <w:p w14:paraId="13465663" w14:textId="77777777" w:rsidR="001B4ED5" w:rsidRPr="00895D0B" w:rsidRDefault="006B41C0" w:rsidP="009864E3">
      <w:pPr>
        <w:pStyle w:val="Heading3"/>
      </w:pPr>
      <w:bookmarkStart w:id="47" w:name="_Toc167379881"/>
      <w:r w:rsidRPr="00895D0B">
        <w:t>2.10.3 Missing linkages</w:t>
      </w:r>
      <w:bookmarkEnd w:id="47"/>
    </w:p>
    <w:p w14:paraId="0C6CE018"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Despite the relationship between urban land use change, climate change and variability and urban agriculture production, there is a disconnect in terms of policy framework relating to the following; </w:t>
      </w:r>
    </w:p>
    <w:p w14:paraId="47DDC12D" w14:textId="77777777" w:rsidR="001B4ED5" w:rsidRPr="00895D0B" w:rsidRDefault="006B41C0">
      <w:pPr>
        <w:pStyle w:val="ListParagraph"/>
        <w:numPr>
          <w:ilvl w:val="0"/>
          <w:numId w:val="10"/>
        </w:numPr>
        <w:spacing w:line="360" w:lineRule="auto"/>
        <w:rPr>
          <w:rFonts w:cs="Times New Roman"/>
          <w:color w:val="000000" w:themeColor="text1"/>
          <w:szCs w:val="24"/>
        </w:rPr>
      </w:pPr>
      <w:r w:rsidRPr="00895D0B">
        <w:rPr>
          <w:rFonts w:cs="Times New Roman"/>
          <w:color w:val="000000" w:themeColor="text1"/>
          <w:szCs w:val="24"/>
        </w:rPr>
        <w:t xml:space="preserve">Participation and potentials in urban agriculture </w:t>
      </w:r>
    </w:p>
    <w:p w14:paraId="2148A7A0" w14:textId="77777777" w:rsidR="001B4ED5" w:rsidRPr="00895D0B" w:rsidRDefault="006B41C0">
      <w:pPr>
        <w:pStyle w:val="ListParagraph"/>
        <w:numPr>
          <w:ilvl w:val="0"/>
          <w:numId w:val="10"/>
        </w:numPr>
        <w:spacing w:line="360" w:lineRule="auto"/>
        <w:rPr>
          <w:rFonts w:cs="Times New Roman"/>
          <w:color w:val="000000" w:themeColor="text1"/>
          <w:szCs w:val="24"/>
        </w:rPr>
      </w:pPr>
      <w:r w:rsidRPr="00895D0B">
        <w:rPr>
          <w:rFonts w:cs="Times New Roman"/>
          <w:color w:val="000000" w:themeColor="text1"/>
          <w:szCs w:val="24"/>
        </w:rPr>
        <w:t xml:space="preserve">Patterns and characteristics of urban agricultural production </w:t>
      </w:r>
    </w:p>
    <w:p w14:paraId="7B537B84" w14:textId="77777777" w:rsidR="001B4ED5" w:rsidRPr="00895D0B" w:rsidRDefault="006B41C0">
      <w:pPr>
        <w:pStyle w:val="ListParagraph"/>
        <w:numPr>
          <w:ilvl w:val="0"/>
          <w:numId w:val="10"/>
        </w:numPr>
        <w:spacing w:line="360" w:lineRule="auto"/>
        <w:rPr>
          <w:rFonts w:cs="Times New Roman"/>
          <w:color w:val="000000" w:themeColor="text1"/>
          <w:szCs w:val="24"/>
        </w:rPr>
      </w:pPr>
      <w:r w:rsidRPr="00895D0B">
        <w:rPr>
          <w:rFonts w:cs="Times New Roman"/>
          <w:color w:val="000000" w:themeColor="text1"/>
          <w:szCs w:val="24"/>
        </w:rPr>
        <w:t xml:space="preserve">Climate change challenges for urban agriculture </w:t>
      </w:r>
    </w:p>
    <w:p w14:paraId="4CB6615A" w14:textId="77777777" w:rsidR="001B4ED5" w:rsidRPr="00895D0B" w:rsidRDefault="006B41C0">
      <w:pPr>
        <w:pStyle w:val="ListParagraph"/>
        <w:numPr>
          <w:ilvl w:val="0"/>
          <w:numId w:val="10"/>
        </w:numPr>
        <w:spacing w:line="360" w:lineRule="auto"/>
        <w:rPr>
          <w:rFonts w:cs="Times New Roman"/>
          <w:color w:val="000000" w:themeColor="text1"/>
          <w:szCs w:val="24"/>
        </w:rPr>
      </w:pPr>
      <w:r w:rsidRPr="00895D0B">
        <w:rPr>
          <w:rFonts w:cs="Times New Roman"/>
          <w:color w:val="000000" w:themeColor="text1"/>
          <w:szCs w:val="24"/>
        </w:rPr>
        <w:lastRenderedPageBreak/>
        <w:t>Climate change adaptation measures</w:t>
      </w:r>
    </w:p>
    <w:p w14:paraId="0BC190D7" w14:textId="77777777" w:rsidR="001B4ED5" w:rsidRPr="00895D0B" w:rsidRDefault="006B41C0">
      <w:pPr>
        <w:pStyle w:val="ListParagraph"/>
        <w:numPr>
          <w:ilvl w:val="0"/>
          <w:numId w:val="10"/>
        </w:numPr>
        <w:spacing w:line="360" w:lineRule="auto"/>
        <w:rPr>
          <w:rFonts w:cs="Times New Roman"/>
          <w:color w:val="000000" w:themeColor="text1"/>
          <w:szCs w:val="24"/>
        </w:rPr>
      </w:pPr>
      <w:r w:rsidRPr="00895D0B">
        <w:rPr>
          <w:rFonts w:cs="Times New Roman"/>
          <w:color w:val="000000" w:themeColor="text1"/>
          <w:szCs w:val="24"/>
        </w:rPr>
        <w:t xml:space="preserve">Climate change adaption policies </w:t>
      </w:r>
    </w:p>
    <w:p w14:paraId="1BDE451A"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Interestingly, the goal of urban agricultural production can be achieved when there is a link in urban land use planning and proactivity policies in line with climate change. This will lead the outcomes as highlighted below. </w:t>
      </w:r>
    </w:p>
    <w:p w14:paraId="390DA461" w14:textId="77777777" w:rsidR="001B4ED5" w:rsidRPr="00895D0B" w:rsidRDefault="001B4ED5" w:rsidP="006C7099">
      <w:pPr>
        <w:pStyle w:val="NoSpacing"/>
      </w:pPr>
    </w:p>
    <w:p w14:paraId="5B67DDFA" w14:textId="77777777" w:rsidR="001B4ED5" w:rsidRPr="00895D0B" w:rsidRDefault="006B41C0" w:rsidP="009864E3">
      <w:pPr>
        <w:pStyle w:val="Heading3"/>
      </w:pPr>
      <w:bookmarkStart w:id="48" w:name="_Toc167379882"/>
      <w:r w:rsidRPr="00895D0B">
        <w:t>2.10.4 Outcomes of linkages</w:t>
      </w:r>
      <w:bookmarkEnd w:id="48"/>
      <w:r w:rsidRPr="00895D0B">
        <w:t xml:space="preserve"> </w:t>
      </w:r>
    </w:p>
    <w:p w14:paraId="3ABB9743" w14:textId="77777777" w:rsidR="001B4ED5" w:rsidRPr="00895D0B" w:rsidRDefault="006B41C0">
      <w:pPr>
        <w:spacing w:after="160" w:line="360" w:lineRule="auto"/>
        <w:rPr>
          <w:rFonts w:cs="Times New Roman"/>
          <w:color w:val="000000" w:themeColor="text1"/>
          <w:szCs w:val="24"/>
        </w:rPr>
      </w:pPr>
      <w:r w:rsidRPr="00895D0B">
        <w:rPr>
          <w:rFonts w:cs="Times New Roman"/>
          <w:color w:val="000000" w:themeColor="text1"/>
          <w:szCs w:val="24"/>
        </w:rPr>
        <w:t>The outcome is i</w:t>
      </w:r>
      <w:r w:rsidRPr="00895D0B">
        <w:rPr>
          <w:rFonts w:eastAsia="Times New Roman" w:cs="Times New Roman"/>
          <w:color w:val="000000" w:themeColor="text1"/>
          <w:szCs w:val="24"/>
          <w:lang w:eastAsia="en-GB"/>
        </w:rPr>
        <w:t xml:space="preserve">ntegrating climate change adaptations into urban planning policies and urban agricultural production can have several outcomes. Firstly, it can enhance the resilience of farmers in cities to climate change impacts. By incorporating climate change considerations into urban planning and urban agriculture, city dwellers can better prepare for extreme weather events, such as floods or heatwaves, and minimize their negative effects on urban agricultural production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ISSN":"1867-8521","author":[{"dropping-particle":"","family":"Dubbeling","given":"M.","non-dropping-particle":"","parse-names":false,"suffix":""},{"dropping-particle":"","family":"Veenhuizen","given":"R.","non-dropping-particle":"Van","parse-names":false,"suffix":""},{"dropping-particle":"","family":"Halliday","given":"J.","non-dropping-particle":"","parse-names":false,"suffix":""}],"container-title":"Field Actions Science Reports","id":"ITEM-1","issue":"20","issued":{"date-parts":[["2019"]]},"page":"32-39","title":"Field Actions Science Reports Urban agriculture as a climate change and disaster risk reduction strategy","type":"article-journal"},"uris":["http://www.mendeley.com/documents/?uuid=29afda8e-ba20-4e9d-8a63-b973ad4fb7d0"]}],"mendeley":{"formattedCitation":"(Dubbeling et al., 2019)","plainTextFormattedCitation":"(Dubbeling et al., 2019)","previouslyFormattedCitation":"(Dubbeling et al., 2019)"},"properties":{"noteIndex":0},"schema":"https://github.com/citation-style-language/schema/raw/master/csl-citation.json"}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(Dubbeling et al., 2019)</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w:t>
      </w:r>
      <w:r w:rsidRPr="00895D0B">
        <w:rPr>
          <w:rFonts w:cs="Times New Roman"/>
          <w:color w:val="000000" w:themeColor="text1"/>
          <w:szCs w:val="24"/>
        </w:rPr>
        <w:t xml:space="preserve"> </w:t>
      </w:r>
      <w:r w:rsidRPr="00895D0B">
        <w:rPr>
          <w:rFonts w:eastAsia="Times New Roman" w:cs="Times New Roman"/>
          <w:color w:val="000000" w:themeColor="text1"/>
          <w:szCs w:val="24"/>
          <w:lang w:eastAsia="en-GB"/>
        </w:rPr>
        <w:t xml:space="preserve">Secondly, integrating climate change adaptations can contribute to sustainable urban development. It can also respond to food demand by providing fresh and nutritious food to urban populations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author":[{"dropping-particle":"","family":"Bilimoria","given":"N.","non-dropping-particle":"","parse-names":false,"suffix":""},{"dropping-particle":"","family":"Denoyelle","given":"Y.","non-dropping-particle":"","parse-names":false,"suffix":""},{"dropping-particle":"","family":"Nguyen","given":"A.","non-dropping-particle":"","parse-names":false,"suffix":""}],"id":"ITEM-1","issued":{"date-parts":[["2020"]]},"title":"The Role of Urban Agriculture in Advancing the SDGs : A Multidisciplinary Approach","type":"article-journal"},"uris":["http://www.mendeley.com/documents/?uuid=1e56552d-96b7-4279-977e-b519f6b7f8ec"]}],"mendeley":{"formattedCitation":"(Bilimoria et al., 2020)","plainTextFormattedCitation":"(Bilimoria et al., 2020)","previouslyFormattedCitation":"(Bilimoria et al., 2020)"},"properties":{"noteIndex":0},"schema":"https://github.com/citation-style-language/schema/raw/master/csl-citation.json"}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(Bilimoria et al., 2020)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Lastly, integrating climate change adaptations and urban agriculture production can foster community engagement and social cohesion. Urban agriculture can create opportunities for community involvement and education, promote social interactions, and enhance the sense of belonging and pride in the community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author":[{"dropping-particle":"","family":"Bilimoria","given":"N.","non-dropping-particle":"","parse-names":false,"suffix":""},{"dropping-particle":"","family":"Denoyelle","given":"Y.","non-dropping-particle":"","parse-names":false,"suffix":""},{"dropping-particle":"","family":"Nguyen","given":"A.","non-dropping-particle":"","parse-names":false,"suffix":""}],"id":"ITEM-1","issued":{"date-parts":[["2020"]]},"title":"The Role of Urban Agriculture in Advancing the SDGs : A Multidisciplinary Approach","type":"article-journal"},"uris":["http://www.mendeley.com/documents/?uuid=1e56552d-96b7-4279-977e-b519f6b7f8ec"]}],"mendeley":{"formattedCitation":"(Bilimoria et al., 2020)","plainTextFormattedCitation":"(Bilimoria et al., 2020)","previouslyFormattedCitation":"(Bilimoria et al., 2020)"},"properties":{"noteIndex":0},"schema":"https://github.com/citation-style-language/schema/raw/master/csl-citation.json"}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(Bilimoria et al., 2020)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w:t>
      </w:r>
    </w:p>
    <w:p w14:paraId="49A6BE34" w14:textId="77777777" w:rsidR="001B4ED5" w:rsidRPr="00895D0B" w:rsidRDefault="006B41C0">
      <w:pPr>
        <w:spacing w:before="90" w:after="90"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Overall, integrating climate change adaptations and urban planning policies with urban agricultural production can contribute to building more resilient, sustainable, and liveable cities in the face of climate change challenges. This can be done through the following: </w:t>
      </w:r>
    </w:p>
    <w:p w14:paraId="1CDBBB11" w14:textId="77777777" w:rsidR="001B4ED5" w:rsidRPr="00895D0B" w:rsidRDefault="006B41C0">
      <w:pPr>
        <w:pStyle w:val="ListParagraph"/>
        <w:numPr>
          <w:ilvl w:val="0"/>
          <w:numId w:val="11"/>
        </w:numPr>
        <w:spacing w:line="360" w:lineRule="auto"/>
        <w:rPr>
          <w:rFonts w:cs="Times New Roman"/>
          <w:color w:val="000000" w:themeColor="text1"/>
          <w:szCs w:val="24"/>
        </w:rPr>
      </w:pPr>
      <w:r w:rsidRPr="00895D0B">
        <w:rPr>
          <w:rFonts w:cs="Times New Roman"/>
          <w:color w:val="000000" w:themeColor="text1"/>
          <w:szCs w:val="24"/>
        </w:rPr>
        <w:t xml:space="preserve">Visioning the role of marginal urban agriculture </w:t>
      </w:r>
    </w:p>
    <w:p w14:paraId="34A43D6A" w14:textId="77777777" w:rsidR="001B4ED5" w:rsidRPr="00895D0B" w:rsidRDefault="006B41C0">
      <w:pPr>
        <w:pStyle w:val="ListParagraph"/>
        <w:numPr>
          <w:ilvl w:val="0"/>
          <w:numId w:val="11"/>
        </w:numPr>
        <w:spacing w:line="360" w:lineRule="auto"/>
        <w:rPr>
          <w:rFonts w:cs="Times New Roman"/>
          <w:color w:val="000000" w:themeColor="text1"/>
          <w:szCs w:val="24"/>
        </w:rPr>
      </w:pPr>
      <w:r w:rsidRPr="00895D0B">
        <w:rPr>
          <w:rFonts w:cs="Times New Roman"/>
          <w:color w:val="000000" w:themeColor="text1"/>
          <w:szCs w:val="24"/>
        </w:rPr>
        <w:t>Integrating climate change adaptation policies in urban agriculture</w:t>
      </w:r>
    </w:p>
    <w:p w14:paraId="1BD4D4DD" w14:textId="77777777" w:rsidR="001B4ED5" w:rsidRPr="00895D0B" w:rsidRDefault="006B41C0">
      <w:pPr>
        <w:pStyle w:val="ListParagraph"/>
        <w:numPr>
          <w:ilvl w:val="0"/>
          <w:numId w:val="11"/>
        </w:numPr>
        <w:spacing w:line="360" w:lineRule="auto"/>
        <w:rPr>
          <w:rFonts w:cs="Times New Roman"/>
          <w:color w:val="000000" w:themeColor="text1"/>
          <w:szCs w:val="24"/>
        </w:rPr>
      </w:pPr>
      <w:r w:rsidRPr="00895D0B">
        <w:rPr>
          <w:rFonts w:cs="Times New Roman"/>
          <w:color w:val="000000" w:themeColor="text1"/>
          <w:szCs w:val="24"/>
        </w:rPr>
        <w:t xml:space="preserve">Innovative solutions to urban </w:t>
      </w:r>
      <w:r w:rsidRPr="00895D0B">
        <w:rPr>
          <w:rFonts w:eastAsia="Times New Roman" w:cs="Times New Roman"/>
          <w:color w:val="000000" w:themeColor="text1"/>
          <w:szCs w:val="24"/>
          <w:lang w:eastAsia="en-GB"/>
        </w:rPr>
        <w:t>agricultural</w:t>
      </w:r>
      <w:r w:rsidRPr="00895D0B">
        <w:rPr>
          <w:rFonts w:cs="Times New Roman"/>
          <w:color w:val="000000" w:themeColor="text1"/>
          <w:szCs w:val="24"/>
        </w:rPr>
        <w:t xml:space="preserve"> challenges</w:t>
      </w:r>
    </w:p>
    <w:p w14:paraId="4EF6F574" w14:textId="77777777" w:rsidR="001B4ED5" w:rsidRPr="00895D0B" w:rsidRDefault="006B41C0">
      <w:pPr>
        <w:pStyle w:val="ListParagraph"/>
        <w:numPr>
          <w:ilvl w:val="0"/>
          <w:numId w:val="11"/>
        </w:numPr>
        <w:spacing w:line="360" w:lineRule="auto"/>
        <w:rPr>
          <w:rFonts w:cs="Times New Roman"/>
          <w:color w:val="000000" w:themeColor="text1"/>
          <w:szCs w:val="24"/>
        </w:rPr>
      </w:pPr>
      <w:r w:rsidRPr="00895D0B">
        <w:rPr>
          <w:rFonts w:cs="Times New Roman"/>
          <w:color w:val="000000" w:themeColor="text1"/>
          <w:szCs w:val="24"/>
        </w:rPr>
        <w:t>Proactive planning of urban land use</w:t>
      </w:r>
    </w:p>
    <w:p w14:paraId="733354CE" w14:textId="77777777" w:rsidR="001B4ED5" w:rsidRPr="00895D0B" w:rsidRDefault="001B4ED5" w:rsidP="005573B9">
      <w:pPr>
        <w:pStyle w:val="NoSpacing"/>
      </w:pPr>
    </w:p>
    <w:p w14:paraId="134951BC" w14:textId="2086BEE9" w:rsidR="001B4ED5" w:rsidRPr="00895D0B" w:rsidRDefault="006B41C0">
      <w:pPr>
        <w:pStyle w:val="Heading2"/>
      </w:pPr>
      <w:r w:rsidRPr="00895D0B">
        <w:t xml:space="preserve"> </w:t>
      </w:r>
      <w:bookmarkStart w:id="49" w:name="_Toc167379883"/>
      <w:r w:rsidR="00A934D8" w:rsidRPr="00895D0B">
        <w:t xml:space="preserve">2.11 </w:t>
      </w:r>
      <w:r w:rsidRPr="00895D0B">
        <w:t>Conclusions</w:t>
      </w:r>
      <w:bookmarkEnd w:id="49"/>
      <w:r w:rsidRPr="00895D0B">
        <w:t xml:space="preserve"> </w:t>
      </w:r>
    </w:p>
    <w:p w14:paraId="7ED1462D" w14:textId="341557A7" w:rsidR="001B4ED5" w:rsidRDefault="00A934D8">
      <w:pPr>
        <w:spacing w:line="360" w:lineRule="auto"/>
        <w:rPr>
          <w:rFonts w:cs="Times New Roman"/>
          <w:color w:val="000000" w:themeColor="text1"/>
          <w:szCs w:val="24"/>
        </w:rPr>
      </w:pPr>
      <w:r w:rsidRPr="00895D0B">
        <w:rPr>
          <w:rFonts w:cs="Times New Roman"/>
          <w:color w:val="000000" w:themeColor="text1"/>
          <w:szCs w:val="24"/>
        </w:rPr>
        <w:t>The section reviewed literature on urban agriculture production under climatic stressors. Based on the empirical literature reviewed it can be</w:t>
      </w:r>
      <w:r w:rsidR="006B41C0" w:rsidRPr="00895D0B">
        <w:rPr>
          <w:rFonts w:cs="Times New Roman"/>
          <w:color w:val="000000" w:themeColor="text1"/>
          <w:szCs w:val="24"/>
        </w:rPr>
        <w:t xml:space="preserve"> conclu</w:t>
      </w:r>
      <w:r w:rsidRPr="00895D0B">
        <w:rPr>
          <w:rFonts w:cs="Times New Roman"/>
          <w:color w:val="000000" w:themeColor="text1"/>
          <w:szCs w:val="24"/>
        </w:rPr>
        <w:t>ded that</w:t>
      </w:r>
      <w:r w:rsidR="006B41C0" w:rsidRPr="00895D0B">
        <w:rPr>
          <w:rFonts w:cs="Times New Roman"/>
          <w:color w:val="000000" w:themeColor="text1"/>
          <w:szCs w:val="24"/>
        </w:rPr>
        <w:t xml:space="preserve"> urban agricultural activities have potentials in meeting the food needs of urban dwellers aside </w:t>
      </w:r>
      <w:r w:rsidR="006B41C0" w:rsidRPr="00895D0B">
        <w:rPr>
          <w:rFonts w:cs="Times New Roman"/>
          <w:color w:val="000000" w:themeColor="text1"/>
          <w:szCs w:val="24"/>
        </w:rPr>
        <w:lastRenderedPageBreak/>
        <w:t xml:space="preserve">the source of livelihood to urban farmers. Despite the importance of urban agriculture in terms of crops and animals production, there is less attention by stakeholders such as City Planners, Landlords, Non-Governmental Organizations, Governmental Agencies such as the Ministry of Food and Agriculture in Ghana to redirect policy attention to urban food production. As such, climate change adaption policies and programmes are limited to the rural farmers meanwhile farmers within the urban spheres need similar assistance to be able to produce more irrespective of the current climatic stressors such as unpredictable rainfall, extreme temperatures and diseases that could affect crop and animal production. Urban agriculture is also affected by land availability and accessibility as city planning and zoning do not factor in urban farming. This calls for taking more punitive measures to give way for urban agriculture in spatial planning and policy formulations and implementations. The next section of this work deal with the study area profile and research methodology adopted. </w:t>
      </w:r>
    </w:p>
    <w:p w14:paraId="39B3E6D6" w14:textId="77777777" w:rsidR="003D0790" w:rsidRDefault="003D0790">
      <w:pPr>
        <w:spacing w:line="360" w:lineRule="auto"/>
        <w:rPr>
          <w:rFonts w:cs="Times New Roman"/>
          <w:color w:val="000000" w:themeColor="text1"/>
          <w:szCs w:val="24"/>
        </w:rPr>
      </w:pPr>
    </w:p>
    <w:p w14:paraId="4EF55280" w14:textId="77777777" w:rsidR="003D0790" w:rsidRDefault="003D0790">
      <w:pPr>
        <w:spacing w:line="360" w:lineRule="auto"/>
        <w:rPr>
          <w:rFonts w:cs="Times New Roman"/>
          <w:color w:val="000000" w:themeColor="text1"/>
          <w:szCs w:val="24"/>
        </w:rPr>
      </w:pPr>
    </w:p>
    <w:p w14:paraId="0064CD2C" w14:textId="77777777" w:rsidR="003D0790" w:rsidRDefault="003D0790">
      <w:pPr>
        <w:spacing w:line="360" w:lineRule="auto"/>
        <w:rPr>
          <w:rFonts w:cs="Times New Roman"/>
          <w:color w:val="000000" w:themeColor="text1"/>
          <w:szCs w:val="24"/>
        </w:rPr>
      </w:pPr>
    </w:p>
    <w:p w14:paraId="791D32EE" w14:textId="77777777" w:rsidR="003D0790" w:rsidRDefault="003D0790">
      <w:pPr>
        <w:spacing w:line="360" w:lineRule="auto"/>
        <w:rPr>
          <w:rFonts w:cs="Times New Roman"/>
          <w:color w:val="000000" w:themeColor="text1"/>
          <w:szCs w:val="24"/>
        </w:rPr>
      </w:pPr>
    </w:p>
    <w:p w14:paraId="26A48993" w14:textId="77777777" w:rsidR="003D0790" w:rsidRDefault="003D0790">
      <w:pPr>
        <w:spacing w:line="360" w:lineRule="auto"/>
        <w:rPr>
          <w:rFonts w:cs="Times New Roman"/>
          <w:color w:val="000000" w:themeColor="text1"/>
          <w:szCs w:val="24"/>
        </w:rPr>
      </w:pPr>
    </w:p>
    <w:p w14:paraId="2B2BEDD1" w14:textId="77777777" w:rsidR="003D0790" w:rsidRDefault="003D0790">
      <w:pPr>
        <w:spacing w:line="360" w:lineRule="auto"/>
        <w:rPr>
          <w:rFonts w:cs="Times New Roman"/>
          <w:color w:val="000000" w:themeColor="text1"/>
          <w:szCs w:val="24"/>
        </w:rPr>
      </w:pPr>
    </w:p>
    <w:p w14:paraId="2F082523" w14:textId="77777777" w:rsidR="003D0790" w:rsidRDefault="003D0790">
      <w:pPr>
        <w:spacing w:line="360" w:lineRule="auto"/>
        <w:rPr>
          <w:rFonts w:cs="Times New Roman"/>
          <w:color w:val="000000" w:themeColor="text1"/>
          <w:szCs w:val="24"/>
        </w:rPr>
      </w:pPr>
    </w:p>
    <w:p w14:paraId="27661306" w14:textId="77777777" w:rsidR="003D0790" w:rsidRDefault="003D0790">
      <w:pPr>
        <w:spacing w:line="360" w:lineRule="auto"/>
        <w:rPr>
          <w:rFonts w:cs="Times New Roman"/>
          <w:color w:val="000000" w:themeColor="text1"/>
          <w:szCs w:val="24"/>
        </w:rPr>
      </w:pPr>
    </w:p>
    <w:p w14:paraId="70AA08A4" w14:textId="77777777" w:rsidR="003D0790" w:rsidRDefault="003D0790">
      <w:pPr>
        <w:spacing w:line="360" w:lineRule="auto"/>
        <w:rPr>
          <w:rFonts w:cs="Times New Roman"/>
          <w:color w:val="000000" w:themeColor="text1"/>
          <w:szCs w:val="24"/>
        </w:rPr>
      </w:pPr>
    </w:p>
    <w:p w14:paraId="52E552DA" w14:textId="77777777" w:rsidR="005573B9" w:rsidRDefault="005573B9">
      <w:pPr>
        <w:spacing w:line="360" w:lineRule="auto"/>
        <w:rPr>
          <w:rFonts w:cs="Times New Roman"/>
          <w:color w:val="000000" w:themeColor="text1"/>
          <w:szCs w:val="24"/>
        </w:rPr>
      </w:pPr>
    </w:p>
    <w:p w14:paraId="50DDFC0F" w14:textId="77777777" w:rsidR="005573B9" w:rsidRDefault="005573B9">
      <w:pPr>
        <w:spacing w:line="360" w:lineRule="auto"/>
        <w:rPr>
          <w:rFonts w:cs="Times New Roman"/>
          <w:color w:val="000000" w:themeColor="text1"/>
          <w:szCs w:val="24"/>
        </w:rPr>
      </w:pPr>
    </w:p>
    <w:p w14:paraId="11BAE3E7" w14:textId="77777777" w:rsidR="005573B9" w:rsidRDefault="005573B9">
      <w:pPr>
        <w:spacing w:line="360" w:lineRule="auto"/>
        <w:rPr>
          <w:rFonts w:cs="Times New Roman"/>
          <w:color w:val="000000" w:themeColor="text1"/>
          <w:szCs w:val="24"/>
        </w:rPr>
      </w:pPr>
    </w:p>
    <w:p w14:paraId="4703F591" w14:textId="77777777" w:rsidR="005573B9" w:rsidRDefault="005573B9">
      <w:pPr>
        <w:spacing w:line="360" w:lineRule="auto"/>
        <w:rPr>
          <w:rFonts w:cs="Times New Roman"/>
          <w:color w:val="000000" w:themeColor="text1"/>
          <w:szCs w:val="24"/>
        </w:rPr>
      </w:pPr>
    </w:p>
    <w:p w14:paraId="10460A68" w14:textId="77777777" w:rsidR="005573B9" w:rsidRDefault="005573B9">
      <w:pPr>
        <w:spacing w:line="360" w:lineRule="auto"/>
        <w:rPr>
          <w:rFonts w:cs="Times New Roman"/>
          <w:color w:val="000000" w:themeColor="text1"/>
          <w:szCs w:val="24"/>
        </w:rPr>
      </w:pPr>
    </w:p>
    <w:p w14:paraId="1A1D0E72" w14:textId="77777777" w:rsidR="005573B9" w:rsidRDefault="005573B9">
      <w:pPr>
        <w:spacing w:line="360" w:lineRule="auto"/>
        <w:rPr>
          <w:rFonts w:cs="Times New Roman"/>
          <w:color w:val="000000" w:themeColor="text1"/>
          <w:szCs w:val="24"/>
        </w:rPr>
      </w:pPr>
    </w:p>
    <w:p w14:paraId="45DF6D9F" w14:textId="77777777" w:rsidR="005573B9" w:rsidRDefault="005573B9">
      <w:pPr>
        <w:spacing w:line="360" w:lineRule="auto"/>
        <w:rPr>
          <w:rFonts w:cs="Times New Roman"/>
          <w:color w:val="000000" w:themeColor="text1"/>
          <w:szCs w:val="24"/>
        </w:rPr>
      </w:pPr>
    </w:p>
    <w:p w14:paraId="0189F3B8" w14:textId="77777777" w:rsidR="003D0790" w:rsidRPr="00895D0B" w:rsidRDefault="003D0790">
      <w:pPr>
        <w:spacing w:line="360" w:lineRule="auto"/>
        <w:rPr>
          <w:rFonts w:cs="Times New Roman"/>
          <w:color w:val="000000" w:themeColor="text1"/>
          <w:szCs w:val="24"/>
        </w:rPr>
      </w:pPr>
    </w:p>
    <w:p w14:paraId="0BAACE41" w14:textId="77777777" w:rsidR="001B4ED5" w:rsidRPr="00895D0B" w:rsidRDefault="001B4ED5">
      <w:pPr>
        <w:spacing w:line="360" w:lineRule="auto"/>
        <w:rPr>
          <w:rFonts w:cs="Times New Roman"/>
          <w:color w:val="000000" w:themeColor="text1"/>
          <w:szCs w:val="24"/>
        </w:rPr>
      </w:pPr>
    </w:p>
    <w:p w14:paraId="3B65CE7A" w14:textId="77777777" w:rsidR="001B4ED5" w:rsidRPr="00895D0B" w:rsidRDefault="006B41C0" w:rsidP="009745EC">
      <w:pPr>
        <w:pStyle w:val="Heading1"/>
      </w:pPr>
      <w:bookmarkStart w:id="50" w:name="_Toc167379884"/>
      <w:r w:rsidRPr="00895D0B">
        <w:lastRenderedPageBreak/>
        <w:t>CHAPTER THREE</w:t>
      </w:r>
      <w:bookmarkEnd w:id="50"/>
    </w:p>
    <w:p w14:paraId="4BAEF90F" w14:textId="77777777" w:rsidR="001B4ED5" w:rsidRPr="00895D0B" w:rsidRDefault="006B41C0" w:rsidP="009745EC">
      <w:pPr>
        <w:pStyle w:val="Heading1"/>
      </w:pPr>
      <w:bookmarkStart w:id="51" w:name="_Toc167379885"/>
      <w:r w:rsidRPr="00895D0B">
        <w:t>STUDY AREA AND METHODOLOGY</w:t>
      </w:r>
      <w:bookmarkEnd w:id="51"/>
      <w:r w:rsidRPr="00895D0B">
        <w:t xml:space="preserve"> </w:t>
      </w:r>
    </w:p>
    <w:p w14:paraId="12958D04" w14:textId="77777777" w:rsidR="001B4ED5" w:rsidRPr="00895D0B" w:rsidRDefault="006B41C0">
      <w:pPr>
        <w:pStyle w:val="Heading2"/>
      </w:pPr>
      <w:bookmarkStart w:id="52" w:name="_Toc167379886"/>
      <w:r w:rsidRPr="00895D0B">
        <w:t>3.1 Introduction</w:t>
      </w:r>
      <w:bookmarkEnd w:id="52"/>
      <w:r w:rsidRPr="00895D0B">
        <w:t xml:space="preserve"> </w:t>
      </w:r>
    </w:p>
    <w:p w14:paraId="0E4FA0C2" w14:textId="77777777" w:rsidR="001B4ED5" w:rsidRPr="00895D0B" w:rsidRDefault="006B41C0">
      <w:pPr>
        <w:spacing w:after="240" w:line="360" w:lineRule="auto"/>
        <w:rPr>
          <w:rFonts w:cs="Times New Roman"/>
          <w:color w:val="000000" w:themeColor="text1"/>
          <w:szCs w:val="24"/>
          <w:lang w:val="en-US"/>
        </w:rPr>
      </w:pPr>
      <w:r w:rsidRPr="00895D0B">
        <w:rPr>
          <w:rFonts w:cs="Times New Roman"/>
          <w:color w:val="000000" w:themeColor="text1"/>
          <w:szCs w:val="24"/>
          <w:lang w:val="en-US"/>
        </w:rPr>
        <w:t xml:space="preserve">This chapter presents the profile of the study area, comprising the location and landmass of the municipality, demographic features, topography, vegetation, and climate as well as economic activities. The chapter also outlines the research methodology including the research approach and design, study area selection, sources of data, research population, and unit of analysis. Other relevant sections in this chapter include the sample size determination and sampling procedures, methods and tools of data collection, methods of data analysis and presentation, data validity, reliability, and ethical considerations. </w:t>
      </w:r>
    </w:p>
    <w:p w14:paraId="1FD6DED6" w14:textId="2710E50F" w:rsidR="001B4ED5" w:rsidRPr="00895D0B" w:rsidRDefault="006B41C0">
      <w:pPr>
        <w:pStyle w:val="Heading2"/>
      </w:pPr>
      <w:bookmarkStart w:id="53" w:name="_Toc167379887"/>
      <w:r w:rsidRPr="00895D0B">
        <w:t>3.2 Profile of the Study Area</w:t>
      </w:r>
      <w:bookmarkEnd w:id="53"/>
    </w:p>
    <w:p w14:paraId="6239B68D" w14:textId="31D0748B" w:rsidR="00D3436E" w:rsidRPr="00895D0B" w:rsidRDefault="00D3436E" w:rsidP="009864E3">
      <w:pPr>
        <w:pStyle w:val="Heading3"/>
      </w:pPr>
      <w:bookmarkStart w:id="54" w:name="_Toc167379888"/>
      <w:r w:rsidRPr="00895D0B">
        <w:t>3.</w:t>
      </w:r>
      <w:r w:rsidR="005A47F6" w:rsidRPr="00895D0B">
        <w:t>3</w:t>
      </w:r>
      <w:r w:rsidRPr="00895D0B">
        <w:t>.1 Study area selection</w:t>
      </w:r>
      <w:bookmarkEnd w:id="54"/>
      <w:r w:rsidRPr="00895D0B">
        <w:t xml:space="preserve"> </w:t>
      </w:r>
    </w:p>
    <w:p w14:paraId="396199DB" w14:textId="7631A1DB" w:rsidR="00CB7D33" w:rsidRPr="00895D0B" w:rsidRDefault="00D3436E" w:rsidP="00CB7D33">
      <w:pPr>
        <w:spacing w:line="360" w:lineRule="auto"/>
        <w:rPr>
          <w:rFonts w:cs="Times New Roman"/>
          <w:color w:val="000000" w:themeColor="text1"/>
          <w:szCs w:val="24"/>
          <w:lang w:val="en-US"/>
        </w:rPr>
      </w:pPr>
      <w:r w:rsidRPr="00895D0B">
        <w:rPr>
          <w:rFonts w:cs="Times New Roman"/>
          <w:color w:val="000000" w:themeColor="text1"/>
          <w:szCs w:val="24"/>
          <w:lang w:val="en-US"/>
        </w:rPr>
        <w:t xml:space="preserve">In every research, there should be a rationale behind the study area selected and a justification why location is chosen but not others (Tashakkori &amp; Creswell, 2007). The study was conducted in the Upper West Region of Ghana, particularly Wa Township (See Figure 3.1). The choice of the study area is informed by the fact that many people within the Upper West Region especially, the Wa township mainly derive their livelihood from crop and animal production. However, their activities are affected by climate change stressors such as </w:t>
      </w:r>
      <w:r w:rsidR="0067106D" w:rsidRPr="00895D0B">
        <w:rPr>
          <w:rFonts w:cs="Times New Roman"/>
          <w:color w:val="000000" w:themeColor="text1"/>
          <w:szCs w:val="24"/>
          <w:lang w:val="en-US"/>
        </w:rPr>
        <w:t>unpredictable rainfall, high temperature, flooding and pest and diseases.</w:t>
      </w:r>
      <w:r w:rsidRPr="00895D0B">
        <w:rPr>
          <w:rFonts w:cs="Times New Roman"/>
          <w:color w:val="000000" w:themeColor="text1"/>
          <w:szCs w:val="24"/>
          <w:lang w:val="en-US"/>
        </w:rPr>
        <w:t xml:space="preserve"> Also, the Upper West Region was chosen purposively due to its state of emerging cities as compared to the already bigger cities in the southern half of the country (Osumanu et al., 2019).</w:t>
      </w:r>
      <w:r w:rsidR="00F255CC" w:rsidRPr="00895D0B">
        <w:rPr>
          <w:rFonts w:cs="Times New Roman"/>
          <w:color w:val="000000" w:themeColor="text1"/>
          <w:szCs w:val="24"/>
          <w:lang w:val="en-US"/>
        </w:rPr>
        <w:t xml:space="preserve"> </w:t>
      </w:r>
      <w:r w:rsidR="00CB7D33" w:rsidRPr="00895D0B">
        <w:rPr>
          <w:rFonts w:cs="Times New Roman"/>
          <w:color w:val="000000" w:themeColor="text1"/>
          <w:szCs w:val="24"/>
          <w:lang w:val="en-US"/>
        </w:rPr>
        <w:t>The study covered almost all the sections in the Wa township. Using Osumanu et al. (2019) zonation of the  Wa township, the study area was divided into three (3) residential zones; low, middle, and high residential classes. The inner core of the city also termed the low-class residential zone consists of Kanbale, Kpaguri, and Mangu (cluster C). The transition zone also called, the middle-class residential area includes Sombo, Konbiehi, and Social Security and national insurance trust (SSNIT) residential area (cluster B), and the outer core also known as the high residential areas include Naporgbakole, Nakoripaani and Bilbao residential areas (cluster A) (</w:t>
      </w:r>
      <w:r w:rsidR="00CB7D33" w:rsidRPr="00895D0B">
        <w:rPr>
          <w:rFonts w:cs="Times New Roman"/>
          <w:i/>
          <w:color w:val="000000" w:themeColor="text1"/>
          <w:szCs w:val="24"/>
          <w:lang w:val="en-US"/>
        </w:rPr>
        <w:t>See Figure 3.1).</w:t>
      </w:r>
    </w:p>
    <w:p w14:paraId="657BBBFB" w14:textId="66AF558D" w:rsidR="008F6023" w:rsidRPr="00895D0B" w:rsidRDefault="008F6023" w:rsidP="00CB7D33">
      <w:pPr>
        <w:spacing w:line="360" w:lineRule="auto"/>
        <w:rPr>
          <w:rFonts w:cs="Times New Roman"/>
          <w:i/>
          <w:color w:val="000000" w:themeColor="text1"/>
          <w:szCs w:val="24"/>
          <w:lang w:val="en-US"/>
        </w:rPr>
      </w:pPr>
      <w:r w:rsidRPr="00895D0B">
        <w:rPr>
          <w:rFonts w:cs="Times New Roman"/>
          <w:i/>
          <w:noProof/>
          <w:color w:val="000000" w:themeColor="text1"/>
          <w:szCs w:val="24"/>
          <w:lang w:eastAsia="en-GB"/>
        </w:rPr>
        <w:lastRenderedPageBreak/>
        <w:drawing>
          <wp:inline distT="0" distB="0" distL="0" distR="0" wp14:anchorId="6F71EAE5" wp14:editId="4B801676">
            <wp:extent cx="5417820" cy="382968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tudy_Area_Map.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17820" cy="3829685"/>
                    </a:xfrm>
                    <a:prstGeom prst="rect">
                      <a:avLst/>
                    </a:prstGeom>
                  </pic:spPr>
                </pic:pic>
              </a:graphicData>
            </a:graphic>
          </wp:inline>
        </w:drawing>
      </w:r>
    </w:p>
    <w:p w14:paraId="18E05BDA" w14:textId="0D830D53" w:rsidR="00D3436E" w:rsidRPr="00895D0B" w:rsidRDefault="00D3436E" w:rsidP="005C12E8">
      <w:pPr>
        <w:pStyle w:val="Heading5"/>
        <w:rPr>
          <w:lang w:val="en-US"/>
        </w:rPr>
      </w:pPr>
      <w:bookmarkStart w:id="55" w:name="_Toc167368256"/>
      <w:r w:rsidRPr="00895D0B">
        <w:rPr>
          <w:lang w:val="en-US"/>
        </w:rPr>
        <w:t>Figure 3.1: Study Area Map</w:t>
      </w:r>
      <w:bookmarkEnd w:id="55"/>
      <w:r w:rsidRPr="00895D0B">
        <w:rPr>
          <w:lang w:val="en-US"/>
        </w:rPr>
        <w:t xml:space="preserve"> </w:t>
      </w:r>
    </w:p>
    <w:p w14:paraId="0A5F7197" w14:textId="3DBBD8E2" w:rsidR="00D3436E" w:rsidRPr="00895D0B" w:rsidRDefault="00D3436E" w:rsidP="00CB7D33">
      <w:pPr>
        <w:spacing w:line="360" w:lineRule="auto"/>
        <w:rPr>
          <w:rFonts w:cs="Times New Roman"/>
          <w:color w:val="000000" w:themeColor="text1"/>
          <w:szCs w:val="24"/>
          <w:lang w:val="en-US"/>
        </w:rPr>
      </w:pPr>
      <w:r w:rsidRPr="00895D0B">
        <w:rPr>
          <w:rFonts w:cs="Times New Roman"/>
          <w:color w:val="000000" w:themeColor="text1"/>
          <w:szCs w:val="24"/>
          <w:lang w:val="en-US"/>
        </w:rPr>
        <w:t>Source: Author’s Construct, 2022</w:t>
      </w:r>
    </w:p>
    <w:p w14:paraId="6A7C278C" w14:textId="77777777" w:rsidR="00CB7D33" w:rsidRPr="00895D0B" w:rsidRDefault="00CB7D33" w:rsidP="00CB7D33">
      <w:pPr>
        <w:spacing w:line="360" w:lineRule="auto"/>
        <w:rPr>
          <w:rFonts w:cs="Times New Roman"/>
          <w:color w:val="000000" w:themeColor="text1"/>
          <w:szCs w:val="24"/>
          <w:lang w:val="en-US"/>
        </w:rPr>
      </w:pPr>
    </w:p>
    <w:p w14:paraId="112F7F9A" w14:textId="0094115A" w:rsidR="001B4ED5" w:rsidRPr="00895D0B" w:rsidRDefault="006B41C0" w:rsidP="009864E3">
      <w:pPr>
        <w:pStyle w:val="Heading3"/>
      </w:pPr>
      <w:bookmarkStart w:id="56" w:name="_Toc167379889"/>
      <w:r w:rsidRPr="00895D0B">
        <w:t>3.2.</w:t>
      </w:r>
      <w:r w:rsidR="005A47F6" w:rsidRPr="00895D0B">
        <w:t>2</w:t>
      </w:r>
      <w:r w:rsidRPr="00895D0B">
        <w:t xml:space="preserve"> Location, size, and demographics of Wa Municipal</w:t>
      </w:r>
      <w:bookmarkEnd w:id="56"/>
    </w:p>
    <w:p w14:paraId="663EF1D6" w14:textId="7B40DFA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 xml:space="preserve">The Wa Municipal is one of the eleven Municipal and district assemblies (MDAs) in the Upper West Region, Ghana. Geographically, the Wa Municipality lies between latitudes </w:t>
      </w:r>
      <w:r w:rsidR="00BC6945" w:rsidRPr="00895D0B">
        <w:rPr>
          <w:rFonts w:cs="Times New Roman"/>
          <w:color w:val="000000" w:themeColor="text1"/>
          <w:szCs w:val="24"/>
          <w:lang w:val="en-US"/>
        </w:rPr>
        <w:t xml:space="preserve">9º32’N to 10º20’N and latitude </w:t>
      </w:r>
      <w:r w:rsidRPr="00895D0B">
        <w:rPr>
          <w:rFonts w:cs="Times New Roman"/>
          <w:color w:val="000000" w:themeColor="text1"/>
          <w:szCs w:val="24"/>
          <w:lang w:val="en-US"/>
        </w:rPr>
        <w:t>1º40’</w:t>
      </w:r>
      <w:r w:rsidR="00BC6945" w:rsidRPr="00895D0B">
        <w:rPr>
          <w:rFonts w:cs="Times New Roman"/>
          <w:color w:val="000000" w:themeColor="text1"/>
          <w:szCs w:val="24"/>
          <w:lang w:val="en-US"/>
        </w:rPr>
        <w:t>W</w:t>
      </w:r>
      <w:r w:rsidRPr="00895D0B">
        <w:rPr>
          <w:rFonts w:cs="Times New Roman"/>
          <w:color w:val="000000" w:themeColor="text1"/>
          <w:szCs w:val="24"/>
          <w:lang w:val="en-US"/>
        </w:rPr>
        <w:t xml:space="preserve"> to 2º45’</w:t>
      </w:r>
      <w:r w:rsidR="00BC6945" w:rsidRPr="00895D0B">
        <w:rPr>
          <w:rFonts w:cs="Times New Roman"/>
          <w:color w:val="000000" w:themeColor="text1"/>
          <w:szCs w:val="24"/>
          <w:lang w:val="en-US"/>
        </w:rPr>
        <w:t>W</w:t>
      </w:r>
      <w:r w:rsidRPr="00895D0B">
        <w:rPr>
          <w:rFonts w:cs="Times New Roman"/>
          <w:color w:val="000000" w:themeColor="text1"/>
          <w:szCs w:val="24"/>
          <w:lang w:val="en-US"/>
        </w:rPr>
        <w:t xml:space="preserve">  of the equator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2021)","plainTextFormattedCitation":"(Ghana Statistical Service, 2021)","previouslyFormattedCitation":"(Ghana Statistical Service, 2021)"},"properties":{"noteIndex":0},"schema":"https://github.com/citation-style-language/schema/raw/master/csl-citation.json"}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(Ghana Statistical Service, 2021)</w:t>
      </w:r>
      <w:r w:rsidRPr="00895D0B">
        <w:rPr>
          <w:rFonts w:cs="Times New Roman"/>
          <w:color w:val="000000" w:themeColor="text1"/>
          <w:szCs w:val="24"/>
          <w:lang w:val="en-US"/>
        </w:rPr>
        <w:fldChar w:fldCharType="end"/>
      </w:r>
      <w:r w:rsidRPr="00895D0B">
        <w:rPr>
          <w:rFonts w:cs="Times New Roman"/>
          <w:color w:val="000000" w:themeColor="text1"/>
          <w:szCs w:val="24"/>
          <w:lang w:val="en-US"/>
        </w:rPr>
        <w:t>. The municipality shares boundaries with Nadowli</w:t>
      </w:r>
      <w:r w:rsidR="004F4EBA" w:rsidRPr="00895D0B">
        <w:rPr>
          <w:rFonts w:cs="Times New Roman"/>
          <w:color w:val="000000" w:themeColor="text1"/>
          <w:szCs w:val="24"/>
          <w:lang w:val="en-US"/>
        </w:rPr>
        <w:t>-Kaleo</w:t>
      </w:r>
      <w:r w:rsidRPr="00895D0B">
        <w:rPr>
          <w:rFonts w:cs="Times New Roman"/>
          <w:color w:val="000000" w:themeColor="text1"/>
          <w:szCs w:val="24"/>
          <w:lang w:val="en-US"/>
        </w:rPr>
        <w:t xml:space="preserve"> District to the North, Wa East District to the </w:t>
      </w:r>
      <w:r w:rsidR="004F4EBA" w:rsidRPr="00895D0B">
        <w:rPr>
          <w:rFonts w:cs="Times New Roman"/>
          <w:color w:val="000000" w:themeColor="text1"/>
          <w:szCs w:val="24"/>
          <w:lang w:val="en-US"/>
        </w:rPr>
        <w:t xml:space="preserve">East and </w:t>
      </w:r>
      <w:r w:rsidRPr="00895D0B">
        <w:rPr>
          <w:rFonts w:cs="Times New Roman"/>
          <w:color w:val="000000" w:themeColor="text1"/>
          <w:szCs w:val="24"/>
          <w:lang w:val="en-US"/>
        </w:rPr>
        <w:t xml:space="preserve">South-East, and the Wa West District to the </w:t>
      </w:r>
      <w:r w:rsidR="004F4EBA" w:rsidRPr="00895D0B">
        <w:rPr>
          <w:rFonts w:cs="Times New Roman"/>
          <w:color w:val="000000" w:themeColor="text1"/>
          <w:szCs w:val="24"/>
          <w:lang w:val="en-US"/>
        </w:rPr>
        <w:t xml:space="preserve">West and </w:t>
      </w:r>
      <w:r w:rsidRPr="00895D0B">
        <w:rPr>
          <w:rFonts w:cs="Times New Roman"/>
          <w:color w:val="000000" w:themeColor="text1"/>
          <w:szCs w:val="24"/>
          <w:lang w:val="en-US"/>
        </w:rPr>
        <w:t xml:space="preserve">South-West. The total landmass of the municipality is about 234.74 kilometers square with a population of about 200,672. Of the aforesaid population, 98,493 (49.0%) are males and 102,179 (51%) are females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2021)","plainTextFormattedCitation":"(Ghana Statistical Service, 2021)","previouslyFormattedCitation":"(Ghana Statistical Service, 2021)"},"properties":{"noteIndex":0},"schema":"https://github.com/citation-style-language/schema/raw/master/csl-citation.json"}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(Ghana Statistical Service, 2021)</w:t>
      </w:r>
      <w:r w:rsidRPr="00895D0B">
        <w:rPr>
          <w:rFonts w:cs="Times New Roman"/>
          <w:color w:val="000000" w:themeColor="text1"/>
          <w:szCs w:val="24"/>
          <w:lang w:val="en-US"/>
        </w:rPr>
        <w:fldChar w:fldCharType="end"/>
      </w:r>
      <w:r w:rsidR="00F255CC" w:rsidRPr="00895D0B">
        <w:rPr>
          <w:rFonts w:cs="Times New Roman"/>
          <w:color w:val="000000" w:themeColor="text1"/>
          <w:szCs w:val="24"/>
          <w:lang w:val="en-US"/>
        </w:rPr>
        <w:t xml:space="preserve">. </w:t>
      </w:r>
      <w:r w:rsidRPr="00895D0B">
        <w:rPr>
          <w:rFonts w:cs="Times New Roman"/>
          <w:color w:val="000000" w:themeColor="text1"/>
          <w:szCs w:val="24"/>
          <w:lang w:val="en-US"/>
        </w:rPr>
        <w:t xml:space="preserve">The state of the population means that there is intense pressure on land use conversion resulting from rapid urbanization which affects urban crops and animal production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{"citationItems":[{"id":"ITEM-1","itemData":{"DOI":"10.1007/s12132-018-9341-8","ISSN":"1015-3802","abstract":"This article examined the mutation of Wa from patches of villages to a Municipality in Ghana and how the expansion has affected land use/land cover changes. The study was approached by first observing population growth trends over the years and overlaying satellite imageries of 1986, 2001, 2014 and 2016 to determine the extent of expansion and land use changes. Additionally, historical perspectives were explored from indigenes with accumulated knowledge to unpack the factors responsible for the expansion over space and time. The evidence revealed a continuous outward expansion while the built-up area and the population growth rate had increased over 1,130 times and 110% respectively within the period under study. The evidence further laid bare the intricate political, social and economic factors that have contributed to the changing size and morphology of the Municipality. It is argued that the trend of expansion calls for proper land use planning and proper anti-sprawl policies.","author":[{"dropping-particle":"","family":"Osumanu","given":"Issaka Kanton","non-dropping-particle":"","parse-names":false,"suffix":""},{"dropping-particle":"","family":"Akongbangre","given":"Joseph Nyaaba","non-dropping-particle":"","parse-names":false,"suffix":""},{"dropping-particle":"","family":"Tuu","given":"Gordon N.Yelkabo","non-dropping-particle":"","parse-names":false,"suffix":""},{"dropping-particle":"","family":"Owusu-Sekyere","given":"Ebenezer","non-dropping-particle":"","parse-names":false,"suffix":""}],"container-title":"Urban Forum","id":"ITEM-1","issue":"1","issued":{"date-parts":[["2019","3","10"]]},"page":"57-74","publisher":"Urban Forum","title":"From Patches of Villages to a Municipality: Time, Space, and Expansion of Wa, Ghana","type":"article-journal","volume":"30"},"uris":["http://www.mendeley.com/documents/?uuid=186cc78a-8d93-4796-81dc-2924456a73ba"]}],"mendeley":{"formattedCitation":"(Osumanu et al., 2019)","plainTextFormattedCitation":"(Osumanu et al., 2019)","previouslyFormattedCitation":"(Osumanu et al., 2019)"},"properties":{"noteIndex":0},"schema":"https://github.com/citation-style-language/schema/raw/master/csl-citation.json"}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(Osumanu et al., 2019)</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This is worsening as climate change and variability stressors affect urban farming activities. It is on record that the municipality has low educational attainment; about 75.7% of the people have no formal education, 6.6% have had primary education and 17.0% have secondary and tertiary education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author":[{"dropping-particle":"","family":"USAID","given":"","non-dropping-particle":"","parse-names":false,"suffix":""}],"id":"ITEM-1","issue":"1","issued":{"date-parts":[["2017"]]},"number-of-pages":"400-408","publisher-place":"Accra","title":"Feed the future Ghana district profile series, Wa municipal","type":"report"},"uris":["http://www.mendeley.com/documents/?uuid=f4ce9808-662c-4bca-84f1-deb68ad6eb1a"]}],"mendeley":{"formattedCitation":"(USAID, 2017)","plainTextFormattedCitation":"(USAID, 2017)","previouslyFormattedCitation":"(USAID, 2017)"},"properties":{"noteIndex":0},"schema":"https://github.com/citation-style-language/schema/raw/master/csl-citation.json"}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 xml:space="preserve">(USAID, </w:t>
      </w:r>
      <w:r w:rsidRPr="00895D0B">
        <w:rPr>
          <w:rFonts w:cs="Times New Roman"/>
          <w:noProof/>
          <w:color w:val="000000" w:themeColor="text1"/>
          <w:szCs w:val="24"/>
          <w:lang w:val="en-US"/>
        </w:rPr>
        <w:lastRenderedPageBreak/>
        <w:t>2017)</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This means that the level of education and religious affiliation of the people living in the Wa township could influence the desire of households to engage in crops and animal production in the urban area. </w:t>
      </w:r>
    </w:p>
    <w:p w14:paraId="17D0961B" w14:textId="77777777" w:rsidR="001B4ED5" w:rsidRPr="00895D0B" w:rsidRDefault="001B4ED5" w:rsidP="006C7099">
      <w:pPr>
        <w:pStyle w:val="NoSpacing"/>
        <w:rPr>
          <w:lang w:val="en-US"/>
        </w:rPr>
      </w:pPr>
    </w:p>
    <w:p w14:paraId="381B4AD9" w14:textId="74EDF09E" w:rsidR="001B4ED5" w:rsidRPr="00895D0B" w:rsidRDefault="006B41C0" w:rsidP="009864E3">
      <w:pPr>
        <w:pStyle w:val="Heading3"/>
      </w:pPr>
      <w:bookmarkStart w:id="57" w:name="_Toc167379890"/>
      <w:r w:rsidRPr="00895D0B">
        <w:t>3.2.</w:t>
      </w:r>
      <w:r w:rsidR="005A47F6" w:rsidRPr="00895D0B">
        <w:t>3</w:t>
      </w:r>
      <w:r w:rsidRPr="00895D0B">
        <w:t xml:space="preserve"> Topography, vegetation, and climate</w:t>
      </w:r>
      <w:bookmarkEnd w:id="57"/>
      <w:r w:rsidRPr="00895D0B">
        <w:t xml:space="preserve"> </w:t>
      </w:r>
    </w:p>
    <w:p w14:paraId="0A1333C9" w14:textId="3FEEE539" w:rsidR="001B4ED5" w:rsidRPr="00895D0B" w:rsidRDefault="006B41C0">
      <w:pPr>
        <w:shd w:val="clear" w:color="auto" w:fill="FFFFFF"/>
        <w:spacing w:line="360" w:lineRule="auto"/>
        <w:rPr>
          <w:rFonts w:eastAsia="Times New Roman" w:cs="Times New Roman"/>
          <w:color w:val="000000" w:themeColor="text1"/>
          <w:szCs w:val="24"/>
          <w:lang w:val="en-US"/>
        </w:rPr>
      </w:pPr>
      <w:r w:rsidRPr="00895D0B">
        <w:rPr>
          <w:rFonts w:eastAsia="Times New Roman" w:cs="Times New Roman"/>
          <w:color w:val="000000" w:themeColor="text1"/>
          <w:szCs w:val="24"/>
          <w:lang w:val="en-US"/>
        </w:rPr>
        <w:t xml:space="preserve">Generally, the topography of the Wa Municipality is undulating with an average height between 160m and 300m above sea level. Some portions of the Municipality have low lands like the Charia-Zingu stretch which starts from the Kumbiehie-Billi and Kpaguri valleys, the Kperisi area, and the Piisi-Bole-Busa surroundings </w:t>
      </w:r>
      <w:r w:rsidRPr="00895D0B">
        <w:rPr>
          <w:rFonts w:eastAsia="Times New Roman" w:cs="Times New Roman"/>
          <w:color w:val="000000" w:themeColor="text1"/>
          <w:szCs w:val="24"/>
          <w:lang w:val="en-US"/>
        </w:rPr>
        <w:fldChar w:fldCharType="begin" w:fldLock="1"/>
      </w:r>
      <w:r w:rsidRPr="00895D0B">
        <w:rPr>
          <w:rFonts w:eastAsia="Times New Roman" w:cs="Times New Roman"/>
          <w:color w:val="000000" w:themeColor="text1"/>
          <w:szCs w:val="24"/>
          <w:lang w:val="en-US"/>
        </w:rPr>
        <w:instrText>ADDIN CSL_CITATION {"citationItems":[{"id":"ITEM-1","itemData":{"author":[{"dropping-particle":"","family":"UNDP","given":"","non-dropping-particle":"","parse-names":false,"suffix":""}],"id":"ITEM-1","issued":{"date-parts":[["2011"]]},"page":"1-14","title":"Wa Municipal Assembly Human Development Report 2011 and the Attainment of MDGs DEVELOPMENT","type":"article-journal"},"uris":["http://www.mendeley.com/documents/?uuid=3d4bcb84-9b9f-4f19-ba71-68e0907fd188"]}],"mendeley":{"formattedCitation":"(UNDP, 2011)","plainTextFormattedCitation":"(UNDP, 2011)","previouslyFormattedCitation":"(UNDP, 2011)"},"properties":{"noteIndex":0},"schema":"https://github.com/citation-style-language/schema/raw/master/csl-citation.json"}</w:instrText>
      </w:r>
      <w:r w:rsidRPr="00895D0B">
        <w:rPr>
          <w:rFonts w:eastAsia="Times New Roman" w:cs="Times New Roman"/>
          <w:color w:val="000000" w:themeColor="text1"/>
          <w:szCs w:val="24"/>
          <w:lang w:val="en-US"/>
        </w:rPr>
        <w:fldChar w:fldCharType="separate"/>
      </w:r>
      <w:r w:rsidRPr="00895D0B">
        <w:rPr>
          <w:rFonts w:eastAsia="Times New Roman" w:cs="Times New Roman"/>
          <w:noProof/>
          <w:color w:val="000000" w:themeColor="text1"/>
          <w:szCs w:val="24"/>
          <w:lang w:val="en-US"/>
        </w:rPr>
        <w:t>(UNDP, 2011)</w:t>
      </w:r>
      <w:r w:rsidRPr="00895D0B">
        <w:rPr>
          <w:rFonts w:eastAsia="Times New Roman" w:cs="Times New Roman"/>
          <w:color w:val="000000" w:themeColor="text1"/>
          <w:szCs w:val="24"/>
          <w:lang w:val="en-US"/>
        </w:rPr>
        <w:fldChar w:fldCharType="end"/>
      </w:r>
      <w:r w:rsidRPr="00895D0B">
        <w:rPr>
          <w:rFonts w:eastAsia="Times New Roman" w:cs="Times New Roman"/>
          <w:color w:val="000000" w:themeColor="text1"/>
          <w:szCs w:val="24"/>
          <w:lang w:val="en-US"/>
        </w:rPr>
        <w:t>. This undulating topography of highlands and lowlands conditions agricultural activities in the Wa Municipality. Thus, inhabitants grow food crops and rear livestock. The low-lying areas in particular allow farmers to cultivate twice in a year–the annual rainy season and dry season farming which involves the cultivation of vegetables. In addition, the vegetation is predominantly guinea savanna woodland with grasses and interspersed with species of trees such as shea tree (</w:t>
      </w:r>
      <w:r w:rsidRPr="00895D0B">
        <w:rPr>
          <w:rFonts w:eastAsia="Times New Roman" w:cs="Times New Roman"/>
          <w:i/>
          <w:color w:val="000000" w:themeColor="text1"/>
          <w:szCs w:val="24"/>
          <w:lang w:val="en-US"/>
        </w:rPr>
        <w:t>Vitellaria paradoxa)</w:t>
      </w:r>
      <w:r w:rsidRPr="00895D0B">
        <w:rPr>
          <w:rFonts w:eastAsia="Times New Roman" w:cs="Times New Roman"/>
          <w:color w:val="000000" w:themeColor="text1"/>
          <w:szCs w:val="24"/>
          <w:lang w:val="en-US"/>
        </w:rPr>
        <w:t>, dawadawa (</w:t>
      </w:r>
      <w:r w:rsidRPr="00895D0B">
        <w:rPr>
          <w:rFonts w:eastAsia="Times New Roman" w:cs="Times New Roman"/>
          <w:i/>
          <w:color w:val="000000" w:themeColor="text1"/>
          <w:szCs w:val="24"/>
          <w:lang w:val="en-US"/>
        </w:rPr>
        <w:t>Parkia biglolosa)</w:t>
      </w:r>
      <w:r w:rsidRPr="00895D0B">
        <w:rPr>
          <w:rFonts w:eastAsia="Times New Roman" w:cs="Times New Roman"/>
          <w:color w:val="000000" w:themeColor="text1"/>
          <w:szCs w:val="24"/>
          <w:lang w:val="en-US"/>
        </w:rPr>
        <w:t xml:space="preserve">, </w:t>
      </w:r>
      <w:r w:rsidRPr="00895D0B">
        <w:rPr>
          <w:rFonts w:eastAsia="Times New Roman" w:cs="Times New Roman"/>
          <w:i/>
          <w:iCs/>
          <w:color w:val="000000" w:themeColor="text1"/>
          <w:szCs w:val="24"/>
          <w:lang w:val="en-US"/>
        </w:rPr>
        <w:t>adansonia digitata</w:t>
      </w:r>
      <w:r w:rsidRPr="00895D0B">
        <w:rPr>
          <w:rFonts w:eastAsia="Times New Roman" w:cs="Times New Roman"/>
          <w:color w:val="000000" w:themeColor="text1"/>
          <w:szCs w:val="24"/>
          <w:lang w:val="en-US"/>
        </w:rPr>
        <w:t xml:space="preserve"> (baobab), anarcadium occidentale (cashew), acacia, ebony, neem and mango among others. Though the vegetation looks green in the wet season, the grasses dry up and the trees shed their leaves in the dry season and this is usually affected by bush burning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2021)","plainTextFormattedCitation":"(Ghana Statistical Service, 2021)","previouslyFormattedCitation":"(Ghana Statistical Service, 2021)"},"properties":{"noteIndex":0},"schema":"https://github.com/citation-style-language/schema/raw/master/csl-citation.json"}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(Ghana Statistical Service, 2021)</w:t>
      </w:r>
      <w:r w:rsidRPr="00895D0B">
        <w:rPr>
          <w:rFonts w:cs="Times New Roman"/>
          <w:color w:val="000000" w:themeColor="text1"/>
          <w:szCs w:val="24"/>
          <w:lang w:val="en-US"/>
        </w:rPr>
        <w:fldChar w:fldCharType="end"/>
      </w:r>
      <w:r w:rsidRPr="00895D0B">
        <w:rPr>
          <w:rFonts w:eastAsia="Times New Roman" w:cs="Times New Roman"/>
          <w:color w:val="000000" w:themeColor="text1"/>
          <w:szCs w:val="24"/>
          <w:lang w:val="en-US"/>
        </w:rPr>
        <w:t xml:space="preserve">. Therefore, crop cultivation is affected in the dry season compelling the farmers to focus on animal rearing. The municipality experiences unfavorable weather conditions characterized by a windy and very hot dry season following a short stormy wet season. The dry season occurs between </w:t>
      </w:r>
      <w:r w:rsidR="00610E41" w:rsidRPr="00895D0B">
        <w:rPr>
          <w:rFonts w:eastAsia="Times New Roman" w:cs="Times New Roman"/>
          <w:color w:val="000000" w:themeColor="text1"/>
          <w:szCs w:val="24"/>
          <w:lang w:val="en-US"/>
        </w:rPr>
        <w:t xml:space="preserve">October </w:t>
      </w:r>
      <w:r w:rsidRPr="00895D0B">
        <w:rPr>
          <w:rFonts w:eastAsia="Times New Roman" w:cs="Times New Roman"/>
          <w:color w:val="000000" w:themeColor="text1"/>
          <w:szCs w:val="24"/>
          <w:lang w:val="en-US"/>
        </w:rPr>
        <w:t xml:space="preserve">and December and extends into January </w:t>
      </w:r>
      <w:r w:rsidR="00610E41" w:rsidRPr="00895D0B">
        <w:rPr>
          <w:rFonts w:eastAsia="Times New Roman" w:cs="Times New Roman"/>
          <w:color w:val="000000" w:themeColor="text1"/>
          <w:szCs w:val="24"/>
          <w:lang w:val="en-US"/>
        </w:rPr>
        <w:t xml:space="preserve"> to mid-April</w:t>
      </w:r>
      <w:r w:rsidRPr="00895D0B">
        <w:rPr>
          <w:rFonts w:eastAsia="Times New Roman" w:cs="Times New Roman"/>
          <w:color w:val="000000" w:themeColor="text1"/>
          <w:szCs w:val="24"/>
          <w:lang w:val="en-US"/>
        </w:rPr>
        <w:t xml:space="preserve">. The North-East Trade Wind (NETW) that originates from the Sahara Desert brings cold and dry air  (harmattan)  between November and February </w:t>
      </w:r>
      <w:r w:rsidRPr="00895D0B">
        <w:rPr>
          <w:rFonts w:eastAsia="Times New Roman" w:cs="Times New Roman"/>
          <w:color w:val="000000" w:themeColor="text1"/>
          <w:szCs w:val="24"/>
          <w:lang w:val="en-US"/>
        </w:rPr>
        <w:fldChar w:fldCharType="begin" w:fldLock="1"/>
      </w:r>
      <w:r w:rsidRPr="00895D0B">
        <w:rPr>
          <w:rFonts w:eastAsia="Times New Roman" w:cs="Times New Roman"/>
          <w:color w:val="000000" w:themeColor="text1"/>
          <w:szCs w:val="24"/>
          <w:lang w:val="en-US"/>
        </w:rPr>
        <w:instrText>ADDIN CSL_CITATION {"citationItems":[{"id":"ITEM-1","itemData":{"author":[{"dropping-particle":"","family":"Wa Municipal Assembly","given":"","non-dropping-particle":"","parse-names":false,"suffix":""}],"id":"ITEM-1","issued":{"date-parts":[["2021"]]},"publisher-place":"Wa","title":"Municipal composite budget for 2021-2024","type":"report"},"uris":["http://www.mendeley.com/documents/?uuid=3c09ef17-eadb-461d-ac29-7ad28bb95a81"]}],"mendeley":{"formattedCitation":"(Wa Municipal Assembly, 2021)","plainTextFormattedCitation":"(Wa Municipal Assembly, 2021)","previouslyFormattedCitation":"(Wa Municipal Assembly, 2021)"},"properties":{"noteIndex":0},"schema":"https://github.com/citation-style-language/schema/raw/master/csl-citation.json"}</w:instrText>
      </w:r>
      <w:r w:rsidRPr="00895D0B">
        <w:rPr>
          <w:rFonts w:eastAsia="Times New Roman" w:cs="Times New Roman"/>
          <w:color w:val="000000" w:themeColor="text1"/>
          <w:szCs w:val="24"/>
          <w:lang w:val="en-US"/>
        </w:rPr>
        <w:fldChar w:fldCharType="separate"/>
      </w:r>
      <w:r w:rsidRPr="00895D0B">
        <w:rPr>
          <w:rFonts w:eastAsia="Times New Roman" w:cs="Times New Roman"/>
          <w:noProof/>
          <w:color w:val="000000" w:themeColor="text1"/>
          <w:szCs w:val="24"/>
          <w:lang w:val="en-US"/>
        </w:rPr>
        <w:t>(Wa Municipal Assembly, 2021)</w:t>
      </w:r>
      <w:r w:rsidRPr="00895D0B">
        <w:rPr>
          <w:rFonts w:eastAsia="Times New Roman" w:cs="Times New Roman"/>
          <w:color w:val="000000" w:themeColor="text1"/>
          <w:szCs w:val="24"/>
          <w:lang w:val="en-US"/>
        </w:rPr>
        <w:fldChar w:fldCharType="end"/>
      </w:r>
      <w:r w:rsidRPr="00895D0B">
        <w:rPr>
          <w:rFonts w:eastAsia="Times New Roman" w:cs="Times New Roman"/>
          <w:color w:val="000000" w:themeColor="text1"/>
          <w:szCs w:val="24"/>
          <w:lang w:val="en-US"/>
        </w:rPr>
        <w:t>. This follows a very hot season between March and April. The temperature ranges between 40</w:t>
      </w:r>
      <w:r w:rsidRPr="00895D0B">
        <w:rPr>
          <w:rFonts w:eastAsia="Times New Roman" w:cs="Times New Roman"/>
          <w:color w:val="000000" w:themeColor="text1"/>
          <w:szCs w:val="24"/>
          <w:vertAlign w:val="superscript"/>
          <w:lang w:val="en-US"/>
        </w:rPr>
        <w:t>0</w:t>
      </w:r>
      <w:r w:rsidRPr="00895D0B">
        <w:rPr>
          <w:rFonts w:eastAsia="Times New Roman" w:cs="Times New Roman"/>
          <w:color w:val="000000" w:themeColor="text1"/>
          <w:szCs w:val="24"/>
          <w:lang w:val="en-US"/>
        </w:rPr>
        <w:t>C and 45</w:t>
      </w:r>
      <w:r w:rsidRPr="00895D0B">
        <w:rPr>
          <w:rFonts w:eastAsia="Times New Roman" w:cs="Times New Roman"/>
          <w:color w:val="000000" w:themeColor="text1"/>
          <w:szCs w:val="24"/>
          <w:vertAlign w:val="superscript"/>
          <w:lang w:val="en-US"/>
        </w:rPr>
        <w:t>0</w:t>
      </w:r>
      <w:r w:rsidRPr="00895D0B">
        <w:rPr>
          <w:rFonts w:eastAsia="Times New Roman" w:cs="Times New Roman"/>
          <w:color w:val="000000" w:themeColor="text1"/>
          <w:szCs w:val="24"/>
          <w:lang w:val="en-US"/>
        </w:rPr>
        <w:t xml:space="preserve">C. The period between November and April does not support crop cultivation but animal rearing is common. Conversely, the harmattan season increases animal mortality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2021)","plainTextFormattedCitation":"(Ghana Statistical Service, 2021)","previouslyFormattedCitation":"(Ghana Statistical Service, 2021)"},"properties":{"noteIndex":0},"schema":"https://github.com/citation-style-language/schema/raw/master/csl-citation.json"}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(Ghana Statistical Service, 2021)</w:t>
      </w:r>
      <w:r w:rsidRPr="00895D0B">
        <w:rPr>
          <w:rFonts w:cs="Times New Roman"/>
          <w:color w:val="000000" w:themeColor="text1"/>
          <w:szCs w:val="24"/>
          <w:lang w:val="en-US"/>
        </w:rPr>
        <w:fldChar w:fldCharType="end"/>
      </w:r>
      <w:r w:rsidRPr="00895D0B">
        <w:rPr>
          <w:rFonts w:eastAsia="Times New Roman" w:cs="Times New Roman"/>
          <w:color w:val="000000" w:themeColor="text1"/>
          <w:szCs w:val="24"/>
          <w:lang w:val="en-US"/>
        </w:rPr>
        <w:t xml:space="preserve">. The wet season occurs between late April and </w:t>
      </w:r>
      <w:r w:rsidR="004803FF" w:rsidRPr="00895D0B">
        <w:rPr>
          <w:rFonts w:eastAsia="Times New Roman" w:cs="Times New Roman"/>
          <w:color w:val="000000" w:themeColor="text1"/>
          <w:szCs w:val="24"/>
          <w:lang w:val="en-US"/>
        </w:rPr>
        <w:t xml:space="preserve">early </w:t>
      </w:r>
      <w:r w:rsidRPr="00895D0B">
        <w:rPr>
          <w:rFonts w:eastAsia="Times New Roman" w:cs="Times New Roman"/>
          <w:color w:val="000000" w:themeColor="text1"/>
          <w:szCs w:val="24"/>
          <w:lang w:val="en-US"/>
        </w:rPr>
        <w:t xml:space="preserve">October with a long drought spell in June, following heavy downpours and flooding. This affects the cultivation of crops and the rearing of animals. </w:t>
      </w:r>
    </w:p>
    <w:p w14:paraId="1DB66E67" w14:textId="77777777" w:rsidR="001B4ED5" w:rsidRPr="00895D0B" w:rsidRDefault="001B4ED5">
      <w:pPr>
        <w:shd w:val="clear" w:color="auto" w:fill="FFFFFF"/>
        <w:spacing w:line="360" w:lineRule="auto"/>
        <w:rPr>
          <w:rFonts w:eastAsia="Times New Roman" w:cs="Times New Roman"/>
          <w:color w:val="000000" w:themeColor="text1"/>
          <w:szCs w:val="24"/>
          <w:lang w:val="en-US"/>
        </w:rPr>
      </w:pPr>
    </w:p>
    <w:p w14:paraId="7AB62AB9" w14:textId="2C7EC9AA" w:rsidR="001B4ED5" w:rsidRPr="00895D0B" w:rsidRDefault="00B06CB6" w:rsidP="009864E3">
      <w:pPr>
        <w:pStyle w:val="Heading3"/>
      </w:pPr>
      <w:r w:rsidRPr="00895D0B">
        <w:lastRenderedPageBreak/>
        <w:t xml:space="preserve"> </w:t>
      </w:r>
      <w:bookmarkStart w:id="58" w:name="_Toc167379891"/>
      <w:r w:rsidR="00246507">
        <w:t>3</w:t>
      </w:r>
      <w:r w:rsidR="006B41C0" w:rsidRPr="00895D0B">
        <w:t>.2.</w:t>
      </w:r>
      <w:r w:rsidR="005A47F6" w:rsidRPr="00895D0B">
        <w:t>4</w:t>
      </w:r>
      <w:r w:rsidR="006B41C0" w:rsidRPr="00895D0B">
        <w:t xml:space="preserve"> Economic activities</w:t>
      </w:r>
      <w:bookmarkEnd w:id="58"/>
      <w:r w:rsidR="006B41C0" w:rsidRPr="00895D0B">
        <w:t xml:space="preserve"> </w:t>
      </w:r>
    </w:p>
    <w:p w14:paraId="37CAC19E" w14:textId="366B4933" w:rsidR="000030D7" w:rsidRPr="00895D0B" w:rsidRDefault="006B41C0" w:rsidP="006B68B5">
      <w:pPr>
        <w:spacing w:line="360" w:lineRule="auto"/>
        <w:rPr>
          <w:rFonts w:cs="Times New Roman"/>
          <w:color w:val="000000" w:themeColor="text1"/>
          <w:szCs w:val="24"/>
          <w:lang w:val="en-US"/>
        </w:rPr>
      </w:pPr>
      <w:r w:rsidRPr="00895D0B">
        <w:rPr>
          <w:rFonts w:eastAsia="Times New Roman" w:cs="Times New Roman"/>
          <w:color w:val="000000" w:themeColor="text1"/>
          <w:szCs w:val="24"/>
          <w:lang w:val="en-US"/>
        </w:rPr>
        <w:t>There are varying levels of employable opportunities in the municipality. The agrarian sector employs about 70</w:t>
      </w:r>
      <w:r w:rsidR="00000DC0" w:rsidRPr="00895D0B">
        <w:rPr>
          <w:rFonts w:eastAsia="Times New Roman" w:cs="Times New Roman"/>
          <w:color w:val="000000" w:themeColor="text1"/>
          <w:szCs w:val="24"/>
          <w:lang w:val="en-US"/>
        </w:rPr>
        <w:t>.0</w:t>
      </w:r>
      <w:r w:rsidRPr="00895D0B">
        <w:rPr>
          <w:rFonts w:eastAsia="Times New Roman" w:cs="Times New Roman"/>
          <w:color w:val="000000" w:themeColor="text1"/>
          <w:szCs w:val="24"/>
          <w:lang w:val="en-US"/>
        </w:rPr>
        <w:t>% of the populace, followed by commerce (9</w:t>
      </w:r>
      <w:r w:rsidR="00000DC0" w:rsidRPr="00895D0B">
        <w:rPr>
          <w:rFonts w:eastAsia="Times New Roman" w:cs="Times New Roman"/>
          <w:color w:val="000000" w:themeColor="text1"/>
          <w:szCs w:val="24"/>
          <w:lang w:val="en-US"/>
        </w:rPr>
        <w:t>.0</w:t>
      </w:r>
      <w:r w:rsidRPr="00895D0B">
        <w:rPr>
          <w:rFonts w:eastAsia="Times New Roman" w:cs="Times New Roman"/>
          <w:color w:val="000000" w:themeColor="text1"/>
          <w:szCs w:val="24"/>
          <w:lang w:val="en-US"/>
        </w:rPr>
        <w:t>%), industry (3</w:t>
      </w:r>
      <w:r w:rsidR="00000DC0" w:rsidRPr="00895D0B">
        <w:rPr>
          <w:rFonts w:eastAsia="Times New Roman" w:cs="Times New Roman"/>
          <w:color w:val="000000" w:themeColor="text1"/>
          <w:szCs w:val="24"/>
          <w:lang w:val="en-US"/>
        </w:rPr>
        <w:t>.0</w:t>
      </w:r>
      <w:r w:rsidRPr="00895D0B">
        <w:rPr>
          <w:rFonts w:eastAsia="Times New Roman" w:cs="Times New Roman"/>
          <w:color w:val="000000" w:themeColor="text1"/>
          <w:szCs w:val="24"/>
          <w:lang w:val="en-US"/>
        </w:rPr>
        <w:t>%) and the remaining 18</w:t>
      </w:r>
      <w:r w:rsidR="00D3436E" w:rsidRPr="00895D0B">
        <w:rPr>
          <w:rFonts w:eastAsia="Times New Roman" w:cs="Times New Roman"/>
          <w:color w:val="000000" w:themeColor="text1"/>
          <w:szCs w:val="24"/>
          <w:lang w:val="en-US"/>
        </w:rPr>
        <w:t>.0</w:t>
      </w:r>
      <w:r w:rsidRPr="00895D0B">
        <w:rPr>
          <w:rFonts w:eastAsia="Times New Roman" w:cs="Times New Roman"/>
          <w:color w:val="000000" w:themeColor="text1"/>
          <w:szCs w:val="24"/>
          <w:lang w:val="en-US"/>
        </w:rPr>
        <w:t>% is for other economic ventures. Despite the higher number of people (70</w:t>
      </w:r>
      <w:r w:rsidR="00000DC0" w:rsidRPr="00895D0B">
        <w:rPr>
          <w:rFonts w:eastAsia="Times New Roman" w:cs="Times New Roman"/>
          <w:color w:val="000000" w:themeColor="text1"/>
          <w:szCs w:val="24"/>
          <w:lang w:val="en-US"/>
        </w:rPr>
        <w:t>.0</w:t>
      </w:r>
      <w:r w:rsidRPr="00895D0B">
        <w:rPr>
          <w:rFonts w:eastAsia="Times New Roman" w:cs="Times New Roman"/>
          <w:color w:val="000000" w:themeColor="text1"/>
          <w:szCs w:val="24"/>
          <w:lang w:val="en-US"/>
        </w:rPr>
        <w:t xml:space="preserve">%) that are into agriculture, only 30.2% are into food crops and animal production. Households' sources of livelihood are dependent on the kind of economic activities one is in </w:t>
      </w:r>
      <w:r w:rsidRPr="00895D0B">
        <w:rPr>
          <w:rFonts w:eastAsia="Times New Roman" w:cs="Times New Roman"/>
          <w:color w:val="000000" w:themeColor="text1"/>
          <w:szCs w:val="24"/>
          <w:lang w:val="en-US"/>
        </w:rPr>
        <w:fldChar w:fldCharType="begin" w:fldLock="1"/>
      </w:r>
      <w:r w:rsidRPr="00895D0B">
        <w:rPr>
          <w:rFonts w:eastAsia="Times New Roman" w:cs="Times New Roman"/>
          <w:color w:val="000000" w:themeColor="text1"/>
          <w:szCs w:val="24"/>
          <w:lang w:val="en-US"/>
        </w:rPr>
        <w:instrText>ADDIN CSL_CITATION {"citationItems":[{"id":"ITEM-1","itemData":{"author":[{"dropping-particle":"","family":"Wa Municipal Assembly","given":"","non-dropping-particle":"","parse-names":false,"suffix":""}],"id":"ITEM-1","issued":{"date-parts":[["2021"]]},"publisher-place":"Wa","title":"Municipal composite budget for 2021-2024","type":"report"},"uris":["http://www.mendeley.com/documents/?uuid=3c09ef17-eadb-461d-ac29-7ad28bb95a81"]}],"mendeley":{"formattedCitation":"(Wa Municipal Assembly, 2021)","plainTextFormattedCitation":"(Wa Municipal Assembly, 2021)","previouslyFormattedCitation":"(Wa Municipal Assembly, 2021)"},"properties":{"noteIndex":0},"schema":"https://github.com/citation-style-language/schema/raw/master/csl-citation.json"}</w:instrText>
      </w:r>
      <w:r w:rsidRPr="00895D0B">
        <w:rPr>
          <w:rFonts w:eastAsia="Times New Roman" w:cs="Times New Roman"/>
          <w:color w:val="000000" w:themeColor="text1"/>
          <w:szCs w:val="24"/>
          <w:lang w:val="en-US"/>
        </w:rPr>
        <w:fldChar w:fldCharType="separate"/>
      </w:r>
      <w:r w:rsidRPr="00895D0B">
        <w:rPr>
          <w:rFonts w:eastAsia="Times New Roman" w:cs="Times New Roman"/>
          <w:noProof/>
          <w:color w:val="000000" w:themeColor="text1"/>
          <w:szCs w:val="24"/>
          <w:lang w:val="en-US"/>
        </w:rPr>
        <w:t>(Wa Municipal Assembly, 2021)</w:t>
      </w:r>
      <w:r w:rsidRPr="00895D0B">
        <w:rPr>
          <w:rFonts w:eastAsia="Times New Roman" w:cs="Times New Roman"/>
          <w:color w:val="000000" w:themeColor="text1"/>
          <w:szCs w:val="24"/>
          <w:lang w:val="en-US"/>
        </w:rPr>
        <w:fldChar w:fldCharType="end"/>
      </w:r>
      <w:r w:rsidRPr="00895D0B">
        <w:rPr>
          <w:rFonts w:eastAsia="Times New Roman" w:cs="Times New Roman"/>
          <w:color w:val="000000" w:themeColor="text1"/>
          <w:szCs w:val="24"/>
          <w:lang w:val="en-US"/>
        </w:rPr>
        <w:t>. Thus, the majority of the people in the Wa Municipality earn their livelihood from the agricultural sector.  Nevertheless, food consumes about 80</w:t>
      </w:r>
      <w:r w:rsidR="00000DC0" w:rsidRPr="00895D0B">
        <w:rPr>
          <w:rFonts w:eastAsia="Times New Roman" w:cs="Times New Roman"/>
          <w:color w:val="000000" w:themeColor="text1"/>
          <w:szCs w:val="24"/>
          <w:lang w:val="en-US"/>
        </w:rPr>
        <w:t>.0</w:t>
      </w:r>
      <w:r w:rsidRPr="00895D0B">
        <w:rPr>
          <w:rFonts w:eastAsia="Times New Roman" w:cs="Times New Roman"/>
          <w:color w:val="000000" w:themeColor="text1"/>
          <w:szCs w:val="24"/>
          <w:lang w:val="en-US"/>
        </w:rPr>
        <w:t>% of the households’ income and the remaining 20</w:t>
      </w:r>
      <w:r w:rsidR="00000DC0" w:rsidRPr="00895D0B">
        <w:rPr>
          <w:rFonts w:eastAsia="Times New Roman" w:cs="Times New Roman"/>
          <w:color w:val="000000" w:themeColor="text1"/>
          <w:szCs w:val="24"/>
          <w:lang w:val="en-US"/>
        </w:rPr>
        <w:t>.0</w:t>
      </w:r>
      <w:r w:rsidRPr="00895D0B">
        <w:rPr>
          <w:rFonts w:eastAsia="Times New Roman" w:cs="Times New Roman"/>
          <w:color w:val="000000" w:themeColor="text1"/>
          <w:szCs w:val="24"/>
          <w:lang w:val="en-US"/>
        </w:rPr>
        <w:t xml:space="preserve">% goes to rent, educational support, meeting utility charges, health, and funerals. This suggests that the households in the Wa </w:t>
      </w:r>
      <w:r w:rsidR="000030D7" w:rsidRPr="00895D0B">
        <w:rPr>
          <w:rFonts w:eastAsia="Times New Roman" w:cs="Times New Roman"/>
          <w:color w:val="000000" w:themeColor="text1"/>
          <w:szCs w:val="24"/>
          <w:lang w:val="en-US"/>
        </w:rPr>
        <w:t xml:space="preserve">township </w:t>
      </w:r>
      <w:r w:rsidRPr="00895D0B">
        <w:rPr>
          <w:rFonts w:eastAsia="Times New Roman" w:cs="Times New Roman"/>
          <w:color w:val="000000" w:themeColor="text1"/>
          <w:szCs w:val="24"/>
          <w:lang w:val="en-US"/>
        </w:rPr>
        <w:t xml:space="preserve">are not able to produce enough food for themselves but buy from the hinterlands. </w:t>
      </w:r>
      <w:r w:rsidR="000030D7" w:rsidRPr="00895D0B">
        <w:rPr>
          <w:rFonts w:eastAsia="Times New Roman" w:cs="Times New Roman"/>
          <w:color w:val="000000" w:themeColor="text1"/>
          <w:szCs w:val="24"/>
          <w:lang w:val="en-US"/>
        </w:rPr>
        <w:t>T</w:t>
      </w:r>
      <w:r w:rsidR="000030D7" w:rsidRPr="00895D0B">
        <w:rPr>
          <w:rFonts w:cs="Times New Roman"/>
          <w:color w:val="000000" w:themeColor="text1"/>
          <w:szCs w:val="24"/>
        </w:rPr>
        <w:t xml:space="preserve">he Wa town is characterized by a range of economic activities that contribute to the livelihoods of its residents. While the region faces some challenges, including limited access to infrastructure and arable land, several key economic sectors drive local development. The Wa township serves as a commercial hub for the surrounding rural areas, hosting markets and trading activities that facilitate the exchange of goods and services </w:t>
      </w:r>
      <w:r w:rsidR="000030D7" w:rsidRPr="00895D0B">
        <w:rPr>
          <w:rFonts w:cs="Times New Roman"/>
          <w:color w:val="000000" w:themeColor="text1"/>
          <w:szCs w:val="24"/>
          <w:shd w:val="clear" w:color="auto" w:fill="FFFFFF"/>
        </w:rPr>
        <w:fldChar w:fldCharType="begin" w:fldLock="1"/>
      </w:r>
      <w:r w:rsidR="000030D7" w:rsidRPr="00895D0B">
        <w:rPr>
          <w:rFonts w:cs="Times New Roman"/>
          <w:color w:val="000000" w:themeColor="text1"/>
          <w:szCs w:val="24"/>
          <w:shd w:val="clear" w:color="auto" w:fill="FFFFFF"/>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2021)","manualFormatting":"(Ghana Statistical Service, 2021)","plainTextFormattedCitation":"(Ghana Statistical Service, 2021)","previouslyFormattedCitation":"(Ghana Statistical Service, 2021)"},"properties":{"noteIndex":0},"schema":"https://github.com/citation-style-language/schema/raw/master/csl-citation.json"}</w:instrText>
      </w:r>
      <w:r w:rsidR="000030D7" w:rsidRPr="00895D0B">
        <w:rPr>
          <w:rFonts w:cs="Times New Roman"/>
          <w:color w:val="000000" w:themeColor="text1"/>
          <w:szCs w:val="24"/>
          <w:shd w:val="clear" w:color="auto" w:fill="FFFFFF"/>
        </w:rPr>
        <w:fldChar w:fldCharType="separate"/>
      </w:r>
      <w:r w:rsidR="000030D7" w:rsidRPr="00895D0B">
        <w:rPr>
          <w:rFonts w:cs="Times New Roman"/>
          <w:noProof/>
          <w:color w:val="000000" w:themeColor="text1"/>
          <w:szCs w:val="24"/>
          <w:shd w:val="clear" w:color="auto" w:fill="FFFFFF"/>
        </w:rPr>
        <w:t>(Ghana Statistical Service, 2021)</w:t>
      </w:r>
      <w:r w:rsidR="000030D7" w:rsidRPr="00895D0B">
        <w:rPr>
          <w:rFonts w:cs="Times New Roman"/>
          <w:color w:val="000000" w:themeColor="text1"/>
          <w:szCs w:val="24"/>
          <w:shd w:val="clear" w:color="auto" w:fill="FFFFFF"/>
        </w:rPr>
        <w:fldChar w:fldCharType="end"/>
      </w:r>
      <w:r w:rsidR="000030D7" w:rsidRPr="00895D0B">
        <w:rPr>
          <w:rFonts w:cs="Times New Roman"/>
          <w:color w:val="000000" w:themeColor="text1"/>
          <w:szCs w:val="24"/>
          <w:lang w:val="en-US"/>
        </w:rPr>
        <w:t xml:space="preserve">. </w:t>
      </w:r>
      <w:r w:rsidR="000030D7" w:rsidRPr="00895D0B">
        <w:rPr>
          <w:rFonts w:cs="Times New Roman"/>
          <w:color w:val="000000" w:themeColor="text1"/>
          <w:szCs w:val="24"/>
        </w:rPr>
        <w:t xml:space="preserve">The Wa Central Market, in particular, is a vibrant trading center where various agricultural products, handicrafts, and consumer goods are bought and sold </w:t>
      </w:r>
      <w:r w:rsidR="0071020C" w:rsidRPr="00895D0B">
        <w:rPr>
          <w:rFonts w:cs="Times New Roman"/>
          <w:color w:val="000000" w:themeColor="text1"/>
          <w:szCs w:val="24"/>
        </w:rPr>
        <w:fldChar w:fldCharType="begin" w:fldLock="1"/>
      </w:r>
      <w:r w:rsidR="007C7EB3" w:rsidRPr="00895D0B">
        <w:rPr>
          <w:rFonts w:cs="Times New Roman"/>
          <w:color w:val="000000" w:themeColor="text1"/>
          <w:szCs w:val="24"/>
        </w:rPr>
        <w:instrText>ADDIN CSL_CITATION {"citationItems":[{"id":"ITEM-1","itemData":{"DOI":"10.5296/jsss.v3i2.8706","ISBN":"2332054685","author":[{"dropping-particle":"","family":"Adams","given":"A.","non-dropping-particle":"","parse-names":false,"suffix":""}],"id":"ITEM-1","issue":"2","issued":{"date-parts":[["2016"]]},"page":"40-56","title":"The Shea Industry and Rural Livelihoods among Women in the Wa Municipality , Ghana","type":"article-journal","volume":"3"},"uris":["http://www.mendeley.com/documents/?uuid=57f587e9-5761-4490-9500-639aa9da440d"]}],"mendeley":{"formattedCitation":"(Adams, 2016)","plainTextFormattedCitation":"(Adams, 2016)","previouslyFormattedCitation":"(Adams, 2016)"},"properties":{"noteIndex":0},"schema":"https://github.com/citation-style-language/schema/raw/master/csl-citation.json"}</w:instrText>
      </w:r>
      <w:r w:rsidR="0071020C" w:rsidRPr="00895D0B">
        <w:rPr>
          <w:rFonts w:cs="Times New Roman"/>
          <w:color w:val="000000" w:themeColor="text1"/>
          <w:szCs w:val="24"/>
        </w:rPr>
        <w:fldChar w:fldCharType="separate"/>
      </w:r>
      <w:r w:rsidR="0071020C" w:rsidRPr="00895D0B">
        <w:rPr>
          <w:rFonts w:cs="Times New Roman"/>
          <w:noProof/>
          <w:color w:val="000000" w:themeColor="text1"/>
          <w:szCs w:val="24"/>
        </w:rPr>
        <w:t>(Adams, 2016)</w:t>
      </w:r>
      <w:r w:rsidR="0071020C" w:rsidRPr="00895D0B">
        <w:rPr>
          <w:rFonts w:cs="Times New Roman"/>
          <w:color w:val="000000" w:themeColor="text1"/>
          <w:szCs w:val="24"/>
        </w:rPr>
        <w:fldChar w:fldCharType="end"/>
      </w:r>
      <w:r w:rsidR="0071020C" w:rsidRPr="00895D0B">
        <w:rPr>
          <w:rFonts w:cs="Times New Roman"/>
          <w:color w:val="000000" w:themeColor="text1"/>
          <w:szCs w:val="24"/>
        </w:rPr>
        <w:t>.</w:t>
      </w:r>
      <w:r w:rsidR="000030D7" w:rsidRPr="00895D0B">
        <w:rPr>
          <w:rFonts w:cs="Times New Roman"/>
          <w:color w:val="000000" w:themeColor="text1"/>
          <w:szCs w:val="24"/>
        </w:rPr>
        <w:t xml:space="preserve"> The Wa town is known for its traditional handicrafts, including basket weaving, pottery, and textile production. Local artisans utilize natural materials such as straw, clay, and cotton to create a variety of products that are sold in local markets and tourist shops.</w:t>
      </w:r>
    </w:p>
    <w:p w14:paraId="19096D98" w14:textId="77777777" w:rsidR="000030D7" w:rsidRPr="00895D0B" w:rsidRDefault="000030D7" w:rsidP="006C7099">
      <w:pPr>
        <w:pStyle w:val="NoSpacing"/>
        <w:rPr>
          <w:lang w:val="en-US"/>
        </w:rPr>
      </w:pPr>
    </w:p>
    <w:p w14:paraId="3991FC16" w14:textId="046ECB0D" w:rsidR="001B4ED5" w:rsidRPr="00895D0B" w:rsidRDefault="006B41C0">
      <w:pPr>
        <w:spacing w:line="360" w:lineRule="auto"/>
        <w:rPr>
          <w:rFonts w:cs="Times New Roman"/>
          <w:color w:val="000000" w:themeColor="text1"/>
          <w:szCs w:val="24"/>
          <w:lang w:val="en-US"/>
        </w:rPr>
      </w:pPr>
      <w:r w:rsidRPr="00895D0B">
        <w:rPr>
          <w:rFonts w:cs="Times New Roman"/>
          <w:color w:val="000000" w:themeColor="text1"/>
          <w:szCs w:val="24"/>
          <w:lang w:val="en-US"/>
        </w:rPr>
        <w:t xml:space="preserve">Though, the agriculture sector consists of non-traditional commodities, agroforestry, fisheries, crop, and animal production dominate (92.7%). The staple food crops in the municipality are cereals like </w:t>
      </w:r>
      <w:r w:rsidRPr="00895D0B">
        <w:rPr>
          <w:rFonts w:cs="Times New Roman"/>
          <w:color w:val="000000" w:themeColor="text1"/>
          <w:szCs w:val="24"/>
        </w:rPr>
        <w:t>maize (</w:t>
      </w:r>
      <w:r w:rsidRPr="00895D0B">
        <w:rPr>
          <w:rFonts w:cs="Times New Roman"/>
          <w:i/>
          <w:color w:val="000000" w:themeColor="text1"/>
          <w:szCs w:val="24"/>
        </w:rPr>
        <w:t>Zea mays</w:t>
      </w:r>
      <w:r w:rsidRPr="00895D0B">
        <w:rPr>
          <w:rFonts w:cs="Times New Roman"/>
          <w:color w:val="000000" w:themeColor="text1"/>
          <w:szCs w:val="24"/>
        </w:rPr>
        <w:t>), and millets (</w:t>
      </w:r>
      <w:r w:rsidRPr="00895D0B">
        <w:rPr>
          <w:rFonts w:cs="Times New Roman"/>
          <w:i/>
          <w:color w:val="000000" w:themeColor="text1"/>
          <w:szCs w:val="24"/>
        </w:rPr>
        <w:t>Panicum miliaceum</w:t>
      </w:r>
      <w:r w:rsidRPr="00895D0B">
        <w:rPr>
          <w:rFonts w:cs="Times New Roman"/>
          <w:color w:val="000000" w:themeColor="text1"/>
          <w:szCs w:val="24"/>
        </w:rPr>
        <w:t>)</w:t>
      </w:r>
      <w:r w:rsidRPr="00895D0B">
        <w:rPr>
          <w:rFonts w:cs="Times New Roman"/>
          <w:color w:val="000000" w:themeColor="text1"/>
          <w:szCs w:val="24"/>
          <w:lang w:val="en-US"/>
        </w:rPr>
        <w:t xml:space="preserve"> as well as legumes </w:t>
      </w:r>
      <w:r w:rsidRPr="00895D0B">
        <w:rPr>
          <w:rFonts w:cs="Times New Roman"/>
          <w:color w:val="000000" w:themeColor="text1"/>
          <w:szCs w:val="24"/>
        </w:rPr>
        <w:t>beans (</w:t>
      </w:r>
      <w:r w:rsidRPr="00895D0B">
        <w:rPr>
          <w:rFonts w:cs="Times New Roman"/>
          <w:i/>
          <w:color w:val="000000" w:themeColor="text1"/>
          <w:szCs w:val="24"/>
        </w:rPr>
        <w:t>Phaseolus vulgari L</w:t>
      </w:r>
      <w:r w:rsidRPr="00895D0B">
        <w:rPr>
          <w:rFonts w:cs="Times New Roman"/>
          <w:color w:val="000000" w:themeColor="text1"/>
          <w:szCs w:val="24"/>
        </w:rPr>
        <w:t>.) and groundnuts/cowpea (</w:t>
      </w:r>
      <w:r w:rsidRPr="00895D0B">
        <w:rPr>
          <w:rFonts w:cs="Times New Roman"/>
          <w:i/>
          <w:color w:val="000000" w:themeColor="text1"/>
          <w:szCs w:val="24"/>
        </w:rPr>
        <w:t>Vigna unguiculata</w:t>
      </w:r>
      <w:r w:rsidRPr="00895D0B">
        <w:rPr>
          <w:rFonts w:cs="Times New Roman"/>
          <w:color w:val="000000" w:themeColor="text1"/>
          <w:szCs w:val="24"/>
        </w:rPr>
        <w:t xml:space="preserve">). Other crops are </w:t>
      </w:r>
      <w:r w:rsidRPr="00895D0B">
        <w:rPr>
          <w:rFonts w:cs="Times New Roman"/>
          <w:color w:val="000000" w:themeColor="text1"/>
          <w:szCs w:val="24"/>
          <w:lang w:val="en-US"/>
        </w:rPr>
        <w:t>tubers y</w:t>
      </w:r>
      <w:r w:rsidRPr="00895D0B">
        <w:rPr>
          <w:rFonts w:cs="Times New Roman"/>
          <w:color w:val="000000" w:themeColor="text1"/>
          <w:szCs w:val="24"/>
        </w:rPr>
        <w:t>ams (</w:t>
      </w:r>
      <w:r w:rsidRPr="00895D0B">
        <w:rPr>
          <w:rFonts w:cs="Times New Roman"/>
          <w:i/>
          <w:color w:val="000000" w:themeColor="text1"/>
          <w:szCs w:val="24"/>
        </w:rPr>
        <w:t>Dioscorea alata</w:t>
      </w:r>
      <w:r w:rsidRPr="00895D0B">
        <w:rPr>
          <w:rFonts w:cs="Times New Roman"/>
          <w:color w:val="000000" w:themeColor="text1"/>
          <w:szCs w:val="24"/>
        </w:rPr>
        <w:t>), cassava (</w:t>
      </w:r>
      <w:r w:rsidRPr="00895D0B">
        <w:rPr>
          <w:rFonts w:cs="Times New Roman"/>
          <w:i/>
          <w:color w:val="000000" w:themeColor="text1"/>
          <w:szCs w:val="24"/>
        </w:rPr>
        <w:t>Manihot esculenta</w:t>
      </w:r>
      <w:r w:rsidRPr="00895D0B">
        <w:rPr>
          <w:rFonts w:cs="Times New Roman"/>
          <w:color w:val="000000" w:themeColor="text1"/>
          <w:szCs w:val="24"/>
        </w:rPr>
        <w:t xml:space="preserve">) and </w:t>
      </w:r>
      <w:r w:rsidRPr="00895D0B">
        <w:rPr>
          <w:rFonts w:cs="Times New Roman"/>
          <w:color w:val="000000" w:themeColor="text1"/>
          <w:szCs w:val="24"/>
          <w:lang w:val="en-US"/>
        </w:rPr>
        <w:t>sweet potatoes (</w:t>
      </w:r>
      <w:r w:rsidRPr="00895D0B">
        <w:rPr>
          <w:rFonts w:cs="Times New Roman"/>
          <w:i/>
          <w:color w:val="000000" w:themeColor="text1"/>
          <w:szCs w:val="24"/>
          <w:shd w:val="clear" w:color="auto" w:fill="FFFFFF"/>
        </w:rPr>
        <w:t>Ipomoea batatas</w:t>
      </w:r>
      <w:r w:rsidRPr="00895D0B">
        <w:rPr>
          <w:rFonts w:cs="Times New Roman"/>
          <w:color w:val="000000" w:themeColor="text1"/>
          <w:szCs w:val="24"/>
          <w:lang w:val="en-US"/>
        </w:rPr>
        <w:t xml:space="preserve">) and vegetables </w:t>
      </w:r>
      <w:r w:rsidRPr="00895D0B">
        <w:rPr>
          <w:rFonts w:cs="Times New Roman"/>
          <w:color w:val="000000" w:themeColor="text1"/>
          <w:szCs w:val="24"/>
        </w:rPr>
        <w:t xml:space="preserve">Cabbage </w:t>
      </w:r>
      <w:r w:rsidRPr="00895D0B">
        <w:rPr>
          <w:rFonts w:cs="Times New Roman"/>
          <w:i/>
          <w:color w:val="000000" w:themeColor="text1"/>
          <w:szCs w:val="24"/>
        </w:rPr>
        <w:t>(</w:t>
      </w:r>
      <w:r w:rsidRPr="00895D0B">
        <w:rPr>
          <w:rStyle w:val="jpfdse"/>
          <w:rFonts w:cs="Times New Roman"/>
          <w:i/>
          <w:color w:val="000000" w:themeColor="text1"/>
          <w:szCs w:val="24"/>
        </w:rPr>
        <w:t>Brassica oleracea</w:t>
      </w:r>
      <w:r w:rsidRPr="00895D0B">
        <w:rPr>
          <w:rFonts w:cs="Times New Roman"/>
          <w:i/>
          <w:color w:val="000000" w:themeColor="text1"/>
          <w:szCs w:val="24"/>
          <w:shd w:val="clear" w:color="auto" w:fill="FFFFFF"/>
        </w:rPr>
        <w:t xml:space="preserve">), </w:t>
      </w:r>
      <w:r w:rsidRPr="00895D0B">
        <w:rPr>
          <w:rFonts w:cs="Times New Roman"/>
          <w:color w:val="000000" w:themeColor="text1"/>
          <w:szCs w:val="24"/>
        </w:rPr>
        <w:t>okra (</w:t>
      </w:r>
      <w:r w:rsidRPr="00895D0B">
        <w:rPr>
          <w:rFonts w:cs="Times New Roman"/>
          <w:i/>
          <w:color w:val="000000" w:themeColor="text1"/>
          <w:szCs w:val="24"/>
        </w:rPr>
        <w:t>Abelmoschus esculentus</w:t>
      </w:r>
      <w:r w:rsidRPr="00895D0B">
        <w:rPr>
          <w:rFonts w:cs="Times New Roman"/>
          <w:color w:val="000000" w:themeColor="text1"/>
          <w:szCs w:val="24"/>
        </w:rPr>
        <w:t>), tomatoes (</w:t>
      </w:r>
      <w:r w:rsidRPr="00895D0B">
        <w:rPr>
          <w:rFonts w:cs="Times New Roman"/>
          <w:i/>
          <w:color w:val="000000" w:themeColor="text1"/>
          <w:szCs w:val="24"/>
        </w:rPr>
        <w:t>Solanu lycopersicum</w:t>
      </w:r>
      <w:r w:rsidRPr="00895D0B">
        <w:rPr>
          <w:rFonts w:cs="Times New Roman"/>
          <w:color w:val="000000" w:themeColor="text1"/>
          <w:szCs w:val="24"/>
        </w:rPr>
        <w:t>), pepper (</w:t>
      </w:r>
      <w:r w:rsidRPr="00895D0B">
        <w:rPr>
          <w:rFonts w:cs="Times New Roman"/>
          <w:i/>
          <w:color w:val="000000" w:themeColor="text1"/>
          <w:szCs w:val="24"/>
        </w:rPr>
        <w:t>Capsicum annuum</w:t>
      </w:r>
      <w:r w:rsidRPr="00895D0B">
        <w:rPr>
          <w:rFonts w:cs="Times New Roman"/>
          <w:color w:val="000000" w:themeColor="text1"/>
          <w:szCs w:val="24"/>
        </w:rPr>
        <w:t>), pumpkin (</w:t>
      </w:r>
      <w:r w:rsidRPr="00895D0B">
        <w:rPr>
          <w:rFonts w:cs="Times New Roman"/>
          <w:i/>
          <w:color w:val="000000" w:themeColor="text1"/>
          <w:szCs w:val="24"/>
        </w:rPr>
        <w:t xml:space="preserve">Cucurbita) </w:t>
      </w:r>
      <w:r w:rsidRPr="00895D0B">
        <w:rPr>
          <w:rFonts w:cs="Times New Roman"/>
          <w:color w:val="000000" w:themeColor="text1"/>
          <w:szCs w:val="24"/>
        </w:rPr>
        <w:t>and</w:t>
      </w:r>
      <w:r w:rsidRPr="00895D0B">
        <w:rPr>
          <w:rFonts w:cs="Times New Roman"/>
          <w:i/>
          <w:color w:val="000000" w:themeColor="text1"/>
          <w:szCs w:val="24"/>
        </w:rPr>
        <w:t xml:space="preserve"> </w:t>
      </w:r>
      <w:r w:rsidRPr="00895D0B">
        <w:rPr>
          <w:rFonts w:cs="Times New Roman"/>
          <w:color w:val="000000" w:themeColor="text1"/>
          <w:szCs w:val="24"/>
          <w:lang w:val="en-US"/>
        </w:rPr>
        <w:t xml:space="preserve">garden eggs </w:t>
      </w:r>
      <w:r w:rsidRPr="00895D0B">
        <w:rPr>
          <w:rFonts w:cs="Times New Roman"/>
          <w:i/>
          <w:color w:val="000000" w:themeColor="text1"/>
          <w:szCs w:val="24"/>
          <w:lang w:val="en-US"/>
        </w:rPr>
        <w:t>(</w:t>
      </w:r>
      <w:r w:rsidRPr="00895D0B">
        <w:rPr>
          <w:rFonts w:cs="Times New Roman"/>
          <w:i/>
          <w:color w:val="000000" w:themeColor="text1"/>
          <w:szCs w:val="24"/>
          <w:shd w:val="clear" w:color="auto" w:fill="FFFFFF"/>
        </w:rPr>
        <w:t>Solanum melongena).</w:t>
      </w:r>
      <w:r w:rsidRPr="00895D0B">
        <w:rPr>
          <w:rFonts w:cs="Times New Roman"/>
          <w:color w:val="000000" w:themeColor="text1"/>
          <w:szCs w:val="24"/>
          <w:lang w:val="en-US"/>
        </w:rPr>
        <w:t xml:space="preserve"> Animals reared include </w:t>
      </w:r>
      <w:r w:rsidRPr="00895D0B">
        <w:rPr>
          <w:rFonts w:cs="Times New Roman"/>
          <w:color w:val="000000" w:themeColor="text1"/>
          <w:szCs w:val="24"/>
        </w:rPr>
        <w:t>sheep (</w:t>
      </w:r>
      <w:r w:rsidRPr="00895D0B">
        <w:rPr>
          <w:rFonts w:cs="Times New Roman"/>
          <w:i/>
          <w:color w:val="000000" w:themeColor="text1"/>
          <w:szCs w:val="24"/>
        </w:rPr>
        <w:t>Ovis aries</w:t>
      </w:r>
      <w:r w:rsidRPr="00895D0B">
        <w:rPr>
          <w:rFonts w:cs="Times New Roman"/>
          <w:color w:val="000000" w:themeColor="text1"/>
          <w:szCs w:val="24"/>
        </w:rPr>
        <w:t>), goats (</w:t>
      </w:r>
      <w:r w:rsidRPr="00895D0B">
        <w:rPr>
          <w:rFonts w:cs="Times New Roman"/>
          <w:i/>
          <w:color w:val="000000" w:themeColor="text1"/>
          <w:szCs w:val="24"/>
        </w:rPr>
        <w:t>Capra aegagrus hircus</w:t>
      </w:r>
      <w:r w:rsidRPr="00895D0B">
        <w:rPr>
          <w:rFonts w:cs="Times New Roman"/>
          <w:color w:val="000000" w:themeColor="text1"/>
          <w:szCs w:val="24"/>
        </w:rPr>
        <w:t>), cattle (</w:t>
      </w:r>
      <w:r w:rsidRPr="00895D0B">
        <w:rPr>
          <w:rFonts w:cs="Times New Roman"/>
          <w:i/>
          <w:color w:val="000000" w:themeColor="text1"/>
          <w:szCs w:val="24"/>
        </w:rPr>
        <w:t>Bos taurus</w:t>
      </w:r>
      <w:r w:rsidRPr="00895D0B">
        <w:rPr>
          <w:rFonts w:cs="Times New Roman"/>
          <w:color w:val="000000" w:themeColor="text1"/>
          <w:szCs w:val="24"/>
        </w:rPr>
        <w:t>), and pigs (</w:t>
      </w:r>
      <w:r w:rsidRPr="00895D0B">
        <w:rPr>
          <w:rFonts w:cs="Times New Roman"/>
          <w:i/>
          <w:color w:val="000000" w:themeColor="text1"/>
          <w:szCs w:val="24"/>
        </w:rPr>
        <w:t>Sus scrofa domesticus</w:t>
      </w:r>
      <w:r w:rsidRPr="00895D0B">
        <w:rPr>
          <w:rFonts w:cs="Times New Roman"/>
          <w:color w:val="000000" w:themeColor="text1"/>
          <w:szCs w:val="24"/>
        </w:rPr>
        <w:t xml:space="preserve">). Other animals also include poultry such as </w:t>
      </w:r>
      <w:r w:rsidRPr="00895D0B">
        <w:rPr>
          <w:rFonts w:cs="Times New Roman"/>
          <w:color w:val="000000" w:themeColor="text1"/>
          <w:szCs w:val="24"/>
        </w:rPr>
        <w:lastRenderedPageBreak/>
        <w:t>chicken (</w:t>
      </w:r>
      <w:r w:rsidRPr="00895D0B">
        <w:rPr>
          <w:rFonts w:cs="Times New Roman"/>
          <w:i/>
          <w:color w:val="000000" w:themeColor="text1"/>
          <w:szCs w:val="24"/>
        </w:rPr>
        <w:t>Gallus gallus domesticus</w:t>
      </w:r>
      <w:r w:rsidRPr="00895D0B">
        <w:rPr>
          <w:rFonts w:cs="Times New Roman"/>
          <w:color w:val="000000" w:themeColor="text1"/>
          <w:szCs w:val="24"/>
        </w:rPr>
        <w:t>), turkey (</w:t>
      </w:r>
      <w:r w:rsidRPr="00895D0B">
        <w:rPr>
          <w:rFonts w:cs="Times New Roman"/>
          <w:i/>
          <w:color w:val="000000" w:themeColor="text1"/>
          <w:szCs w:val="24"/>
        </w:rPr>
        <w:t>Meleagris</w:t>
      </w:r>
      <w:r w:rsidRPr="00895D0B">
        <w:rPr>
          <w:rFonts w:cs="Times New Roman"/>
          <w:color w:val="000000" w:themeColor="text1"/>
          <w:szCs w:val="24"/>
        </w:rPr>
        <w:t>), ducks (</w:t>
      </w:r>
      <w:r w:rsidRPr="00895D0B">
        <w:rPr>
          <w:rFonts w:cs="Times New Roman"/>
          <w:i/>
          <w:color w:val="000000" w:themeColor="text1"/>
          <w:szCs w:val="24"/>
        </w:rPr>
        <w:t>Anatidae</w:t>
      </w:r>
      <w:r w:rsidRPr="00895D0B">
        <w:rPr>
          <w:rFonts w:cs="Times New Roman"/>
          <w:color w:val="000000" w:themeColor="text1"/>
          <w:szCs w:val="24"/>
        </w:rPr>
        <w:t>) and guinea fowls (</w:t>
      </w:r>
      <w:r w:rsidRPr="00895D0B">
        <w:rPr>
          <w:rFonts w:cs="Times New Roman"/>
          <w:i/>
          <w:color w:val="000000" w:themeColor="text1"/>
          <w:szCs w:val="24"/>
        </w:rPr>
        <w:t>Numididae</w:t>
      </w:r>
      <w:r w:rsidRPr="00895D0B">
        <w:rPr>
          <w:rFonts w:cs="Times New Roman"/>
          <w:color w:val="000000" w:themeColor="text1"/>
          <w:szCs w:val="24"/>
        </w:rPr>
        <w:t xml:space="preserve">). </w:t>
      </w:r>
      <w:r w:rsidRPr="00895D0B">
        <w:rPr>
          <w:rFonts w:cs="Times New Roman"/>
          <w:color w:val="000000" w:themeColor="text1"/>
          <w:szCs w:val="24"/>
          <w:lang w:val="en-US"/>
        </w:rPr>
        <w:t xml:space="preserve">Most of these animals are reared on subsistence basis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2021)","manualFormatting":"( USAID, 2017; Ghana Statistical Service, 2021)","plainTextFormattedCitation":"(Ghana Statistical Service, 2021)","previouslyFormattedCitation":"(Ghana Statistical Service, 2021)"},"properties":{"noteIndex":0},"schema":"https://github.com/citation-style-language/schema/raw/master/csl-citation.json"}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w:t>
      </w:r>
      <w:r w:rsidRPr="00895D0B">
        <w:rPr>
          <w:rFonts w:eastAsia="Times New Roman" w:cs="Times New Roman"/>
          <w:noProof/>
          <w:color w:val="000000" w:themeColor="text1"/>
          <w:szCs w:val="24"/>
          <w:lang w:val="en-US"/>
        </w:rPr>
        <w:t xml:space="preserve"> USAID, 2017; </w:t>
      </w:r>
      <w:r w:rsidRPr="00895D0B">
        <w:rPr>
          <w:rFonts w:cs="Times New Roman"/>
          <w:noProof/>
          <w:color w:val="000000" w:themeColor="text1"/>
          <w:szCs w:val="24"/>
          <w:shd w:val="clear" w:color="auto" w:fill="FFFFFF"/>
        </w:rPr>
        <w:t>Ghana Statistical Service, 2021)</w:t>
      </w:r>
      <w:r w:rsidRPr="00895D0B">
        <w:rPr>
          <w:rFonts w:cs="Times New Roman"/>
          <w:color w:val="000000" w:themeColor="text1"/>
          <w:szCs w:val="24"/>
          <w:shd w:val="clear" w:color="auto" w:fill="FFFFFF"/>
        </w:rPr>
        <w:fldChar w:fldCharType="end"/>
      </w:r>
      <w:r w:rsidRPr="00895D0B">
        <w:rPr>
          <w:rFonts w:cs="Times New Roman"/>
          <w:color w:val="000000" w:themeColor="text1"/>
          <w:szCs w:val="24"/>
          <w:lang w:val="en-US"/>
        </w:rPr>
        <w:t xml:space="preserve">. </w:t>
      </w:r>
    </w:p>
    <w:p w14:paraId="30809BA7" w14:textId="77777777" w:rsidR="001B4ED5" w:rsidRPr="00895D0B" w:rsidRDefault="001B4ED5" w:rsidP="006C7099">
      <w:pPr>
        <w:pStyle w:val="NoSpacing"/>
        <w:rPr>
          <w:lang w:val="en-US"/>
        </w:rPr>
      </w:pPr>
    </w:p>
    <w:p w14:paraId="50E03055" w14:textId="2A0C38C9" w:rsidR="001B4ED5" w:rsidRPr="00895D0B" w:rsidRDefault="007F6C0C">
      <w:pPr>
        <w:pStyle w:val="Heading2"/>
      </w:pPr>
      <w:bookmarkStart w:id="59" w:name="_Toc167379892"/>
      <w:r w:rsidRPr="00895D0B">
        <w:t xml:space="preserve">3.3 Philosophical Ontology and </w:t>
      </w:r>
      <w:r w:rsidR="006B41C0" w:rsidRPr="00895D0B">
        <w:t>Epistemology of Urban Agriculture and Climate Change</w:t>
      </w:r>
      <w:bookmarkEnd w:id="59"/>
    </w:p>
    <w:p w14:paraId="43AAFE7A" w14:textId="50D02AED" w:rsidR="001B4ED5" w:rsidRPr="00895D0B" w:rsidRDefault="006B41C0">
      <w:pPr>
        <w:pStyle w:val="Default"/>
        <w:spacing w:line="360" w:lineRule="auto"/>
        <w:jc w:val="both"/>
        <w:rPr>
          <w:color w:val="000000" w:themeColor="text1"/>
        </w:rPr>
      </w:pPr>
      <w:r w:rsidRPr="00895D0B">
        <w:rPr>
          <w:color w:val="000000" w:themeColor="text1"/>
        </w:rPr>
        <w:t xml:space="preserve">In the science of philosophy, ontology is essential as it looks at the nature of knowledge, thus the explicit conceptualization of ideas and the philosophical sense. The ‘study of being’ is within the realm of ontology </w:t>
      </w:r>
      <w:r w:rsidRPr="00895D0B">
        <w:rPr>
          <w:color w:val="000000" w:themeColor="text1"/>
        </w:rPr>
        <w:fldChar w:fldCharType="begin" w:fldLock="1"/>
      </w:r>
      <w:r w:rsidRPr="00895D0B">
        <w:rPr>
          <w:color w:val="000000" w:themeColor="text1"/>
        </w:rPr>
        <w:instrText>ADDIN CSL_CITATION {"citationItems":[{"id":"ITEM-1","itemData":{"author":[{"dropping-particle":"","family":"Smith","given":"B.","non-dropping-particle":"","parse-names":false,"suffix":""}],"id":"ITEM-1","issued":{"date-parts":[["2003"]]},"page":"155-166","title":"Ontology","type":"chapter","volume":"166"},"uris":["http://www.mendeley.com/documents/?uuid=d256f73b-ea92-4d66-ac56-086f63d72b52"]}],"mendeley":{"formattedCitation":"(Smith, 2003)","plainTextFormattedCitation":"(Smith, 2003)","previouslyFormattedCitation":"(Smith, 2003)"},"properties":{"noteIndex":0},"schema":"https://github.com/citation-style-language/schema/raw/master/csl-citation.json"}</w:instrText>
      </w:r>
      <w:r w:rsidRPr="00895D0B">
        <w:rPr>
          <w:color w:val="000000" w:themeColor="text1"/>
        </w:rPr>
        <w:fldChar w:fldCharType="separate"/>
      </w:r>
      <w:r w:rsidRPr="00895D0B">
        <w:rPr>
          <w:noProof/>
          <w:color w:val="000000" w:themeColor="text1"/>
        </w:rPr>
        <w:t>(Smith, 2003)</w:t>
      </w:r>
      <w:r w:rsidRPr="00895D0B">
        <w:rPr>
          <w:color w:val="000000" w:themeColor="text1"/>
        </w:rPr>
        <w:fldChar w:fldCharType="end"/>
      </w:r>
      <w:r w:rsidRPr="00895D0B">
        <w:rPr>
          <w:color w:val="000000" w:themeColor="text1"/>
        </w:rPr>
        <w:t xml:space="preserve">. This is concerned with what is truly in the world and what knowledge humans can have about it. Researcher confidence in the nature and presence of the items they study is increased because of ontology </w:t>
      </w:r>
      <w:r w:rsidRPr="00895D0B">
        <w:rPr>
          <w:color w:val="000000" w:themeColor="text1"/>
        </w:rPr>
        <w:fldChar w:fldCharType="begin" w:fldLock="1"/>
      </w:r>
      <w:r w:rsidRPr="00895D0B">
        <w:rPr>
          <w:color w:val="000000" w:themeColor="text1"/>
        </w:rPr>
        <w:instrText>ADDIN CSL_CITATION {"citationItems":[{"id":"ITEM-1","itemData":{"author":[{"dropping-particle":"","family":"Arp","given":"A.","non-dropping-particle":"","parse-names":false,"suffix":""},{"dropping-particle":"","family":"Smith","given":"B.","non-dropping-particle":"","parse-names":false,"suffix":""},{"dropping-particle":"","family":"Spear","given":"A.","non-dropping-particle":"","parse-names":false,"suffix":""}],"id":"ITEM-1","issued":{"date-parts":[["2021"]]},"page":"1-6","title":"Building Ontologies with Basic Formal Ontology Detailed Table of Contents 3 Principles of Best Practice I : Domain Ontology Design","type":"article-journal"},"uris":["http://www.mendeley.com/documents/?uuid=ad277e32-a96f-4ffc-9334-d74962a64328"]}],"mendeley":{"formattedCitation":"(Arp et al., 2021)","plainTextFormattedCitation":"(Arp et al., 2021)","previouslyFormattedCitation":"(Arp et al.,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(Arp et al., 2021)</w:t>
      </w:r>
      <w:r w:rsidRPr="00895D0B">
        <w:rPr>
          <w:color w:val="000000" w:themeColor="text1"/>
        </w:rPr>
        <w:fldChar w:fldCharType="end"/>
      </w:r>
      <w:r w:rsidRPr="00895D0B">
        <w:rPr>
          <w:color w:val="000000" w:themeColor="text1"/>
        </w:rPr>
        <w:t xml:space="preserve">. The ontological notion spins around the science of ‘what is, the kinds and structures of objects under study. Similarly, ontology tries to explain and classify the realities in a logical pattern </w:t>
      </w:r>
      <w:r w:rsidRPr="00895D0B">
        <w:rPr>
          <w:color w:val="000000" w:themeColor="text1"/>
        </w:rPr>
        <w:fldChar w:fldCharType="begin" w:fldLock="1"/>
      </w:r>
      <w:r w:rsidR="00184706" w:rsidRPr="00895D0B">
        <w:rPr>
          <w:color w:val="000000" w:themeColor="text1"/>
        </w:rPr>
        <w:instrText>ADDIN CSL_CITATION {"citationItems":[{"id":"ITEM-1","itemData":{"author":[{"dropping-particle":"","family":"Gruber","given":"T.","non-dropping-particle":"","parse-names":false,"suffix":""}],"id":"ITEM-1","issued":{"date-parts":[["2015"]]},"page":"1-11","title":"What is an Ontology ? A collation by paulquek Adapted","type":"chapter"},"uris":["http://www.mendeley.com/documents/?uuid=9c830258-f96a-4bb7-aa1c-2841601c8bed"]}],"mendeley":{"formattedCitation":"(Gruber, 2015)","plainTextFormattedCitation":"(Gruber, 2015)","previouslyFormattedCitation":"(Gruber, 2015)"},"properties":{"noteIndex":0},"schema":"https://github.com/citation-style-language/schema/raw/master/csl-citation.json"}</w:instrText>
      </w:r>
      <w:r w:rsidRPr="00895D0B">
        <w:rPr>
          <w:color w:val="000000" w:themeColor="text1"/>
        </w:rPr>
        <w:fldChar w:fldCharType="separate"/>
      </w:r>
      <w:r w:rsidRPr="00895D0B">
        <w:rPr>
          <w:noProof/>
          <w:color w:val="000000" w:themeColor="text1"/>
        </w:rPr>
        <w:t>(Gruber, 2015)</w:t>
      </w:r>
      <w:r w:rsidRPr="00895D0B">
        <w:rPr>
          <w:color w:val="000000" w:themeColor="text1"/>
        </w:rPr>
        <w:fldChar w:fldCharType="end"/>
      </w:r>
      <w:r w:rsidRPr="00895D0B">
        <w:rPr>
          <w:color w:val="000000" w:themeColor="text1"/>
        </w:rPr>
        <w:t xml:space="preserve">.  Ontology is about what you know and how true it is </w:t>
      </w:r>
      <w:r w:rsidRPr="00895D0B">
        <w:rPr>
          <w:color w:val="000000" w:themeColor="text1"/>
        </w:rPr>
        <w:fldChar w:fldCharType="begin" w:fldLock="1"/>
      </w:r>
      <w:r w:rsidRPr="00895D0B">
        <w:rPr>
          <w:color w:val="000000" w:themeColor="text1"/>
        </w:rPr>
        <w:instrText>ADDIN CSL_CITATION {"citationItems":[{"id":"ITEM-1","itemData":{"author":[{"dropping-particle":"","family":"Deng","given":"N.","non-dropping-particle":"","parse-names":false,"suffix":""}],"id":"ITEM-1","issued":{"date-parts":[["2019"]]},"page":"1-27","title":"What is temporal ontology ?","type":"article-journal"},"uris":["http://www.mendeley.com/documents/?uuid=6b35f80c-dfad-44da-8039-cdbc5943e3b7"]}],"mendeley":{"formattedCitation":"(N. Deng, 2019)","manualFormatting":"(Deng, 2019)","plainTextFormattedCitation":"(N. Deng, 2019)","previouslyFormattedCitation":"(N. Deng, 2019)"},"properties":{"noteIndex":0},"schema":"https://github.com/citation-style-language/schema/raw/master/csl-citation.json"}</w:instrText>
      </w:r>
      <w:r w:rsidRPr="00895D0B">
        <w:rPr>
          <w:color w:val="000000" w:themeColor="text1"/>
        </w:rPr>
        <w:fldChar w:fldCharType="separate"/>
      </w:r>
      <w:r w:rsidRPr="00895D0B">
        <w:rPr>
          <w:noProof/>
          <w:color w:val="000000" w:themeColor="text1"/>
        </w:rPr>
        <w:t>(Deng, 2019)</w:t>
      </w:r>
      <w:r w:rsidRPr="00895D0B">
        <w:rPr>
          <w:color w:val="000000" w:themeColor="text1"/>
        </w:rPr>
        <w:fldChar w:fldCharType="end"/>
      </w:r>
      <w:r w:rsidRPr="00895D0B">
        <w:rPr>
          <w:color w:val="000000" w:themeColor="text1"/>
        </w:rPr>
        <w:t xml:space="preserve"> subject to the researcher’s personal interference </w:t>
      </w:r>
      <w:r w:rsidRPr="00895D0B">
        <w:rPr>
          <w:color w:val="000000" w:themeColor="text1"/>
        </w:rPr>
        <w:fldChar w:fldCharType="begin" w:fldLock="1"/>
      </w:r>
      <w:r w:rsidRPr="00895D0B">
        <w:rPr>
          <w:color w:val="000000" w:themeColor="text1"/>
        </w:rPr>
        <w:instrText>ADDIN CSL_CITATION {"citationItems":[{"id":"ITEM-1","itemData":{"ISBN":"9783938793985","author":[{"dropping-particle":"","family":"Reicher","given":"M. E.","non-dropping-particle":"","parse-names":false,"suffix":""},{"dropping-particle":"","family":"Seibt","given":"J.","non-dropping-particle":"","parse-names":false,"suffix":""},{"dropping-particle":"","family":"Smith","given":"B.","non-dropping-particle":"","parse-names":false,"suffix":""},{"dropping-particle":"V.","family":"Wachter","given":"D.","non-dropping-particle":"","parse-names":false,"suffix":""},{"dropping-particle":"","family":"Munn","given":"K.","non-dropping-particle":"","parse-names":false,"suffix":""},{"dropping-particle":"","family":"Smith","given":"B.","non-dropping-particle":"","parse-names":false,"suffix":""},{"dropping-particle":"","family":"Applied","given":"E.","non-dropping-particle":"","parse-names":false,"suffix":""}],"id":"ITEM-1","issued":{"date-parts":[["2019"]]},"title":"Edited by Applied Ontology An Introduction","type":"book"},"uris":["http://www.mendeley.com/documents/?uuid=dabe9168-bb08-41b3-868a-0054c11ebcbd"]}],"mendeley":{"formattedCitation":"(Reicher et al., 2019)","plainTextFormattedCitation":"(Reicher et al., 2019)","previouslyFormattedCitation":"(Reicher et al., 2019)"},"properties":{"noteIndex":0},"schema":"https://github.com/citation-style-language/schema/raw/master/csl-citation.json"}</w:instrText>
      </w:r>
      <w:r w:rsidRPr="00895D0B">
        <w:rPr>
          <w:color w:val="000000" w:themeColor="text1"/>
        </w:rPr>
        <w:fldChar w:fldCharType="separate"/>
      </w:r>
      <w:r w:rsidRPr="00895D0B">
        <w:rPr>
          <w:noProof/>
          <w:color w:val="000000" w:themeColor="text1"/>
        </w:rPr>
        <w:t>(Reicher et al., 2019)</w:t>
      </w:r>
      <w:r w:rsidRPr="00895D0B">
        <w:rPr>
          <w:color w:val="000000" w:themeColor="text1"/>
        </w:rPr>
        <w:fldChar w:fldCharType="end"/>
      </w:r>
      <w:r w:rsidRPr="00895D0B">
        <w:rPr>
          <w:color w:val="000000" w:themeColor="text1"/>
        </w:rPr>
        <w:t>. The epistemological stance hinges on the methods of figuring out what is true</w:t>
      </w:r>
      <w:r w:rsidRPr="00895D0B">
        <w:rPr>
          <w:b/>
          <w:color w:val="000000" w:themeColor="text1"/>
        </w:rPr>
        <w:t xml:space="preserve">. </w:t>
      </w:r>
      <w:r w:rsidRPr="00895D0B">
        <w:rPr>
          <w:color w:val="000000" w:themeColor="text1"/>
        </w:rPr>
        <w:t xml:space="preserve">The epistemology of the investigator will synthesize issues of various dimensions from information technology perspectives </w:t>
      </w:r>
      <w:r w:rsidRPr="00895D0B">
        <w:rPr>
          <w:color w:val="000000" w:themeColor="text1"/>
        </w:rPr>
        <w:fldChar w:fldCharType="begin" w:fldLock="1"/>
      </w:r>
      <w:r w:rsidRPr="00895D0B">
        <w:rPr>
          <w:color w:val="000000" w:themeColor="text1"/>
        </w:rPr>
        <w:instrText>ADDIN CSL_CITATION {"citationItems":[{"id":"ITEM-1","itemData":{"DOI":"10.1016/j.ecolecon.2018.04.016","ISSN":"09218009","abstract":"Appropriate institutions are essential for climate change adaptation. Yet diverse approaches to institutional analysis are available, encompassing different ontological and epistemological assumptions, and thus yielding insights on very different aspects of institutions in adaptation. Therefore, efforts to expand knowledge in this domain can be usefully informed by an assessment of approaches to institutional analysis in the adaptation literature, which is to date lacking. We address this gap by conducting a systematic review of the adaptation literature addressing institutions. Our review characterises approaches to institutional analysis by identifying methodological choices and the philosophy of science underpinning them. We then analyze the distribution of approaches to institutional analysis across different adaptation situations, contextualizing our results within methodological debates in adaptation research regarding the appropriateness of positivist, interpretative, or post-normal approaches. We find that institutional analysis of adaptation is now engaging with ‘how’ and ‘why’ questions, beyond descriptive questions that characterise the adaptation ‘barriers’ literature, that diverse philosophies of science drive methodological choice, and that post-normal approaches, e.g. co-design approaches, hardly address institutions. We conclude that support for interpretative approaches, and for institutional analysis in post-normal approaches is needed. The latter is important for adaptation planning processes in developing countries under the UNFCCC.","author":[{"dropping-particle":"","family":"Bisaro","given":"A.","non-dropping-particle":"","parse-names":false,"suffix":""},{"dropping-particle":"","family":"Roggero","given":"M.","non-dropping-particle":"","parse-names":false,"suffix":""},{"dropping-particle":"","family":"Villamayor-Tomas","given":"S.","non-dropping-particle":"","parse-names":false,"suffix":""}],"container-title":"Ecological Economics","id":"ITEM-1","issue":"November 2017","issued":{"date-parts":[["2018"]]},"page":"34-43","publisher":"Elsevier","title":"Institutional Analysis in Climate Change Adaptation Research: A Systematic Literature Review","type":"article-journal","volume":"151"},"uris":["http://www.mendeley.com/documents/?uuid=3fc10c06-eb9e-44e8-a438-ed23126b900d"]}],"mendeley":{"formattedCitation":"(Bisaro et al., 2018)","plainTextFormattedCitation":"(Bisaro et al., 2018)","previouslyFormattedCitation":"(Bisaro et al., 2018)"},"properties":{"noteIndex":0},"schema":"https://github.com/citation-style-language/schema/raw/master/csl-citation.json"}</w:instrText>
      </w:r>
      <w:r w:rsidRPr="00895D0B">
        <w:rPr>
          <w:color w:val="000000" w:themeColor="text1"/>
        </w:rPr>
        <w:fldChar w:fldCharType="separate"/>
      </w:r>
      <w:r w:rsidRPr="00895D0B">
        <w:rPr>
          <w:noProof/>
          <w:color w:val="000000" w:themeColor="text1"/>
        </w:rPr>
        <w:t>(Bisaro et al., 2018)</w:t>
      </w:r>
      <w:r w:rsidRPr="00895D0B">
        <w:rPr>
          <w:color w:val="000000" w:themeColor="text1"/>
        </w:rPr>
        <w:fldChar w:fldCharType="end"/>
      </w:r>
      <w:r w:rsidRPr="00895D0B">
        <w:rPr>
          <w:color w:val="000000" w:themeColor="text1"/>
        </w:rPr>
        <w:t xml:space="preserve">. The nature of truth or reality is subjected to how it is acquired; that is to say, the methods in the acquisition of the realities or those truths which are under the domain of epistemological. There is a long history of philosophical debate and the use of mixed research approaches in acquiring knowledge. The purists argue that there are distinct conceptual ontologies for positivists and social designing which seems illusory in trying to unify all ontologies. The purist stand is that scientists must operate in a single paradigm (qualitative and or quantitative). Pragmatics is within the domain of mixed approach this, positivism and constructivism. The positive ontological notion argues that there is only one fact (the truth) of a hypothesis which supports the separation of such a scientist from participating in data analysis </w:t>
      </w:r>
      <w:r w:rsidRPr="00895D0B">
        <w:rPr>
          <w:color w:val="000000" w:themeColor="text1"/>
        </w:rPr>
        <w:fldChar w:fldCharType="begin" w:fldLock="1"/>
      </w:r>
      <w:r w:rsidRPr="00895D0B">
        <w:rPr>
          <w:color w:val="000000" w:themeColor="text1"/>
        </w:rPr>
        <w:instrText>ADDIN CSL_CITATION {"citationItems":[{"id":"ITEM-1","itemData":{"abstract":"Mapping the epistemological journeys of five preservice teachers: the reconstruction of knowledge of challenging behaviour during professional experience, Doctor of Philosophy thesis, Faculty of Education, University of Wollongong, 2013.","author":[{"dropping-particle":"","family":"McMahon","given":"S. E.","non-dropping-particle":"","parse-names":false,"suffix":""}],"id":"ITEM-1","issued":{"date-parts":[["2013"]]},"page":"1-435","title":"Mapping the epistemological journeys of five preservice teachers: the reconstruction of knowledge of challenging behaviour during professional experience","type":"article-journal"},"uris":["http://www.mendeley.com/documents/?uuid=b387644f-714f-44d0-993a-877701277548"]}],"mendeley":{"formattedCitation":"(McMahon, 2013)","plainTextFormattedCitation":"(McMahon, 2013)","previouslyFormattedCitation":"(McMahon, 2013)"},"properties":{"noteIndex":0},"schema":"https://github.com/citation-style-language/schema/raw/master/csl-citation.json"}</w:instrText>
      </w:r>
      <w:r w:rsidRPr="00895D0B">
        <w:rPr>
          <w:color w:val="000000" w:themeColor="text1"/>
        </w:rPr>
        <w:fldChar w:fldCharType="separate"/>
      </w:r>
      <w:r w:rsidRPr="00895D0B">
        <w:rPr>
          <w:noProof/>
          <w:color w:val="000000" w:themeColor="text1"/>
        </w:rPr>
        <w:t>(McMahon, 2013)</w:t>
      </w:r>
      <w:r w:rsidRPr="00895D0B">
        <w:rPr>
          <w:color w:val="000000" w:themeColor="text1"/>
        </w:rPr>
        <w:fldChar w:fldCharType="end"/>
      </w:r>
      <w:r w:rsidRPr="00895D0B">
        <w:rPr>
          <w:color w:val="000000" w:themeColor="text1"/>
        </w:rPr>
        <w:t xml:space="preserve">. This means that perhaps the phenomenon undergoing scrutiny is not actively associated human feeling and understanding. But in situations whereby research philosophical underpinning is a mixed method (pragmatism), there is the understanding of factual feelings </w:t>
      </w:r>
      <w:r w:rsidRPr="00895D0B">
        <w:rPr>
          <w:color w:val="000000" w:themeColor="text1"/>
        </w:rPr>
        <w:fldChar w:fldCharType="begin" w:fldLock="1"/>
      </w:r>
      <w:r w:rsidRPr="00895D0B">
        <w:rPr>
          <w:color w:val="000000" w:themeColor="text1"/>
        </w:rPr>
        <w:instrText>ADDIN CSL_CITATION {"citationItems":[{"id":"ITEM-1","itemData":{"DOI":"10.1177/1558689812461574","ISSN":"15586901","author":[{"dropping-particle":"","family":"Mertens","given":"D. M.","non-dropping-particle":"","parse-names":false,"suffix":""}],"container-title":"Journal of Mixed Methods Research","id":"ITEM-1","issue":"4","issued":{"date-parts":[["2012"]]},"page":"255-257","title":"What Comes First? The Paradigm or the Approach?","type":"article-journal","volume":"6"},"uris":["http://www.mendeley.com/documents/?uuid=3872e575-57ff-42a2-b0bc-b64039109e3c"]}],"mendeley":{"formattedCitation":"(Mertens, 2012)","plainTextFormattedCitation":"(Mertens, 2012)","previouslyFormattedCitation":"(Mertens, 2012)"},"properties":{"noteIndex":0},"schema":"https://github.com/citation-style-language/schema/raw/master/csl-citation.json"}</w:instrText>
      </w:r>
      <w:r w:rsidRPr="00895D0B">
        <w:rPr>
          <w:color w:val="000000" w:themeColor="text1"/>
        </w:rPr>
        <w:fldChar w:fldCharType="separate"/>
      </w:r>
      <w:r w:rsidRPr="00895D0B">
        <w:rPr>
          <w:noProof/>
          <w:color w:val="000000" w:themeColor="text1"/>
        </w:rPr>
        <w:t>(Mertens, 2012)</w:t>
      </w:r>
      <w:r w:rsidRPr="00895D0B">
        <w:rPr>
          <w:color w:val="000000" w:themeColor="text1"/>
        </w:rPr>
        <w:fldChar w:fldCharType="end"/>
      </w:r>
      <w:r w:rsidRPr="00895D0B">
        <w:rPr>
          <w:color w:val="000000" w:themeColor="text1"/>
        </w:rPr>
        <w:t>. Therefore, this study is anchored by the pragmatist point of view that is associated with the mixed research approach.</w:t>
      </w:r>
    </w:p>
    <w:p w14:paraId="74192B5E" w14:textId="77777777" w:rsidR="001B4ED5" w:rsidRPr="00895D0B" w:rsidRDefault="006B41C0" w:rsidP="009864E3">
      <w:pPr>
        <w:pStyle w:val="Heading3"/>
      </w:pPr>
      <w:bookmarkStart w:id="60" w:name="_Toc167379893"/>
      <w:r w:rsidRPr="00895D0B">
        <w:lastRenderedPageBreak/>
        <w:t>3.3.1 Methodological application of pragmatism on urban agriculture and climate change adaptations</w:t>
      </w:r>
      <w:bookmarkEnd w:id="60"/>
      <w:r w:rsidRPr="00895D0B">
        <w:t xml:space="preserve"> </w:t>
      </w:r>
    </w:p>
    <w:p w14:paraId="04A1A6E5"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color w:val="000000" w:themeColor="text1"/>
          <w:szCs w:val="24"/>
        </w:rPr>
        <w:t xml:space="preserve">In the study of urban agriculture and climate change adaptability strategies, the ontological debate is about ‘what is there to unravel’ and ‘what kind of knowledge’ is there about urban agriculture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{"citationItems":[{"id":"ITEM-1","itemData":{"ISBN":"9783938793985","author":[{"dropping-particle":"","family":"Reicher","given":"M. E.","non-dropping-particle":"","parse-names":false,"suffix":""},{"dropping-particle":"","family":"Seibt","given":"J.","non-dropping-particle":"","parse-names":false,"suffix":""},{"dropping-particle":"","family":"Smith","given":"B.","non-dropping-particle":"","parse-names":false,"suffix":""},{"dropping-particle":"V.","family":"Wachter","given":"D.","non-dropping-particle":"","parse-names":false,"suffix":""},{"dropping-particle":"","family":"Munn","given":"K.","non-dropping-particle":"","parse-names":false,"suffix":""},{"dropping-particle":"","family":"Smith","given":"B.","non-dropping-particle":"","parse-names":false,"suffix":""},{"dropping-particle":"","family":"Applied","given":"E.","non-dropping-particle":"","parse-names":false,"suffix":""}],"id":"ITEM-1","issued":{"date-parts":[["2019"]]},"title":"Edited by Applied Ontology An Introduction","type":"book"},"uris":["http://www.mendeley.com/documents/?uuid=dabe9168-bb08-41b3-868a-0054c11ebcbd"]}],"mendeley":{"formattedCitation":"(Reicher et al., 2019)","manualFormatting":"(Reicher et al., 2019","plainTextFormattedCitation":"(Reicher et al., 2019)","previouslyFormattedCitation":"(Reicher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(Reicher et al., 2019</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{"citationItems":[{"id":"ITEM-1","itemData":{"DOI":"10.1080/00141844.2019.1626466","ISSN":"0014-1844","author":[{"dropping-particle":"","family":"Whitaker","given":"J. A.","non-dropping-particle":"","parse-names":false,"suffix":""}],"container-title":"ETHNOS","id":"ITEM-1","issue":"0","issued":{"date-parts":[["2019"]]},"page":"1-18","publisher":"Taylor &amp; Francis","title":"Climatic and Ontological Change in the Anthropocene among the Makushi in Guyana Climatic and Ontological Change in the Anthropocene among the Makushi in Guyana","type":"article-journal","volume":"0"},"uris":["http://www.mendeley.com/documents/?uuid=16cd3e36-76f8-4068-8b7c-6e3c9114bf4a"]},{"id":"ITEM-2","itemData":{"DOI":"10.1080/17565529.2019.1624495","author":[{"dropping-particle":"","family":"Nightingale","given":"A. J.","non-dropping-particle":"","parse-names":false,"suffix":""},{"dropping-particle":"","family":"Eriksen","given":"S.","non-dropping-particle":"","parse-names":false,"suffix":""},{"dropping-particle":"","family":"Taylor","given":"M.","non-dropping-particle":"","parse-names":false,"suffix":""},{"dropping-particle":"","family":"Forsyth","given":"T.","non-dropping-particle":"","parse-names":false,"suffix":""},{"dropping-particle":"","family":"Pelling","given":"M.","non-dropping-particle":"","parse-names":false,"suffix":""},{"dropping-particle":"","family":"Newsham","given":"A.","non-dropping-particle":"","parse-names":false,"suffix":""},{"dropping-particle":"","family":"Boyd","given":"E.","non-dropping-particle":"","parse-names":false,"suffix":""},{"dropping-particle":"","family":"Brown","given":"K.","non-dropping-particle":"","parse-names":false,"suffix":""},{"dropping-particle":"","family":"Harvey","given":"B.","non-dropping-particle":"","parse-names":false,"suffix":""},{"dropping-particle":"","family":"Jones","given":"L.","non-dropping-particle":"","parse-names":false,"suffix":""},{"dropping-particle":"","family":"Kerr","given":"R. B.","non-dropping-particle":"","parse-names":false,"suffix":""},{"dropping-particle":"","family":"Mehta","given":"L.","non-dropping-particle":"","parse-names":false,"suffix":""},{"dropping-particle":"","family":"Naess","given":"L. O.","non-dropping-particle":"","parse-names":false,"suffix":""},{"dropping-particle":"","family":"Scoones","given":"I.","non-dropping-particle":"","parse-names":false,"suffix":""},{"dropping-particle":"","family":"Tanner","given":"T.","non-dropping-particle":"","parse-names":false,"suffix":""},{"dropping-particle":"","family":"Whitfield","given":"S.","non-dropping-particle":"","parse-names":false,"suffix":""}],"id":"ITEM-2","issued":{"date-parts":[["2020"]]},"publisher":"Taylor &amp; Francis","title":"Beyond Technical Fixes : climate solutions and the great derangement","type":"article-journal"},"uris":["http://www.mendeley.com/documents/?uuid=b026cbac-29f2-4cc6-8435-8ce9277c6055"]}],"mendeley":{"formattedCitation":"(Nightingale et al., 2020; Whitaker, 2019)","manualFormatting":"Nightingale et al., 2020; Whitaker, 2019)","plainTextFormattedCitation":"(Nightingale et al., 2020; Whitaker, 2019)","previouslyFormattedCitation":"(Nightingale et al., 2020; Whitaker,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Nightingale et al., 2020; Whitaker, 2019)</w:t>
      </w:r>
      <w:r w:rsidRPr="00895D0B">
        <w:rPr>
          <w:rFonts w:cs="Times New Roman"/>
          <w:color w:val="000000" w:themeColor="text1"/>
          <w:szCs w:val="24"/>
        </w:rPr>
        <w:fldChar w:fldCharType="end"/>
      </w:r>
      <w:r w:rsidRPr="00895D0B">
        <w:rPr>
          <w:rFonts w:cs="Times New Roman"/>
          <w:color w:val="000000" w:themeColor="text1"/>
          <w:szCs w:val="24"/>
        </w:rPr>
        <w:t xml:space="preserve">. The research could study urban agriculture and climate change from the interpretivist view point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{"citationItems":[{"id":"ITEM-1","itemData":{"ISBN":"9783938793985","author":[{"dropping-particle":"","family":"Reicher","given":"M. E.","non-dropping-particle":"","parse-names":false,"suffix":""},{"dropping-particle":"","family":"Seibt","given":"J.","non-dropping-particle":"","parse-names":false,"suffix":""},{"dropping-particle":"","family":"Smith","given":"B.","non-dropping-particle":"","parse-names":false,"suffix":""},{"dropping-particle":"V.","family":"Wachter","given":"D.","non-dropping-particle":"","parse-names":false,"suffix":""},{"dropping-particle":"","family":"Munn","given":"K.","non-dropping-particle":"","parse-names":false,"suffix":""},{"dropping-particle":"","family":"Smith","given":"B.","non-dropping-particle":"","parse-names":false,"suffix":""},{"dropping-particle":"","family":"Applied","given":"E.","non-dropping-particle":"","parse-names":false,"suffix":""}],"id":"ITEM-1","issued":{"date-parts":[["2019"]]},"title":"Edited by Applied Ontology An Introduction","type":"book"},"uris":["http://www.mendeley.com/documents/?uuid=dabe9168-bb08-41b3-868a-0054c11ebcbd"]}],"mendeley":{"formattedCitation":"(Reicher et al., 2019)","plainTextFormattedCitation":"(Reicher et al., 2019)","previouslyFormattedCitation":"(Reicher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(Reicher et al., 2019)</w:t>
      </w:r>
      <w:r w:rsidRPr="00895D0B">
        <w:rPr>
          <w:rFonts w:cs="Times New Roman"/>
          <w:color w:val="000000" w:themeColor="text1"/>
          <w:szCs w:val="24"/>
        </w:rPr>
        <w:fldChar w:fldCharType="end"/>
      </w:r>
      <w:r w:rsidRPr="00895D0B">
        <w:rPr>
          <w:rFonts w:cs="Times New Roman"/>
          <w:color w:val="000000" w:themeColor="text1"/>
          <w:szCs w:val="24"/>
        </w:rPr>
        <w:t xml:space="preserve">. In the study of urban agriculture there could be no difference between the knower and the known in data collection, analysis and presentations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{"citationItems":[{"id":"ITEM-1","itemData":{"DOI":"10.1002/wcc.526","author":[{"dropping-particle":"","family":"Goldman","given":"M.","non-dropping-particle":"","parse-names":false,"suffix":""}],"id":"ITEM-1","issued":{"date-parts":[["2018"]]},"title":"A critical political ecology of human dimensions of climate change : Epistemology , ontology , and ethics change : Epistemology , ontology , and ethics","type":"article-journal"},"uris":["http://www.mendeley.com/documents/?uuid=9deba761-a265-4ca2-a3eb-70be4f4e3668"]}],"mendeley":{"formattedCitation":"(Goldman, 2018)","plainTextFormattedCitation":"(Goldman, 2018)","previouslyFormattedCitation":"(Goldman,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(Goldman, 2018)</w:t>
      </w:r>
      <w:r w:rsidRPr="00895D0B">
        <w:rPr>
          <w:rFonts w:cs="Times New Roman"/>
          <w:color w:val="000000" w:themeColor="text1"/>
          <w:szCs w:val="24"/>
        </w:rPr>
        <w:fldChar w:fldCharType="end"/>
      </w:r>
      <w:r w:rsidRPr="00895D0B">
        <w:rPr>
          <w:rFonts w:cs="Times New Roman"/>
          <w:color w:val="000000" w:themeColor="text1"/>
          <w:szCs w:val="24"/>
        </w:rPr>
        <w:t xml:space="preserve">. The mixed approach entails the enrichment of subjects, instrument fidelity, integrity of care, and enhancement of the research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{"citationItems":[{"id":"ITEM-1","itemData":{"ISSN":"16130073","abstract":"In this paper, we introduce “scientific and empirical adversarial AI attacks” (SEA AI attacks) as umbrella term for not yet prevalent but technically feasible deliberate malicious acts of specifically crafting AI-generated samples to achieve an epistemic distortion in (applied) science or engineering contexts. In view of possible socio-psycho-technological impacts, it seems responsible to ponder countermeasures from the onset on and not in hindsight. In this vein, we consider two illustrative use cases: the example of AI-produced data to mislead security engineering practices and the conceivable prospect of AI-generated contents to manipulate scientific writing processes. Firstly, we contextualize the epistemic challenges that such future SEA AI attacks could pose to society in the light of broader i.a. AI safety, AI ethics and cybersecurity-relevant efforts. Secondly, we set forth a corresponding supportive generic epistemic defense approach. Thirdly, we effect a threat modelling for the two use cases and propose tailor-made defenses based on the foregoing generic deliberations. Strikingly, our transdisciplinary analysis suggests that employing distinct explanation-anchored, trust-disentangled and adversarial strategies is one possible principled complementary epistemic defense against SEA AI attacks - albeit with caveats yielding incentives for future work.","author":[{"dropping-particle":"","family":"Aliman","given":"N. M.","non-dropping-particle":"","parse-names":false,"suffix":""},{"dropping-particle":"","family":"Kester","given":"L.","non-dropping-particle":"","parse-names":false,"suffix":""}],"container-title":"CEUR Workshop Proceedings","id":"ITEM-1","issued":{"date-parts":[["2021"]]},"title":"Epistemic defenses against scientific and empirical adversarial AI attacks","type":"article-journal","volume":"2916"},"uris":["http://www.mendeley.com/documents/?uuid=c92ffb9b-27f9-4bbb-a3ac-719a00bb3fbb"]}],"mendeley":{"formattedCitation":"(Aliman &amp; Kester, 2021)","plainTextFormattedCitation":"(Aliman &amp; Kester, 2021)","previouslyFormattedCitation":"(Aliman &amp; Kester,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(Aliman &amp; Kester, 2021)</w:t>
      </w:r>
      <w:r w:rsidRPr="00895D0B">
        <w:rPr>
          <w:rFonts w:cs="Times New Roman"/>
          <w:color w:val="000000" w:themeColor="text1"/>
          <w:szCs w:val="24"/>
        </w:rPr>
        <w:fldChar w:fldCharType="end"/>
      </w:r>
      <w:r w:rsidRPr="00895D0B">
        <w:rPr>
          <w:rFonts w:cs="Times New Roman"/>
          <w:color w:val="000000" w:themeColor="text1"/>
          <w:szCs w:val="24"/>
        </w:rPr>
        <w:t xml:space="preserve">. The researchers opt for a mixed approach based on experience and intent of analysis based on current theoretical issues and debates. Pragmatists emphasize more - why not have a certain form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{"citationItems":[{"id":"ITEM-1","itemData":{"DOI":"10.1177/1077800413513733","ISBN":"1077800413513","ISSN":"15527565","abstract":"Although advocates of mixed-methods research have proposed pragmatism as a paradigm for social research, nearly all of that work has emphasized the practical rather than the philosophical aspects of pragmatism. This article addresses that gap by connecting John Dewey’s work on experience and inquiry to current issues in the study of social research. In doing so, it also addresses the political concerns that link pragmatism and social justice. As a new paradigm, pragmatism disrupts the assumptions of older approaches based on the philosophy of knowledge, while providing promising new directions for understanding the nature of social research.","author":[{"dropping-particle":"","family":"Morgan","given":"D. L.","non-dropping-particle":"","parse-names":false,"suffix":""}],"container-title":"Qualitative Inquiry","id":"ITEM-1","issue":"8","issued":{"date-parts":[["2014"]]},"page":"1045-1053","title":"Pragmatism as a Paradigm for Social Research","type":"article-journal","volume":"20"},"uris":["http://www.mendeley.com/documents/?uuid=b4b42133-261e-481f-a11c-47d7f6bb7984"]}],"mendeley":{"formattedCitation":"(Morgan, 2014)","plainTextFormattedCitation":"(Morgan, 2014)","previouslyFormattedCitation":"(Morgan, 2014)"},"properties":{"noteIndex":0},"schema":"https://github.com/citation-style-language/schema/raw/master/csl-citation.json"}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(Morgan, 2014)</w:t>
      </w:r>
      <w:r w:rsidRPr="00895D0B">
        <w:rPr>
          <w:rFonts w:cs="Times New Roman"/>
          <w:color w:val="000000" w:themeColor="text1"/>
          <w:szCs w:val="24"/>
        </w:rPr>
        <w:fldChar w:fldCharType="end"/>
      </w:r>
      <w:r w:rsidRPr="00895D0B">
        <w:rPr>
          <w:rFonts w:cs="Times New Roman"/>
          <w:color w:val="000000" w:themeColor="text1"/>
          <w:szCs w:val="24"/>
        </w:rPr>
        <w:t xml:space="preserve">. In this case, the adoption and application of this research paradigm stand the chance to know and understand the ‘why’ and ‘how’ of climate change adaptation strategies by farmers in the urban setting. This is contrary to the standard question: how to carry out research, which is a conventional situation for research using mixed methods, and one dimension of why from the pragmatic point of view which is associated with mixed methods that underpin this study. </w:t>
      </w:r>
      <w:r w:rsidRPr="00895D0B">
        <w:rPr>
          <w:rFonts w:cs="Times New Roman"/>
          <w:color w:val="000000" w:themeColor="text1"/>
          <w:szCs w:val="24"/>
          <w:shd w:val="clear" w:color="auto" w:fill="FFFFFF"/>
        </w:rPr>
        <w:t xml:space="preserve">Pragmatism fits into methodology because, depending on the topic under analysis, the researchers select methods for data collection if the design is competitive or sequential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{"citationItems":[{"id":"ITEM-1","itemData":{"ISBN":"9781452226095","author":[{"dropping-particle":"","family":"Crewell","given":"J. W.","non-dropping-particle":"","parse-names":false,"suffix":""}],"edition":"Fourth","editor":[{"dropping-particle":"","family":"Knight","given":"V.","non-dropping-particle":"","parse-names":false,"suffix":""},{"dropping-particle":"","family":"Young","given":"J.","non-dropping-particle":"","parse-names":false,"suffix":""},{"dropping-particle":"","family":"Bauhaus","given":"K.","non-dropping-particle":"","parse-names":false,"suffix":""},{"dropping-particle":"","family":"Mauhaus","given":"B.","non-dropping-particle":"","parse-names":false,"suffix":""}],"id":"ITEM-1","issued":{"date-parts":[["2014"]]},"publisher":"SAGE Publications, Inc","publisher-place":"California","title":"Research design: qualitative, quantitative and mixed methods approaches","type":"book"},"uris":["http://www.mendeley.com/documents/?uuid=bc23e028-b078-4d48-967c-c341ed6fb8de"]}],"mendeley":{"formattedCitation":"(Crewell, 2014)","plainTextFormattedCitation":"(Crewell, 2014)","previouslyFormattedCitation":"(Crewell, 2014)"},"properties":{"noteIndex":0},"schema":"https://github.com/citation-style-language/schema/raw/master/csl-citation.json"}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(Crewell, 2014)</w:t>
      </w:r>
      <w:r w:rsidRPr="00895D0B">
        <w:rPr>
          <w:rFonts w:cs="Times New Roman"/>
          <w:color w:val="000000" w:themeColor="text1"/>
          <w:szCs w:val="24"/>
          <w:shd w:val="clear" w:color="auto" w:fill="FFFFFF"/>
        </w:rPr>
        <w:fldChar w:fldCharType="end"/>
      </w:r>
      <w:r w:rsidRPr="00895D0B">
        <w:rPr>
          <w:rFonts w:cs="Times New Roman"/>
          <w:color w:val="000000" w:themeColor="text1"/>
          <w:szCs w:val="24"/>
          <w:u w:val="thick"/>
          <w:shd w:val="clear" w:color="auto" w:fill="FFFFFF"/>
        </w:rPr>
        <w:t>.</w:t>
      </w:r>
      <w:r w:rsidRPr="00895D0B">
        <w:rPr>
          <w:rFonts w:cs="Times New Roman"/>
          <w:color w:val="000000" w:themeColor="text1"/>
          <w:szCs w:val="24"/>
          <w:shd w:val="clear" w:color="auto" w:fill="FFFFFF"/>
        </w:rPr>
        <w:t xml:space="preserve"> </w:t>
      </w:r>
      <w:r w:rsidRPr="00895D0B">
        <w:rPr>
          <w:rFonts w:cs="Times New Roman"/>
          <w:color w:val="000000" w:themeColor="text1"/>
          <w:szCs w:val="24"/>
        </w:rPr>
        <w:t xml:space="preserve">Pragmatics also gives the process of investigation for the course of this research (methodology), as an adequate research structure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{"citationItems":[{"id":"ITEM-1","itemData":{"DOI":"10.15700/saje.v28n3a176","ISSN":"02560100","abstract":"The landscape of research is continually evolving, enabling researchers to study increasingly complex phenomena. Educational researchers have propelled much of this forward progress and have developed novel methodologies to provide increasingly sound and complete evidence. Mixed methods research has emerged alongside quantitative and qualitative approaches as an important tool for researchers. In this article our overall aim is to better acquaint educational scholars with the mixed methods field by articulating the development of the mixed methods field and by citing current trends and issues. The role of educational researchers in the evolution of mixed methods research is highlighted. The early and ongoing dialogue of mixed methods research is multi-disciplinary in nature with current writings across fields. The current debate over key aspects of mixed methods research is now in progress and is ripe for future contributions. Even the very nature of what constitutes mixed methods research is being discussed among scholars. Understanding and advancing the mixed methods field is an important goal for methodologists and researchers. With the increased interest and enthusiasm for mixed methods research, it is likely that the dialogue surrounding mixed methods approaches will thrive, continuing the movement of the field. © 2008 EASA.","author":[{"dropping-particle":"","family":"Creswell","given":"J. W.","non-dropping-particle":"","parse-names":false,"suffix":""},{"dropping-particle":"","family":"Garrett","given":"A. L.","non-dropping-particle":"","parse-names":false,"suffix":""}],"container-title":"South African Journal of Education","id":"ITEM-1","issue":"3","issued":{"date-parts":[["2008"]]},"page":"321-333","title":"The \"movement\" of mixed methods research and the role of educators","type":"article-journal","volume":"28"},"uris":["http://www.mendeley.com/documents/?uuid=9cc6fee2-810a-4da8-9f12-6e5a9e8bb9a1"]}],"mendeley":{"formattedCitation":"(Creswell &amp; Garrett, 2008)","plainTextFormattedCitation":"(Creswell &amp; Garrett, 2008)","previouslyFormattedCitation":"(Creswell &amp; Garrett, 2008)"},"properties":{"noteIndex":0},"schema":"https://github.com/citation-style-language/schema/raw/master/csl-citation.json"}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(Creswell &amp; Garrett, 2008)</w:t>
      </w:r>
      <w:r w:rsidRPr="00895D0B">
        <w:rPr>
          <w:rFonts w:cs="Times New Roman"/>
          <w:color w:val="000000" w:themeColor="text1"/>
          <w:szCs w:val="24"/>
        </w:rPr>
        <w:fldChar w:fldCharType="end"/>
      </w:r>
      <w:r w:rsidRPr="00895D0B">
        <w:rPr>
          <w:rFonts w:cs="Times New Roman"/>
          <w:color w:val="000000" w:themeColor="text1"/>
          <w:szCs w:val="24"/>
        </w:rPr>
        <w:t xml:space="preserve">. It is crucial to understand the ontological, epistemological, and methodological implications regarding the use of pragmatism as a suitable framework for this studying agriculture and climate change nexus. </w:t>
      </w:r>
    </w:p>
    <w:p w14:paraId="488C487A" w14:textId="77777777" w:rsidR="001B4ED5" w:rsidRPr="00895D0B" w:rsidRDefault="001B4ED5" w:rsidP="005573B9">
      <w:pPr>
        <w:pStyle w:val="NoSpacing"/>
      </w:pPr>
    </w:p>
    <w:p w14:paraId="48C54D62"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color w:val="000000" w:themeColor="text1"/>
          <w:szCs w:val="24"/>
        </w:rPr>
        <w:t xml:space="preserve">There are several ways of collecting qualitative and quantitative data and doing analysis under the pragmatic stance. Quantitative and qualitative data collection intends to help researchers explain the details of the need for both data forms, and explain the reasons. The use of quantitative methods of data collection such as survey (experimental) using questionnaire could take care of modelling climate change adaptation strategies and their efficiency to farmers on one hand. On the other hand, the use of qualitative methods such as interviews and observation could help to dig deeper to come out with the philosophical notion in climate change and agriculture. The mixed approach is </w:t>
      </w:r>
      <w:r w:rsidRPr="00895D0B">
        <w:rPr>
          <w:rFonts w:cs="Times New Roman"/>
          <w:color w:val="000000" w:themeColor="text1"/>
          <w:szCs w:val="24"/>
        </w:rPr>
        <w:lastRenderedPageBreak/>
        <w:t xml:space="preserve">necessary as it will improve triangulation and reliability/validity of the study although deficiencies in one approach will be offset by strengths in the other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{"citationItems":[{"id":"ITEM-1","itemData":{"DOI":"10.12691/education-3-3-10","ISSN":"2327-6126","abstract":"This paper aims to provide a concise introduction about the philosophical underpinnings of educational research. Whilst the philosophies of educational research have been extensively researched, a concise guide is hoped to uncover research underpinnings for beginners’ postgraduate research students. It overviews the philosophies, paradigms, basic terminologies and related methodologies of educational research. Moreover, the paper provides insights into how researchers’ philosophical stance can inform their research undertaking and transform the educational landscape.","author":[{"dropping-particle":"","family":"Assalahi","given":"H.","non-dropping-particle":"","parse-names":false,"suffix":""}],"container-title":"American Journal of Educational Research","id":"ITEM-1","issue":"3","issued":{"date-parts":[["2015"]]},"page":"312-317","title":"The Philosophical Foundations of Educational Research: a Beginner’s Guide","type":"article-journal","volume":"3"},"uris":["http://www.mendeley.com/documents/?uuid=4f0cb457-9916-4a81-b191-9218913e0349"]}],"mendeley":{"formattedCitation":"(Assalahi, 2015)","plainTextFormattedCitation":"(Assalahi, 2015)","previouslyFormattedCitation":"(Assalahi, 2015)"},"properties":{"noteIndex":0},"schema":"https://github.com/citation-style-language/schema/raw/master/csl-citation.json"}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(Assalahi, 2015)</w:t>
      </w:r>
      <w:r w:rsidRPr="00895D0B">
        <w:rPr>
          <w:rFonts w:cs="Times New Roman"/>
          <w:color w:val="000000" w:themeColor="text1"/>
          <w:szCs w:val="24"/>
        </w:rPr>
        <w:fldChar w:fldCharType="end"/>
      </w:r>
      <w:r w:rsidRPr="00895D0B">
        <w:rPr>
          <w:rFonts w:cs="Times New Roman"/>
          <w:color w:val="000000" w:themeColor="text1"/>
          <w:szCs w:val="24"/>
        </w:rPr>
        <w:t xml:space="preserve">. A survey instrument that includes both qualitative (open-ended) and quantitative (closed-ended) questions and the integration and analysis of both types of data is recommended for mixed methods studies. This in the end results in proper analysis and predictions to inform policy formulations and implementations. Strictness is also applied when the researchers report comprehensive quantitative and qualitative techniques and explain research analysis using mixed methods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{"citationItems":[{"id":"ITEM-1","itemData":{"DOI":"10.1177/1558689812461574","ISSN":"15586901","author":[{"dropping-particle":"","family":"Mertens","given":"D. M.","non-dropping-particle":"","parse-names":false,"suffix":""}],"container-title":"Journal of Mixed Methods Research","id":"ITEM-1","issue":"4","issued":{"date-parts":[["2012"]]},"page":"255-257","title":"What Comes First? The Paradigm or the Approach?","type":"article-journal","volume":"6"},"uris":["http://www.mendeley.com/documents/?uuid=3872e575-57ff-42a2-b0bc-b64039109e3c"]}],"mendeley":{"formattedCitation":"(Mertens, 2012)","plainTextFormattedCitation":"(Mertens, 2012)","previouslyFormattedCitation":"(Mertens, 2012)"},"properties":{"noteIndex":0},"schema":"https://github.com/citation-style-language/schema/raw/master/csl-citation.json"}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(Mertens, 2012)</w:t>
      </w:r>
      <w:r w:rsidRPr="00895D0B">
        <w:rPr>
          <w:rFonts w:cs="Times New Roman"/>
          <w:color w:val="000000" w:themeColor="text1"/>
          <w:szCs w:val="24"/>
        </w:rPr>
        <w:fldChar w:fldCharType="end"/>
      </w:r>
      <w:r w:rsidRPr="00895D0B">
        <w:rPr>
          <w:rFonts w:cs="Times New Roman"/>
          <w:color w:val="000000" w:themeColor="text1"/>
          <w:szCs w:val="24"/>
        </w:rPr>
        <w:t xml:space="preserve">. For the study as a whole, the pragmatist dimensions of methods have two essential consequences. First, this research used mixed methods the approach shown is very much a suggested investigation framework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{"citationItems":[{"id":"ITEM-1","itemData":{"DOI":"10.1002/ev.20053","ISSN":"10976736","abstract":"We argue for a view of credible evidence that is multidimensional in philosophical and methodological terms. We advocate for the importance of deepening the meaning of credible evaluation practice and findings by bringing multiple philosophical and theoretical lenses to the evaluation process as a basis for the use of mixed methods in evaluation, thus providing evaluators with strategies for garnering more complex and diverse perspectives on the creation of credible evidence. ©Wiley Periodicals, Inc.","author":[{"dropping-particle":"","family":"Mertens","given":"D. M.","non-dropping-particle":"","parse-names":false,"suffix":""},{"dropping-particle":"","family":"Hesse-Biber","given":"S.","non-dropping-particle":"","parse-names":false,"suffix":""}],"container-title":"New Directions for Evaluation","id":"ITEM-1","issue":"138","issued":{"date-parts":[["2013"]]},"page":"5-13","title":"Mixed Methods and Credibility of Evidence in Evaluation","type":"article-journal","volume":"2013"},"uris":["http://www.mendeley.com/documents/?uuid=c49d00f1-1340-4fc6-a877-c20bd8c90f16"]}],"mendeley":{"formattedCitation":"(Mertens &amp; Hesse-Biber, 2013)","plainTextFormattedCitation":"(Mertens &amp; Hesse-Biber, 2013)","previouslyFormattedCitation":"(Mertens &amp; Hesse-Biber,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(Mertens &amp; Hesse-Biber, 2013)</w:t>
      </w:r>
      <w:r w:rsidRPr="00895D0B">
        <w:rPr>
          <w:rFonts w:cs="Times New Roman"/>
          <w:color w:val="000000" w:themeColor="text1"/>
          <w:szCs w:val="24"/>
        </w:rPr>
        <w:fldChar w:fldCharType="end"/>
      </w:r>
      <w:r w:rsidRPr="00895D0B">
        <w:rPr>
          <w:rFonts w:cs="Times New Roman"/>
          <w:color w:val="000000" w:themeColor="text1"/>
          <w:szCs w:val="24"/>
        </w:rPr>
        <w:t xml:space="preserve">. The investigation (inquiry) is a cyclical mechanism that begins with action and results. The scientist then tests the functionality of the behaviour and determines its justified beliefs </w:t>
      </w:r>
      <w:r w:rsidRPr="00895D0B">
        <w:rPr>
          <w:rFonts w:cs="Times New Roman"/>
          <w:color w:val="000000" w:themeColor="text1"/>
          <w:szCs w:val="24"/>
        </w:rPr>
        <w:fldChar w:fldCharType="begin" w:fldLock="1"/>
      </w:r>
      <w:r w:rsidRPr="00895D0B">
        <w:rPr>
          <w:rFonts w:cs="Times New Roman"/>
          <w:color w:val="000000" w:themeColor="text1"/>
          <w:szCs w:val="24"/>
        </w:rPr>
        <w:instrText xml:space="preserve">ADDIN CSL_CITATION {"citationItems":[{"id":"ITEM-1","itemData":{"ISBN":"9781439861578","abstract":"• </w:instrText>
      </w:r>
      <w:r w:rsidRPr="00895D0B">
        <w:rPr>
          <w:rFonts w:cs="Times New Roman"/>
          <w:color w:val="000000" w:themeColor="text1"/>
          <w:szCs w:val="24"/>
          <w:rtl/>
        </w:rPr>
        <w:instrText>גרינבלט</w:instrText>
      </w:r>
      <w:r w:rsidRPr="00895D0B">
        <w:rPr>
          <w:rFonts w:cs="Times New Roman"/>
          <w:color w:val="000000" w:themeColor="text1"/>
          <w:szCs w:val="24"/>
        </w:rPr>
        <w:instrText xml:space="preserve">, </w:instrText>
      </w:r>
      <w:r w:rsidRPr="00895D0B">
        <w:rPr>
          <w:rFonts w:cs="Times New Roman"/>
          <w:color w:val="000000" w:themeColor="text1"/>
          <w:szCs w:val="24"/>
          <w:rtl/>
        </w:rPr>
        <w:instrText>י</w:instrText>
      </w:r>
      <w:r w:rsidRPr="00895D0B">
        <w:rPr>
          <w:rFonts w:cs="Times New Roman"/>
          <w:color w:val="000000" w:themeColor="text1"/>
          <w:szCs w:val="24"/>
        </w:rPr>
        <w:instrText xml:space="preserve">. (2012). </w:instrText>
      </w:r>
      <w:r w:rsidRPr="00895D0B">
        <w:rPr>
          <w:rFonts w:cs="Times New Roman"/>
          <w:color w:val="000000" w:themeColor="text1"/>
          <w:szCs w:val="24"/>
          <w:rtl/>
        </w:rPr>
        <w:instrText>ענף הקיווי</w:instrText>
      </w:r>
      <w:r w:rsidRPr="00895D0B">
        <w:rPr>
          <w:rFonts w:cs="Times New Roman"/>
          <w:color w:val="000000" w:themeColor="text1"/>
          <w:szCs w:val="24"/>
        </w:rPr>
        <w:instrText xml:space="preserve">: </w:instrText>
      </w:r>
      <w:r w:rsidRPr="00895D0B">
        <w:rPr>
          <w:rFonts w:cs="Times New Roman"/>
          <w:color w:val="000000" w:themeColor="text1"/>
          <w:szCs w:val="24"/>
          <w:rtl/>
        </w:rPr>
        <w:instrText xml:space="preserve">תמונת מצב </w:instrText>
      </w:r>
      <w:r w:rsidRPr="00895D0B">
        <w:rPr>
          <w:rFonts w:cs="Times New Roman"/>
          <w:color w:val="000000" w:themeColor="text1"/>
          <w:szCs w:val="24"/>
        </w:rPr>
        <w:instrText xml:space="preserve">2012, </w:instrText>
      </w:r>
      <w:r w:rsidRPr="00895D0B">
        <w:rPr>
          <w:rFonts w:cs="Times New Roman"/>
          <w:color w:val="000000" w:themeColor="text1"/>
          <w:szCs w:val="24"/>
          <w:rtl/>
        </w:rPr>
        <w:instrText>עלון הנוטע שה</w:instrText>
      </w:r>
      <w:r w:rsidRPr="00895D0B">
        <w:rPr>
          <w:rFonts w:cs="Times New Roman"/>
          <w:color w:val="000000" w:themeColor="text1"/>
          <w:szCs w:val="24"/>
        </w:rPr>
        <w:instrText>“</w:instrText>
      </w:r>
      <w:r w:rsidRPr="00895D0B">
        <w:rPr>
          <w:rFonts w:cs="Times New Roman"/>
          <w:color w:val="000000" w:themeColor="text1"/>
          <w:szCs w:val="24"/>
          <w:rtl/>
        </w:rPr>
        <w:instrText>מ</w:instrText>
      </w:r>
      <w:r w:rsidRPr="00895D0B">
        <w:rPr>
          <w:rFonts w:cs="Times New Roman"/>
          <w:color w:val="000000" w:themeColor="text1"/>
          <w:szCs w:val="24"/>
        </w:rPr>
        <w:instrText xml:space="preserve">, </w:instrText>
      </w:r>
      <w:r w:rsidRPr="00895D0B">
        <w:rPr>
          <w:rFonts w:cs="Times New Roman"/>
          <w:color w:val="000000" w:themeColor="text1"/>
          <w:szCs w:val="24"/>
          <w:rtl/>
        </w:rPr>
        <w:instrText>מחוז צפון</w:instrText>
      </w:r>
      <w:r w:rsidRPr="00895D0B">
        <w:rPr>
          <w:rFonts w:cs="Times New Roman"/>
          <w:color w:val="000000" w:themeColor="text1"/>
          <w:szCs w:val="24"/>
        </w:rPr>
        <w:instrText xml:space="preserve">, </w:instrText>
      </w:r>
      <w:r w:rsidRPr="00895D0B">
        <w:rPr>
          <w:rFonts w:cs="Times New Roman"/>
          <w:color w:val="000000" w:themeColor="text1"/>
          <w:szCs w:val="24"/>
          <w:rtl/>
        </w:rPr>
        <w:instrText>משרד החקלאות</w:instrText>
      </w:r>
      <w:r w:rsidRPr="00895D0B">
        <w:rPr>
          <w:rFonts w:cs="Times New Roman"/>
          <w:color w:val="000000" w:themeColor="text1"/>
          <w:szCs w:val="24"/>
        </w:rPr>
        <w:instrText>.","author":[{"dropping-particle":"","family":"McCombs","given":"B. L.","non-dropping-particle":"","parse-names":false,"suffix":""}],"container-title":"</w:instrText>
      </w:r>
      <w:r w:rsidRPr="00895D0B">
        <w:rPr>
          <w:rFonts w:cs="Times New Roman"/>
          <w:color w:val="000000" w:themeColor="text1"/>
          <w:szCs w:val="24"/>
          <w:rtl/>
        </w:rPr>
        <w:instrText>עלון הנוטע</w:instrText>
      </w:r>
      <w:r w:rsidRPr="00895D0B">
        <w:rPr>
          <w:rFonts w:cs="Times New Roman"/>
          <w:color w:val="000000" w:themeColor="text1"/>
          <w:szCs w:val="24"/>
        </w:rPr>
        <w:instrText>","id":"ITEM-1","issued":{"date-parts":[["2012"]]},"page":"37-39","title":"What if we really had a research-validated model that supports simple L2L?","type":"article-journal","volume":"66"},"uris":["http://www.mendeley.com/documents/?uuid=2ff4809f-8b4e-4c91-bd32-3770d50d0992"]}],"mendeley":{"formattedCitation":"(McCombs, 2012)","plainTextFormattedCitation":"(McCombs, 2012)","previouslyFormattedCitation":"(McCombs, 2012)"},"properties":{"noteIndex":0},"schema":"https://github.com/citation-style-language/schema/raw/master/csl-citation.json"}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(McCombs, 2012)</w:t>
      </w:r>
      <w:r w:rsidRPr="00895D0B">
        <w:rPr>
          <w:rFonts w:cs="Times New Roman"/>
          <w:color w:val="000000" w:themeColor="text1"/>
          <w:szCs w:val="24"/>
        </w:rPr>
        <w:fldChar w:fldCharType="end"/>
      </w:r>
      <w:r w:rsidRPr="00895D0B">
        <w:rPr>
          <w:rFonts w:cs="Times New Roman"/>
          <w:color w:val="000000" w:themeColor="text1"/>
          <w:szCs w:val="24"/>
        </w:rPr>
        <w:t xml:space="preserve">. This cyclic, reflective, and iterative mechanism resembles the approach included in this research for construction research to examine the problems. Qualitative analysis, previously referred to as "fiction" and "not science"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{"citationItems":[{"id":"ITEM-1","itemData":{"DOI":"10.1111/jpim.12277","ISSN":"15405885","author":[{"dropping-particle":"","family":"Kandel","given":"B.","non-dropping-particle":"","parse-names":false,"suffix":""}],"container-title":"Journal of Product Innovation Management","id":"ITEM-1","issue":"5","issued":{"date-parts":[["2015"]]},"page":"658","title":"Publishing Qualitative versus Quantitative Research","type":"article-journal","volume":"32"},"uris":["http://www.mendeley.com/documents/?uuid=ae30d885-08de-4cd3-9c3c-8bca8d192f81"]}],"mendeley":{"formattedCitation":"(Kandel, 2015)","plainTextFormattedCitation":"(Kandel, 2015)","previouslyFormattedCitation":"(Kandel, 2015)"},"properties":{"noteIndex":0},"schema":"https://github.com/citation-style-language/schema/raw/master/csl-citation.json"}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(Kandel, 2015)</w:t>
      </w:r>
      <w:r w:rsidRPr="00895D0B">
        <w:rPr>
          <w:rFonts w:cs="Times New Roman"/>
          <w:color w:val="000000" w:themeColor="text1"/>
          <w:szCs w:val="24"/>
        </w:rPr>
        <w:fldChar w:fldCharType="end"/>
      </w:r>
      <w:r w:rsidRPr="00895D0B">
        <w:rPr>
          <w:rFonts w:cs="Times New Roman"/>
          <w:color w:val="000000" w:themeColor="text1"/>
          <w:szCs w:val="24"/>
        </w:rPr>
        <w:t xml:space="preserve"> has gained legitimacy. According to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{"citationItems":[{"id":"ITEM-1","itemData":{"DOI":"10.1108/JEA-07-2016-0078","ISSN":"09578234","abstract":"Purpose: The purpose of this paper is to do methodological review of the literature on educational leaders and emotions that includes 49 empirical studies published in peer-reviewed journals between 1992 and 2012. Design/methodology/approach: The work systematically analyzes descriptive information, methods, and designs in these studies, and their development over time. Findings: The review suggests that scholarly interest in educational leaders and emotions has increased over time, and identifies methodological patterns in this body of research. The results are compared with methodological data from other syntheses in the disciplines of educational administration (EA) and organizational behavior for the purpose of using the findings to produce broader insights into the meaning of an emerging research field in EA. Originality/value: The findings of the methodological review are interpreted from two conceptual perspectives: functionalist and critical. Together, they offer a holistic portrayal of the meaning of producing scientific knowledge in an emerging research field in EA.","author":[{"dropping-particle":"","family":"Berkovich","given":"I.","non-dropping-particle":"","parse-names":false,"suffix":""},{"dropping-particle":"","family":"Eyal","given":"O.","non-dropping-particle":"","parse-names":false,"suffix":""}],"container-title":"Journal of Educational Administration","id":"ITEM-1","issue":"5","issued":{"date-parts":[["2017"]]},"page":"469-491","title":"Methodological review of studies on educational leaders and emotions (1992-2012): Insights into the meaning of an emerging research field in educational administration","type":"article-journal","volume":"55"},"uris":["http://www.mendeley.com/documents/?uuid=be437af0-9cfc-473e-810f-aa46fb4ceaa3"]}],"mendeley":{"formattedCitation":"(Berkovich &amp; Eyal, 2017)","manualFormatting":"Berkovich and Eyal (2017)","plainTextFormattedCitation":"(Berkovich &amp; Eyal, 2017)","previouslyFormattedCitation":"(Berkovich &amp; Eyal,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Berkovich and Eyal (2017)</w:t>
      </w:r>
      <w:r w:rsidRPr="00895D0B">
        <w:rPr>
          <w:rFonts w:cs="Times New Roman"/>
          <w:color w:val="000000" w:themeColor="text1"/>
          <w:szCs w:val="24"/>
        </w:rPr>
        <w:fldChar w:fldCharType="end"/>
      </w:r>
      <w:r w:rsidRPr="00895D0B">
        <w:rPr>
          <w:rFonts w:cs="Times New Roman"/>
          <w:color w:val="000000" w:themeColor="text1"/>
          <w:szCs w:val="24"/>
        </w:rPr>
        <w:t xml:space="preserve">, this is why subjectivist qualitative methods such as face-to-face interviews, field observations, and theory approaches must be involved in recognizing the nature of urban agriculture and how farmers adapt to climate change. In most social science fields, such as climate change and agricultural production, qualitative analysis is now an important part of scientific discourse as it gives a deeper understanding of emerging issues. The fact that neither quantitative nor qualitative approaches are autonomous enough to cover the parameters and problems in a sample is the root of what underlies the combining of both types of data in a single study.  Modelling is useful in these situations because it allows for the simulation of strategic options, allowing for the evaluation of potential adaptation methods for future planning in climate and agriculture research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{"citationItems":[{"id":"ITEM-1","itemData":{"DOI":"10.1186/s12890-015-0145-5","ISSN":"14712466","PMID":"26637194","abstract":"Background: Idiopathic pulmonary fibrosis (IPF) is a chronic, fibrotic interstitial lung disease of unknown origin. It has a median survival of three years but a wide range in survival rate which is difficult to predict at the time of diagnosis. Specialist guidance promotes a patient centred approach emphasising regular assessment, information giving and supportive care coordinated by a multidisciplinary team (MDT). However understanding of patient and carer experience across the disease trajectory is limited and detailed guidance for MDTs on communication, assessment, and triggers for supportive and palliative interventions is lacking. This study addresses uncertainties relating to care needs of patients and carers at different stages of the IPF disease trajectory. Methods: Following ethical approval a multi-centre mixed-methods study recruited participants with IPF at four stages of the disease trajectory. Qualitative analysis was used to analyse 48 semi-structured interviews with patients (27) and paired carers (21). Results: Patients and carers outlined key elements of MDT activity capable of having significant impact on the care experience. These were structured around: Focus of clinical encounters Conclusions: Patients diagnosed with IPF have a clear understanding of their prognosis but little understanding of how their disease will progress and how it will be managed. In depth analysis of the experiences of patients and carers offers guidance for refining IPF clinical pathways. This will support patients and carers at key transition points in line with National Institute for Health and Care Excellence (NICE) guidance.","author":[{"dropping-particle":"","family":"Sampson","given":"C.","non-dropping-particle":"","parse-names":false,"suffix":""},{"dropping-particle":"","family":"Gill","given":"Ben H.","non-dropping-particle":"","parse-names":false,"suffix":""},{"dropping-particle":"","family":"Harrison","given":"N. K.","non-dropping-particle":"","parse-names":false,"suffix":""},{"dropping-particle":"","family":"Nelson","given":"A.","non-dropping-particle":"","parse-names":false,"suffix":""},{"dropping-particle":"","family":"Byrne","given":"A.","non-dropping-particle":"","parse-names":false,"suffix":""}],"container-title":"BMC Pulmonary Medicine","id":"ITEM-1","issue":"1","issued":{"date-parts":[["2015"]]},"page":"1-7","publisher":"BMC Pulmonary Medicine","title":"The care needs of patients with idiopathic pulmonary fibrosis and their carers (CaNoPy): Results of a qualitative study","type":"article-journal","volume":"15"},"uris":["http://www.mendeley.com/documents/?uuid=a68418da-3dce-49b9-af3f-917a2d23178a"]}],"mendeley":{"formattedCitation":"(Sampson et al., 2015)","plainTextFormattedCitation":"(Sampson et al., 2015)","previouslyFormattedCitation":"(Sampson et al., 2015)"},"properties":{"noteIndex":0},"schema":"https://github.com/citation-style-language/schema/raw/master/csl-citation.json"}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(Sampson et al., 2015)</w:t>
      </w:r>
      <w:r w:rsidRPr="00895D0B">
        <w:rPr>
          <w:rFonts w:cs="Times New Roman"/>
          <w:color w:val="000000" w:themeColor="text1"/>
          <w:szCs w:val="24"/>
        </w:rPr>
        <w:fldChar w:fldCharType="end"/>
      </w:r>
      <w:r w:rsidRPr="00895D0B">
        <w:rPr>
          <w:rFonts w:cs="Times New Roman"/>
          <w:color w:val="000000" w:themeColor="text1"/>
          <w:szCs w:val="24"/>
        </w:rPr>
        <w:t xml:space="preserve">. </w:t>
      </w:r>
    </w:p>
    <w:p w14:paraId="54367301" w14:textId="77777777" w:rsidR="001B4ED5" w:rsidRPr="00895D0B" w:rsidRDefault="001B4ED5" w:rsidP="006C7099">
      <w:pPr>
        <w:pStyle w:val="NoSpacing"/>
        <w:rPr>
          <w:lang w:val="en-US"/>
        </w:rPr>
      </w:pPr>
    </w:p>
    <w:p w14:paraId="47E6D55D" w14:textId="77777777" w:rsidR="001B4ED5" w:rsidRPr="00895D0B" w:rsidRDefault="006B41C0">
      <w:pPr>
        <w:pStyle w:val="Heading2"/>
      </w:pPr>
      <w:bookmarkStart w:id="61" w:name="_Toc167379894"/>
      <w:r w:rsidRPr="00895D0B">
        <w:t>3.4 Research Approach and Design</w:t>
      </w:r>
      <w:bookmarkEnd w:id="61"/>
      <w:r w:rsidRPr="00895D0B">
        <w:t xml:space="preserve"> </w:t>
      </w:r>
    </w:p>
    <w:p w14:paraId="7D942F1E" w14:textId="7777777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 xml:space="preserve">The research approach is one of the essential components in research methodological design because it defines the philosophical line of direction and the research debate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{"citationItems":[{"id":"ITEM-1","itemData":{"DOI":"10.3390/ani10020213","ISSN":"20762615","abstract":"Feather pecking is a prominent issue in the commercial egg industry, associated with economic losses and welfare problems. A non-systematic literature search suggests that studies on feather pecking are predominantly concerned with applied research goals. That is to say, they aim to solve or diminish the effects of this problematic behavior by orienting towards practical approaches. The strong emphasis on this research approach has skewed our knowledge of the causes of feather pecking in relation to welfare. While the need for such research is high, there is an equivalent need for basic research that has not received corresponding effort. Also, current research predominantly focuses on the negative effects on the birds being pecked, whereas too little attention is given to the possible welfare problems of the peckers. We argue that more basic research is needed for obtaining comprehensive science-based knowledge of behavioral needs and abilities of hens, in particular with respect to behavioral problems that threaten their welfare.","author":[{"dropping-particle":"","family":"Fijn","given":"Lisa B.","non-dropping-particle":"","parse-names":false,"suffix":""},{"dropping-particle":"","family":"Josef van der Staay","given":"F.","non-dropping-particle":"","parse-names":false,"suffix":""},{"dropping-particle":"","family":"Goerlich-Jansson","given":"Vivian C.","non-dropping-particle":"","parse-names":false,"suffix":""},{"dropping-particle":"","family":"Arndt","given":"Saskia S.","non-dropping-particle":"","parse-names":false,"suffix":""}],"container-title":"Animals","id":"ITEM-1","issue":"2","issued":{"date-parts":[["2020"]]},"page":"1-14","title":"Importance of basic research on the causes of feather pecking in relation to welfare","type":"article-journal","volume":"10"},"uris":["http://www.mendeley.com/documents/?uuid=16aef1a7-04ed-4c0f-a7e2-eef77a97fb14"]}],"mendeley":{"formattedCitation":"(Fijn et al., 2020)","plainTextFormattedCitation":"(Fijn et al., 2020)","previouslyFormattedCitation":"(Fijn et al., 2020)"},"properties":{"noteIndex":0},"schema":"https://github.com/citation-style-language/schema/raw/master/csl-citation.json"}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(Fijn et al., 2020)</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Therefore, this study adopted a mixed research approach to understanding how urban farmers are adapting to climate change and variability. In this sense, both quantitative and qualitative methods were employed to collect and analyze </w:t>
      </w:r>
      <w:r w:rsidRPr="00895D0B">
        <w:rPr>
          <w:rFonts w:cs="Times New Roman"/>
          <w:color w:val="000000" w:themeColor="text1"/>
          <w:szCs w:val="24"/>
          <w:lang w:val="en-US"/>
        </w:rPr>
        <w:lastRenderedPageBreak/>
        <w:t xml:space="preserve">data and later integrate the findings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10.1177/2345678906293042","ISSN":"15586901","author":[{"dropping-particle":"","family":"Tashakkori","given":"Abbas","non-dropping-particle":"","parse-names":false,"suffix":""},{"dropping-particle":"","family":"Creswell","given":"John W.","non-dropping-particle":"","parse-names":false,"suffix":""}],"container-title":"Journal of Mixed Methods Research","id":"ITEM-1","issue":"1","issued":{"date-parts":[["2007"]]},"page":"3-7","title":"Editorial: The New Era of Mixed Methods","type":"article-journal","volume":"1"},"uris":["http://www.mendeley.com/documents/?uuid=aadf1bc9-6966-4032-a044-a059d7f30aef"]}],"mendeley":{"formattedCitation":"(Tashakkori &amp; Creswell, 2007)","plainTextFormattedCitation":"(Tashakkori &amp; Creswell, 2007)","previouslyFormattedCitation":"(Tashakkori &amp; Creswell, 2007)"},"properties":{"noteIndex":0},"schema":"https://github.com/citation-style-language/schema/raw/master/csl-citation.json"}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(Tashakkori &amp; Creswell, 2007)</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 reason for a mixed approach is that it helps in getting holistic views of the study respondents on urban agricultural practices and how they are adapting to climate change and variability. Though the study could use either the quantitative or qualitative approach, both are combined to give comprehensive knowledge in the research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{"citationItems":[{"id":"ITEM-1","itemData":{"DOI":"10.1186/s41687-018-0043-8","ISBN":"4168701800438","ISSN":"25098020","abstract":"Mixed methods research (MMR) has found an increased interest in the field of health outcomes research. Consideration for both qualitative and quantitative perspectives has become key to contextualising patient experiences in a clinically meaningful measurement framework. The purpose of this paper is to outline a process for incorporating MMR in health outcomes research to guide stakeholders in their understanding of the essence of mixed methods inquiry. In addition, this paper will outline the benefits and challenges of MMR and describe the types of support needed for designing and conducting robust MMR measurement studies. MMR involves the application of a well-defined and pre-specified research design that articulates purposely and prospectively, qualitative and quantitative components to generate an integrated set of evidence addressing a single research question. Various methodological design options are possible depending on the research question. MMR designs allow a research question to be studied thoroughly from different perspectives. When applied, it allows the strengths of one approach to complement the restrictions of another. Among other applications, MMR can be used to enhance the creation of conceptual models and development of new instruments, to interpret the meaningfulness of outcomes in a clinical study from the patient perspective, and inform health care policy. Robust MMR requires research teams with experience in both qualitative and quantitative research. Moreover, a thorough understanding of the underlying principles of MMR is recommended at the point of study conception all the way through to implementation and knowledge dissemination. The framework outlined in this paper is designed to encourage health outcomes researchers to apply MMR to their research and to facilitate innovative, patient-centred methodological solutions to address the complex challenges of the field.","author":[{"dropping-particle":"","family":"Regnault","given":"Antoine","non-dropping-particle":"","parse-names":false,"suffix":""},{"dropping-particle":"","family":"Willgoss","given":"Tom","non-dropping-particle":"","parse-names":false,"suffix":""},{"dropping-particle":"","family":"Barbic","given":"Skye","non-dropping-particle":"","parse-names":false,"suffix":""}],"container-title":"Journal of Patient-Reported Outcomes","id":"ITEM-1","issued":{"date-parts":[["2018"]]},"page":"2-5","publisher":"Journal of Patient-Reported Outcomes","title":"Towards the use of mixed methods inquiry as best practice in health outcomes research","type":"article-journal","volume":"2"},"uris":["http://www.mendeley.com/documents/?uuid=25458488-3cf6-4f50-ae49-088864e326ea"]}],"mendeley":{"formattedCitation":"(Regnault et al., 2018)","plainTextFormattedCitation":"(Regnault et al., 2018)","previouslyFormattedCitation":"(Regnault et al., 2018)"},"properties":{"noteIndex":0},"schema":"https://github.com/citation-style-language/schema/raw/master/csl-citation.json"}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(Regnault et al., 2018)</w:t>
      </w:r>
      <w:r w:rsidRPr="00895D0B">
        <w:rPr>
          <w:rFonts w:cs="Times New Roman"/>
          <w:color w:val="000000" w:themeColor="text1"/>
          <w:szCs w:val="24"/>
          <w:lang w:val="en-US"/>
        </w:rPr>
        <w:fldChar w:fldCharType="end"/>
      </w:r>
      <w:r w:rsidRPr="00895D0B">
        <w:rPr>
          <w:rFonts w:cs="Times New Roman"/>
          <w:b/>
          <w:color w:val="000000" w:themeColor="text1"/>
          <w:szCs w:val="24"/>
          <w:lang w:val="en-US"/>
        </w:rPr>
        <w:t xml:space="preserve">. </w:t>
      </w:r>
      <w:r w:rsidRPr="00895D0B">
        <w:rPr>
          <w:rFonts w:cs="Times New Roman"/>
          <w:color w:val="000000" w:themeColor="text1"/>
          <w:szCs w:val="24"/>
          <w:lang w:val="en-US"/>
        </w:rPr>
        <w:t>According to</w:t>
      </w:r>
      <w:r w:rsidRPr="00895D0B">
        <w:rPr>
          <w:rFonts w:cs="Times New Roman"/>
          <w:b/>
          <w:color w:val="000000" w:themeColor="text1"/>
          <w:szCs w:val="24"/>
          <w:lang w:val="en-US"/>
        </w:rPr>
        <w:t xml:space="preserve"> </w:t>
      </w:r>
      <w:r w:rsidRPr="00895D0B">
        <w:rPr>
          <w:rFonts w:cs="Times New Roman"/>
          <w:b/>
          <w:color w:val="000000" w:themeColor="text1"/>
          <w:szCs w:val="24"/>
          <w:lang w:val="en-US"/>
        </w:rPr>
        <w:fldChar w:fldCharType="begin" w:fldLock="1"/>
      </w:r>
      <w:r w:rsidRPr="00895D0B">
        <w:rPr>
          <w:rFonts w:cs="Times New Roman"/>
          <w:b/>
          <w:color w:val="000000" w:themeColor="text1"/>
          <w:szCs w:val="24"/>
          <w:lang w:val="en-US"/>
        </w:rPr>
        <w:instrText>ADDIN CSL_CITATION {"citationItems":[{"id":"ITEM-1","itemData":{"DOI":"10.1177/1473325010368316","ISSN":"14733250","abstract":"Bracketing is a method used in qualitative research to mitigate the potentially deleterious effects of preconceptions that may taint the research process. However, the processes through which bracketing takes place are poorly understood, in part as a result of a shift away from its phenomenological origins. The current article examines the historical and philosophical roots of bracketing, and analyzes the tensions that have arisen since the inception of bracketing in terms of its definition, who brackets, methods of bracketing, and its timing in the research process. We propose a conceptual framework to advance dialogue around bracketing and to enhance its implementation. © The Author(s) 2010.","author":[{"dropping-particle":"","family":"Tufford","given":"Lea","non-dropping-particle":"","parse-names":false,"suffix":""},{"dropping-particle":"","family":"Newman","given":"Peter","non-dropping-particle":"","parse-names":false,"suffix":""}],"container-title":"Qualitative Social Work","id":"ITEM-1","issue":"1","issued":{"date-parts":[["2012"]]},"page":"80-96","title":"Bracketing in qualitative research","type":"article-journal","volume":"11"},"uris":["http://www.mendeley.com/documents/?uuid=6a47469a-8744-4ea3-aeac-0d2dabdb671a"]}],"mendeley":{"formattedCitation":"(Tufford &amp; Newman, 2012)","manualFormatting":"Tufford and Newman (2012)","plainTextFormattedCitation":"(Tufford &amp; Newman, 2012)","previouslyFormattedCitation":"(Tufford &amp; Newman, 2012)"},"properties":{"noteIndex":0},"schema":"https://github.com/citation-style-language/schema/raw/master/csl-citation.json"}</w:instrText>
      </w:r>
      <w:r w:rsidRPr="00895D0B">
        <w:rPr>
          <w:rFonts w:cs="Times New Roman"/>
          <w:b/>
          <w:color w:val="000000" w:themeColor="text1"/>
          <w:szCs w:val="24"/>
          <w:lang w:val="en-US"/>
        </w:rPr>
        <w:fldChar w:fldCharType="separate"/>
      </w:r>
      <w:r w:rsidRPr="00895D0B">
        <w:rPr>
          <w:rFonts w:cs="Times New Roman"/>
          <w:noProof/>
          <w:color w:val="000000" w:themeColor="text1"/>
          <w:szCs w:val="24"/>
          <w:lang w:val="en-US"/>
        </w:rPr>
        <w:t>Tufford and Newman (2012)</w:t>
      </w:r>
      <w:r w:rsidRPr="00895D0B">
        <w:rPr>
          <w:rFonts w:cs="Times New Roman"/>
          <w:b/>
          <w:color w:val="000000" w:themeColor="text1"/>
          <w:szCs w:val="24"/>
          <w:lang w:val="en-US"/>
        </w:rPr>
        <w:fldChar w:fldCharType="end"/>
      </w:r>
      <w:r w:rsidRPr="00895D0B">
        <w:rPr>
          <w:rFonts w:cs="Times New Roman"/>
          <w:b/>
          <w:color w:val="000000" w:themeColor="text1"/>
          <w:szCs w:val="24"/>
          <w:lang w:val="en-US"/>
        </w:rPr>
        <w:t xml:space="preserve"> </w:t>
      </w:r>
      <w:r w:rsidRPr="00895D0B">
        <w:rPr>
          <w:rFonts w:cs="Times New Roman"/>
          <w:color w:val="000000" w:themeColor="text1"/>
          <w:szCs w:val="24"/>
          <w:lang w:val="en-US"/>
        </w:rPr>
        <w:t xml:space="preserve">and </w:t>
      </w:r>
      <w:r w:rsidRPr="00895D0B">
        <w:rPr>
          <w:rFonts w:cs="Times New Roman"/>
          <w:b/>
          <w:color w:val="000000" w:themeColor="text1"/>
          <w:szCs w:val="24"/>
          <w:lang w:val="en-US"/>
        </w:rPr>
        <w:fldChar w:fldCharType="begin" w:fldLock="1"/>
      </w:r>
      <w:r w:rsidRPr="00895D0B">
        <w:rPr>
          <w:rFonts w:cs="Times New Roman"/>
          <w:b/>
          <w:color w:val="000000" w:themeColor="text1"/>
          <w:szCs w:val="24"/>
          <w:lang w:val="en-US"/>
        </w:rPr>
        <w:instrText>ADDIN CSL_CITATION {"citationItems":[{"id":"ITEM-1","itemData":{"DOI":"10.1177/1094428112452151","ISSN":"10944281","abstract":"For all its richness and potential for discovery, qualitative research has been critiqued as too often lacking in scholarly rigor. The authors summarize a systematic approach to new concept development and grounded theory articulation that is designed to bring \"qualitative rigor\" to the conduct and presentation of inductive research. © The Author(s) 2012.","author":[{"dropping-particle":"","family":"Gioia","given":"Dennis A.","non-dropping-particle":"","parse-names":false,"suffix":""},{"dropping-particle":"","family":"Corley","given":"Kevin G.","non-dropping-particle":"","parse-names":false,"suffix":""},{"dropping-particle":"","family":"Hamilton","given":"Aimee L.","non-dropping-particle":"","parse-names":false,"suffix":""}],"container-title":"Organizational Research Methods","id":"ITEM-1","issue":"1","issued":{"date-parts":[["2013"]]},"page":"15-31","title":"Seeking Qualitative Rigor in Inductive Research: Notes on the Gioia Methodology","type":"article-journal","volume":"16"},"uris":["http://www.mendeley.com/documents/?uuid=cee01358-00e4-45c2-941f-898eef10caaa"]}],"mendeley":{"formattedCitation":"(Gioia et al., 2013)","manualFormatting":"Gioia et al. (2013)","plainTextFormattedCitation":"(Gioia et al., 2013)","previouslyFormattedCitation":"(Gioia et al., 2013)"},"properties":{"noteIndex":0},"schema":"https://github.com/citation-style-language/schema/raw/master/csl-citation.json"}</w:instrText>
      </w:r>
      <w:r w:rsidRPr="00895D0B">
        <w:rPr>
          <w:rFonts w:cs="Times New Roman"/>
          <w:b/>
          <w:color w:val="000000" w:themeColor="text1"/>
          <w:szCs w:val="24"/>
          <w:lang w:val="en-US"/>
        </w:rPr>
        <w:fldChar w:fldCharType="separate"/>
      </w:r>
      <w:r w:rsidRPr="00895D0B">
        <w:rPr>
          <w:rFonts w:cs="Times New Roman"/>
          <w:noProof/>
          <w:color w:val="000000" w:themeColor="text1"/>
          <w:szCs w:val="24"/>
          <w:lang w:val="en-US"/>
        </w:rPr>
        <w:t>Gioia et al. (2013)</w:t>
      </w:r>
      <w:r w:rsidRPr="00895D0B">
        <w:rPr>
          <w:rFonts w:cs="Times New Roman"/>
          <w:b/>
          <w:color w:val="000000" w:themeColor="text1"/>
          <w:szCs w:val="24"/>
          <w:lang w:val="en-US"/>
        </w:rPr>
        <w:fldChar w:fldCharType="end"/>
      </w:r>
      <w:r w:rsidRPr="00895D0B">
        <w:rPr>
          <w:rFonts w:cs="Times New Roman"/>
          <w:bCs/>
          <w:color w:val="000000" w:themeColor="text1"/>
          <w:szCs w:val="24"/>
          <w:lang w:val="en-US"/>
        </w:rPr>
        <w:t>,</w:t>
      </w:r>
      <w:r w:rsidRPr="00895D0B">
        <w:rPr>
          <w:rFonts w:cs="Times New Roman"/>
          <w:b/>
          <w:color w:val="000000" w:themeColor="text1"/>
          <w:szCs w:val="24"/>
          <w:lang w:val="en-US"/>
        </w:rPr>
        <w:t xml:space="preserve"> </w:t>
      </w:r>
      <w:r w:rsidRPr="00895D0B">
        <w:rPr>
          <w:rFonts w:cs="Times New Roman"/>
          <w:color w:val="000000" w:themeColor="text1"/>
          <w:szCs w:val="24"/>
          <w:lang w:val="en-US"/>
        </w:rPr>
        <w:t>employing the quantitative approach gave statistical analysis and understanding without getting in-depth knowledge including the respondents’ feelings and emotions as in the qualitative approach.</w:t>
      </w:r>
      <w:r w:rsidRPr="00895D0B">
        <w:rPr>
          <w:rFonts w:cs="Times New Roman"/>
          <w:b/>
          <w:color w:val="000000" w:themeColor="text1"/>
          <w:szCs w:val="24"/>
          <w:lang w:val="en-US"/>
        </w:rPr>
        <w:t xml:space="preserve"> </w:t>
      </w:r>
      <w:r w:rsidRPr="00895D0B">
        <w:rPr>
          <w:rFonts w:cs="Times New Roman"/>
          <w:color w:val="000000" w:themeColor="text1"/>
          <w:szCs w:val="24"/>
          <w:lang w:val="en-US"/>
        </w:rPr>
        <w:t>Evidentially,</w:t>
      </w:r>
      <w:r w:rsidRPr="00895D0B">
        <w:rPr>
          <w:rFonts w:cs="Times New Roman"/>
          <w:b/>
          <w:color w:val="000000" w:themeColor="text1"/>
          <w:szCs w:val="24"/>
          <w:lang w:val="en-US"/>
        </w:rPr>
        <w:t xml:space="preserve"> </w:t>
      </w:r>
      <w:r w:rsidRPr="00895D0B">
        <w:rPr>
          <w:rFonts w:cs="Times New Roman"/>
          <w:color w:val="000000" w:themeColor="text1"/>
          <w:szCs w:val="24"/>
          <w:lang w:val="en-US"/>
        </w:rPr>
        <w:t xml:space="preserve">the quantitative approach helped give an understanding of the study from the statistical point of view while the qualitative took care of the in-depth understanding of the investigation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{"citationItems":[{"id":"ITEM-1","itemData":{"DOI":"10.1007/s11577-017-0454-1","ISSN":"1861891X","abstract":"This article provides researchers with knowledge of how to design a high quality mixed methods research study. To design a mixed study, researchers must understand and carefully consider each of the dimensions of mixed methods design, and always keep an eye on the issue of validity. We explain the seven major design dimensions: purpose, theoretical drive, timing (simultaneity and dependency), point of integration, typological versus interactive design approaches, planned versus emergent design, and design complexity. There also are multiple secondary dimensions that need to be considered during the design process. We explain ten secondary dimensions of design to be considered for each research study. We also provide two case studies showing how the mixed designs were constructed.","author":[{"dropping-particle":"","family":"Schoonenboom","given":"Judith","non-dropping-particle":"","parse-names":false,"suffix":""},{"dropping-particle":"","family":"Johnson","given":"R. Burke","non-dropping-particle":"","parse-names":false,"suffix":""}],"container-title":"Kolner Zeitschrift fur Soziologie und Sozialpsychologie","id":"ITEM-1","issued":{"date-parts":[["2017"]]},"page":"107-131","title":"Wie man ein Mixed Methods-Forschungs-Design konstruiert","type":"article-journal","volume":"69"},"uris":["http://www.mendeley.com/documents/?uuid=410183bf-b80c-4e75-b8f2-5e2c56003084"]}],"mendeley":{"formattedCitation":"(Schoonenboom &amp; Johnson, 2017)","plainTextFormattedCitation":"(Schoonenboom &amp; Johnson, 2017)","previouslyFormattedCitation":"(Schoonenboom &amp; Johnson, 2017)"},"properties":{"noteIndex":0},"schema":"https://github.com/citation-style-language/schema/raw/master/csl-citation.json"}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(Schoonenboom &amp; Johnson, 2017)</w:t>
      </w:r>
      <w:r w:rsidRPr="00895D0B">
        <w:rPr>
          <w:rFonts w:cs="Times New Roman"/>
          <w:color w:val="000000" w:themeColor="text1"/>
          <w:szCs w:val="24"/>
          <w:lang w:val="en-US"/>
        </w:rPr>
        <w:fldChar w:fldCharType="end"/>
      </w:r>
      <w:r w:rsidRPr="00895D0B">
        <w:rPr>
          <w:rFonts w:cs="Times New Roman"/>
          <w:color w:val="000000" w:themeColor="text1"/>
          <w:szCs w:val="24"/>
          <w:lang w:val="en-US"/>
        </w:rPr>
        <w:t>.</w:t>
      </w:r>
      <w:r w:rsidRPr="00895D0B">
        <w:rPr>
          <w:rFonts w:cs="Times New Roman"/>
          <w:color w:val="000000" w:themeColor="text1"/>
          <w:szCs w:val="24"/>
          <w:shd w:val="clear" w:color="auto" w:fill="FFFFFF"/>
        </w:rPr>
        <w:t xml:space="preserve"> The </w:t>
      </w:r>
      <w:r w:rsidRPr="00895D0B">
        <w:rPr>
          <w:rFonts w:cs="Times New Roman"/>
          <w:color w:val="000000" w:themeColor="text1"/>
          <w:szCs w:val="24"/>
          <w:lang w:val="en-US"/>
        </w:rPr>
        <w:t xml:space="preserve">mixed approach also serves as a strategic move for the triangulation of data. In this study, a sequential triangulation approach was followed. According to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{"citationItems":[{"id":"ITEM-1","itemData":{"ISBN":"9781452226095","author":[{"dropping-particle":"","family":"Crewell","given":"J. W.","non-dropping-particle":"","parse-names":false,"suffix":""}],"edition":"Fourth","editor":[{"dropping-particle":"","family":"Knight","given":"V.","non-dropping-particle":"","parse-names":false,"suffix":""},{"dropping-particle":"","family":"Young","given":"J.","non-dropping-particle":"","parse-names":false,"suffix":""},{"dropping-particle":"","family":"Bauhaus","given":"K.","non-dropping-particle":"","parse-names":false,"suffix":""},{"dropping-particle":"","family":"Mauhaus","given":"B.","non-dropping-particle":"","parse-names":false,"suffix":""}],"id":"ITEM-1","issued":{"date-parts":[["2014"]]},"publisher":"SAGE Publications, Inc","publisher-place":"California","title":"Research design: qualitative, quantitative and mixed methods approaches","type":"book"},"uris":["http://www.mendeley.com/documents/?uuid=bc23e028-b078-4d48-967c-c341ed6fb8de"]}],"mendeley":{"formattedCitation":"(Crewell, 2014)","manualFormatting":"Crewell (2014)","plainTextFormattedCitation":"(Crewell, 2014)","previouslyFormattedCitation":"(Crewell, 2014)"},"properties":{"noteIndex":0},"schema":"https://github.com/citation-style-language/schema/raw/master/csl-citation.json"}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Crewell (2014)</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sequential triangulation in a mixed approach helps the researcher to take either the quantitative phase or the qualitative phase of the project first and this paves the way for the findings from the first phase to inform the kind of data needed in the second phase. In this study, there were two phases; quantitative (Phase I) and qualitative (Phase II). The quantitative data in Phase I was collected and analyzed first followed by the qualitative data in phase II. It is necessary to know that the study used concurrent triangulation where both the quantitative and qualitative data are collected at the same time </w:t>
      </w:r>
      <w:r w:rsidRPr="00895D0B">
        <w:rPr>
          <w:rFonts w:cs="Times New Roman"/>
          <w:b/>
          <w:color w:val="000000" w:themeColor="text1"/>
          <w:szCs w:val="24"/>
          <w:lang w:val="en-US"/>
        </w:rPr>
        <w:fldChar w:fldCharType="begin" w:fldLock="1"/>
      </w:r>
      <w:r w:rsidRPr="00895D0B">
        <w:rPr>
          <w:rFonts w:cs="Times New Roman"/>
          <w:b/>
          <w:color w:val="000000" w:themeColor="text1"/>
          <w:szCs w:val="24"/>
          <w:lang w:val="en-US"/>
        </w:rPr>
        <w:instrText>ADDIN CSL_CITATION {"citationItems":[{"id":"ITEM-1","itemData":{"ISBN":"9781452226095","author":[{"dropping-particle":"","family":"Crewell","given":"J. W.","non-dropping-particle":"","parse-names":false,"suffix":""}],"edition":"Fourth","editor":[{"dropping-particle":"","family":"Knight","given":"V.","non-dropping-particle":"","parse-names":false,"suffix":""},{"dropping-particle":"","family":"Young","given":"J.","non-dropping-particle":"","parse-names":false,"suffix":""},{"dropping-particle":"","family":"Bauhaus","given":"K.","non-dropping-particle":"","parse-names":false,"suffix":""},{"dropping-particle":"","family":"Mauhaus","given":"B.","non-dropping-particle":"","parse-names":false,"suffix":""}],"id":"ITEM-1","issued":{"date-parts":[["2014"]]},"publisher":"SAGE Publications, Inc","publisher-place":"California","title":"Research design: qualitative, quantitative and mixed methods approaches","type":"book"},"uris":["http://www.mendeley.com/documents/?uuid=bc23e028-b078-4d48-967c-c341ed6fb8de"]}],"mendeley":{"formattedCitation":"(Crewell, 2014)","plainTextFormattedCitation":"(Crewell, 2014)","previouslyFormattedCitation":"(Crewell, 2014)"},"properties":{"noteIndex":0},"schema":"https://github.com/citation-style-language/schema/raw/master/csl-citation.json"}</w:instrText>
      </w:r>
      <w:r w:rsidRPr="00895D0B">
        <w:rPr>
          <w:rFonts w:cs="Times New Roman"/>
          <w:b/>
          <w:color w:val="000000" w:themeColor="text1"/>
          <w:szCs w:val="24"/>
          <w:lang w:val="en-US"/>
        </w:rPr>
        <w:fldChar w:fldCharType="separate"/>
      </w:r>
      <w:r w:rsidRPr="00895D0B">
        <w:rPr>
          <w:rFonts w:cs="Times New Roman"/>
          <w:noProof/>
          <w:color w:val="000000" w:themeColor="text1"/>
          <w:szCs w:val="24"/>
          <w:lang w:val="en-US"/>
        </w:rPr>
        <w:t>(Crewell, 2014)</w:t>
      </w:r>
      <w:r w:rsidRPr="00895D0B">
        <w:rPr>
          <w:rFonts w:cs="Times New Roman"/>
          <w:b/>
          <w:color w:val="000000" w:themeColor="text1"/>
          <w:szCs w:val="24"/>
          <w:lang w:val="en-US"/>
        </w:rPr>
        <w:fldChar w:fldCharType="end"/>
      </w:r>
      <w:r w:rsidRPr="00895D0B">
        <w:rPr>
          <w:rFonts w:cs="Times New Roman"/>
          <w:b/>
          <w:color w:val="000000" w:themeColor="text1"/>
          <w:szCs w:val="24"/>
          <w:lang w:val="en-US"/>
        </w:rPr>
        <w:t xml:space="preserve"> </w:t>
      </w:r>
      <w:r w:rsidRPr="00895D0B">
        <w:rPr>
          <w:rFonts w:cs="Times New Roman"/>
          <w:color w:val="000000" w:themeColor="text1"/>
          <w:szCs w:val="24"/>
          <w:lang w:val="en-US"/>
        </w:rPr>
        <w:t xml:space="preserve">but this does not allow for relevant and specific data to be collected. This is due to the fact that some data collected might not be necessary in the study either from the quantitative or the qualitative methods. This justifies the choice of the sequential triangulation approach for this study. </w:t>
      </w:r>
    </w:p>
    <w:p w14:paraId="38E0860A" w14:textId="77777777" w:rsidR="001B4ED5" w:rsidRPr="00895D0B" w:rsidRDefault="001B4ED5" w:rsidP="006C7099">
      <w:pPr>
        <w:pStyle w:val="NoSpacing"/>
        <w:rPr>
          <w:lang w:val="en-US"/>
        </w:rPr>
      </w:pPr>
    </w:p>
    <w:p w14:paraId="1882F617"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color w:val="000000" w:themeColor="text1"/>
          <w:szCs w:val="24"/>
          <w:lang w:val="en-US"/>
        </w:rPr>
        <w:t xml:space="preserve">The research design is the architectural formation for the study. This study employs a cross-sectional survey design in data collection and analysis. In social research disciplines, a survey remains one of the most suitable designs even though its applicability transcends to include medical research and other behavioral change studies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author":[{"dropping-particle":"","family":"David","given":"S.A.","non-dropping-particle":"","parse-names":false,"suffix":""},{"dropping-particle":"","family":"Alan","given":"T.R.","non-dropping-particle":"","parse-names":false,"suffix":""}],"id":"ITEM-1","issue":"2","issued":{"date-parts":[["2019"]]},"page":"192-202","title":"Readers ’ toolbox; understanding research methods","type":"article-journal"},"uris":["http://www.mendeley.com/documents/?uuid=bb017d38-de8e-4d9d-abdd-b736d98d1d35"]}],"mendeley":{"formattedCitation":"(David &amp; Alan, 2019)","plainTextFormattedCitation":"(David &amp; Alan, 2019)","previouslyFormattedCitation":"(David &amp; Alan, 2019)"},"properties":{"noteIndex":0},"schema":"https://github.com/citation-style-language/schema/raw/master/csl-citation.json"}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(David &amp; Alan, 2019)</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 study was anchored by a cross-sectional survey which is good for taking responses from a sample drawn from a larger population at once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{"citationItems":[{"id":"ITEM-1","itemData":{"author":[{"dropping-particle":"","family":"Kitchenham","given":"B. A.","non-dropping-particle":"","parse-names":false,"suffix":""},{"dropping-particle":"","family":"Pfleeger","given":"S.L.","non-dropping-particle":"","parse-names":false,"suffix":""}],"id":"ITEM-1","issue":"1","issued":{"date-parts":[["2002"]]},"page":"18-20","title":"Principles of Survey Research Part 2 : Designing a Survey Sample size Experimental designs","type":"article-journal","volume":"27"},"uris":["http://www.mendeley.com/documents/?uuid=5ab7cba0-b31c-4fb6-a953-500075add0dc"]}],"mendeley":{"formattedCitation":"(Kitchenham &amp; Pfleeger, 2002)","plainTextFormattedCitation":"(Kitchenham &amp; Pfleeger, 2002)","previouslyFormattedCitation":"(Kitchenham &amp; Pfleeger, 2002)"},"properties":{"noteIndex":0},"schema":"https://github.com/citation-style-language/schema/raw/master/csl-citation.json"}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(Kitchenham &amp; Pfleeger, 2002)</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as compared to the longitudinal survey which is done more than once. That is, the cross-sectional survey design gives a snapshot view of the responses as compared to a longitudinal survey. The findings of the sample are </w:t>
      </w:r>
      <w:r w:rsidRPr="00895D0B">
        <w:rPr>
          <w:rFonts w:cs="Times New Roman"/>
          <w:color w:val="000000" w:themeColor="text1"/>
          <w:szCs w:val="24"/>
          <w:lang w:val="en-US"/>
        </w:rPr>
        <w:lastRenderedPageBreak/>
        <w:t xml:space="preserve">therefore generalized to represent the entire population. Furthermore, apart from the cross-sectional survey method, a census design where all the respondents are enumerated could be used but it is more expensive and time-consuming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{"citationItems":[{"id":"ITEM-1","itemData":{"DOI":"10.1186/s41687-018-0043-8","ISBN":"4168701800438","ISSN":"25098020","abstract":"Mixed methods research (MMR) has found an increased interest in the field of health outcomes research. Consideration for both qualitative and quantitative perspectives has become key to contextualising patient experiences in a clinically meaningful measurement framework. The purpose of this paper is to outline a process for incorporating MMR in health outcomes research to guide stakeholders in their understanding of the essence of mixed methods inquiry. In addition, this paper will outline the benefits and challenges of MMR and describe the types of support needed for designing and conducting robust MMR measurement studies. MMR involves the application of a well-defined and pre-specified research design that articulates purposely and prospectively, qualitative and quantitative components to generate an integrated set of evidence addressing a single research question. Various methodological design options are possible depending on the research question. MMR designs allow a research question to be studied thoroughly from different perspectives. When applied, it allows the strengths of one approach to complement the restrictions of another. Among other applications, MMR can be used to enhance the creation of conceptual models and development of new instruments, to interpret the meaningfulness of outcomes in a clinical study from the patient perspective, and inform health care policy. Robust MMR requires research teams with experience in both qualitative and quantitative research. Moreover, a thorough understanding of the underlying principles of MMR is recommended at the point of study conception all the way through to implementation and knowledge dissemination. The framework outlined in this paper is designed to encourage health outcomes researchers to apply MMR to their research and to facilitate innovative, patient-centred methodological solutions to address the complex challenges of the field.","author":[{"dropping-particle":"","family":"Regnault","given":"Antoine","non-dropping-particle":"","parse-names":false,"suffix":""},{"dropping-particle":"","family":"Willgoss","given":"Tom","non-dropping-particle":"","parse-names":false,"suffix":""},{"dropping-particle":"","family":"Barbic","given":"Skye","non-dropping-particle":"","parse-names":false,"suffix":""}],"container-title":"Journal of Patient-Reported Outcomes","id":"ITEM-1","issued":{"date-parts":[["2018"]]},"page":"2-5","publisher":"Journal of Patient-Reported Outcomes","title":"Towards the use of mixed methods inquiry as best practice in health outcomes research","type":"article-journal","volume":"2"},"uris":["http://www.mendeley.com/documents/?uuid=25458488-3cf6-4f50-ae49-088864e326ea"]}],"mendeley":{"formattedCitation":"(Regnault et al., 2018)","plainTextFormattedCitation":"(Regnault et al., 2018)","previouslyFormattedCitation":"(Regnault et al., 2018)"},"properties":{"noteIndex":0},"schema":"https://github.com/citation-style-language/schema/raw/master/csl-citation.json"}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(Regnault et al., 2018)</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 survey process was in the form of face-to-face personal interviews which give the best responses as probing for clarity is possible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ISBN":"0220130027","author":[{"dropping-particle":"","family":"Janes","given":"J.","non-dropping-particle":"","parse-names":false,"suffix":""}],"id":"ITEM-1","issue":"4","issued":{"date-parts":[["2001"]]},"page":"419-421","title":"Survey research design","type":"article-journal","volume":"19"},"uris":["http://www.mendeley.com/documents/?uuid=28cbc0a1-1ade-42dc-b6df-2a459c3ed34d"]}],"mendeley":{"formattedCitation":"(Janes, 2001)","plainTextFormattedCitation":"(Janes, 2001)","previouslyFormattedCitation":"(Janes, 2001)"},"properties":{"noteIndex":0},"schema":"https://github.com/citation-style-language/schema/raw/master/csl-citation.json"}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(Janes, 2001)</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w:t>
      </w:r>
      <w:r w:rsidRPr="00895D0B">
        <w:rPr>
          <w:rFonts w:cs="Times New Roman"/>
          <w:color w:val="000000" w:themeColor="text1"/>
          <w:szCs w:val="24"/>
        </w:rPr>
        <w:t xml:space="preserve">Though, self-administered interviews could be used many of the respondents are illiterates and the research assistants have to translate the questionnaire from English Language to “Dagaare”. </w:t>
      </w:r>
    </w:p>
    <w:p w14:paraId="5B079155" w14:textId="77777777" w:rsidR="001B4ED5" w:rsidRPr="00895D0B" w:rsidRDefault="001B4ED5" w:rsidP="005C12E8">
      <w:pPr>
        <w:pStyle w:val="NoSpacing"/>
        <w:rPr>
          <w:lang w:val="en-US"/>
        </w:rPr>
      </w:pPr>
    </w:p>
    <w:p w14:paraId="4C5F449E" w14:textId="7F9A5ABC" w:rsidR="001B4ED5" w:rsidRPr="00895D0B" w:rsidRDefault="00246507" w:rsidP="009864E3">
      <w:pPr>
        <w:pStyle w:val="Heading3"/>
      </w:pPr>
      <w:bookmarkStart w:id="62" w:name="_Toc167379895"/>
      <w:r>
        <w:t>3.4.1</w:t>
      </w:r>
      <w:r w:rsidR="006B41C0" w:rsidRPr="00895D0B">
        <w:t xml:space="preserve"> Sources of data</w:t>
      </w:r>
      <w:bookmarkEnd w:id="62"/>
      <w:r w:rsidR="006B41C0" w:rsidRPr="00895D0B">
        <w:t xml:space="preserve"> </w:t>
      </w:r>
    </w:p>
    <w:p w14:paraId="7DD839F6" w14:textId="77777777" w:rsidR="001B4ED5" w:rsidRPr="00895D0B" w:rsidRDefault="006B41C0">
      <w:pPr>
        <w:spacing w:line="360" w:lineRule="auto"/>
        <w:rPr>
          <w:rFonts w:cs="Times New Roman"/>
          <w:color w:val="000000" w:themeColor="text1"/>
          <w:szCs w:val="24"/>
          <w:lang w:val="en-US"/>
        </w:rPr>
      </w:pPr>
      <w:r w:rsidRPr="00895D0B">
        <w:rPr>
          <w:rFonts w:cs="Times New Roman"/>
          <w:color w:val="000000" w:themeColor="text1"/>
          <w:szCs w:val="24"/>
          <w:lang w:val="en-US"/>
        </w:rPr>
        <w:t xml:space="preserve">The sources of data for a study help the researcher to have a clear, identifiable, and reliable data and respondents provide relevant and technical information for analysis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{"citationItems":[{"id":"ITEM-1","itemData":{"ISBN":"9781452226095","author":[{"dropping-particle":"","family":"Crewell","given":"J. W.","non-dropping-particle":"","parse-names":false,"suffix":""}],"edition":"Fourth","editor":[{"dropping-particle":"","family":"Knight","given":"V.","non-dropping-particle":"","parse-names":false,"suffix":""},{"dropping-particle":"","family":"Young","given":"J.","non-dropping-particle":"","parse-names":false,"suffix":""},{"dropping-particle":"","family":"Bauhaus","given":"K.","non-dropping-particle":"","parse-names":false,"suffix":""},{"dropping-particle":"","family":"Mauhaus","given":"B.","non-dropping-particle":"","parse-names":false,"suffix":""}],"id":"ITEM-1","issued":{"date-parts":[["2014"]]},"publisher":"SAGE Publications, Inc","publisher-place":"California","title":"Research design: qualitative, quantitative and mixed methods approaches","type":"book"},"uris":["http://www.mendeley.com/documents/?uuid=bc23e028-b078-4d48-967c-c341ed6fb8de"]}],"mendeley":{"formattedCitation":"(Crewell, 2014)","plainTextFormattedCitation":"(Crewell, 2014)","previouslyFormattedCitation":"(Crewell, 2014)"},"properties":{"noteIndex":0},"schema":"https://github.com/citation-style-language/schema/raw/master/csl-citation.json"}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(Crewell, 2014)</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 study used both primary and secondary data. The primary data were taken directly from the field. These include </w:t>
      </w:r>
      <w:r w:rsidRPr="00895D0B">
        <w:rPr>
          <w:rFonts w:cs="Times New Roman"/>
          <w:color w:val="000000" w:themeColor="text1"/>
          <w:szCs w:val="24"/>
        </w:rPr>
        <w:t>spatial data (coordinates) of urban farms</w:t>
      </w:r>
      <w:r w:rsidRPr="00895D0B">
        <w:rPr>
          <w:rFonts w:cs="Times New Roman"/>
          <w:color w:val="000000" w:themeColor="text1"/>
          <w:szCs w:val="24"/>
          <w:lang w:val="en-US"/>
        </w:rPr>
        <w:t xml:space="preserve"> and households, key informants involving staff of the Ministry of Food and Agriculture (MoFA; Crops and Veterinary Departments). Additionally, the secondary data were gathered from institutional documents in the form of reports from these institutions the Municipal Town and Country Planning Department, Veterinary Department of MoFA records and Environmental Health and Sanitation Department</w:t>
      </w:r>
      <w:r w:rsidRPr="00895D0B">
        <w:rPr>
          <w:rFonts w:cs="Times New Roman"/>
          <w:color w:val="000000" w:themeColor="text1"/>
          <w:szCs w:val="24"/>
        </w:rPr>
        <w:t xml:space="preserve">. Other sources also include </w:t>
      </w:r>
      <w:r w:rsidRPr="00895D0B">
        <w:rPr>
          <w:rFonts w:cs="Times New Roman"/>
          <w:color w:val="000000" w:themeColor="text1"/>
          <w:szCs w:val="24"/>
          <w:lang w:val="en-US"/>
        </w:rPr>
        <w:t xml:space="preserve">journal articles and scholarly materials. </w:t>
      </w:r>
    </w:p>
    <w:p w14:paraId="6B348707" w14:textId="77777777" w:rsidR="001B4ED5" w:rsidRPr="006C7099" w:rsidRDefault="001B4ED5" w:rsidP="006C7099">
      <w:pPr>
        <w:pStyle w:val="NoSpacing"/>
      </w:pPr>
    </w:p>
    <w:p w14:paraId="592D10B3" w14:textId="7AEE7724" w:rsidR="001B4ED5" w:rsidRPr="00895D0B" w:rsidRDefault="00246507" w:rsidP="009864E3">
      <w:pPr>
        <w:pStyle w:val="Heading3"/>
      </w:pPr>
      <w:bookmarkStart w:id="63" w:name="_Toc167379896"/>
      <w:r>
        <w:t>3.4.2</w:t>
      </w:r>
      <w:r w:rsidR="006B41C0" w:rsidRPr="00895D0B">
        <w:t xml:space="preserve"> Target population</w:t>
      </w:r>
      <w:bookmarkEnd w:id="63"/>
      <w:r w:rsidR="006B41C0" w:rsidRPr="00895D0B">
        <w:t xml:space="preserve"> </w:t>
      </w:r>
    </w:p>
    <w:p w14:paraId="30E6984B" w14:textId="7EB140E4"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lang w:val="en-US"/>
        </w:rPr>
        <w:t xml:space="preserve">The research population is very important in defining the scope and the interest of the study </w:t>
      </w:r>
      <w:r w:rsidRPr="00895D0B">
        <w:rPr>
          <w:rFonts w:cs="Times New Roman"/>
          <w:color w:val="000000" w:themeColor="text1"/>
          <w:szCs w:val="24"/>
          <w:lang w:val="en-US"/>
        </w:rPr>
        <w:fldChar w:fldCharType="begin" w:fldLock="1"/>
      </w:r>
      <w:r w:rsidR="00041E4E" w:rsidRPr="00895D0B">
        <w:rPr>
          <w:rFonts w:cs="Times New Roman"/>
          <w:color w:val="000000" w:themeColor="text1"/>
          <w:szCs w:val="24"/>
          <w:lang w:val="en-US"/>
        </w:rPr>
        <w:instrText>ADDIN CSL_CITATION {"citationItems":[{"id":"ITEM-1","itemData":{"abstract":"Mixed-Method studies have emerged from the paradigm wars between qualitative and quantitative research approaches to become a widely used mode of inquiry. Depending on choices made across four dimensions, mixed-methods can provide an investigator with many design choices which involve a range of sequential and concurrent strategies. Defining features of these designs are reported along with quality control methods, and ethical concerns. Useful resources and exemplary study references are shared.","author":[{"dropping-particle":"","family":"Terrell","given":"Steven R","non-dropping-particle":"","parse-names":false,"suffix":""},{"dropping-particle":"","family":"Ph","given":"D","non-dropping-particle":"","parse-names":false,"suffix":""}],"id":"ITEM-1","issue":"1","issued":{"date-parts":[["2012"]]},"title":"Mixed-Methods Research Methodologies Abstract and Key Words","type":"article-journal","volume":"17"},"uris":["http://www.mendeley.com/documents/?uuid=bbbd5bf3-f432-4958-b259-3acd8e2982b1"]}],"mendeley":{"formattedCitation":"(Terrell &amp; Ph, 2012)","manualFormatting":"(Kothari, 2004; Terrell &amp; Ph, 2012","plainTextFormattedCitation":"(Terrell &amp; Ph, 2012)","previouslyFormattedCitation":"(Terrell &amp; Ph, 2012)"},"properties":{"noteIndex":0},"schema":"https://github.com/citation-style-language/schema/raw/master/csl-citation.json"}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fldChar w:fldCharType="begin" w:fldLock="1"/>
      </w:r>
      <w:r w:rsidR="00041E4E" w:rsidRPr="00895D0B">
        <w:rPr>
          <w:rFonts w:cs="Times New Roman"/>
          <w:noProof/>
          <w:color w:val="000000" w:themeColor="text1"/>
          <w:szCs w:val="24"/>
          <w:lang w:val="en-US"/>
        </w:rPr>
        <w:instrText>ADDIN CSL_CITATION {"citationItems":[{"id":"ITEM-1","itemData":{"ISBN":"9788122424881","author":[{"dropping-particle":"","family":"Kothari","given":"C.R.","non-dropping-particle":"","parse-names":false,"suffix":""}],"edition":"2nd","id":"ITEM-1","issued":{"date-parts":[["2004"]]},"publisher":"New Age International (P) Ltd., Publishers","publisher-place":"New Delhi","title":"Research methodology; methods and techniques","type":"book"},"uris":["http://www.mendeley.com/documents/?uuid=236c3350-3ab8-4c3e-b29d-e8d94b7acc39"]}],"mendeley":{"formattedCitation":"(Kothari, 2004)","manualFormatting":"(Kothari, 200","plainTextFormattedCitation":"(Kothari, 2004)","previouslyFormattedCitation":"(Kothari, 2004)"},"properties":{"noteIndex":0},"schema":"https://github.com/citation-style-language/schema/raw/master/csl-citation.json"}</w:instrText>
      </w:r>
      <w:r w:rsidRPr="00895D0B">
        <w:rPr>
          <w:rFonts w:cs="Times New Roman"/>
          <w:noProof/>
          <w:color w:val="000000" w:themeColor="text1"/>
          <w:szCs w:val="24"/>
          <w:lang w:val="en-US"/>
        </w:rPr>
        <w:fldChar w:fldCharType="separate"/>
      </w:r>
      <w:r w:rsidRPr="00895D0B">
        <w:rPr>
          <w:rFonts w:cs="Times New Roman"/>
          <w:noProof/>
          <w:color w:val="000000" w:themeColor="text1"/>
          <w:szCs w:val="24"/>
          <w:lang w:val="en-US"/>
        </w:rPr>
        <w:t>(Kothari, 200</w:t>
      </w:r>
      <w:r w:rsidRPr="00895D0B">
        <w:rPr>
          <w:rFonts w:cs="Times New Roman"/>
          <w:noProof/>
          <w:color w:val="000000" w:themeColor="text1"/>
          <w:szCs w:val="24"/>
          <w:lang w:val="en-US"/>
        </w:rPr>
        <w:fldChar w:fldCharType="end"/>
      </w:r>
      <w:r w:rsidR="005E482C" w:rsidRPr="00895D0B">
        <w:rPr>
          <w:rFonts w:cs="Times New Roman"/>
          <w:noProof/>
          <w:color w:val="000000" w:themeColor="text1"/>
          <w:szCs w:val="24"/>
          <w:lang w:val="en-US"/>
        </w:rPr>
        <w:t>4</w:t>
      </w:r>
      <w:r w:rsidRPr="00895D0B">
        <w:rPr>
          <w:rFonts w:cs="Times New Roman"/>
          <w:noProof/>
          <w:color w:val="000000" w:themeColor="text1"/>
          <w:szCs w:val="24"/>
          <w:lang w:val="en-US"/>
        </w:rPr>
        <w:t>; Terrell &amp; Ph, 2012</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author":[{"dropping-particle":"","family":"David","given":"S.A.","non-dropping-particle":"","parse-names":false,"suffix":""},{"dropping-particle":"","family":"Alan","given":"T.R.","non-dropping-particle":"","parse-names":false,"suffix":""}],"id":"ITEM-1","issue":"2","issued":{"date-parts":[["2019"]]},"page":"192-202","title":"Readers ’ toolbox; understanding research methods","type":"article-journal"},"uris":["http://www.mendeley.com/documents/?uuid=bb017d38-de8e-4d9d-abdd-b736d98d1d35"]}],"mendeley":{"formattedCitation":"(David &amp; Alan, 2019)","manualFormatting":"David &amp; Alan, 2019)","plainTextFormattedCitation":"(David &amp; Alan, 2019)","previouslyFormattedCitation":"(David &amp; Alan, 2019)"},"properties":{"noteIndex":0},"schema":"https://github.com/citation-style-language/schema/raw/master/csl-citation.json"}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David &amp; Alan, 2019)</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Therefore, the target population of the study consists of all urban households within the Wa township, individuals and institutions that have a role to play in urban morphology and farming activities. Under the quantitative phase, the study population includes all the households within the targeted urban setting. This implies that all the households within the target urban space were involved in the survey. In all, a preliminary survey (listing exercise) undertaken by the researcher showed that there are about </w:t>
      </w:r>
      <w:r w:rsidR="00630345" w:rsidRPr="00895D0B">
        <w:rPr>
          <w:rFonts w:cs="Times New Roman"/>
          <w:color w:val="000000" w:themeColor="text1"/>
          <w:szCs w:val="24"/>
          <w:lang w:val="en-US"/>
        </w:rPr>
        <w:t>There were three thousand eight hundred and one (3,801)</w:t>
      </w:r>
      <w:r w:rsidRPr="00895D0B">
        <w:rPr>
          <w:rFonts w:cs="Times New Roman"/>
          <w:color w:val="000000" w:themeColor="text1"/>
          <w:szCs w:val="24"/>
          <w:lang w:val="en-US"/>
        </w:rPr>
        <w:t xml:space="preserve"> households that fall within the demarcated communities for the study in the Wa township. The listing was done in a serpentine order. Serpentine order here means a listing process that follows a sequential order form the lower left to the up left end and the same order is followed till the target area is </w:t>
      </w:r>
      <w:r w:rsidRPr="00895D0B">
        <w:rPr>
          <w:rFonts w:cs="Times New Roman"/>
          <w:color w:val="000000" w:themeColor="text1"/>
          <w:szCs w:val="24"/>
          <w:lang w:val="en-US"/>
        </w:rPr>
        <w:lastRenderedPageBreak/>
        <w:t xml:space="preserve">exhausted. This approach is faster as it enables complete listing of all the houses and households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2021)","plainTextFormattedCitation":"(Ghana Statistical Service, 2021)","previouslyFormattedCitation":"(Ghana Statistical Service, 2021)"},"properties":{"noteIndex":0},"schema":"https://github.com/citation-style-language/schema/raw/master/csl-citation.json"}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(Ghana Statistical Service, 2021)</w:t>
      </w:r>
      <w:r w:rsidRPr="00895D0B">
        <w:rPr>
          <w:rFonts w:cs="Times New Roman"/>
          <w:color w:val="000000" w:themeColor="text1"/>
          <w:szCs w:val="24"/>
          <w:lang w:val="en-US"/>
        </w:rPr>
        <w:fldChar w:fldCharType="end"/>
      </w:r>
      <w:r w:rsidRPr="00895D0B">
        <w:rPr>
          <w:rFonts w:cs="Times New Roman"/>
          <w:color w:val="000000" w:themeColor="text1"/>
          <w:szCs w:val="24"/>
          <w:lang w:val="en-US"/>
        </w:rPr>
        <w:t>.  For the qualitative phase, the population of the study include the sectional Chiefs and ‘</w:t>
      </w:r>
      <w:r w:rsidRPr="00895D0B">
        <w:rPr>
          <w:rFonts w:cs="Times New Roman"/>
          <w:i/>
          <w:color w:val="000000" w:themeColor="text1"/>
          <w:szCs w:val="24"/>
          <w:lang w:val="en-US"/>
        </w:rPr>
        <w:t>Tindaabas’</w:t>
      </w:r>
      <w:r w:rsidRPr="00895D0B">
        <w:rPr>
          <w:rFonts w:cs="Times New Roman"/>
          <w:color w:val="000000" w:themeColor="text1"/>
          <w:szCs w:val="24"/>
          <w:lang w:val="en-US"/>
        </w:rPr>
        <w:t xml:space="preserve"> who are the custodians of land within the urban area, hence play key roles in land allocations. Again, the Municipal Town, and Country Planning Department is responsible for zoning and planning within the urban area, and there is the need to get their views on the integration of urban agriculture in land use planning. From the crops and animals section of the MoFA, data related to extension and veterinary services given to crop and animal producers in the urban centers was ascertained.  Also</w:t>
      </w:r>
      <w:r w:rsidR="00810F1F" w:rsidRPr="00895D0B">
        <w:rPr>
          <w:rFonts w:cs="Times New Roman"/>
          <w:color w:val="000000" w:themeColor="text1"/>
          <w:szCs w:val="24"/>
          <w:lang w:val="en-US"/>
        </w:rPr>
        <w:t>,</w:t>
      </w:r>
      <w:r w:rsidRPr="00895D0B">
        <w:rPr>
          <w:rFonts w:cs="Times New Roman"/>
          <w:color w:val="000000" w:themeColor="text1"/>
          <w:szCs w:val="24"/>
          <w:lang w:val="en-US"/>
        </w:rPr>
        <w:t xml:space="preserve"> climate support services such as information and good agronomic practices in the era of climate change was key. To add to the above, the Key informants included a representative of the Environmental Health and Sanitation Department to get insight on Laws and Regulations regarding farming in the urban areas. This was necessary because urban agriculture especially, animals farming has sanitation related issues that need understanding. </w:t>
      </w:r>
    </w:p>
    <w:p w14:paraId="196D32FD" w14:textId="77777777" w:rsidR="001B4ED5" w:rsidRPr="00895D0B" w:rsidRDefault="001B4ED5" w:rsidP="005C12E8">
      <w:pPr>
        <w:pStyle w:val="NoSpacing"/>
      </w:pPr>
    </w:p>
    <w:p w14:paraId="0D49E12A" w14:textId="3F6ACA81" w:rsidR="001B4ED5" w:rsidRPr="00895D0B" w:rsidRDefault="00246507" w:rsidP="009864E3">
      <w:pPr>
        <w:pStyle w:val="Heading3"/>
      </w:pPr>
      <w:bookmarkStart w:id="64" w:name="_Toc167379897"/>
      <w:r>
        <w:t>3.4.3</w:t>
      </w:r>
      <w:r w:rsidR="006B41C0" w:rsidRPr="00895D0B">
        <w:t xml:space="preserve"> Unit of analysis</w:t>
      </w:r>
      <w:bookmarkEnd w:id="64"/>
    </w:p>
    <w:p w14:paraId="664FC626" w14:textId="22085EED" w:rsidR="001B4ED5" w:rsidRPr="00895D0B" w:rsidRDefault="006B41C0">
      <w:pPr>
        <w:spacing w:line="360" w:lineRule="auto"/>
        <w:rPr>
          <w:rFonts w:cs="Times New Roman"/>
          <w:color w:val="000000" w:themeColor="text1"/>
          <w:szCs w:val="24"/>
          <w:lang w:val="en-US"/>
        </w:rPr>
      </w:pPr>
      <w:r w:rsidRPr="00895D0B">
        <w:rPr>
          <w:rFonts w:cs="Times New Roman"/>
          <w:color w:val="000000" w:themeColor="text1"/>
          <w:szCs w:val="24"/>
          <w:lang w:val="en-US"/>
        </w:rPr>
        <w:t xml:space="preserve">The unit of analysis in this study was </w:t>
      </w:r>
      <w:r w:rsidR="00B00E91" w:rsidRPr="00895D0B">
        <w:rPr>
          <w:rFonts w:cs="Times New Roman"/>
          <w:color w:val="000000" w:themeColor="text1"/>
          <w:szCs w:val="24"/>
          <w:lang w:val="en-US"/>
        </w:rPr>
        <w:t xml:space="preserve">a </w:t>
      </w:r>
      <w:r w:rsidRPr="00895D0B">
        <w:rPr>
          <w:rFonts w:cs="Times New Roman"/>
          <w:color w:val="000000" w:themeColor="text1"/>
          <w:szCs w:val="24"/>
          <w:lang w:val="en-US"/>
        </w:rPr>
        <w:t>household. The study respondents were household heads or their spouses in the urban neighborhoods of Wa. As such, the unit of analysis consists of both households practicing urban agriculture (food crop and animal production) and those who are not into agricultural production. In addition, workers from the Municipal Town and Country Planning Department, Ghana Metrological Agency, Crop, and Animals Departments of MoFA and the Environmental Health and Sanitation Department were included.</w:t>
      </w:r>
    </w:p>
    <w:p w14:paraId="1D717AFF" w14:textId="77777777" w:rsidR="001B4ED5" w:rsidRPr="00895D0B" w:rsidRDefault="001B4ED5" w:rsidP="006C7099">
      <w:pPr>
        <w:pStyle w:val="NoSpacing"/>
      </w:pPr>
    </w:p>
    <w:p w14:paraId="25883E4A" w14:textId="4ABEC236" w:rsidR="001B4ED5" w:rsidRPr="00895D0B" w:rsidRDefault="00246507" w:rsidP="009864E3">
      <w:pPr>
        <w:pStyle w:val="Heading3"/>
      </w:pPr>
      <w:bookmarkStart w:id="65" w:name="_Toc167379898"/>
      <w:r>
        <w:t>3.4.4</w:t>
      </w:r>
      <w:r w:rsidR="006B41C0" w:rsidRPr="00895D0B">
        <w:t xml:space="preserve"> Sample size determination</w:t>
      </w:r>
      <w:bookmarkEnd w:id="65"/>
    </w:p>
    <w:p w14:paraId="76CA5274" w14:textId="20208A12"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lang w:val="en-US"/>
        </w:rPr>
        <w:t xml:space="preserve">The sample size is the fraction of the respondents that is used to represent the entire study population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{"citationItems":[{"id":"ITEM-1","itemData":{"DOI":"10.3390/ani10020213","ISSN":"20762615","abstract":"Feather pecking is a prominent issue in the commercial egg industry, associated with economic losses and welfare problems. A non-systematic literature search suggests that studies on feather pecking are predominantly concerned with applied research goals. That is to say, they aim to solve or diminish the effects of this problematic behavior by orienting towards practical approaches. The strong emphasis on this research approach has skewed our knowledge of the causes of feather pecking in relation to welfare. While the need for such research is high, there is an equivalent need for basic research that has not received corresponding effort. Also, current research predominantly focuses on the negative effects on the birds being pecked, whereas too little attention is given to the possible welfare problems of the peckers. We argue that more basic research is needed for obtaining comprehensive science-based knowledge of behavioral needs and abilities of hens, in particular with respect to behavioral problems that threaten their welfare.","author":[{"dropping-particle":"","family":"Fijn","given":"Lisa B.","non-dropping-particle":"","parse-names":false,"suffix":""},{"dropping-particle":"","family":"Josef van der Staay","given":"F.","non-dropping-particle":"","parse-names":false,"suffix":""},{"dropping-particle":"","family":"Goerlich-Jansson","given":"Vivian C.","non-dropping-particle":"","parse-names":false,"suffix":""},{"dropping-particle":"","family":"Arndt","given":"Saskia S.","non-dropping-particle":"","parse-names":false,"suffix":""}],"container-title":"Animals","id":"ITEM-1","issue":"2","issued":{"date-parts":[["2020"]]},"page":"1-14","title":"Importance of basic research on the causes of feather pecking in relation to welfare","type":"article-journal","volume":"10"},"uris":["http://www.mendeley.com/documents/?uuid=16aef1a7-04ed-4c0f-a7e2-eef77a97fb14"]},{"id":"ITEM-2","itemData":{"DOI":"10.1177/1609406918786362","ISSN":"16094069","abstract":"Deep and insightful interactions with the data are a prerequisite for qualitative data interpretation, in particular, in the generation of grounded theory. The researcher must also employ imaginative insight as they attempt to make sense of the data and generate understanding and theory. Design research is also dependent upon the researchers’ creative interpretation of the data. To support the research process, designers surround themselves with data, both as a source of empirical information and inspiration to trigger imaginative insights. Constant interaction with the data is integral to design research methodology. This article explores a design researchers approach to qualitative data analysis, in particular, the use of traditional tools such as colored pens, paper, and sticky notes with the CAQDAS software, NVivo for analysis, and the associated implications for rigor. A design researchers’ approach which is grounded in a practice which maximizes researcher data interaction in a variety of learning modalities ensures the analysis process is rigorous and productive. Reflection on the authors’ research analysis process, combined with consultation with the literature, would suggest digital analysis software packages such as NVivo do not fully scaffold the analysis process. They do, however, provide excellent data management and retrieval facilities that support analysis and write-up. This research finds that coding using traditional tools such as colored pens, paper, and sticky notes supporting data analysis combined with digital software packages such as NVivo supporting data management offer a valid and tested analysis method for grounded theory generation. Insights developed from exploring a design researchers approach may benefit researchers from other disciplines engaged in qualitative analysis.","author":[{"dropping-particle":"","family":"Maher","given":"Carmel","non-dropping-particle":"","parse-names":false,"suffix":""},{"dropping-particle":"","family":"Hadfield","given":"Mark","non-dropping-particle":"","parse-names":false,"suffix":""},{"dropping-particle":"","family":"Hutchings","given":"Maggie","non-dropping-particle":"","parse-names":false,"suffix":""},{"dropping-particle":"","family":"Eyto","given":"Adam","non-dropping-particle":"de","parse-names":false,"suffix":""}],"container-title":"International Journal of Qualitative Methods","id":"ITEM-2","issue":"1","issued":{"date-parts":[["2018"]]},"page":"1-13","title":"Ensuring Rigor in Qualitative Data Analysis: A Design Research Approach to Coding Combining NVivo With Traditional Material Methods","type":"article-journal","volume":"17"},"uris":["http://www.mendeley.com/documents/?uuid=96deaadc-4a86-478d-a765-0f674550d82a"]}],"mendeley":{"formattedCitation":"(Fijn et al., 2020; Maher et al., 2018)","manualFormatting":"(Maher et al., 2018; Fijn et al., 2020)","plainTextFormattedCitation":"(Fijn et al., 2020; Maher et al., 2018)","previouslyFormattedCitation":"(Fijn et al., 2020; Maher et al., 2018)"},"properties":{"noteIndex":0},"schema":"https://github.com/citation-style-language/schema/raw/master/csl-citation.json"}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(Maher et al., 2018; Fijn et al., 2020)</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Sample size determination is crucial in every study because it makes the research process and findings scientific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{"citationItems":[{"id":"ITEM-1","itemData":{"ISBN":"9788122424881","author":[{"dropping-particle":"","family":"Kothari","given":"C.R.","non-dropping-particle":"","parse-names":false,"suffix":""}],"edition":"2nd","id":"ITEM-1","issued":{"date-parts":[["2004"]]},"publisher":"New Age International (P) Ltd., Publishers","publisher-place":"New Delhi","title":"Research methodology; methods and techniques","type":"book"},"uris":["http://www.mendeley.com/documents/?uuid=236c3350-3ab8-4c3e-b29d-e8d94b7acc39"]}],"mendeley":{"formattedCitation":"(Kothari, 2004)","manualFormatting":"(Kothari, 2004","plainTextFormattedCitation":"(Kothari, 2004)","previouslyFormattedCitation":"(Kothari, 2004)"},"properties":{"noteIndex":0},"schema":"https://github.com/citation-style-language/schema/raw/master/csl-citation.json"}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(Kothari, 2004</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{"citationItems":[{"id":"ITEM-1","itemData":{"ISBN":"9781136586101","author":[{"dropping-particle":"","family":"Gujarati","given":"D. N.","non-dropping-particle":"","parse-names":false,"suffix":""},{"dropping-particle":"","family":"Porter","given":"D. C.","non-dropping-particle":"","parse-names":false,"suffix":""}],"edition":"Fifth Edit","id":"ITEM-1","issued":{"date-parts":[["2013"]]},"number-of-pages":"1-2","publisher":"McGraw-Hill Irwin","publisher-place":"New York","title":"Basic Econometrics","type":"book"},"uris":["http://www.mendeley.com/documents/?uuid=0e024111-48a5-45fa-990d-c9dcb3169ed6"]}],"mendeley":{"formattedCitation":"(Gujarati &amp; Porter, 2013)","manualFormatting":"Gujarati &amp; Porter, 2013)","plainTextFormattedCitation":"(Gujarati &amp; Porter, 2013)","previouslyFormattedCitation":"(Gujarati &amp; Porter, 2013)"},"properties":{"noteIndex":0},"schema":"https://github.com/citation-style-language/schema/raw/master/csl-citation.json"}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Gujarati &amp; Porter, 2013)</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 study sample size was computed from the population obtained during the listing stage of the study. </w:t>
      </w:r>
      <w:r w:rsidR="0088683F" w:rsidRPr="00895D0B">
        <w:rPr>
          <w:rFonts w:cs="Times New Roman"/>
          <w:color w:val="000000" w:themeColor="text1"/>
          <w:szCs w:val="24"/>
          <w:lang w:val="en-US"/>
        </w:rPr>
        <w:t>There were three</w:t>
      </w:r>
      <w:r w:rsidR="00B35378" w:rsidRPr="00895D0B">
        <w:rPr>
          <w:rFonts w:cs="Times New Roman"/>
          <w:color w:val="000000" w:themeColor="text1"/>
          <w:szCs w:val="24"/>
          <w:lang w:val="en-US"/>
        </w:rPr>
        <w:t xml:space="preserve"> thousand </w:t>
      </w:r>
      <w:r w:rsidR="0088683F" w:rsidRPr="00895D0B">
        <w:rPr>
          <w:rFonts w:cs="Times New Roman"/>
          <w:color w:val="000000" w:themeColor="text1"/>
          <w:szCs w:val="24"/>
          <w:lang w:val="en-US"/>
        </w:rPr>
        <w:t>eight</w:t>
      </w:r>
      <w:r w:rsidR="00B35378" w:rsidRPr="00895D0B">
        <w:rPr>
          <w:rFonts w:cs="Times New Roman"/>
          <w:color w:val="000000" w:themeColor="text1"/>
          <w:szCs w:val="24"/>
          <w:lang w:val="en-US"/>
        </w:rPr>
        <w:t xml:space="preserve"> hundred and </w:t>
      </w:r>
      <w:r w:rsidR="0088683F" w:rsidRPr="00895D0B">
        <w:rPr>
          <w:rFonts w:cs="Times New Roman"/>
          <w:color w:val="000000" w:themeColor="text1"/>
          <w:szCs w:val="24"/>
          <w:lang w:val="en-US"/>
        </w:rPr>
        <w:t>one (3,801</w:t>
      </w:r>
      <w:r w:rsidR="00B35378" w:rsidRPr="00895D0B">
        <w:rPr>
          <w:rFonts w:cs="Times New Roman"/>
          <w:color w:val="000000" w:themeColor="text1"/>
          <w:szCs w:val="24"/>
          <w:lang w:val="en-US"/>
        </w:rPr>
        <w:t>)</w:t>
      </w:r>
      <w:r w:rsidR="0088683F" w:rsidRPr="00895D0B">
        <w:rPr>
          <w:rFonts w:cs="Times New Roman"/>
          <w:color w:val="000000" w:themeColor="text1"/>
          <w:szCs w:val="24"/>
          <w:lang w:val="en-US"/>
        </w:rPr>
        <w:t xml:space="preserve"> </w:t>
      </w:r>
      <w:r w:rsidRPr="00895D0B">
        <w:rPr>
          <w:rFonts w:cs="Times New Roman"/>
          <w:color w:val="000000" w:themeColor="text1"/>
          <w:szCs w:val="24"/>
          <w:lang w:val="en-US"/>
        </w:rPr>
        <w:t xml:space="preserve">households listed within the study jurisdiction; this include both households who engaged in urban production activities and those who do not (Table 3.1). Using this as a proxy, the sample size was calculated using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{"citationItems":[{"id":"ITEM-1","itemData":{"author":[{"dropping-particle":"","family":"Yamane","given":"T.","non-dropping-particle":"","parse-names":false,"suffix":""}],"edition":"2nd Editio","id":"ITEM-1","issued":{"date-parts":[["1967"]]},"publisher":"Harper and Row, New York, Evanston and London and John Weatherhill, Inc., Tokyo","publisher-place":"New York","title":"Statistics, An Introductory Analysis","type":"book"},"uris":["http://www.mendeley.com/documents/?uuid=be2705d6-5223-488c-8f35-00f4b6477f5f"]}],"mendeley":{"formattedCitation":"(Yamane, 1967)","manualFormatting":"Yamane (1967:886)","plainTextFormattedCitation":"(Yamane, 1967)","previouslyFormattedCitation":"(Yamane, 1967)"},"properties":{"noteIndex":0},"schema":"https://github.com/citation-style-language/schema/raw/master/csl-citation.json"}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Yamane (1967:886)</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sample size formula. This is given as;</w:t>
      </w:r>
    </w:p>
    <w:p w14:paraId="4ACA2779" w14:textId="1FCDC93C" w:rsidR="001B4ED5" w:rsidRPr="00895D0B" w:rsidRDefault="006B41C0">
      <w:pPr>
        <w:spacing w:line="360" w:lineRule="auto"/>
        <w:rPr>
          <w:rFonts w:cs="Times New Roman"/>
          <w:b/>
          <w:color w:val="000000" w:themeColor="text1"/>
          <w:szCs w:val="24"/>
          <w:lang w:val="en-US"/>
        </w:rPr>
      </w:pPr>
      <m:oMath>
        <m:r>
          <w:rPr>
            <w:rFonts w:ascii="Cambria Math" w:hAnsi="Cambria Math" w:cs="Times New Roman"/>
            <w:color w:val="000000" w:themeColor="text1"/>
            <w:szCs w:val="24"/>
            <w:lang w:val="en-US"/>
          </w:rPr>
          <w:lastRenderedPageBreak/>
          <m:t>n=</m:t>
        </m:r>
        <m:f>
          <m:fPr>
            <m:ctrlPr>
              <w:rPr>
                <w:rFonts w:ascii="Cambria Math" w:hAnsi="Cambria Math" w:cs="Times New Roman"/>
                <w:color w:val="000000" w:themeColor="text1"/>
                <w:szCs w:val="24"/>
              </w:rPr>
            </m:ctrlPr>
          </m:fPr>
          <m:num>
            <m:r>
              <w:rPr>
                <w:rFonts w:ascii="Cambria Math" w:hAnsi="Cambria Math" w:cs="Times New Roman"/>
                <w:color w:val="000000" w:themeColor="text1"/>
                <w:szCs w:val="24"/>
                <w:lang w:val="en-US"/>
              </w:rPr>
              <m:t>N</m:t>
            </m:r>
          </m:num>
          <m:den>
            <m:r>
              <w:rPr>
                <w:rFonts w:ascii="Cambria Math" w:hAnsi="Cambria Math" w:cs="Times New Roman"/>
                <w:color w:val="000000" w:themeColor="text1"/>
                <w:szCs w:val="24"/>
                <w:lang w:val="en-US"/>
              </w:rPr>
              <m:t>1+N(e)2</m:t>
            </m:r>
          </m:den>
        </m:f>
      </m:oMath>
      <w:r w:rsidRPr="00895D0B">
        <w:rPr>
          <w:rFonts w:eastAsiaTheme="minorEastAsia" w:cs="Times New Roman"/>
          <w:color w:val="000000" w:themeColor="text1"/>
          <w:szCs w:val="24"/>
          <w:lang w:val="en-US"/>
        </w:rPr>
        <w:t>……………………………………</w:t>
      </w:r>
      <w:r w:rsidR="00466FC0" w:rsidRPr="00895D0B">
        <w:rPr>
          <w:rFonts w:eastAsiaTheme="minorEastAsia" w:cs="Times New Roman"/>
          <w:color w:val="000000" w:themeColor="text1"/>
          <w:szCs w:val="24"/>
          <w:lang w:val="en-US"/>
        </w:rPr>
        <w:t>……</w:t>
      </w:r>
      <w:r w:rsidR="00E24FF1" w:rsidRPr="00895D0B">
        <w:rPr>
          <w:rFonts w:eastAsiaTheme="minorEastAsia" w:cs="Times New Roman"/>
          <w:color w:val="000000" w:themeColor="text1"/>
          <w:szCs w:val="24"/>
          <w:lang w:val="en-US"/>
        </w:rPr>
        <w:t>……………………………….[1]</w:t>
      </w:r>
    </w:p>
    <w:p w14:paraId="48592632" w14:textId="7777777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Where:</w:t>
      </w:r>
    </w:p>
    <w:p w14:paraId="1F1B32D1" w14:textId="7777777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n = the sample size for the study</w:t>
      </w:r>
    </w:p>
    <w:p w14:paraId="71794FEB" w14:textId="7777777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N = the sample population of the study</w:t>
      </w:r>
    </w:p>
    <w:p w14:paraId="55FBDBF6" w14:textId="7777777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 xml:space="preserve">1 = constant </w:t>
      </w:r>
    </w:p>
    <w:p w14:paraId="3A32544B" w14:textId="77777777" w:rsidR="001B4ED5" w:rsidRPr="00895D0B" w:rsidRDefault="006B41C0">
      <w:pPr>
        <w:autoSpaceDE w:val="0"/>
        <w:autoSpaceDN w:val="0"/>
        <w:adjustRightInd w:val="0"/>
        <w:spacing w:after="240" w:line="360" w:lineRule="auto"/>
        <w:rPr>
          <w:rFonts w:cs="Times New Roman"/>
          <w:color w:val="000000" w:themeColor="text1"/>
          <w:szCs w:val="24"/>
          <w:lang w:val="en-US"/>
        </w:rPr>
      </w:pPr>
      <w:r w:rsidRPr="00895D0B">
        <w:rPr>
          <w:rFonts w:ascii="Cambria Math" w:hAnsi="Cambria Math" w:cs="Cambria Math"/>
          <w:color w:val="000000" w:themeColor="text1"/>
          <w:szCs w:val="24"/>
          <w:lang w:val="en-US"/>
        </w:rPr>
        <w:t>𝑒</w:t>
      </w:r>
      <w:r w:rsidRPr="00895D0B">
        <w:rPr>
          <w:rFonts w:cs="Times New Roman"/>
          <w:color w:val="000000" w:themeColor="text1"/>
          <w:szCs w:val="24"/>
          <w:lang w:val="en-US"/>
        </w:rPr>
        <w:t xml:space="preserve"> = margin of error for the sample mean </w:t>
      </w:r>
    </w:p>
    <w:p w14:paraId="37D8989D" w14:textId="7777777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 xml:space="preserve">Therefore, in this study, </w:t>
      </w:r>
    </w:p>
    <w:p w14:paraId="0B6390EF" w14:textId="5D04B6D2" w:rsidR="001B4ED5" w:rsidRPr="00895D0B" w:rsidRDefault="00777A1A">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N = 3</w:t>
      </w:r>
      <w:r w:rsidR="006B41C0" w:rsidRPr="00895D0B">
        <w:rPr>
          <w:rFonts w:cs="Times New Roman"/>
          <w:color w:val="000000" w:themeColor="text1"/>
          <w:szCs w:val="24"/>
          <w:lang w:val="en-US"/>
        </w:rPr>
        <w:t>,</w:t>
      </w:r>
      <w:r w:rsidRPr="00895D0B">
        <w:rPr>
          <w:rFonts w:cs="Times New Roman"/>
          <w:color w:val="000000" w:themeColor="text1"/>
          <w:szCs w:val="24"/>
          <w:lang w:val="en-US"/>
        </w:rPr>
        <w:t>801</w:t>
      </w:r>
    </w:p>
    <w:p w14:paraId="05BBE8C2" w14:textId="77777777" w:rsidR="001B4ED5" w:rsidRPr="00895D0B" w:rsidRDefault="001B4ED5" w:rsidP="005573B9">
      <w:pPr>
        <w:pStyle w:val="NoSpacing"/>
        <w:rPr>
          <w:lang w:val="en-US"/>
        </w:rPr>
      </w:pPr>
    </w:p>
    <w:p w14:paraId="14DD1C57" w14:textId="7777777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ascii="Cambria Math" w:hAnsi="Cambria Math" w:cs="Cambria Math"/>
          <w:color w:val="000000" w:themeColor="text1"/>
          <w:szCs w:val="24"/>
          <w:lang w:val="en-US"/>
        </w:rPr>
        <w:t>𝑒</w:t>
      </w:r>
      <w:r w:rsidRPr="00895D0B">
        <w:rPr>
          <w:rFonts w:cs="Times New Roman"/>
          <w:color w:val="000000" w:themeColor="text1"/>
          <w:szCs w:val="24"/>
          <w:lang w:val="en-US"/>
        </w:rPr>
        <w:t xml:space="preserve"> = 95% or an error margin of 0.05 confidence level. </w:t>
      </w:r>
    </w:p>
    <w:p w14:paraId="0195027C" w14:textId="77777777" w:rsidR="001B4ED5" w:rsidRPr="00895D0B" w:rsidRDefault="001B4ED5" w:rsidP="005573B9">
      <w:pPr>
        <w:pStyle w:val="NoSpacing"/>
        <w:rPr>
          <w:lang w:val="en-US"/>
        </w:rPr>
      </w:pPr>
    </w:p>
    <w:p w14:paraId="4C8D1075" w14:textId="705E4DEA" w:rsidR="001B4ED5" w:rsidRPr="00895D0B" w:rsidRDefault="006B41C0">
      <w:pPr>
        <w:autoSpaceDE w:val="0"/>
        <w:autoSpaceDN w:val="0"/>
        <w:adjustRightInd w:val="0"/>
        <w:spacing w:line="360" w:lineRule="auto"/>
        <w:rPr>
          <w:rFonts w:eastAsiaTheme="minorEastAsia" w:cs="Times New Roman"/>
          <w:color w:val="000000" w:themeColor="text1"/>
          <w:szCs w:val="24"/>
          <w:lang w:val="en-US"/>
        </w:rPr>
      </w:pPr>
      <m:oMath>
        <m:r>
          <w:rPr>
            <w:rFonts w:ascii="Cambria Math" w:hAnsi="Cambria Math" w:cs="Times New Roman"/>
            <w:color w:val="000000" w:themeColor="text1"/>
            <w:szCs w:val="24"/>
            <w:lang w:val="en-US"/>
          </w:rPr>
          <m:t>n=</m:t>
        </m:r>
        <m:f>
          <m:fPr>
            <m:ctrlPr>
              <w:rPr>
                <w:rFonts w:ascii="Cambria Math" w:hAnsi="Cambria Math" w:cs="Times New Roman"/>
                <w:color w:val="000000" w:themeColor="text1"/>
                <w:szCs w:val="24"/>
              </w:rPr>
            </m:ctrlPr>
          </m:fPr>
          <m:num>
            <m:r>
              <m:rPr>
                <m:sty m:val="p"/>
              </m:rPr>
              <w:rPr>
                <w:rFonts w:ascii="Cambria Math" w:hAnsi="Cambria Math" w:cs="Times New Roman"/>
                <w:color w:val="000000" w:themeColor="text1"/>
                <w:szCs w:val="24"/>
                <w:lang w:val="en-US"/>
              </w:rPr>
              <m:t>3,801</m:t>
            </m:r>
          </m:num>
          <m:den>
            <m:r>
              <w:rPr>
                <w:rFonts w:ascii="Cambria Math" w:hAnsi="Cambria Math" w:cs="Times New Roman"/>
                <w:color w:val="000000" w:themeColor="text1"/>
                <w:szCs w:val="24"/>
                <w:lang w:val="en-US"/>
              </w:rPr>
              <m:t>1+</m:t>
            </m:r>
            <m:r>
              <m:rPr>
                <m:sty m:val="p"/>
              </m:rPr>
              <w:rPr>
                <w:rFonts w:ascii="Cambria Math" w:hAnsi="Cambria Math" w:cs="Times New Roman"/>
                <w:color w:val="000000" w:themeColor="text1"/>
                <w:szCs w:val="24"/>
                <w:lang w:val="en-US"/>
              </w:rPr>
              <m:t>3,801</m:t>
            </m:r>
            <m:r>
              <w:rPr>
                <w:rFonts w:ascii="Cambria Math" w:hAnsi="Cambria Math" w:cs="Times New Roman"/>
                <w:color w:val="000000" w:themeColor="text1"/>
                <w:szCs w:val="24"/>
                <w:lang w:val="en-US"/>
              </w:rPr>
              <m:t>(0.05)2</m:t>
            </m:r>
          </m:den>
        </m:f>
      </m:oMath>
      <w:r w:rsidRPr="00895D0B">
        <w:rPr>
          <w:rFonts w:eastAsiaTheme="minorEastAsia" w:cs="Times New Roman"/>
          <w:color w:val="000000" w:themeColor="text1"/>
          <w:szCs w:val="24"/>
          <w:lang w:val="en-US"/>
        </w:rPr>
        <w:t xml:space="preserve"> </w:t>
      </w:r>
    </w:p>
    <w:p w14:paraId="5ABD484C" w14:textId="213CF717" w:rsidR="001B4ED5" w:rsidRPr="00895D0B" w:rsidRDefault="006B41C0">
      <w:pPr>
        <w:autoSpaceDE w:val="0"/>
        <w:autoSpaceDN w:val="0"/>
        <w:adjustRightInd w:val="0"/>
        <w:spacing w:line="360" w:lineRule="auto"/>
        <w:rPr>
          <w:rFonts w:eastAsiaTheme="minorEastAsia" w:cs="Times New Roman"/>
          <w:color w:val="000000" w:themeColor="text1"/>
          <w:szCs w:val="24"/>
          <w:lang w:val="en-US"/>
        </w:rPr>
      </w:pPr>
      <m:oMath>
        <m:r>
          <w:rPr>
            <w:rFonts w:ascii="Cambria Math" w:hAnsi="Cambria Math" w:cs="Times New Roman"/>
            <w:color w:val="000000" w:themeColor="text1"/>
            <w:szCs w:val="24"/>
            <w:lang w:val="en-US"/>
          </w:rPr>
          <m:t>n=</m:t>
        </m:r>
        <m:f>
          <m:fPr>
            <m:ctrlPr>
              <w:rPr>
                <w:rFonts w:ascii="Cambria Math" w:hAnsi="Cambria Math" w:cs="Times New Roman"/>
                <w:color w:val="000000" w:themeColor="text1"/>
                <w:szCs w:val="24"/>
              </w:rPr>
            </m:ctrlPr>
          </m:fPr>
          <m:num>
            <m:r>
              <m:rPr>
                <m:sty m:val="p"/>
              </m:rPr>
              <w:rPr>
                <w:rFonts w:ascii="Cambria Math" w:hAnsi="Cambria Math" w:cs="Times New Roman"/>
                <w:color w:val="000000" w:themeColor="text1"/>
                <w:szCs w:val="24"/>
                <w:lang w:val="en-US"/>
              </w:rPr>
              <m:t>3,801</m:t>
            </m:r>
          </m:num>
          <m:den>
            <m:r>
              <w:rPr>
                <w:rFonts w:ascii="Cambria Math" w:hAnsi="Cambria Math" w:cs="Times New Roman"/>
                <w:color w:val="000000" w:themeColor="text1"/>
                <w:szCs w:val="24"/>
                <w:lang w:val="en-US"/>
              </w:rPr>
              <m:t>1+</m:t>
            </m:r>
            <m:r>
              <m:rPr>
                <m:sty m:val="p"/>
              </m:rPr>
              <w:rPr>
                <w:rFonts w:ascii="Cambria Math" w:hAnsi="Cambria Math" w:cs="Times New Roman"/>
                <w:color w:val="000000" w:themeColor="text1"/>
                <w:szCs w:val="24"/>
                <w:lang w:val="en-US"/>
              </w:rPr>
              <m:t>3,801</m:t>
            </m:r>
            <m:r>
              <w:rPr>
                <w:rFonts w:ascii="Cambria Math" w:hAnsi="Cambria Math" w:cs="Times New Roman"/>
                <w:color w:val="000000" w:themeColor="text1"/>
                <w:szCs w:val="24"/>
                <w:lang w:val="en-US"/>
              </w:rPr>
              <m:t>(0.0025)</m:t>
            </m:r>
          </m:den>
        </m:f>
      </m:oMath>
      <w:r w:rsidRPr="00895D0B">
        <w:rPr>
          <w:rFonts w:eastAsiaTheme="minorEastAsia" w:cs="Times New Roman"/>
          <w:color w:val="000000" w:themeColor="text1"/>
          <w:szCs w:val="24"/>
          <w:lang w:val="en-US"/>
        </w:rPr>
        <w:t xml:space="preserve"> </w:t>
      </w:r>
    </w:p>
    <w:p w14:paraId="2A8B7137" w14:textId="77777777" w:rsidR="001B4ED5" w:rsidRPr="00895D0B" w:rsidRDefault="001B4ED5" w:rsidP="005573B9">
      <w:pPr>
        <w:pStyle w:val="NoSpacing"/>
        <w:rPr>
          <w:lang w:val="en-US"/>
        </w:rPr>
      </w:pPr>
    </w:p>
    <w:p w14:paraId="42830A25" w14:textId="4E93E6A6" w:rsidR="001B4ED5" w:rsidRPr="00895D0B" w:rsidRDefault="006B41C0">
      <w:pPr>
        <w:autoSpaceDE w:val="0"/>
        <w:autoSpaceDN w:val="0"/>
        <w:adjustRightInd w:val="0"/>
        <w:spacing w:line="360" w:lineRule="auto"/>
        <w:rPr>
          <w:rFonts w:eastAsiaTheme="minorEastAsia" w:cs="Times New Roman"/>
          <w:color w:val="000000" w:themeColor="text1"/>
          <w:szCs w:val="24"/>
          <w:lang w:val="en-US"/>
        </w:rPr>
      </w:pPr>
      <m:oMath>
        <m:r>
          <w:rPr>
            <w:rFonts w:ascii="Cambria Math" w:hAnsi="Cambria Math" w:cs="Times New Roman"/>
            <w:color w:val="000000" w:themeColor="text1"/>
            <w:szCs w:val="24"/>
            <w:lang w:val="en-US"/>
          </w:rPr>
          <m:t>=</m:t>
        </m:r>
        <m:f>
          <m:fPr>
            <m:ctrlPr>
              <w:rPr>
                <w:rFonts w:ascii="Cambria Math" w:hAnsi="Cambria Math" w:cs="Times New Roman"/>
                <w:color w:val="000000" w:themeColor="text1"/>
                <w:szCs w:val="24"/>
              </w:rPr>
            </m:ctrlPr>
          </m:fPr>
          <m:num>
            <m:r>
              <m:rPr>
                <m:sty m:val="p"/>
              </m:rPr>
              <w:rPr>
                <w:rFonts w:ascii="Cambria Math" w:hAnsi="Cambria Math" w:cs="Times New Roman"/>
                <w:color w:val="000000" w:themeColor="text1"/>
                <w:szCs w:val="24"/>
                <w:lang w:val="en-US"/>
              </w:rPr>
              <m:t>3,801</m:t>
            </m:r>
          </m:num>
          <m:den>
            <m:r>
              <w:rPr>
                <w:rFonts w:ascii="Cambria Math" w:hAnsi="Cambria Math" w:cs="Times New Roman"/>
                <w:color w:val="000000" w:themeColor="text1"/>
                <w:szCs w:val="24"/>
                <w:lang w:val="en-US"/>
              </w:rPr>
              <m:t>10.5</m:t>
            </m:r>
          </m:den>
        </m:f>
      </m:oMath>
      <w:r w:rsidR="00777A1A" w:rsidRPr="00895D0B">
        <w:rPr>
          <w:rFonts w:eastAsiaTheme="minorEastAsia" w:cs="Times New Roman"/>
          <w:color w:val="000000" w:themeColor="text1"/>
          <w:szCs w:val="24"/>
          <w:lang w:val="en-US"/>
        </w:rPr>
        <w:t xml:space="preserve"> </w:t>
      </w:r>
      <w:r w:rsidRPr="00895D0B">
        <w:rPr>
          <w:rFonts w:eastAsiaTheme="minorEastAsia" w:cs="Times New Roman"/>
          <w:color w:val="000000" w:themeColor="text1"/>
          <w:szCs w:val="24"/>
          <w:lang w:val="en-US"/>
        </w:rPr>
        <w:t xml:space="preserve"> = </w:t>
      </w:r>
      <w:r w:rsidRPr="00895D0B">
        <w:rPr>
          <w:rFonts w:eastAsiaTheme="minorEastAsia" w:cs="Times New Roman"/>
          <w:b/>
          <w:color w:val="000000" w:themeColor="text1"/>
          <w:szCs w:val="24"/>
          <w:lang w:val="en-US"/>
        </w:rPr>
        <w:t>362</w:t>
      </w:r>
    </w:p>
    <w:p w14:paraId="38290C00" w14:textId="77777777" w:rsidR="001B4ED5" w:rsidRDefault="006B41C0">
      <w:pPr>
        <w:autoSpaceDE w:val="0"/>
        <w:autoSpaceDN w:val="0"/>
        <w:adjustRightInd w:val="0"/>
        <w:spacing w:after="240" w:line="360" w:lineRule="auto"/>
        <w:rPr>
          <w:rFonts w:eastAsiaTheme="minorEastAsia" w:cs="Times New Roman"/>
          <w:color w:val="000000" w:themeColor="text1"/>
          <w:szCs w:val="24"/>
          <w:lang w:val="en-US"/>
        </w:rPr>
      </w:pPr>
      <w:r w:rsidRPr="00895D0B">
        <w:rPr>
          <w:rFonts w:eastAsiaTheme="minorEastAsia" w:cs="Times New Roman"/>
          <w:color w:val="000000" w:themeColor="text1"/>
          <w:szCs w:val="24"/>
          <w:lang w:val="en-US"/>
        </w:rPr>
        <w:t>Therefore, the study used a sample size of three hundred and sixty-two (362) households. This was distributed proportionally across all the clusters namely; low, middle, and high classes (</w:t>
      </w:r>
      <w:r w:rsidRPr="00895D0B">
        <w:rPr>
          <w:rFonts w:eastAsiaTheme="minorEastAsia" w:cs="Times New Roman"/>
          <w:i/>
          <w:color w:val="000000" w:themeColor="text1"/>
          <w:szCs w:val="24"/>
          <w:lang w:val="en-US"/>
        </w:rPr>
        <w:t>Table 3.1</w:t>
      </w:r>
      <w:r w:rsidRPr="00895D0B">
        <w:rPr>
          <w:rFonts w:eastAsiaTheme="minorEastAsia" w:cs="Times New Roman"/>
          <w:color w:val="000000" w:themeColor="text1"/>
          <w:szCs w:val="24"/>
          <w:lang w:val="en-US"/>
        </w:rPr>
        <w:t xml:space="preserve">). </w:t>
      </w:r>
    </w:p>
    <w:p w14:paraId="3EFEA388" w14:textId="0F18B2EA" w:rsidR="00B60F38" w:rsidRPr="00895D0B" w:rsidRDefault="00B60F38" w:rsidP="005C12E8">
      <w:pPr>
        <w:pStyle w:val="Heading6"/>
        <w:rPr>
          <w:rFonts w:eastAsiaTheme="minorEastAsia"/>
        </w:rPr>
      </w:pPr>
      <w:bookmarkStart w:id="66" w:name="_Toc167368586"/>
      <w:r w:rsidRPr="00895D0B">
        <w:t xml:space="preserve">Table 3. </w:t>
      </w:r>
      <w:r w:rsidR="00895D0B" w:rsidRPr="00895D0B">
        <w:fldChar w:fldCharType="begin"/>
      </w:r>
      <w:r w:rsidR="00895D0B" w:rsidRPr="00895D0B">
        <w:instrText xml:space="preserve"> SEQ Table_3. \* ARABIC </w:instrText>
      </w:r>
      <w:r w:rsidR="00895D0B" w:rsidRPr="00895D0B">
        <w:fldChar w:fldCharType="separate"/>
      </w:r>
      <w:r w:rsidR="0026489B">
        <w:rPr>
          <w:noProof/>
        </w:rPr>
        <w:t>1</w:t>
      </w:r>
      <w:r w:rsidR="00895D0B" w:rsidRPr="00895D0B">
        <w:rPr>
          <w:noProof/>
        </w:rPr>
        <w:fldChar w:fldCharType="end"/>
      </w:r>
      <w:r w:rsidRPr="00895D0B">
        <w:t>: Sample Frame and Sample Size Distribution</w:t>
      </w:r>
      <w:bookmarkEnd w:id="66"/>
    </w:p>
    <w:tbl>
      <w:tblPr>
        <w:tblW w:w="8190" w:type="dxa"/>
        <w:tblLook w:val="04A0" w:firstRow="1" w:lastRow="0" w:firstColumn="1" w:lastColumn="0" w:noHBand="0" w:noVBand="1"/>
      </w:tblPr>
      <w:tblGrid>
        <w:gridCol w:w="1555"/>
        <w:gridCol w:w="2045"/>
        <w:gridCol w:w="2160"/>
        <w:gridCol w:w="2430"/>
      </w:tblGrid>
      <w:tr w:rsidR="00895D0B" w:rsidRPr="006C7099" w14:paraId="0697932F" w14:textId="77777777" w:rsidTr="005C12E8">
        <w:tc>
          <w:tcPr>
            <w:tcW w:w="1555" w:type="dxa"/>
            <w:tcBorders>
              <w:top w:val="single" w:sz="4" w:space="0" w:color="auto"/>
              <w:left w:val="nil"/>
              <w:bottom w:val="single" w:sz="4" w:space="0" w:color="auto"/>
              <w:right w:val="nil"/>
            </w:tcBorders>
            <w:hideMark/>
          </w:tcPr>
          <w:p w14:paraId="49D46069" w14:textId="77777777" w:rsidR="00B60F38" w:rsidRPr="006C7099" w:rsidRDefault="00B60F38" w:rsidP="00466FC0">
            <w:pPr>
              <w:spacing w:line="240" w:lineRule="auto"/>
              <w:rPr>
                <w:rFonts w:cs="Times New Roman"/>
                <w:b/>
                <w:color w:val="000000" w:themeColor="text1"/>
                <w:sz w:val="22"/>
                <w:lang w:val="en-US"/>
              </w:rPr>
            </w:pPr>
            <w:r w:rsidRPr="006C7099">
              <w:rPr>
                <w:rFonts w:cs="Times New Roman"/>
                <w:b/>
                <w:color w:val="000000" w:themeColor="text1"/>
                <w:sz w:val="22"/>
                <w:lang w:val="en-US"/>
              </w:rPr>
              <w:t xml:space="preserve">Cluster </w:t>
            </w:r>
          </w:p>
        </w:tc>
        <w:tc>
          <w:tcPr>
            <w:tcW w:w="2045" w:type="dxa"/>
            <w:tcBorders>
              <w:top w:val="single" w:sz="4" w:space="0" w:color="auto"/>
              <w:left w:val="nil"/>
              <w:bottom w:val="single" w:sz="4" w:space="0" w:color="auto"/>
              <w:right w:val="nil"/>
            </w:tcBorders>
            <w:hideMark/>
          </w:tcPr>
          <w:p w14:paraId="73838B56" w14:textId="77777777" w:rsidR="00B60F38" w:rsidRPr="006C7099" w:rsidRDefault="00B60F38" w:rsidP="00466FC0">
            <w:pPr>
              <w:spacing w:line="240" w:lineRule="auto"/>
              <w:rPr>
                <w:rFonts w:cs="Times New Roman"/>
                <w:b/>
                <w:color w:val="000000" w:themeColor="text1"/>
                <w:sz w:val="22"/>
                <w:lang w:val="en-US"/>
              </w:rPr>
            </w:pPr>
            <w:r w:rsidRPr="006C7099">
              <w:rPr>
                <w:rFonts w:cs="Times New Roman"/>
                <w:b/>
                <w:color w:val="000000" w:themeColor="text1"/>
                <w:sz w:val="22"/>
                <w:lang w:val="en-US"/>
              </w:rPr>
              <w:t xml:space="preserve">Community </w:t>
            </w:r>
          </w:p>
        </w:tc>
        <w:tc>
          <w:tcPr>
            <w:tcW w:w="2160" w:type="dxa"/>
            <w:tcBorders>
              <w:top w:val="single" w:sz="4" w:space="0" w:color="auto"/>
              <w:left w:val="nil"/>
              <w:bottom w:val="single" w:sz="4" w:space="0" w:color="auto"/>
              <w:right w:val="nil"/>
            </w:tcBorders>
            <w:hideMark/>
          </w:tcPr>
          <w:p w14:paraId="1885515D" w14:textId="4B5D73E7" w:rsidR="00B60F38" w:rsidRPr="006C7099" w:rsidRDefault="00B60F38" w:rsidP="00466FC0">
            <w:pPr>
              <w:spacing w:line="240" w:lineRule="auto"/>
              <w:jc w:val="center"/>
              <w:rPr>
                <w:rFonts w:cs="Times New Roman"/>
                <w:b/>
                <w:color w:val="000000" w:themeColor="text1"/>
                <w:sz w:val="22"/>
                <w:lang w:val="en-US"/>
              </w:rPr>
            </w:pPr>
            <w:r w:rsidRPr="006C7099">
              <w:rPr>
                <w:rFonts w:cs="Times New Roman"/>
                <w:b/>
                <w:color w:val="000000" w:themeColor="text1"/>
                <w:sz w:val="22"/>
                <w:lang w:val="en-US"/>
              </w:rPr>
              <w:t>Number of households</w:t>
            </w:r>
          </w:p>
        </w:tc>
        <w:tc>
          <w:tcPr>
            <w:tcW w:w="2430" w:type="dxa"/>
            <w:tcBorders>
              <w:top w:val="single" w:sz="4" w:space="0" w:color="auto"/>
              <w:left w:val="nil"/>
              <w:bottom w:val="single" w:sz="4" w:space="0" w:color="auto"/>
              <w:right w:val="nil"/>
            </w:tcBorders>
            <w:hideMark/>
          </w:tcPr>
          <w:p w14:paraId="4D8F1EA6" w14:textId="77777777" w:rsidR="00B60F38" w:rsidRPr="006C7099" w:rsidRDefault="00B60F38" w:rsidP="00466FC0">
            <w:pPr>
              <w:spacing w:line="240" w:lineRule="auto"/>
              <w:jc w:val="center"/>
              <w:rPr>
                <w:rFonts w:cs="Times New Roman"/>
                <w:b/>
                <w:color w:val="000000" w:themeColor="text1"/>
                <w:sz w:val="22"/>
                <w:lang w:val="en-US"/>
              </w:rPr>
            </w:pPr>
            <w:r w:rsidRPr="006C7099">
              <w:rPr>
                <w:rFonts w:cs="Times New Roman"/>
                <w:b/>
                <w:color w:val="000000" w:themeColor="text1"/>
                <w:sz w:val="22"/>
                <w:lang w:val="en-US"/>
              </w:rPr>
              <w:t>Number of households sampled</w:t>
            </w:r>
          </w:p>
        </w:tc>
      </w:tr>
      <w:tr w:rsidR="00895D0B" w:rsidRPr="006C7099" w14:paraId="22612C99" w14:textId="77777777" w:rsidTr="005C12E8">
        <w:tc>
          <w:tcPr>
            <w:tcW w:w="1555" w:type="dxa"/>
            <w:vMerge w:val="restart"/>
            <w:tcBorders>
              <w:top w:val="single" w:sz="4" w:space="0" w:color="auto"/>
              <w:left w:val="nil"/>
              <w:bottom w:val="nil"/>
              <w:right w:val="nil"/>
            </w:tcBorders>
            <w:hideMark/>
          </w:tcPr>
          <w:p w14:paraId="7FF6337C"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Low class</w:t>
            </w:r>
          </w:p>
        </w:tc>
        <w:tc>
          <w:tcPr>
            <w:tcW w:w="2045" w:type="dxa"/>
            <w:tcBorders>
              <w:top w:val="single" w:sz="4" w:space="0" w:color="auto"/>
              <w:left w:val="nil"/>
              <w:bottom w:val="nil"/>
              <w:right w:val="nil"/>
            </w:tcBorders>
            <w:hideMark/>
          </w:tcPr>
          <w:p w14:paraId="23220BD8"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Kanbale</w:t>
            </w:r>
          </w:p>
        </w:tc>
        <w:tc>
          <w:tcPr>
            <w:tcW w:w="2160" w:type="dxa"/>
            <w:tcBorders>
              <w:top w:val="single" w:sz="4" w:space="0" w:color="auto"/>
              <w:left w:val="nil"/>
              <w:bottom w:val="nil"/>
              <w:right w:val="nil"/>
            </w:tcBorders>
            <w:hideMark/>
          </w:tcPr>
          <w:p w14:paraId="6C2D113E" w14:textId="4CA45F7A" w:rsidR="00B60F38" w:rsidRPr="006C7099" w:rsidRDefault="00180B1C"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266</w:t>
            </w:r>
          </w:p>
        </w:tc>
        <w:tc>
          <w:tcPr>
            <w:tcW w:w="2430" w:type="dxa"/>
            <w:tcBorders>
              <w:top w:val="single" w:sz="4" w:space="0" w:color="auto"/>
              <w:left w:val="nil"/>
              <w:bottom w:val="nil"/>
              <w:right w:val="nil"/>
            </w:tcBorders>
            <w:hideMark/>
          </w:tcPr>
          <w:p w14:paraId="17FB6512" w14:textId="77777777" w:rsidR="00B60F38" w:rsidRPr="006C7099" w:rsidRDefault="00B60F38"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25</w:t>
            </w:r>
          </w:p>
        </w:tc>
      </w:tr>
      <w:tr w:rsidR="00895D0B" w:rsidRPr="006C7099" w14:paraId="19E878C4" w14:textId="77777777" w:rsidTr="005C12E8">
        <w:tc>
          <w:tcPr>
            <w:tcW w:w="0" w:type="auto"/>
            <w:vMerge/>
            <w:tcBorders>
              <w:top w:val="single" w:sz="4" w:space="0" w:color="auto"/>
              <w:left w:val="nil"/>
              <w:bottom w:val="nil"/>
              <w:right w:val="nil"/>
            </w:tcBorders>
            <w:vAlign w:val="center"/>
            <w:hideMark/>
          </w:tcPr>
          <w:p w14:paraId="04F8A0E2" w14:textId="77777777" w:rsidR="00B60F38" w:rsidRPr="006C7099" w:rsidRDefault="00B60F38" w:rsidP="00466FC0">
            <w:pPr>
              <w:spacing w:line="240" w:lineRule="auto"/>
              <w:rPr>
                <w:rFonts w:cs="Times New Roman"/>
                <w:color w:val="000000" w:themeColor="text1"/>
                <w:sz w:val="22"/>
                <w:lang w:val="en-US"/>
              </w:rPr>
            </w:pPr>
          </w:p>
        </w:tc>
        <w:tc>
          <w:tcPr>
            <w:tcW w:w="2045" w:type="dxa"/>
            <w:hideMark/>
          </w:tcPr>
          <w:p w14:paraId="5140B386"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Kpaguri</w:t>
            </w:r>
          </w:p>
        </w:tc>
        <w:tc>
          <w:tcPr>
            <w:tcW w:w="2160" w:type="dxa"/>
            <w:hideMark/>
          </w:tcPr>
          <w:p w14:paraId="3A340913" w14:textId="429F5522" w:rsidR="00B60F38" w:rsidRPr="006C7099" w:rsidRDefault="00180B1C"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328</w:t>
            </w:r>
          </w:p>
        </w:tc>
        <w:tc>
          <w:tcPr>
            <w:tcW w:w="2430" w:type="dxa"/>
            <w:hideMark/>
          </w:tcPr>
          <w:p w14:paraId="794CFF3B" w14:textId="77777777" w:rsidR="00B60F38" w:rsidRPr="006C7099" w:rsidRDefault="00B60F38"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31</w:t>
            </w:r>
          </w:p>
        </w:tc>
      </w:tr>
      <w:tr w:rsidR="00895D0B" w:rsidRPr="006C7099" w14:paraId="4CB457FC" w14:textId="77777777" w:rsidTr="005C12E8">
        <w:tc>
          <w:tcPr>
            <w:tcW w:w="0" w:type="auto"/>
            <w:vMerge/>
            <w:tcBorders>
              <w:top w:val="single" w:sz="4" w:space="0" w:color="auto"/>
              <w:left w:val="nil"/>
              <w:bottom w:val="nil"/>
              <w:right w:val="nil"/>
            </w:tcBorders>
            <w:vAlign w:val="center"/>
            <w:hideMark/>
          </w:tcPr>
          <w:p w14:paraId="066DB446" w14:textId="77777777" w:rsidR="00B60F38" w:rsidRPr="006C7099" w:rsidRDefault="00B60F38" w:rsidP="00466FC0">
            <w:pPr>
              <w:spacing w:line="240" w:lineRule="auto"/>
              <w:rPr>
                <w:rFonts w:cs="Times New Roman"/>
                <w:color w:val="000000" w:themeColor="text1"/>
                <w:sz w:val="22"/>
                <w:lang w:val="en-US"/>
              </w:rPr>
            </w:pPr>
          </w:p>
        </w:tc>
        <w:tc>
          <w:tcPr>
            <w:tcW w:w="2045" w:type="dxa"/>
            <w:hideMark/>
          </w:tcPr>
          <w:p w14:paraId="39A99654"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Mangu</w:t>
            </w:r>
          </w:p>
        </w:tc>
        <w:tc>
          <w:tcPr>
            <w:tcW w:w="2160" w:type="dxa"/>
            <w:hideMark/>
          </w:tcPr>
          <w:p w14:paraId="39F8F77F" w14:textId="2B293E83" w:rsidR="00B60F38" w:rsidRPr="006C7099" w:rsidRDefault="00180B1C"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367</w:t>
            </w:r>
          </w:p>
        </w:tc>
        <w:tc>
          <w:tcPr>
            <w:tcW w:w="2430" w:type="dxa"/>
            <w:hideMark/>
          </w:tcPr>
          <w:p w14:paraId="1F3B9AF4" w14:textId="77777777" w:rsidR="00B60F38" w:rsidRPr="006C7099" w:rsidRDefault="00B60F38"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35</w:t>
            </w:r>
          </w:p>
        </w:tc>
      </w:tr>
      <w:tr w:rsidR="00895D0B" w:rsidRPr="006C7099" w14:paraId="72E23890" w14:textId="77777777" w:rsidTr="005C12E8">
        <w:tc>
          <w:tcPr>
            <w:tcW w:w="0" w:type="auto"/>
            <w:vMerge/>
            <w:tcBorders>
              <w:top w:val="single" w:sz="4" w:space="0" w:color="auto"/>
              <w:left w:val="nil"/>
              <w:bottom w:val="nil"/>
              <w:right w:val="nil"/>
            </w:tcBorders>
            <w:vAlign w:val="center"/>
            <w:hideMark/>
          </w:tcPr>
          <w:p w14:paraId="3DA0341E" w14:textId="77777777" w:rsidR="00B60F38" w:rsidRPr="006C7099" w:rsidRDefault="00B60F38" w:rsidP="00466FC0">
            <w:pPr>
              <w:spacing w:line="240" w:lineRule="auto"/>
              <w:rPr>
                <w:rFonts w:cs="Times New Roman"/>
                <w:color w:val="000000" w:themeColor="text1"/>
                <w:sz w:val="22"/>
                <w:lang w:val="en-US"/>
              </w:rPr>
            </w:pPr>
          </w:p>
        </w:tc>
        <w:tc>
          <w:tcPr>
            <w:tcW w:w="2045" w:type="dxa"/>
            <w:hideMark/>
          </w:tcPr>
          <w:p w14:paraId="45FC2702" w14:textId="77777777" w:rsidR="00B60F38" w:rsidRPr="006C7099" w:rsidRDefault="00B60F38" w:rsidP="00466FC0">
            <w:pPr>
              <w:spacing w:line="240" w:lineRule="auto"/>
              <w:rPr>
                <w:rFonts w:cs="Times New Roman"/>
                <w:b/>
                <w:color w:val="000000" w:themeColor="text1"/>
                <w:sz w:val="22"/>
                <w:lang w:val="en-US"/>
              </w:rPr>
            </w:pPr>
            <w:r w:rsidRPr="006C7099">
              <w:rPr>
                <w:rFonts w:cs="Times New Roman"/>
                <w:b/>
                <w:color w:val="000000" w:themeColor="text1"/>
                <w:sz w:val="22"/>
                <w:lang w:val="en-US"/>
              </w:rPr>
              <w:t>Total</w:t>
            </w:r>
          </w:p>
        </w:tc>
        <w:tc>
          <w:tcPr>
            <w:tcW w:w="2160" w:type="dxa"/>
            <w:hideMark/>
          </w:tcPr>
          <w:p w14:paraId="757155D5" w14:textId="684FE2DB" w:rsidR="00B60F38" w:rsidRPr="006C7099" w:rsidRDefault="007149B0" w:rsidP="00466FC0">
            <w:pPr>
              <w:spacing w:line="240" w:lineRule="auto"/>
              <w:jc w:val="center"/>
              <w:rPr>
                <w:rFonts w:cs="Times New Roman"/>
                <w:b/>
                <w:color w:val="000000" w:themeColor="text1"/>
                <w:sz w:val="22"/>
                <w:lang w:val="en-US"/>
              </w:rPr>
            </w:pPr>
            <w:r w:rsidRPr="006C7099">
              <w:rPr>
                <w:rFonts w:cs="Times New Roman"/>
                <w:b/>
                <w:color w:val="000000" w:themeColor="text1"/>
                <w:sz w:val="22"/>
                <w:lang w:val="en-US"/>
              </w:rPr>
              <w:t>961</w:t>
            </w:r>
          </w:p>
        </w:tc>
        <w:tc>
          <w:tcPr>
            <w:tcW w:w="2430" w:type="dxa"/>
            <w:hideMark/>
          </w:tcPr>
          <w:p w14:paraId="17F6D1FB" w14:textId="77777777" w:rsidR="00B60F38" w:rsidRPr="006C7099" w:rsidRDefault="00B60F38" w:rsidP="00466FC0">
            <w:pPr>
              <w:spacing w:line="240" w:lineRule="auto"/>
              <w:jc w:val="center"/>
              <w:rPr>
                <w:rFonts w:cs="Times New Roman"/>
                <w:b/>
                <w:color w:val="000000" w:themeColor="text1"/>
                <w:sz w:val="22"/>
                <w:lang w:val="en-US"/>
              </w:rPr>
            </w:pPr>
            <w:r w:rsidRPr="006C7099">
              <w:rPr>
                <w:rFonts w:cs="Times New Roman"/>
                <w:b/>
                <w:color w:val="000000" w:themeColor="text1"/>
                <w:sz w:val="22"/>
                <w:lang w:val="en-US"/>
              </w:rPr>
              <w:t>91</w:t>
            </w:r>
          </w:p>
        </w:tc>
      </w:tr>
      <w:tr w:rsidR="00895D0B" w:rsidRPr="006C7099" w14:paraId="69AA6B1E" w14:textId="77777777" w:rsidTr="005C12E8">
        <w:tc>
          <w:tcPr>
            <w:tcW w:w="1555" w:type="dxa"/>
            <w:vMerge w:val="restart"/>
            <w:hideMark/>
          </w:tcPr>
          <w:p w14:paraId="6BA0D6DC"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Middle class</w:t>
            </w:r>
          </w:p>
        </w:tc>
        <w:tc>
          <w:tcPr>
            <w:tcW w:w="2045" w:type="dxa"/>
            <w:hideMark/>
          </w:tcPr>
          <w:p w14:paraId="145F9B27"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Sombo/Chorkor</w:t>
            </w:r>
          </w:p>
        </w:tc>
        <w:tc>
          <w:tcPr>
            <w:tcW w:w="2160" w:type="dxa"/>
            <w:hideMark/>
          </w:tcPr>
          <w:p w14:paraId="32CFE9EE" w14:textId="74E56004" w:rsidR="00B60F38" w:rsidRPr="006C7099" w:rsidRDefault="00180B1C"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430</w:t>
            </w:r>
          </w:p>
        </w:tc>
        <w:tc>
          <w:tcPr>
            <w:tcW w:w="2430" w:type="dxa"/>
            <w:hideMark/>
          </w:tcPr>
          <w:p w14:paraId="6D4E233A" w14:textId="77777777" w:rsidR="00B60F38" w:rsidRPr="006C7099" w:rsidRDefault="00B60F38"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41</w:t>
            </w:r>
          </w:p>
        </w:tc>
      </w:tr>
      <w:tr w:rsidR="00895D0B" w:rsidRPr="006C7099" w14:paraId="4014ABA0" w14:textId="77777777" w:rsidTr="005C12E8">
        <w:tc>
          <w:tcPr>
            <w:tcW w:w="0" w:type="auto"/>
            <w:vMerge/>
            <w:vAlign w:val="center"/>
            <w:hideMark/>
          </w:tcPr>
          <w:p w14:paraId="49DC5243" w14:textId="77777777" w:rsidR="00B60F38" w:rsidRPr="006C7099" w:rsidRDefault="00B60F38" w:rsidP="00466FC0">
            <w:pPr>
              <w:spacing w:line="240" w:lineRule="auto"/>
              <w:rPr>
                <w:rFonts w:cs="Times New Roman"/>
                <w:color w:val="000000" w:themeColor="text1"/>
                <w:sz w:val="22"/>
                <w:lang w:val="en-US"/>
              </w:rPr>
            </w:pPr>
          </w:p>
        </w:tc>
        <w:tc>
          <w:tcPr>
            <w:tcW w:w="2045" w:type="dxa"/>
            <w:hideMark/>
          </w:tcPr>
          <w:p w14:paraId="244CB18D"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Konbiehi</w:t>
            </w:r>
          </w:p>
        </w:tc>
        <w:tc>
          <w:tcPr>
            <w:tcW w:w="2160" w:type="dxa"/>
            <w:hideMark/>
          </w:tcPr>
          <w:p w14:paraId="2D444691" w14:textId="19E32CD8" w:rsidR="00B60F38" w:rsidRPr="006C7099" w:rsidRDefault="00180B1C"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391</w:t>
            </w:r>
          </w:p>
        </w:tc>
        <w:tc>
          <w:tcPr>
            <w:tcW w:w="2430" w:type="dxa"/>
            <w:hideMark/>
          </w:tcPr>
          <w:p w14:paraId="2F53E212" w14:textId="77777777" w:rsidR="00B60F38" w:rsidRPr="006C7099" w:rsidRDefault="00B60F38"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37</w:t>
            </w:r>
          </w:p>
        </w:tc>
      </w:tr>
      <w:tr w:rsidR="00895D0B" w:rsidRPr="006C7099" w14:paraId="4BD3EE26" w14:textId="77777777" w:rsidTr="005C12E8">
        <w:trPr>
          <w:trHeight w:val="77"/>
        </w:trPr>
        <w:tc>
          <w:tcPr>
            <w:tcW w:w="0" w:type="auto"/>
            <w:vMerge/>
            <w:vAlign w:val="center"/>
            <w:hideMark/>
          </w:tcPr>
          <w:p w14:paraId="7408DFDB" w14:textId="77777777" w:rsidR="00B60F38" w:rsidRPr="006C7099" w:rsidRDefault="00B60F38" w:rsidP="00466FC0">
            <w:pPr>
              <w:spacing w:line="240" w:lineRule="auto"/>
              <w:rPr>
                <w:rFonts w:cs="Times New Roman"/>
                <w:color w:val="000000" w:themeColor="text1"/>
                <w:sz w:val="22"/>
                <w:lang w:val="en-US"/>
              </w:rPr>
            </w:pPr>
          </w:p>
        </w:tc>
        <w:tc>
          <w:tcPr>
            <w:tcW w:w="2045" w:type="dxa"/>
            <w:hideMark/>
          </w:tcPr>
          <w:p w14:paraId="1380C062"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SSNIT</w:t>
            </w:r>
          </w:p>
        </w:tc>
        <w:tc>
          <w:tcPr>
            <w:tcW w:w="2160" w:type="dxa"/>
            <w:hideMark/>
          </w:tcPr>
          <w:p w14:paraId="4D6131C3" w14:textId="1E954CCA" w:rsidR="00B60F38" w:rsidRPr="006C7099" w:rsidRDefault="00180B1C"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457</w:t>
            </w:r>
          </w:p>
        </w:tc>
        <w:tc>
          <w:tcPr>
            <w:tcW w:w="2430" w:type="dxa"/>
            <w:hideMark/>
          </w:tcPr>
          <w:p w14:paraId="24BEEE97" w14:textId="77777777" w:rsidR="00B60F38" w:rsidRPr="006C7099" w:rsidRDefault="00B60F38"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44</w:t>
            </w:r>
          </w:p>
        </w:tc>
      </w:tr>
      <w:tr w:rsidR="00895D0B" w:rsidRPr="006C7099" w14:paraId="62BB9EF9" w14:textId="77777777" w:rsidTr="005C12E8">
        <w:trPr>
          <w:trHeight w:val="77"/>
        </w:trPr>
        <w:tc>
          <w:tcPr>
            <w:tcW w:w="0" w:type="auto"/>
            <w:vMerge/>
            <w:vAlign w:val="center"/>
            <w:hideMark/>
          </w:tcPr>
          <w:p w14:paraId="1C63F2BC" w14:textId="77777777" w:rsidR="00B60F38" w:rsidRPr="006C7099" w:rsidRDefault="00B60F38" w:rsidP="00466FC0">
            <w:pPr>
              <w:spacing w:line="240" w:lineRule="auto"/>
              <w:rPr>
                <w:rFonts w:cs="Times New Roman"/>
                <w:color w:val="000000" w:themeColor="text1"/>
                <w:sz w:val="22"/>
                <w:lang w:val="en-US"/>
              </w:rPr>
            </w:pPr>
          </w:p>
        </w:tc>
        <w:tc>
          <w:tcPr>
            <w:tcW w:w="2045" w:type="dxa"/>
            <w:hideMark/>
          </w:tcPr>
          <w:p w14:paraId="4163E259" w14:textId="77777777" w:rsidR="00B60F38" w:rsidRPr="006C7099" w:rsidRDefault="00B60F38" w:rsidP="00466FC0">
            <w:pPr>
              <w:spacing w:line="240" w:lineRule="auto"/>
              <w:rPr>
                <w:rFonts w:cs="Times New Roman"/>
                <w:b/>
                <w:color w:val="000000" w:themeColor="text1"/>
                <w:sz w:val="22"/>
                <w:lang w:val="en-US"/>
              </w:rPr>
            </w:pPr>
            <w:r w:rsidRPr="006C7099">
              <w:rPr>
                <w:rFonts w:cs="Times New Roman"/>
                <w:b/>
                <w:color w:val="000000" w:themeColor="text1"/>
                <w:sz w:val="22"/>
                <w:lang w:val="en-US"/>
              </w:rPr>
              <w:t>Total</w:t>
            </w:r>
          </w:p>
        </w:tc>
        <w:tc>
          <w:tcPr>
            <w:tcW w:w="2160" w:type="dxa"/>
            <w:hideMark/>
          </w:tcPr>
          <w:p w14:paraId="2FEF582F" w14:textId="60AFB35A" w:rsidR="00B60F38" w:rsidRPr="006C7099" w:rsidRDefault="007149B0" w:rsidP="00466FC0">
            <w:pPr>
              <w:spacing w:line="240" w:lineRule="auto"/>
              <w:jc w:val="center"/>
              <w:rPr>
                <w:rFonts w:cs="Times New Roman"/>
                <w:b/>
                <w:color w:val="000000" w:themeColor="text1"/>
                <w:sz w:val="22"/>
                <w:lang w:val="en-US"/>
              </w:rPr>
            </w:pPr>
            <w:r w:rsidRPr="006C7099">
              <w:rPr>
                <w:rFonts w:cs="Times New Roman"/>
                <w:b/>
                <w:color w:val="000000" w:themeColor="text1"/>
                <w:sz w:val="22"/>
                <w:lang w:val="en-US"/>
              </w:rPr>
              <w:t>1,279</w:t>
            </w:r>
          </w:p>
        </w:tc>
        <w:tc>
          <w:tcPr>
            <w:tcW w:w="2430" w:type="dxa"/>
            <w:hideMark/>
          </w:tcPr>
          <w:p w14:paraId="0C16D37A" w14:textId="77777777" w:rsidR="00B60F38" w:rsidRPr="006C7099" w:rsidRDefault="00B60F38" w:rsidP="00466FC0">
            <w:pPr>
              <w:spacing w:line="240" w:lineRule="auto"/>
              <w:jc w:val="center"/>
              <w:rPr>
                <w:rFonts w:cs="Times New Roman"/>
                <w:b/>
                <w:color w:val="000000" w:themeColor="text1"/>
                <w:sz w:val="22"/>
                <w:lang w:val="en-US"/>
              </w:rPr>
            </w:pPr>
            <w:r w:rsidRPr="006C7099">
              <w:rPr>
                <w:rFonts w:cs="Times New Roman"/>
                <w:b/>
                <w:color w:val="000000" w:themeColor="text1"/>
                <w:sz w:val="22"/>
                <w:lang w:val="en-US"/>
              </w:rPr>
              <w:t>122</w:t>
            </w:r>
          </w:p>
        </w:tc>
      </w:tr>
      <w:tr w:rsidR="00895D0B" w:rsidRPr="006C7099" w14:paraId="16E827A3" w14:textId="77777777" w:rsidTr="005C12E8">
        <w:tc>
          <w:tcPr>
            <w:tcW w:w="1555" w:type="dxa"/>
            <w:vMerge w:val="restart"/>
            <w:hideMark/>
          </w:tcPr>
          <w:p w14:paraId="52CEA460"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High class</w:t>
            </w:r>
          </w:p>
        </w:tc>
        <w:tc>
          <w:tcPr>
            <w:tcW w:w="2045" w:type="dxa"/>
            <w:hideMark/>
          </w:tcPr>
          <w:p w14:paraId="5C84E29F"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Naporgbakole Ext.</w:t>
            </w:r>
          </w:p>
        </w:tc>
        <w:tc>
          <w:tcPr>
            <w:tcW w:w="2160" w:type="dxa"/>
            <w:hideMark/>
          </w:tcPr>
          <w:p w14:paraId="70F6CF3E" w14:textId="258E866D" w:rsidR="00B60F38" w:rsidRPr="006C7099" w:rsidRDefault="00180B1C"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520</w:t>
            </w:r>
          </w:p>
        </w:tc>
        <w:tc>
          <w:tcPr>
            <w:tcW w:w="2430" w:type="dxa"/>
            <w:hideMark/>
          </w:tcPr>
          <w:p w14:paraId="4779636D" w14:textId="77777777" w:rsidR="00B60F38" w:rsidRPr="006C7099" w:rsidRDefault="00B60F38"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49</w:t>
            </w:r>
          </w:p>
        </w:tc>
      </w:tr>
      <w:tr w:rsidR="00895D0B" w:rsidRPr="006C7099" w14:paraId="2505F932" w14:textId="77777777" w:rsidTr="005C12E8">
        <w:tc>
          <w:tcPr>
            <w:tcW w:w="0" w:type="auto"/>
            <w:vMerge/>
            <w:vAlign w:val="center"/>
            <w:hideMark/>
          </w:tcPr>
          <w:p w14:paraId="6345664A" w14:textId="77777777" w:rsidR="00B60F38" w:rsidRPr="006C7099" w:rsidRDefault="00B60F38" w:rsidP="00466FC0">
            <w:pPr>
              <w:spacing w:line="240" w:lineRule="auto"/>
              <w:rPr>
                <w:rFonts w:cs="Times New Roman"/>
                <w:color w:val="000000" w:themeColor="text1"/>
                <w:sz w:val="22"/>
                <w:lang w:val="en-US"/>
              </w:rPr>
            </w:pPr>
          </w:p>
        </w:tc>
        <w:tc>
          <w:tcPr>
            <w:tcW w:w="2045" w:type="dxa"/>
            <w:hideMark/>
          </w:tcPr>
          <w:p w14:paraId="7872090F"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Nakoripaani</w:t>
            </w:r>
          </w:p>
        </w:tc>
        <w:tc>
          <w:tcPr>
            <w:tcW w:w="2160" w:type="dxa"/>
            <w:hideMark/>
          </w:tcPr>
          <w:p w14:paraId="49D27F08" w14:textId="1A34D099" w:rsidR="00B60F38" w:rsidRPr="006C7099" w:rsidRDefault="00180B1C"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513</w:t>
            </w:r>
          </w:p>
        </w:tc>
        <w:tc>
          <w:tcPr>
            <w:tcW w:w="2430" w:type="dxa"/>
            <w:hideMark/>
          </w:tcPr>
          <w:p w14:paraId="2B60360A" w14:textId="77777777" w:rsidR="00B60F38" w:rsidRPr="006C7099" w:rsidRDefault="00B60F38"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48</w:t>
            </w:r>
          </w:p>
        </w:tc>
      </w:tr>
      <w:tr w:rsidR="00895D0B" w:rsidRPr="006C7099" w14:paraId="740CEEDF" w14:textId="77777777" w:rsidTr="005C12E8">
        <w:tc>
          <w:tcPr>
            <w:tcW w:w="0" w:type="auto"/>
            <w:vMerge/>
            <w:vAlign w:val="center"/>
            <w:hideMark/>
          </w:tcPr>
          <w:p w14:paraId="7135CBA7" w14:textId="77777777" w:rsidR="00B60F38" w:rsidRPr="006C7099" w:rsidRDefault="00B60F38" w:rsidP="00466FC0">
            <w:pPr>
              <w:spacing w:line="240" w:lineRule="auto"/>
              <w:rPr>
                <w:rFonts w:cs="Times New Roman"/>
                <w:color w:val="000000" w:themeColor="text1"/>
                <w:sz w:val="22"/>
                <w:lang w:val="en-US"/>
              </w:rPr>
            </w:pPr>
          </w:p>
        </w:tc>
        <w:tc>
          <w:tcPr>
            <w:tcW w:w="2045" w:type="dxa"/>
            <w:hideMark/>
          </w:tcPr>
          <w:p w14:paraId="37D2B35D" w14:textId="77777777" w:rsidR="00B60F38" w:rsidRPr="006C7099" w:rsidRDefault="00B60F38" w:rsidP="00466FC0">
            <w:pPr>
              <w:spacing w:line="240" w:lineRule="auto"/>
              <w:rPr>
                <w:rFonts w:cs="Times New Roman"/>
                <w:color w:val="000000" w:themeColor="text1"/>
                <w:sz w:val="22"/>
                <w:lang w:val="en-US"/>
              </w:rPr>
            </w:pPr>
            <w:r w:rsidRPr="006C7099">
              <w:rPr>
                <w:rFonts w:cs="Times New Roman"/>
                <w:color w:val="000000" w:themeColor="text1"/>
                <w:sz w:val="22"/>
                <w:lang w:val="en-US"/>
              </w:rPr>
              <w:t>Bilbao/airstrip</w:t>
            </w:r>
          </w:p>
        </w:tc>
        <w:tc>
          <w:tcPr>
            <w:tcW w:w="2160" w:type="dxa"/>
            <w:hideMark/>
          </w:tcPr>
          <w:p w14:paraId="2937CDA1" w14:textId="2D22B9BE" w:rsidR="00B60F38" w:rsidRPr="006C7099" w:rsidRDefault="00180B1C"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528</w:t>
            </w:r>
          </w:p>
        </w:tc>
        <w:tc>
          <w:tcPr>
            <w:tcW w:w="2430" w:type="dxa"/>
            <w:hideMark/>
          </w:tcPr>
          <w:p w14:paraId="5CD860F8" w14:textId="77777777" w:rsidR="00B60F38" w:rsidRPr="006C7099" w:rsidRDefault="00B60F38" w:rsidP="00466FC0">
            <w:pPr>
              <w:spacing w:line="240" w:lineRule="auto"/>
              <w:jc w:val="center"/>
              <w:rPr>
                <w:rFonts w:cs="Times New Roman"/>
                <w:color w:val="000000" w:themeColor="text1"/>
                <w:sz w:val="22"/>
                <w:lang w:val="en-US"/>
              </w:rPr>
            </w:pPr>
            <w:r w:rsidRPr="006C7099">
              <w:rPr>
                <w:rFonts w:cs="Times New Roman"/>
                <w:color w:val="000000" w:themeColor="text1"/>
                <w:sz w:val="22"/>
                <w:lang w:val="en-US"/>
              </w:rPr>
              <w:t>52</w:t>
            </w:r>
          </w:p>
        </w:tc>
      </w:tr>
      <w:tr w:rsidR="00895D0B" w:rsidRPr="006C7099" w14:paraId="2A72A59C" w14:textId="77777777" w:rsidTr="005C12E8">
        <w:tc>
          <w:tcPr>
            <w:tcW w:w="0" w:type="auto"/>
            <w:vMerge/>
            <w:vAlign w:val="center"/>
            <w:hideMark/>
          </w:tcPr>
          <w:p w14:paraId="2F34C69E" w14:textId="77777777" w:rsidR="00B60F38" w:rsidRPr="006C7099" w:rsidRDefault="00B60F38" w:rsidP="00466FC0">
            <w:pPr>
              <w:spacing w:line="240" w:lineRule="auto"/>
              <w:rPr>
                <w:rFonts w:cs="Times New Roman"/>
                <w:color w:val="000000" w:themeColor="text1"/>
                <w:sz w:val="22"/>
                <w:lang w:val="en-US"/>
              </w:rPr>
            </w:pPr>
          </w:p>
        </w:tc>
        <w:tc>
          <w:tcPr>
            <w:tcW w:w="2045" w:type="dxa"/>
            <w:hideMark/>
          </w:tcPr>
          <w:p w14:paraId="16B45A91" w14:textId="77777777" w:rsidR="00B60F38" w:rsidRPr="006C7099" w:rsidRDefault="00B60F38" w:rsidP="00466FC0">
            <w:pPr>
              <w:spacing w:line="240" w:lineRule="auto"/>
              <w:rPr>
                <w:rFonts w:cs="Times New Roman"/>
                <w:b/>
                <w:color w:val="000000" w:themeColor="text1"/>
                <w:sz w:val="22"/>
                <w:lang w:val="en-US"/>
              </w:rPr>
            </w:pPr>
            <w:r w:rsidRPr="006C7099">
              <w:rPr>
                <w:rFonts w:cs="Times New Roman"/>
                <w:b/>
                <w:color w:val="000000" w:themeColor="text1"/>
                <w:sz w:val="22"/>
                <w:lang w:val="en-US"/>
              </w:rPr>
              <w:t>Total</w:t>
            </w:r>
          </w:p>
        </w:tc>
        <w:tc>
          <w:tcPr>
            <w:tcW w:w="2160" w:type="dxa"/>
            <w:hideMark/>
          </w:tcPr>
          <w:p w14:paraId="200324E0" w14:textId="3160DE10" w:rsidR="00B60F38" w:rsidRPr="006C7099" w:rsidRDefault="007149B0" w:rsidP="00466FC0">
            <w:pPr>
              <w:spacing w:line="240" w:lineRule="auto"/>
              <w:jc w:val="center"/>
              <w:rPr>
                <w:rFonts w:cs="Times New Roman"/>
                <w:b/>
                <w:color w:val="000000" w:themeColor="text1"/>
                <w:sz w:val="22"/>
                <w:lang w:val="en-US"/>
              </w:rPr>
            </w:pPr>
            <w:r w:rsidRPr="006C7099">
              <w:rPr>
                <w:rFonts w:cs="Times New Roman"/>
                <w:b/>
                <w:color w:val="000000" w:themeColor="text1"/>
                <w:sz w:val="22"/>
                <w:lang w:val="en-US"/>
              </w:rPr>
              <w:t>156</w:t>
            </w:r>
            <w:r w:rsidR="00443388" w:rsidRPr="006C7099">
              <w:rPr>
                <w:rFonts w:cs="Times New Roman"/>
                <w:b/>
                <w:color w:val="000000" w:themeColor="text1"/>
                <w:sz w:val="22"/>
                <w:lang w:val="en-US"/>
              </w:rPr>
              <w:t>1</w:t>
            </w:r>
          </w:p>
        </w:tc>
        <w:tc>
          <w:tcPr>
            <w:tcW w:w="2430" w:type="dxa"/>
            <w:hideMark/>
          </w:tcPr>
          <w:p w14:paraId="33AA61B1" w14:textId="77777777" w:rsidR="00B60F38" w:rsidRPr="006C7099" w:rsidRDefault="00B60F38" w:rsidP="00466FC0">
            <w:pPr>
              <w:spacing w:line="240" w:lineRule="auto"/>
              <w:jc w:val="center"/>
              <w:rPr>
                <w:rFonts w:cs="Times New Roman"/>
                <w:b/>
                <w:color w:val="000000" w:themeColor="text1"/>
                <w:sz w:val="22"/>
                <w:lang w:val="en-US"/>
              </w:rPr>
            </w:pPr>
            <w:r w:rsidRPr="006C7099">
              <w:rPr>
                <w:rFonts w:cs="Times New Roman"/>
                <w:b/>
                <w:color w:val="000000" w:themeColor="text1"/>
                <w:sz w:val="22"/>
                <w:lang w:val="en-US"/>
              </w:rPr>
              <w:t>149</w:t>
            </w:r>
          </w:p>
        </w:tc>
      </w:tr>
      <w:tr w:rsidR="00895D0B" w:rsidRPr="006C7099" w14:paraId="689F25C8" w14:textId="77777777" w:rsidTr="005C12E8">
        <w:tc>
          <w:tcPr>
            <w:tcW w:w="3600" w:type="dxa"/>
            <w:gridSpan w:val="2"/>
            <w:tcBorders>
              <w:top w:val="nil"/>
              <w:left w:val="nil"/>
              <w:bottom w:val="single" w:sz="4" w:space="0" w:color="auto"/>
              <w:right w:val="nil"/>
            </w:tcBorders>
            <w:hideMark/>
          </w:tcPr>
          <w:p w14:paraId="0B481124" w14:textId="77777777" w:rsidR="00B60F38" w:rsidRPr="006C7099" w:rsidRDefault="00B60F38" w:rsidP="00466FC0">
            <w:pPr>
              <w:spacing w:line="240" w:lineRule="auto"/>
              <w:rPr>
                <w:rFonts w:cs="Times New Roman"/>
                <w:b/>
                <w:color w:val="000000" w:themeColor="text1"/>
                <w:sz w:val="22"/>
                <w:lang w:val="en-US"/>
              </w:rPr>
            </w:pPr>
            <w:r w:rsidRPr="006C7099">
              <w:rPr>
                <w:rFonts w:cs="Times New Roman"/>
                <w:b/>
                <w:color w:val="000000" w:themeColor="text1"/>
                <w:sz w:val="22"/>
                <w:lang w:val="en-US"/>
              </w:rPr>
              <w:t>Overall total</w:t>
            </w:r>
          </w:p>
        </w:tc>
        <w:tc>
          <w:tcPr>
            <w:tcW w:w="2160" w:type="dxa"/>
            <w:tcBorders>
              <w:top w:val="nil"/>
              <w:left w:val="nil"/>
              <w:bottom w:val="single" w:sz="4" w:space="0" w:color="auto"/>
              <w:right w:val="nil"/>
            </w:tcBorders>
            <w:hideMark/>
          </w:tcPr>
          <w:p w14:paraId="66C63FC8" w14:textId="6C33CDF9" w:rsidR="00B60F38" w:rsidRPr="006C7099" w:rsidRDefault="007149B0" w:rsidP="00466FC0">
            <w:pPr>
              <w:spacing w:line="240" w:lineRule="auto"/>
              <w:jc w:val="center"/>
              <w:rPr>
                <w:rFonts w:cs="Times New Roman"/>
                <w:b/>
                <w:color w:val="000000" w:themeColor="text1"/>
                <w:sz w:val="22"/>
                <w:lang w:val="en-US"/>
              </w:rPr>
            </w:pPr>
            <w:r w:rsidRPr="006C7099">
              <w:rPr>
                <w:rFonts w:cs="Times New Roman"/>
                <w:b/>
                <w:color w:val="000000" w:themeColor="text1"/>
                <w:sz w:val="22"/>
                <w:lang w:val="en-US"/>
              </w:rPr>
              <w:t>3,801</w:t>
            </w:r>
          </w:p>
        </w:tc>
        <w:tc>
          <w:tcPr>
            <w:tcW w:w="2430" w:type="dxa"/>
            <w:tcBorders>
              <w:top w:val="nil"/>
              <w:left w:val="nil"/>
              <w:bottom w:val="single" w:sz="4" w:space="0" w:color="auto"/>
              <w:right w:val="nil"/>
            </w:tcBorders>
            <w:hideMark/>
          </w:tcPr>
          <w:p w14:paraId="5E89D437" w14:textId="77777777" w:rsidR="00B60F38" w:rsidRPr="006C7099" w:rsidRDefault="00B60F38" w:rsidP="00466FC0">
            <w:pPr>
              <w:spacing w:line="240" w:lineRule="auto"/>
              <w:jc w:val="center"/>
              <w:rPr>
                <w:rFonts w:cs="Times New Roman"/>
                <w:b/>
                <w:color w:val="000000" w:themeColor="text1"/>
                <w:sz w:val="22"/>
                <w:lang w:val="en-US"/>
              </w:rPr>
            </w:pPr>
            <w:r w:rsidRPr="006C7099">
              <w:rPr>
                <w:rFonts w:cs="Times New Roman"/>
                <w:b/>
                <w:color w:val="000000" w:themeColor="text1"/>
                <w:sz w:val="22"/>
                <w:lang w:val="en-US"/>
              </w:rPr>
              <w:t>362</w:t>
            </w:r>
          </w:p>
        </w:tc>
      </w:tr>
    </w:tbl>
    <w:p w14:paraId="3DE7CDBB" w14:textId="3CA0828A" w:rsidR="001B4ED5" w:rsidRPr="00895D0B" w:rsidRDefault="006B41C0">
      <w:pPr>
        <w:autoSpaceDE w:val="0"/>
        <w:autoSpaceDN w:val="0"/>
        <w:adjustRightInd w:val="0"/>
        <w:spacing w:line="360" w:lineRule="auto"/>
        <w:rPr>
          <w:rFonts w:eastAsiaTheme="minorEastAsia" w:cs="Times New Roman"/>
          <w:color w:val="000000" w:themeColor="text1"/>
          <w:szCs w:val="24"/>
          <w:lang w:val="en-US"/>
        </w:rPr>
      </w:pPr>
      <w:r w:rsidRPr="00895D0B">
        <w:rPr>
          <w:rFonts w:eastAsiaTheme="minorEastAsia" w:cs="Times New Roman"/>
          <w:b/>
          <w:color w:val="000000" w:themeColor="text1"/>
          <w:szCs w:val="24"/>
          <w:lang w:val="en-US"/>
        </w:rPr>
        <w:t>Source:</w:t>
      </w:r>
      <w:r w:rsidRPr="00895D0B">
        <w:rPr>
          <w:rFonts w:eastAsiaTheme="minorEastAsia" w:cs="Times New Roman"/>
          <w:color w:val="000000" w:themeColor="text1"/>
          <w:szCs w:val="24"/>
          <w:lang w:val="en-US"/>
        </w:rPr>
        <w:t xml:space="preserve"> Field Work, 2021</w:t>
      </w:r>
    </w:p>
    <w:p w14:paraId="3A3178B5" w14:textId="42822140" w:rsidR="001B4ED5" w:rsidRPr="00895D0B" w:rsidRDefault="00246507" w:rsidP="009864E3">
      <w:pPr>
        <w:pStyle w:val="Heading3"/>
      </w:pPr>
      <w:bookmarkStart w:id="67" w:name="_Toc167379899"/>
      <w:r>
        <w:lastRenderedPageBreak/>
        <w:t>3.4.5</w:t>
      </w:r>
      <w:r w:rsidR="006B41C0" w:rsidRPr="00895D0B">
        <w:t xml:space="preserve"> Sampling strategy</w:t>
      </w:r>
      <w:bookmarkEnd w:id="67"/>
      <w:r w:rsidR="006B41C0" w:rsidRPr="00895D0B">
        <w:t xml:space="preserve"> </w:t>
      </w:r>
    </w:p>
    <w:p w14:paraId="16F080F6" w14:textId="35A14DF7" w:rsidR="001B4ED5"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 xml:space="preserve">In selecting the respondents this study employed both probability and non-probability sampling strategies, which are common in studies using a mixed research approach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{"citationItems":[{"id":"ITEM-1","itemData":{"DOI":"10.5539/jel.v5n3p288","ISSN":"1927-5250","abstract":"&lt;p&gt;This paper is concerned with investigating the integration of quantitative and qualitative data in mixed methods research and whether, in spite of its challenges, it can be of positive benefit to many investigative studies. The paper introduces the topic, defines the terms with which this subject deals and undertakes a literature review to outline the challenges and benefits of employing this approach to research. The specific terms research, educational research, research methodologies and methods, research design, quantitative approaches, qualitative approaches and mixed methods approaches are all defined. Mixed methods approaches are outlined in terms of their challenges and benefits, with the researcher offering a personal opinion in conclusion to the paper. The conclusion that was drawn was that provided that mixed methods research was a suitable approach to any given project, its use would yield positive benefits, in that the use of differing approaches has the potential to provide a greater depth and breadth of information which is not possible utilising singular approaches in isolation. In spite of its time-consuming nature, and the suspicion with which some quarters of academia still regard mixed methods research, it does afford opportunities for researchers to have an informed conversation or debate involving information that is generated by both quantitative and qualitative collection methods. Furthermore, evidence would suggest that, rather than restricting the opportunities for research by only utilising either qualitative or quantitative methods, a mixed methods approach provides researchers with a greater scope to investigate educational issues using both words and numbers, to the benefit of educational establishments and society as a whole.&lt;/p&gt;","author":[{"dropping-particle":"","family":"Almalki","given":"Sami","non-dropping-particle":"","parse-names":false,"suffix":""}],"container-title":"Journal of Education and Learning","id":"ITEM-1","issue":"3","issued":{"date-parts":[["2016"]]},"page":"288","title":"Integrating Quantitative and Qualitative Data in Mixed Methods Research—Challenges and Benefits","type":"article-journal","volume":"5"},"uris":["http://www.mendeley.com/documents/?uuid=810e7be6-71c4-4701-b214-ef3ec12c1004"]}],"mendeley":{"formattedCitation":"(Almalki, 2016)","plainTextFormattedCitation":"(Almalki, 2016)","previouslyFormattedCitation":"(Almalki, 2016)"},"properties":{"noteIndex":0},"schema":"https://github.com/citation-style-language/schema/raw/master/csl-citation.json"}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(Almalki, 2016)</w:t>
      </w:r>
      <w:r w:rsidRPr="00895D0B">
        <w:rPr>
          <w:rFonts w:cs="Times New Roman"/>
          <w:color w:val="000000" w:themeColor="text1"/>
          <w:szCs w:val="24"/>
          <w:lang w:val="en-US"/>
        </w:rPr>
        <w:fldChar w:fldCharType="end"/>
      </w:r>
      <w:r w:rsidRPr="00895D0B">
        <w:rPr>
          <w:rFonts w:cs="Times New Roman"/>
          <w:color w:val="000000" w:themeColor="text1"/>
          <w:szCs w:val="24"/>
          <w:lang w:val="en-US"/>
        </w:rPr>
        <w:t>. The probability sampling used was based on a simple random sampling procedure in selecting responding households within the urban space for the survey</w:t>
      </w:r>
      <w:r w:rsidR="00CD5E1A" w:rsidRPr="00895D0B">
        <w:rPr>
          <w:rFonts w:cs="Times New Roman"/>
          <w:color w:val="000000" w:themeColor="text1"/>
          <w:szCs w:val="24"/>
          <w:lang w:val="en-US"/>
        </w:rPr>
        <w:t xml:space="preserve"> and the respondents were the member of the household who is into urban agriculture production activitiy</w:t>
      </w:r>
      <w:r w:rsidRPr="00895D0B">
        <w:rPr>
          <w:rFonts w:cs="Times New Roman"/>
          <w:color w:val="000000" w:themeColor="text1"/>
          <w:szCs w:val="24"/>
          <w:lang w:val="en-US"/>
        </w:rPr>
        <w:t xml:space="preserve">. This was used to collect the quantitative data for the study from households. During the listing process, the households were given serial numbers </w:t>
      </w:r>
      <w:r w:rsidR="00332246" w:rsidRPr="00895D0B">
        <w:rPr>
          <w:rFonts w:cs="Times New Roman"/>
          <w:color w:val="000000" w:themeColor="text1"/>
          <w:szCs w:val="24"/>
          <w:lang w:val="en-US"/>
        </w:rPr>
        <w:t xml:space="preserve">on the three thousand eight hundred and one (3,801) households listed </w:t>
      </w:r>
      <w:r w:rsidRPr="00895D0B">
        <w:rPr>
          <w:rFonts w:cs="Times New Roman"/>
          <w:color w:val="000000" w:themeColor="text1"/>
          <w:szCs w:val="24"/>
          <w:lang w:val="en-US"/>
        </w:rPr>
        <w:t xml:space="preserve">which were used as codes to generate the sample of </w:t>
      </w:r>
      <w:r w:rsidRPr="00895D0B">
        <w:rPr>
          <w:rFonts w:eastAsiaTheme="minorEastAsia" w:cs="Times New Roman"/>
          <w:color w:val="000000" w:themeColor="text1"/>
          <w:szCs w:val="24"/>
          <w:lang w:val="en-US"/>
        </w:rPr>
        <w:t>three hundred and sixty-two (362) households</w:t>
      </w:r>
      <w:r w:rsidRPr="00895D0B">
        <w:rPr>
          <w:rFonts w:cs="Times New Roman"/>
          <w:color w:val="000000" w:themeColor="text1"/>
          <w:szCs w:val="24"/>
          <w:lang w:val="en-US"/>
        </w:rPr>
        <w:t xml:space="preserve">.  This is important in simple random sampling as it avoids biases because every household has an equal chance of being selected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{"citationItems":[{"id":"ITEM-1","itemData":{"DOI":"10.5539/jel.v5n3p288","ISSN":"1927-5250","abstract":"&lt;p&gt;This paper is concerned with investigating the integration of quantitative and qualitative data in mixed methods research and whether, in spite of its challenges, it can be of positive benefit to many investigative studies. The paper introduces the topic, defines the terms with which this subject deals and undertakes a literature review to outline the challenges and benefits of employing this approach to research. The specific terms research, educational research, research methodologies and methods, research design, quantitative approaches, qualitative approaches and mixed methods approaches are all defined. Mixed methods approaches are outlined in terms of their challenges and benefits, with the researcher offering a personal opinion in conclusion to the paper. The conclusion that was drawn was that provided that mixed methods research was a suitable approach to any given project, its use would yield positive benefits, in that the use of differing approaches has the potential to provide a greater depth and breadth of information which is not possible utilising singular approaches in isolation. In spite of its time-consuming nature, and the suspicion with which some quarters of academia still regard mixed methods research, it does afford opportunities for researchers to have an informed conversation or debate involving information that is generated by both quantitative and qualitative collection methods. Furthermore, evidence would suggest that, rather than restricting the opportunities for research by only utilising either qualitative or quantitative methods, a mixed methods approach provides researchers with a greater scope to investigate educational issues using both words and numbers, to the benefit of educational establishments and society as a whole.&lt;/p&gt;","author":[{"dropping-particle":"","family":"Almalki","given":"Sami","non-dropping-particle":"","parse-names":false,"suffix":""}],"container-title":"Journal of Education and Learning","id":"ITEM-1","issue":"3","issued":{"date-parts":[["2016"]]},"page":"288","title":"Integrating Quantitative and Qualitative Data in Mixed Methods Research—Challenges and Benefits","type":"article-journal","volume":"5"},"uris":["http://www.mendeley.com/documents/?uuid=810e7be6-71c4-4701-b214-ef3ec12c1004"]}],"mendeley":{"formattedCitation":"(Almalki, 2016)","plainTextFormattedCitation":"(Almalki, 2016)","previouslyFormattedCitation":"(Almalki, 2016)"},"properties":{"noteIndex":0},"schema":"https://github.com/citation-style-language/schema/raw/master/csl-citation.json"}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(Almalki, 2016)</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Therefore, a random sample trial software was downloaded from the Google play store and installed on an Android phone to generate the sample. In this process, the lowest and highest figures from the sample population were entered </w:t>
      </w:r>
      <w:r w:rsidR="00CD5E1A" w:rsidRPr="00895D0B">
        <w:rPr>
          <w:rFonts w:cs="Times New Roman"/>
          <w:color w:val="000000" w:themeColor="text1"/>
          <w:szCs w:val="24"/>
          <w:lang w:val="en-US"/>
        </w:rPr>
        <w:t>into a random sampling software installed on mobile phone fro</w:t>
      </w:r>
      <w:r w:rsidR="00C52D36" w:rsidRPr="00895D0B">
        <w:rPr>
          <w:rFonts w:cs="Times New Roman"/>
          <w:color w:val="000000" w:themeColor="text1"/>
          <w:szCs w:val="24"/>
          <w:lang w:val="en-US"/>
        </w:rPr>
        <w:t>m</w:t>
      </w:r>
      <w:r w:rsidR="00CD5E1A" w:rsidRPr="00895D0B">
        <w:rPr>
          <w:rFonts w:cs="Times New Roman"/>
          <w:color w:val="000000" w:themeColor="text1"/>
          <w:szCs w:val="24"/>
          <w:lang w:val="en-US"/>
        </w:rPr>
        <w:t xml:space="preserve"> google playstore </w:t>
      </w:r>
      <w:r w:rsidRPr="00895D0B">
        <w:rPr>
          <w:rFonts w:cs="Times New Roman"/>
          <w:color w:val="000000" w:themeColor="text1"/>
          <w:szCs w:val="24"/>
          <w:lang w:val="en-US"/>
        </w:rPr>
        <w:t>and select</w:t>
      </w:r>
      <w:r w:rsidR="00C52D36" w:rsidRPr="00895D0B">
        <w:rPr>
          <w:rFonts w:cs="Times New Roman"/>
          <w:color w:val="000000" w:themeColor="text1"/>
          <w:szCs w:val="24"/>
          <w:lang w:val="en-US"/>
        </w:rPr>
        <w:t xml:space="preserve">ed based on the lottery method. </w:t>
      </w:r>
      <w:r w:rsidRPr="00895D0B">
        <w:rPr>
          <w:rFonts w:cs="Times New Roman"/>
          <w:color w:val="000000" w:themeColor="text1"/>
          <w:szCs w:val="24"/>
          <w:lang w:val="en-US"/>
        </w:rPr>
        <w:t xml:space="preserve">Non-probability sampling technique was applied in selecting the respondents for collecting data in the qualitative phase of the study. All the respondents here were purposively selected. This is appropriate as knowledgeable people were chosen to share their expertise in urban agricultural practices. </w:t>
      </w:r>
    </w:p>
    <w:p w14:paraId="6128293D" w14:textId="77777777" w:rsidR="00360960" w:rsidRPr="00895D0B" w:rsidRDefault="00360960" w:rsidP="00360960">
      <w:pPr>
        <w:pStyle w:val="NoSpacing"/>
        <w:rPr>
          <w:lang w:val="en-US"/>
        </w:rPr>
      </w:pPr>
    </w:p>
    <w:p w14:paraId="6D440DB3" w14:textId="77777777" w:rsidR="001B4ED5" w:rsidRPr="00895D0B" w:rsidRDefault="006B41C0">
      <w:pPr>
        <w:pStyle w:val="Heading2"/>
      </w:pPr>
      <w:bookmarkStart w:id="68" w:name="_Toc167379900"/>
      <w:r w:rsidRPr="00895D0B">
        <w:t>3.5 Methods and Tools of Data Collection</w:t>
      </w:r>
      <w:bookmarkEnd w:id="68"/>
    </w:p>
    <w:p w14:paraId="66CE8FD3" w14:textId="5E26ED48" w:rsidR="001B4ED5"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This section covers the quantitative and qualitative methods and tools of data collection on a sectional basis. The data collection process was in two phases; Phase I, was quantitative</w:t>
      </w:r>
      <w:r w:rsidR="00121A04" w:rsidRPr="00895D0B">
        <w:rPr>
          <w:rFonts w:cs="Times New Roman"/>
          <w:color w:val="000000" w:themeColor="text1"/>
          <w:szCs w:val="24"/>
          <w:lang w:val="en-US"/>
        </w:rPr>
        <w:t xml:space="preserve"> data</w:t>
      </w:r>
      <w:r w:rsidRPr="00895D0B">
        <w:rPr>
          <w:rFonts w:cs="Times New Roman"/>
          <w:color w:val="000000" w:themeColor="text1"/>
          <w:szCs w:val="24"/>
          <w:lang w:val="en-US"/>
        </w:rPr>
        <w:t>, and Phase II, qualitative</w:t>
      </w:r>
      <w:r w:rsidR="00121A04" w:rsidRPr="00895D0B">
        <w:rPr>
          <w:rFonts w:cs="Times New Roman"/>
          <w:color w:val="000000" w:themeColor="text1"/>
          <w:szCs w:val="24"/>
          <w:lang w:val="en-US"/>
        </w:rPr>
        <w:t xml:space="preserve"> data</w:t>
      </w:r>
      <w:r w:rsidRPr="00895D0B">
        <w:rPr>
          <w:rFonts w:cs="Times New Roman"/>
          <w:color w:val="000000" w:themeColor="text1"/>
          <w:szCs w:val="24"/>
          <w:lang w:val="en-US"/>
        </w:rPr>
        <w:t>. Each of these phases has its methods of data collection and the needed tools. The choice of methods and tools for data collection in the study was guided by a framework. This framework seeks to clarify each method and tool in the data collection process. It also outlines the type of data collected in each of the data collection method and their corresponding tools (</w:t>
      </w:r>
      <w:r w:rsidRPr="00895D0B">
        <w:rPr>
          <w:rFonts w:cs="Times New Roman"/>
          <w:i/>
          <w:color w:val="000000" w:themeColor="text1"/>
          <w:szCs w:val="24"/>
          <w:lang w:val="en-US"/>
        </w:rPr>
        <w:t>Table 3.2)</w:t>
      </w:r>
      <w:r w:rsidRPr="00895D0B">
        <w:rPr>
          <w:rFonts w:cs="Times New Roman"/>
          <w:color w:val="000000" w:themeColor="text1"/>
          <w:szCs w:val="24"/>
          <w:lang w:val="en-US"/>
        </w:rPr>
        <w:t>.</w:t>
      </w:r>
    </w:p>
    <w:p w14:paraId="2231799F" w14:textId="77777777" w:rsidR="005573B9" w:rsidRPr="00895D0B" w:rsidRDefault="005573B9" w:rsidP="005573B9">
      <w:pPr>
        <w:pStyle w:val="NoSpacing"/>
        <w:rPr>
          <w:lang w:val="en-US"/>
        </w:rPr>
      </w:pPr>
    </w:p>
    <w:p w14:paraId="7FC3F0D1" w14:textId="77777777" w:rsidR="001B4ED5" w:rsidRPr="00895D0B" w:rsidRDefault="006B41C0" w:rsidP="009864E3">
      <w:pPr>
        <w:pStyle w:val="Heading3"/>
      </w:pPr>
      <w:bookmarkStart w:id="69" w:name="_Toc167379901"/>
      <w:r w:rsidRPr="00895D0B">
        <w:t>3.5.1 Quantitative phase</w:t>
      </w:r>
      <w:bookmarkEnd w:id="69"/>
    </w:p>
    <w:p w14:paraId="1AFA8461" w14:textId="1E300486" w:rsidR="001B4ED5" w:rsidRPr="00895D0B" w:rsidRDefault="006B41C0">
      <w:pPr>
        <w:spacing w:line="360" w:lineRule="auto"/>
        <w:rPr>
          <w:rFonts w:cs="Times New Roman"/>
          <w:color w:val="000000" w:themeColor="text1"/>
          <w:szCs w:val="24"/>
          <w:lang w:val="en-US"/>
        </w:rPr>
      </w:pPr>
      <w:r w:rsidRPr="00895D0B">
        <w:rPr>
          <w:rFonts w:cs="Times New Roman"/>
          <w:b/>
          <w:i/>
          <w:color w:val="000000" w:themeColor="text1"/>
          <w:szCs w:val="24"/>
          <w:lang w:val="en-US"/>
        </w:rPr>
        <w:t>Survey method:</w:t>
      </w:r>
      <w:r w:rsidRPr="00895D0B">
        <w:rPr>
          <w:rFonts w:cs="Times New Roman"/>
          <w:color w:val="000000" w:themeColor="text1"/>
          <w:szCs w:val="24"/>
          <w:lang w:val="en-US"/>
        </w:rPr>
        <w:t xml:space="preserve"> The study employed a household survey method of collecting the quantitative data. This is cost-effective and does not consume time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{"citationItems":[{"id":"ITEM-1","itemData":{"DOI":"10.5539/jel.v5n3p288","ISSN":"1927-5250","abstract":"&lt;p&gt;This paper is concerned with investigating the integration of quantitative and qualitative data in mixed methods research and whether, in spite of its challenges, it can be of positive benefit to many investigative studies. The paper introduces the topic, defines the terms with which this subject deals and undertakes a literature review to outline the challenges and benefits of employing this approach to research. The specific terms research, educational research, research methodologies and methods, research design, quantitative approaches, qualitative approaches and mixed methods approaches are all defined. Mixed methods approaches are outlined in terms of their challenges and benefits, with the researcher offering a personal opinion in conclusion to the paper. The conclusion that was drawn was that provided that mixed methods research was a suitable approach to any given project, its use would yield positive benefits, in that the use of differing approaches has the potential to provide a greater depth and breadth of information which is not possible utilising singular approaches in isolation. In spite of its time-consuming nature, and the suspicion with which some quarters of academia still regard mixed methods research, it does afford opportunities for researchers to have an informed conversation or debate involving information that is generated by both quantitative and qualitative collection methods. Furthermore, evidence would suggest that, rather than restricting the opportunities for research by only utilising either qualitative or quantitative methods, a mixed methods approach provides researchers with a greater scope to investigate educational issues using both words and numbers, to the benefit of educational establishments and society as a whole.&lt;/p&gt;","author":[{"dropping-particle":"","family":"Almalki","given":"Sami","non-dropping-particle":"","parse-names":false,"suffix":""}],"container-title":"Journal of Education and Learning","id":"ITEM-1","issue":"3","issued":{"date-parts":[["2016"]]},"page":"288","title":"Integrating Quantitative and Qualitative Data in Mixed Methods Research—Challenges and Benefits","type":"article-journal","volume":"5"},"uris":["http://www.mendeley.com/documents/?uuid=810e7be6-71c4-4701-b214-ef3ec12c1004"]}],"mendeley":{"formattedCitation":"(Almalki, 2016)","plainTextFormattedCitation":"(Almalki, 2016)","previouslyFormattedCitation":"(Almalki, 2016)"},"properties":{"noteIndex":0},"schema":"https://github.com/citation-style-language/schema/raw/master/csl-citation.json"}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(Almalki, 2016)</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w:t>
      </w:r>
      <w:r w:rsidRPr="00895D0B">
        <w:rPr>
          <w:rFonts w:cs="Times New Roman"/>
          <w:color w:val="000000" w:themeColor="text1"/>
          <w:szCs w:val="24"/>
          <w:lang w:val="en-US"/>
        </w:rPr>
        <w:lastRenderedPageBreak/>
        <w:t xml:space="preserve">though, the study could have employed a census approach that involves enumerating the target research population which increases cost and time spent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{"citationItems":[{"id":"ITEM-1","itemData":{"author":[{"dropping-particle":"","family":"Kitchenham","given":"B. A.","non-dropping-particle":"","parse-names":false,"suffix":""},{"dropping-particle":"","family":"Pfleeger","given":"S.L.","non-dropping-particle":"","parse-names":false,"suffix":""}],"id":"ITEM-1","issue":"1","issued":{"date-parts":[["2002"]]},"page":"18-20","title":"Principles of Survey Research Part 2 : Designing a Survey Sample size Experimental designs","type":"article-journal","volume":"27"},"uris":["http://www.mendeley.com/documents/?uuid=5ab7cba0-b31c-4fb6-a953-500075add0dc"]}],"mendeley":{"formattedCitation":"(Kitchenham &amp; Pfleeger, 2002)","plainTextFormattedCitation":"(Kitchenham &amp; Pfleeger, 2002)","previouslyFormattedCitation":"(Kitchenham &amp; Pfleeger, 2002)"},"properties":{"noteIndex":0},"schema":"https://github.com/citation-style-language/schema/raw/master/csl-citation.json"}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(Kitchenham &amp; Pfleeger, 2002)</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 method of data collection includes a households’ face-to-face survey. The respondents in the survey were the household heads or spouses or any elderly person who knows much about their urban crops and animal production activities. This was done through structured questionnaire administration in the form of </w:t>
      </w:r>
      <w:r w:rsidRPr="00895D0B">
        <w:rPr>
          <w:rFonts w:cs="Times New Roman"/>
          <w:color w:val="000000" w:themeColor="text1"/>
          <w:szCs w:val="24"/>
        </w:rPr>
        <w:t>Computer Assisted Personal Interviewing (CAPI)</w:t>
      </w:r>
      <w:r w:rsidR="002E0FC8" w:rsidRPr="00895D0B">
        <w:rPr>
          <w:rFonts w:cs="Times New Roman"/>
          <w:color w:val="000000" w:themeColor="text1"/>
          <w:szCs w:val="24"/>
        </w:rPr>
        <w:t xml:space="preserve"> tool</w:t>
      </w:r>
      <w:r w:rsidRPr="00895D0B">
        <w:rPr>
          <w:rFonts w:cs="Times New Roman"/>
          <w:color w:val="000000" w:themeColor="text1"/>
          <w:szCs w:val="24"/>
        </w:rPr>
        <w:t xml:space="preserve">. The questionnaire is divided into two main sections; a section for crop production in the urban area and another one for animal production activities in the urban space. The questionnaire was built on an Android platform using Kobo toolbox and uploaded onto tablets for the actual households’ enumeration.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{"citationItems":[{"id":"ITEM-1","itemData":{"ISBN":"9783319222462","abstract":"Rapid technological advances have led to the smarter data collection being easier to access, less expensive and more efficient. Researchers and organisations in many fields have successfully developed and deployed various Mobile applications (apps) for data collection. In the present era the data collection phase plays a vital role in a survey research. It is a process of gathering and measuring of research data. It turns out to be a tredious process to collect research data through traditional methods.This paper explains the application and usage of Mobile data collection, features of kobo toolbox and ‘kobo collect’, an open source suite for data collection. Kobo Toolbox/Collect is a precise, handy and remote data collection tool. It helps researcher to collect the data by using ‘one click method’ and can compile the data based on the predefined criteria of the research. There are several web based and Mobile applications which are trending as data collection tools such as Google forms, LimeSurvey, SurveyMonkey, KwikSurveys, eSurv, and Kobo Toolbox.","author":[{"dropping-particle":"","family":"Lakshminarasimhappa","given":"M C","non-dropping-particle":"","parse-names":false,"suffix":""}],"container-title":"The Journal of Indian Library Association (JILA)","id":"ITEM-1","issue":"2","issued":{"date-parts":[["2021"]]},"page":"1-603","title":"Web-Based and Smart Mobile App for Data Collection: Kobo Toolbox / Kobo Collect","type":"article-journal","volume":"57"},"uris":["http://www.mendeley.com/documents/?uuid=e7427dc3-9882-4803-ae30-875cd4c634dd"]}],"mendeley":{"formattedCitation":"(Lakshminarasimhappa, 2021)","manualFormatting":"Lakshminarasimhappa (2021)","plainTextFormattedCitation":"(Lakshminarasimhappa, 2021)","previouslyFormattedCitation":"(Lakshminarasimhappa,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Lakshminarasimhappa (2021)</w:t>
      </w:r>
      <w:r w:rsidRPr="00895D0B">
        <w:rPr>
          <w:rFonts w:cs="Times New Roman"/>
          <w:color w:val="000000" w:themeColor="text1"/>
          <w:szCs w:val="24"/>
        </w:rPr>
        <w:fldChar w:fldCharType="end"/>
      </w:r>
      <w:r w:rsidRPr="00895D0B">
        <w:rPr>
          <w:rFonts w:cs="Times New Roman"/>
          <w:color w:val="000000" w:themeColor="text1"/>
          <w:szCs w:val="24"/>
        </w:rPr>
        <w:t xml:space="preserve"> has outlined the advantages of using Kobo toolbox in Computer Assisted </w:t>
      </w:r>
      <w:r w:rsidR="005852B7" w:rsidRPr="00895D0B">
        <w:rPr>
          <w:rFonts w:cs="Times New Roman"/>
          <w:color w:val="000000" w:themeColor="text1"/>
          <w:szCs w:val="24"/>
        </w:rPr>
        <w:t xml:space="preserve">Personal </w:t>
      </w:r>
      <w:r w:rsidRPr="00895D0B">
        <w:rPr>
          <w:rFonts w:cs="Times New Roman"/>
          <w:color w:val="000000" w:themeColor="text1"/>
          <w:szCs w:val="24"/>
        </w:rPr>
        <w:t>Interviewing (CAPI)</w:t>
      </w:r>
      <w:r w:rsidR="002E0FC8" w:rsidRPr="00895D0B">
        <w:rPr>
          <w:rFonts w:cs="Times New Roman"/>
          <w:color w:val="000000" w:themeColor="text1"/>
          <w:szCs w:val="24"/>
        </w:rPr>
        <w:t xml:space="preserve"> tool</w:t>
      </w:r>
      <w:r w:rsidRPr="00895D0B">
        <w:rPr>
          <w:rFonts w:cs="Times New Roman"/>
          <w:color w:val="000000" w:themeColor="text1"/>
          <w:szCs w:val="24"/>
        </w:rPr>
        <w:t xml:space="preserve">. Firstly, the use of computer-assisted interviewing is very important as it is faster and more convenient as compared to that of manual Paper Assisted Interviewing (PAPI) especially using the Kobo toolbox software. Secondly, the use of CAPI is faster compared to PAPI because interviewing is easy and there is no need to enter data into software for analysis after data is collected. The third point is that the data is refined and generated in a soft copy form as soon as the interviews are done and synced to the server. Lastly, the use of CAPI reduces the cost of printing the questionnaire though tablets were hired. On the field, </w:t>
      </w:r>
      <w:r w:rsidRPr="00895D0B">
        <w:rPr>
          <w:rFonts w:cs="Times New Roman"/>
          <w:color w:val="000000" w:themeColor="text1"/>
          <w:szCs w:val="24"/>
          <w:lang w:val="en-US"/>
        </w:rPr>
        <w:t>the various households were therefore identified by their popular names and numbers taken during the listing phase for easy tracing to those households.</w:t>
      </w:r>
    </w:p>
    <w:p w14:paraId="17B539DC" w14:textId="77777777" w:rsidR="001B4ED5" w:rsidRPr="00895D0B" w:rsidRDefault="001B4ED5" w:rsidP="005C12E8">
      <w:pPr>
        <w:pStyle w:val="NoSpacing"/>
      </w:pPr>
    </w:p>
    <w:p w14:paraId="1E795E60" w14:textId="52C3B642" w:rsidR="001B4ED5" w:rsidRPr="00895D0B" w:rsidRDefault="006B41C0" w:rsidP="00466FC0">
      <w:pPr>
        <w:spacing w:line="360" w:lineRule="auto"/>
        <w:rPr>
          <w:rFonts w:cs="Times New Roman"/>
          <w:color w:val="000000" w:themeColor="text1"/>
          <w:szCs w:val="24"/>
          <w:lang w:val="en-US"/>
        </w:rPr>
      </w:pPr>
      <w:r w:rsidRPr="00895D0B">
        <w:rPr>
          <w:rFonts w:cs="Times New Roman"/>
          <w:b/>
          <w:i/>
          <w:color w:val="000000" w:themeColor="text1"/>
          <w:szCs w:val="24"/>
        </w:rPr>
        <w:t>Spatial data collection:</w:t>
      </w:r>
      <w:r w:rsidRPr="00895D0B">
        <w:rPr>
          <w:rFonts w:cs="Times New Roman"/>
          <w:b/>
          <w:color w:val="000000" w:themeColor="text1"/>
          <w:szCs w:val="24"/>
        </w:rPr>
        <w:t xml:space="preserve"> </w:t>
      </w:r>
      <w:r w:rsidR="00663444" w:rsidRPr="00895D0B">
        <w:rPr>
          <w:rFonts w:cs="Times New Roman"/>
          <w:color w:val="000000" w:themeColor="text1"/>
          <w:szCs w:val="24"/>
        </w:rPr>
        <w:t xml:space="preserve">In the study, </w:t>
      </w:r>
      <w:r w:rsidRPr="00895D0B">
        <w:rPr>
          <w:rFonts w:cs="Times New Roman"/>
          <w:color w:val="000000" w:themeColor="text1"/>
          <w:szCs w:val="24"/>
        </w:rPr>
        <w:t xml:space="preserve">spatial data were collected </w:t>
      </w:r>
      <w:r w:rsidR="00663444" w:rsidRPr="00895D0B">
        <w:rPr>
          <w:rFonts w:cs="Times New Roman"/>
          <w:color w:val="000000" w:themeColor="text1"/>
          <w:szCs w:val="24"/>
        </w:rPr>
        <w:t>for spatial analysis</w:t>
      </w:r>
      <w:r w:rsidRPr="00895D0B">
        <w:rPr>
          <w:rFonts w:cs="Times New Roman"/>
          <w:color w:val="000000" w:themeColor="text1"/>
          <w:szCs w:val="24"/>
        </w:rPr>
        <w:t xml:space="preserve">. </w:t>
      </w:r>
      <w:r w:rsidRPr="00895D0B">
        <w:rPr>
          <w:rFonts w:cs="Times New Roman"/>
          <w:color w:val="000000" w:themeColor="text1"/>
          <w:szCs w:val="24"/>
          <w:lang w:val="en-US"/>
        </w:rPr>
        <w:t xml:space="preserve">The spatial data collection techniques were relevant in determining the spatial characteristics of agriculture in the urban setting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{"citationItems":[{"id":"ITEM-1","itemData":{"DOI":"10.1017/aap.2019.29","ISSN":"23263768","abstract":"With generous support from the National Science Foundation, we have spent the past four years developing an archaeological radiocarbon database for the United States. Here, we highlight the importance of spatial data for open-access, national-scale archaeological databases and the development of paleodemography research. We propose a new method for analyzing radiocarbon time series in the context of paleoclimate models. This method forces us to confront one of the central challenges to realizing the full potential of national-scale databases: the quality of the spatial data accompanying radiocarbon dates. We seek to open a national discussion on the use of spatial data in open-source archaeological databases.","author":[{"dropping-particle":"","family":"Robinson","given":"Erick","non-dropping-particle":"","parse-names":false,"suffix":""},{"dropping-particle":"","family":"Nicholson","given":"Christopher","non-dropping-particle":"","parse-names":false,"suffix":""},{"dropping-particle":"","family":"Kelly","given":"Robert L.","non-dropping-particle":"","parse-names":false,"suffix":""}],"container-title":"Advances in Archaeological Practice","id":"ITEM-1","issue":"4","issued":{"date-parts":[["2019"]]},"page":"395-408","title":"The Importance of Spatial Data to Open-Access National Archaeological Databases and the Development of Paleodemography Research","type":"article-journal","volume":"7"},"uris":["http://www.mendeley.com/documents/?uuid=c39ebae0-a84d-437e-bf90-a0e990f6bbea"]},{"id":"ITEM-2","itemData":{"DOI":"10.4018/IJEIS.2020100106","ISSN":"15481123","abstract":"Geographic information system (GIS) is designed to generate maps, manage spatial datasets, perform sophisticated “what if” spatial analyses, visualize multiple spatial datasets simultaneously, and solve location-based queries. The impact of big data is in every industry, including the GIS. The location-based big data also known as big spatial data has significant implications as it forces the industry to contemplate how to acquire and leverage spatial information. In this study, a comprehensive taxonomy is created to provide a better understanding of the uses of GIS and big spatial data. The taxonomy is made up of big data technologies, GIS data sources, tools, analytics, and applications. The authors look into the importance of big spatial data and its implications, review the data sources, and GIS analytics, applications, and GIS tools. Furthermore, in order to guide researchers interested in GIS, the challenges that require substantial research efforts are taken into account. Lastly, open issues in GIS that require further observation are summarized.","author":[{"dropping-particle":"","family":"Usmani","given":"A. R. S.","non-dropping-particle":"","parse-names":false,"suffix":""},{"dropping-particle":"","family":"Hashem","given":"T. I. A.","non-dropping-particle":"","parse-names":false,"suffix":""},{"dropping-particle":"","family":"Pillai","given":"T. R.","non-dropping-particle":"","parse-names":false,"suffix":""},{"dropping-particle":"","family":"Saeed","given":"A.","non-dropping-particle":"","parse-names":false,"suffix":""},{"dropping-particle":"","family":"Abdullahi","given":"A. M.","non-dropping-particle":"","parse-names":false,"suffix":""}],"container-title":"International Journal of Enterprise Information Systems","id":"ITEM-2","issue":"4","issued":{"date-parts":[["2020"]]},"page":"101-145","title":"Geographic Information System and Big Spatial Data: A Review and Challenges","type":"article-journal","volume":"16"},"uris":["http://www.mendeley.com/documents/?uuid=1ea7f52d-7ef4-4df4-ab89-2010adb81e19"]}],"mendeley":{"formattedCitation":"(Robinson et al., 2019; Usmani et al., 2020)","manualFormatting":"(Robinson et al., 2019; Usmani et al., 2020)","plainTextFormattedCitation":"(Robinson et al., 2019; Usmani et al., 2020)","previouslyFormattedCitation":"(Robinson et al., 2019; Usmani et al., 2020)"},"properties":{"noteIndex":0},"schema":"https://github.com/citation-style-language/schema/raw/master/csl-citation.json"}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(Robinson et al., 2019; Usmani et al., 2020)</w:t>
      </w:r>
      <w:r w:rsidRPr="00895D0B">
        <w:rPr>
          <w:rFonts w:cs="Times New Roman"/>
          <w:color w:val="000000" w:themeColor="text1"/>
          <w:szCs w:val="24"/>
          <w:lang w:val="en-US"/>
        </w:rPr>
        <w:fldChar w:fldCharType="end"/>
      </w:r>
      <w:r w:rsidRPr="00895D0B">
        <w:rPr>
          <w:rFonts w:cs="Times New Roman"/>
          <w:color w:val="000000" w:themeColor="text1"/>
          <w:szCs w:val="24"/>
          <w:lang w:val="en-US"/>
        </w:rPr>
        <w:t>. This involved quantifying the spatial pattern of urban agriculture</w:t>
      </w:r>
      <w:r w:rsidR="00663444" w:rsidRPr="00895D0B">
        <w:rPr>
          <w:rFonts w:cs="Times New Roman"/>
          <w:color w:val="000000" w:themeColor="text1"/>
          <w:szCs w:val="24"/>
          <w:lang w:val="en-US"/>
        </w:rPr>
        <w:t xml:space="preserve"> prodiction activities within the urban space</w:t>
      </w:r>
      <w:r w:rsidRPr="00895D0B">
        <w:rPr>
          <w:rFonts w:cs="Times New Roman"/>
          <w:color w:val="000000" w:themeColor="text1"/>
          <w:szCs w:val="24"/>
          <w:lang w:val="en-US"/>
        </w:rPr>
        <w:t xml:space="preserve">. This was done with the help of hand-held Global Positioning System (GPS) devices to pick the coordinates of urban farms and their attributes (Table 3.2). The urban farms were mapped in terms of the type of urban farming (crops and animals), the size of farms and housing units of farm animals. </w:t>
      </w:r>
    </w:p>
    <w:p w14:paraId="3933E914" w14:textId="77777777" w:rsidR="00466FC0" w:rsidRPr="00360960" w:rsidRDefault="00466FC0" w:rsidP="005C12E8">
      <w:pPr>
        <w:pStyle w:val="NoSpacing"/>
        <w:rPr>
          <w:sz w:val="16"/>
          <w:szCs w:val="16"/>
        </w:rPr>
      </w:pPr>
    </w:p>
    <w:p w14:paraId="314BD1B5" w14:textId="77777777" w:rsidR="00CF3C06" w:rsidRPr="00895D0B" w:rsidRDefault="00CF3C06" w:rsidP="009864E3">
      <w:pPr>
        <w:pStyle w:val="Heading3"/>
      </w:pPr>
      <w:bookmarkStart w:id="70" w:name="_Toc167379902"/>
      <w:r w:rsidRPr="00895D0B">
        <w:lastRenderedPageBreak/>
        <w:t>3.5.2 Qualitative Phase</w:t>
      </w:r>
      <w:bookmarkEnd w:id="70"/>
    </w:p>
    <w:p w14:paraId="44B8D4E9" w14:textId="77777777" w:rsidR="00CF3C06" w:rsidRPr="00895D0B" w:rsidRDefault="00CF3C06" w:rsidP="00CF3C06">
      <w:pPr>
        <w:spacing w:line="360" w:lineRule="auto"/>
        <w:rPr>
          <w:rFonts w:cs="Times New Roman"/>
          <w:color w:val="000000" w:themeColor="text1"/>
          <w:szCs w:val="24"/>
          <w:lang w:val="en-US"/>
        </w:rPr>
      </w:pPr>
      <w:r w:rsidRPr="00895D0B">
        <w:rPr>
          <w:rFonts w:cs="Times New Roman"/>
          <w:color w:val="000000" w:themeColor="text1"/>
          <w:szCs w:val="24"/>
          <w:lang w:val="en-US"/>
        </w:rPr>
        <w:t>In the qualitative phase of the study, two (2) methods of data collection were used. These include key informant interviews (KIIs) and non-participant observation. The study employed these multiple data collection methods because the researcher seeks to have an in-depth understanding of urban farming practices among households and how urban farmers adapt to climate change consequences. This also gave room for data triangulation to give a better synthesis of the ideas on thematic basis and buttress the findings from the quantitative (Jentoft &amp; Olsen, 2019).</w:t>
      </w:r>
    </w:p>
    <w:p w14:paraId="01CCC56A" w14:textId="77777777" w:rsidR="00CF3C06" w:rsidRPr="00895D0B" w:rsidRDefault="00CF3C06" w:rsidP="00360960">
      <w:pPr>
        <w:pStyle w:val="NoSpacing"/>
        <w:rPr>
          <w:lang w:val="en-US"/>
        </w:rPr>
      </w:pPr>
    </w:p>
    <w:p w14:paraId="28DA8E69" w14:textId="08A86708" w:rsidR="00CF3C06" w:rsidRPr="00895D0B" w:rsidRDefault="00CF3C06" w:rsidP="00131EA5">
      <w:pPr>
        <w:spacing w:line="360" w:lineRule="auto"/>
        <w:rPr>
          <w:rFonts w:cs="Times New Roman"/>
          <w:color w:val="000000" w:themeColor="text1"/>
          <w:szCs w:val="24"/>
          <w:lang w:val="en-US"/>
        </w:rPr>
      </w:pPr>
      <w:r w:rsidRPr="00895D0B">
        <w:rPr>
          <w:rFonts w:cs="Times New Roman"/>
          <w:b/>
          <w:i/>
          <w:color w:val="000000" w:themeColor="text1"/>
          <w:szCs w:val="24"/>
          <w:lang w:val="en-US"/>
        </w:rPr>
        <w:t>Key Informant Interviews (KIIs):</w:t>
      </w:r>
      <w:r w:rsidRPr="00895D0B">
        <w:rPr>
          <w:rFonts w:cs="Times New Roman"/>
          <w:color w:val="000000" w:themeColor="text1"/>
          <w:szCs w:val="24"/>
          <w:lang w:val="en-US"/>
        </w:rPr>
        <w:t xml:space="preserve"> The study collected data from key informants. This method is necessary for gathering information from experts (Tufford &amp; Newman, 2012) in the areas of crop farming and animal-rearing activities in the urban space. There were thirteen (13) key informants interviewed at two levels; community and institutional levels. At the community level, eight (8) key informants were interviewed. They included four (4) Chiefs and four (4) ‘Tindaabas’. There were institutional level key informant interviews as well.  Institutional level study is another method in the qualitative data collection phase which allows undertaking a desk review of institutional reports on an area of investigation (Omona, 2013). The method is very relevant in gathering institutional-level arrangements for the production of crops and animals in the city. At the institutional level, the focus was on the Department of Town and Country Planning (1), Lands Commission (1), Agricultural Extension Officer one (1), Veterinary Officer, one (1) and an Officer from the Municipal Environmental Health and Sanitation Department. Climatic data on temperature and rainfall were taken from the Ghana Meteorological Agency for understanding of the climatic pattern of the study are in relation to agriculture in general and urban agriculture in specific. An interview guide that contains the relevant questions to be asked was used in this method to solicit the information from the respondents (Table 3.2). For instance, some of the questions were based on the type of extension and veterinary services urban farmers receive, institutional support systems, and policies regarding urban farming using KIIs guides which transcribed for analysis </w:t>
      </w:r>
      <w:r w:rsidR="00131EA5" w:rsidRPr="00895D0B">
        <w:rPr>
          <w:rFonts w:cs="Times New Roman"/>
          <w:color w:val="000000" w:themeColor="text1"/>
          <w:szCs w:val="24"/>
          <w:lang w:val="en-US"/>
        </w:rPr>
        <w:t>.</w:t>
      </w:r>
    </w:p>
    <w:p w14:paraId="3F855235" w14:textId="671B3872" w:rsidR="00131EA5" w:rsidRPr="00360960" w:rsidRDefault="00131EA5" w:rsidP="00360960">
      <w:pPr>
        <w:pStyle w:val="NoSpacing"/>
      </w:pPr>
    </w:p>
    <w:p w14:paraId="1FC5204A" w14:textId="77777777" w:rsidR="00131EA5" w:rsidRPr="00895D0B" w:rsidRDefault="00131EA5" w:rsidP="00131EA5">
      <w:pPr>
        <w:spacing w:line="360" w:lineRule="auto"/>
        <w:rPr>
          <w:rFonts w:cs="Times New Roman"/>
          <w:color w:val="000000" w:themeColor="text1"/>
          <w:szCs w:val="24"/>
          <w:lang w:val="en-US"/>
        </w:rPr>
      </w:pPr>
      <w:r w:rsidRPr="00895D0B">
        <w:rPr>
          <w:rFonts w:cs="Times New Roman"/>
          <w:b/>
          <w:i/>
          <w:color w:val="000000" w:themeColor="text1"/>
          <w:szCs w:val="24"/>
          <w:lang w:val="en-US"/>
        </w:rPr>
        <w:t>Non-participant observation:</w:t>
      </w:r>
      <w:r w:rsidRPr="00895D0B">
        <w:rPr>
          <w:rFonts w:cs="Times New Roman"/>
          <w:color w:val="000000" w:themeColor="text1"/>
          <w:szCs w:val="24"/>
          <w:lang w:val="en-US"/>
        </w:rPr>
        <w:t xml:space="preserve"> Non-participant observation was also employed to gain visual evidence necessary for the study findings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{"citationItems":[{"id":"ITEM-1","itemData":{"DOI":"10.4103/2230-8598.144055","ISSN":"2230-8598","abstract":"Qualitative research methodology enables researchers to explore social and behavioural issues related to public health that are not achievable with quantitative methods. Several complex public health issues can be better understood by exploration using qualitative methodologies. However, these methodologies are underutilized in public health research particularly in developing countries. This paper aims to introduce qualitative research to students and researchers in public health in developing countries and to encourage its use in research by presenting an overview of how to undertake a qualitative research study. Key aspects of this methodology include choosing and working within a theoretical framework, recruitment of participants, following the right process of data analysis, and presentation of findings for publication.","author":[{"dropping-particle":"","family":"Anton","given":"I. A.","non-dropping-particle":"","parse-names":false,"suffix":""}],"container-title":"International Journal of Medicine and Public Health","id":"ITEM-1","issue":"4","issued":{"date-parts":[["2014"]]},"page":"318","title":"An overview of qualitative research methodology for public health researchers","type":"article-journal","volume":"4"},"uris":["http://www.mendeley.com/documents/?uuid=0e300ca0-23aa-49b4-aaa1-686112b73b19"]}],"mendeley":{"formattedCitation":"(Anton, 2014)","plainTextFormattedCitation":"(Anton, 2014)","previouslyFormattedCitation":"(Anton, 2014)"},"properties":{"noteIndex":0},"schema":"https://github.com/citation-style-language/schema/raw/master/csl-citation.json"}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(Anton, 2014)</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 purpose of this method was to observe the agricultural practices urban farmers are employing in the </w:t>
      </w:r>
      <w:r w:rsidRPr="00895D0B">
        <w:rPr>
          <w:rFonts w:cs="Times New Roman"/>
          <w:color w:val="000000" w:themeColor="text1"/>
          <w:szCs w:val="24"/>
          <w:lang w:val="en-US"/>
        </w:rPr>
        <w:lastRenderedPageBreak/>
        <w:t xml:space="preserve">production and the characterization of crops and animals activities. This also helped the researcher to have insight into the climate change adaptation measures used by the farmers in terms of farming on-field farming practices. In the non-participatory observational approach, the researcher does not personally involve in the process and this gives quality findings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{"citationItems":[{"id":"ITEM-1","itemData":{"ISSN":"2141-6990","abstract":"This paper identifies that masters of education students at the University of Dar es Salaam School of Education and Open University of Tanzania are faced with a challenge of deciding which trustworthiness criteria to employ between the qualitative and quantitative criteria in ensuring the genuineness of qualitative enquiry. This paper used 323 students’ masters of education dissertations employing the qualitative research methodology and examined the trustworthiness criteria used by students to ensure the rigour of the findings of those dissertations. The findings indicated that most of the students in their dissertations incorrectly employed the quantitative trustworthiness criteria such as reliability and validity to ensure the rigour of their dissertations findings employing the qualitative research methodology. In the sampled masters of education dissertations only 21 out 323 employed the correct qualitative trustworthiness criteria, such as credibility, transferability, confirmability and dependability. This study finding suggests that the authenticity of some dissertations submitted for master’s degree award their findings are questionable. The study recommendations were that research methodology course lecturers are encouraged to strengthen teaching of the qualitative research approach as well as dissertation supervision to guide students to apply correct trustworthiness criteria for qualitative research methodologies.","author":[{"dropping-particle":"","family":"Anney","given":"Vicent N","non-dropping-particle":"","parse-names":false,"suffix":""}],"container-title":"Journal of Emerging Trends in Educational Research and Policy Studies","id":"ITEM-1","issue":"2","issued":{"date-parts":[["2014"]]},"page":"272-281","title":"Ensuring the quality of the findings of qualitative research: looking at trustworthiness criteria","type":"article-journal","volume":"5"},"uris":["http://www.mendeley.com/documents/?uuid=4776726b-cec5-46ec-b2f2-9f475ebb92f4"]}],"mendeley":{"formattedCitation":"(Anney, 2014)","plainTextFormattedCitation":"(Anney, 2014)","previouslyFormattedCitation":"(Anney, 2014)"},"properties":{"noteIndex":0},"schema":"https://github.com/citation-style-language/schema/raw/master/csl-citation.json"}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(Anney, 2014)</w:t>
      </w:r>
      <w:r w:rsidRPr="00895D0B">
        <w:rPr>
          <w:rFonts w:cs="Times New Roman"/>
          <w:color w:val="000000" w:themeColor="text1"/>
          <w:szCs w:val="24"/>
          <w:lang w:val="en-US"/>
        </w:rPr>
        <w:fldChar w:fldCharType="end"/>
      </w:r>
      <w:r w:rsidRPr="00895D0B">
        <w:rPr>
          <w:rFonts w:cs="Times New Roman"/>
          <w:color w:val="000000" w:themeColor="text1"/>
          <w:szCs w:val="24"/>
          <w:lang w:val="en-US"/>
        </w:rPr>
        <w:t>. The tools used are checklists and cameras. The checklist contains interesting things to observe, including the housing strategies for animals, protection of crops from pests, soil, and water management practices, land preparations methods to curtail climate change effects on one hand.  On the other hand, the camera was used to take pictures of interesting urban agricultural practices in the field for better understanding of urban farming practices (</w:t>
      </w:r>
      <w:r w:rsidRPr="00895D0B">
        <w:rPr>
          <w:rFonts w:cs="Times New Roman"/>
          <w:i/>
          <w:color w:val="000000" w:themeColor="text1"/>
          <w:szCs w:val="24"/>
          <w:lang w:val="en-US"/>
        </w:rPr>
        <w:t>Table 3.2</w:t>
      </w:r>
      <w:r w:rsidRPr="00895D0B">
        <w:rPr>
          <w:rFonts w:cs="Times New Roman"/>
          <w:color w:val="000000" w:themeColor="text1"/>
          <w:szCs w:val="24"/>
          <w:lang w:val="en-US"/>
        </w:rPr>
        <w:t>).</w:t>
      </w:r>
    </w:p>
    <w:p w14:paraId="49043018" w14:textId="77777777" w:rsidR="00131EA5" w:rsidRDefault="00131EA5" w:rsidP="00131EA5">
      <w:pPr>
        <w:spacing w:line="360" w:lineRule="auto"/>
        <w:rPr>
          <w:rFonts w:cs="Times New Roman"/>
          <w:color w:val="000000" w:themeColor="text1"/>
          <w:szCs w:val="24"/>
          <w:lang w:val="en-US"/>
        </w:rPr>
      </w:pPr>
    </w:p>
    <w:p w14:paraId="27F95FEA" w14:textId="77777777" w:rsidR="001B4ED5" w:rsidRPr="00895D0B" w:rsidRDefault="001B4ED5">
      <w:pPr>
        <w:spacing w:line="360" w:lineRule="auto"/>
        <w:jc w:val="left"/>
        <w:rPr>
          <w:rFonts w:cs="Times New Roman"/>
          <w:color w:val="000000" w:themeColor="text1"/>
          <w:szCs w:val="24"/>
          <w:lang w:val="en-US"/>
        </w:rPr>
        <w:sectPr w:rsidR="001B4ED5" w:rsidRPr="00895D0B" w:rsidSect="009B7449">
          <w:pgSz w:w="11906" w:h="16838" w:code="9"/>
          <w:pgMar w:top="1440" w:right="1440" w:bottom="1440" w:left="2160" w:header="720" w:footer="720" w:gutter="0"/>
          <w:pgNumType w:start="1"/>
          <w:cols w:space="720"/>
        </w:sectPr>
      </w:pPr>
    </w:p>
    <w:p w14:paraId="24E1581F" w14:textId="07E584FB" w:rsidR="001B4ED5" w:rsidRPr="00895D0B" w:rsidRDefault="006B41C0" w:rsidP="00F04051">
      <w:pPr>
        <w:pStyle w:val="Heading6"/>
      </w:pPr>
      <w:bookmarkStart w:id="71" w:name="_Toc148890590"/>
      <w:bookmarkStart w:id="72" w:name="_Toc167368587"/>
      <w:r w:rsidRPr="00895D0B">
        <w:lastRenderedPageBreak/>
        <w:t xml:space="preserve">Table 3. </w:t>
      </w:r>
      <w:r w:rsidR="00895D0B" w:rsidRPr="00895D0B">
        <w:fldChar w:fldCharType="begin"/>
      </w:r>
      <w:r w:rsidR="00895D0B" w:rsidRPr="00895D0B">
        <w:instrText xml:space="preserve"> SEQ Table_3. \* ARABIC </w:instrText>
      </w:r>
      <w:r w:rsidR="00895D0B" w:rsidRPr="00895D0B">
        <w:fldChar w:fldCharType="separate"/>
      </w:r>
      <w:r w:rsidR="0026489B">
        <w:rPr>
          <w:noProof/>
        </w:rPr>
        <w:t>2</w:t>
      </w:r>
      <w:r w:rsidR="00895D0B" w:rsidRPr="00895D0B">
        <w:fldChar w:fldCharType="end"/>
      </w:r>
      <w:r w:rsidRPr="00895D0B">
        <w:t>: Data Collection Framework</w:t>
      </w:r>
      <w:bookmarkEnd w:id="71"/>
      <w:bookmarkEnd w:id="72"/>
    </w:p>
    <w:tbl>
      <w:tblPr>
        <w:tblW w:w="14065" w:type="dxa"/>
        <w:tblLook w:val="04A0" w:firstRow="1" w:lastRow="0" w:firstColumn="1" w:lastColumn="0" w:noHBand="0" w:noVBand="1"/>
      </w:tblPr>
      <w:tblGrid>
        <w:gridCol w:w="1566"/>
        <w:gridCol w:w="4369"/>
        <w:gridCol w:w="3447"/>
        <w:gridCol w:w="4683"/>
      </w:tblGrid>
      <w:tr w:rsidR="00895D0B" w:rsidRPr="00895D0B" w14:paraId="3BA981CB" w14:textId="77777777" w:rsidTr="005C12E8">
        <w:trPr>
          <w:trHeight w:val="494"/>
        </w:trPr>
        <w:tc>
          <w:tcPr>
            <w:tcW w:w="1566" w:type="dxa"/>
            <w:tcBorders>
              <w:top w:val="single" w:sz="4" w:space="0" w:color="auto"/>
              <w:left w:val="single" w:sz="4" w:space="0" w:color="auto"/>
              <w:bottom w:val="single" w:sz="4" w:space="0" w:color="auto"/>
              <w:right w:val="single" w:sz="4" w:space="0" w:color="auto"/>
            </w:tcBorders>
          </w:tcPr>
          <w:p w14:paraId="73FE5501" w14:textId="77777777" w:rsidR="001B4ED5" w:rsidRPr="00895D0B" w:rsidRDefault="006B41C0">
            <w:pPr>
              <w:spacing w:line="240" w:lineRule="auto"/>
              <w:jc w:val="center"/>
              <w:rPr>
                <w:rFonts w:cs="Times New Roman"/>
                <w:b/>
                <w:i/>
                <w:color w:val="000000" w:themeColor="text1"/>
                <w:szCs w:val="24"/>
                <w:lang w:val="en-US"/>
              </w:rPr>
            </w:pPr>
            <w:r w:rsidRPr="00895D0B">
              <w:rPr>
                <w:rFonts w:cs="Times New Roman"/>
                <w:b/>
                <w:i/>
                <w:color w:val="000000" w:themeColor="text1"/>
                <w:szCs w:val="24"/>
                <w:lang w:val="en-US"/>
              </w:rPr>
              <w:t>Research Questions</w:t>
            </w:r>
          </w:p>
        </w:tc>
        <w:tc>
          <w:tcPr>
            <w:tcW w:w="4369" w:type="dxa"/>
            <w:tcBorders>
              <w:top w:val="single" w:sz="4" w:space="0" w:color="auto"/>
              <w:left w:val="single" w:sz="4" w:space="0" w:color="auto"/>
              <w:bottom w:val="single" w:sz="4" w:space="0" w:color="auto"/>
              <w:right w:val="single" w:sz="4" w:space="0" w:color="auto"/>
            </w:tcBorders>
          </w:tcPr>
          <w:p w14:paraId="7F100CF5" w14:textId="77777777" w:rsidR="001B4ED5" w:rsidRPr="00895D0B" w:rsidRDefault="006B41C0">
            <w:pPr>
              <w:spacing w:line="240" w:lineRule="auto"/>
              <w:jc w:val="center"/>
              <w:rPr>
                <w:rFonts w:cs="Times New Roman"/>
                <w:b/>
                <w:i/>
                <w:color w:val="000000" w:themeColor="text1"/>
                <w:szCs w:val="24"/>
                <w:lang w:val="en-US"/>
              </w:rPr>
            </w:pPr>
            <w:r w:rsidRPr="00895D0B">
              <w:rPr>
                <w:rFonts w:cs="Times New Roman"/>
                <w:b/>
                <w:i/>
                <w:color w:val="000000" w:themeColor="text1"/>
                <w:szCs w:val="24"/>
                <w:lang w:val="en-US"/>
              </w:rPr>
              <w:t>Type of Data Needed</w:t>
            </w:r>
          </w:p>
        </w:tc>
        <w:tc>
          <w:tcPr>
            <w:tcW w:w="3447" w:type="dxa"/>
            <w:tcBorders>
              <w:top w:val="single" w:sz="4" w:space="0" w:color="auto"/>
              <w:left w:val="single" w:sz="4" w:space="0" w:color="auto"/>
              <w:bottom w:val="single" w:sz="4" w:space="0" w:color="auto"/>
              <w:right w:val="single" w:sz="4" w:space="0" w:color="auto"/>
            </w:tcBorders>
          </w:tcPr>
          <w:p w14:paraId="25CE0E1D" w14:textId="77777777" w:rsidR="001B4ED5" w:rsidRPr="00895D0B" w:rsidRDefault="006B41C0">
            <w:pPr>
              <w:spacing w:line="240" w:lineRule="auto"/>
              <w:jc w:val="center"/>
              <w:rPr>
                <w:rFonts w:cs="Times New Roman"/>
                <w:b/>
                <w:i/>
                <w:color w:val="000000" w:themeColor="text1"/>
                <w:szCs w:val="24"/>
                <w:lang w:val="en-US"/>
              </w:rPr>
            </w:pPr>
            <w:r w:rsidRPr="00895D0B">
              <w:rPr>
                <w:rFonts w:cs="Times New Roman"/>
                <w:b/>
                <w:i/>
                <w:color w:val="000000" w:themeColor="text1"/>
                <w:szCs w:val="24"/>
                <w:lang w:val="en-US"/>
              </w:rPr>
              <w:t>Sources of Data</w:t>
            </w:r>
          </w:p>
        </w:tc>
        <w:tc>
          <w:tcPr>
            <w:tcW w:w="4683" w:type="dxa"/>
            <w:tcBorders>
              <w:top w:val="single" w:sz="4" w:space="0" w:color="auto"/>
              <w:left w:val="single" w:sz="4" w:space="0" w:color="auto"/>
              <w:bottom w:val="single" w:sz="4" w:space="0" w:color="auto"/>
              <w:right w:val="single" w:sz="4" w:space="0" w:color="auto"/>
            </w:tcBorders>
          </w:tcPr>
          <w:p w14:paraId="6D0032CB" w14:textId="77777777" w:rsidR="001B4ED5" w:rsidRPr="00895D0B" w:rsidRDefault="006B41C0">
            <w:pPr>
              <w:spacing w:line="240" w:lineRule="auto"/>
              <w:jc w:val="center"/>
              <w:rPr>
                <w:rFonts w:cs="Times New Roman"/>
                <w:b/>
                <w:i/>
                <w:color w:val="000000" w:themeColor="text1"/>
                <w:szCs w:val="24"/>
                <w:lang w:val="en-US"/>
              </w:rPr>
            </w:pPr>
            <w:r w:rsidRPr="00895D0B">
              <w:rPr>
                <w:rFonts w:cs="Times New Roman"/>
                <w:b/>
                <w:i/>
                <w:color w:val="000000" w:themeColor="text1"/>
                <w:szCs w:val="24"/>
                <w:lang w:val="en-US"/>
              </w:rPr>
              <w:t>Methods and Tools of Data Collection</w:t>
            </w:r>
          </w:p>
        </w:tc>
      </w:tr>
      <w:tr w:rsidR="00895D0B" w:rsidRPr="00895D0B" w14:paraId="170E59A6" w14:textId="77777777" w:rsidTr="005C12E8">
        <w:trPr>
          <w:trHeight w:val="1290"/>
        </w:trPr>
        <w:tc>
          <w:tcPr>
            <w:tcW w:w="1566" w:type="dxa"/>
            <w:vMerge w:val="restart"/>
            <w:tcBorders>
              <w:top w:val="single" w:sz="4" w:space="0" w:color="auto"/>
              <w:left w:val="single" w:sz="4" w:space="0" w:color="auto"/>
              <w:bottom w:val="single" w:sz="4" w:space="0" w:color="auto"/>
              <w:right w:val="single" w:sz="4" w:space="0" w:color="auto"/>
            </w:tcBorders>
          </w:tcPr>
          <w:p w14:paraId="70E51FE3" w14:textId="77777777" w:rsidR="001B4ED5" w:rsidRPr="00895D0B" w:rsidRDefault="006B41C0">
            <w:pPr>
              <w:spacing w:line="240" w:lineRule="auto"/>
              <w:rPr>
                <w:rFonts w:cs="Times New Roman"/>
                <w:color w:val="000000" w:themeColor="text1"/>
                <w:szCs w:val="24"/>
                <w:lang w:val="en-US"/>
              </w:rPr>
            </w:pPr>
            <w:r w:rsidRPr="00895D0B">
              <w:rPr>
                <w:rFonts w:cs="Times New Roman"/>
                <w:color w:val="000000" w:themeColor="text1"/>
                <w:szCs w:val="24"/>
                <w:lang w:val="en-US"/>
              </w:rPr>
              <w:t>Question 1</w:t>
            </w:r>
          </w:p>
        </w:tc>
        <w:tc>
          <w:tcPr>
            <w:tcW w:w="4369" w:type="dxa"/>
            <w:tcBorders>
              <w:top w:val="single" w:sz="4" w:space="0" w:color="auto"/>
              <w:left w:val="single" w:sz="4" w:space="0" w:color="auto"/>
              <w:bottom w:val="single" w:sz="4" w:space="0" w:color="auto"/>
              <w:right w:val="single" w:sz="4" w:space="0" w:color="auto"/>
            </w:tcBorders>
          </w:tcPr>
          <w:p w14:paraId="21052AD2" w14:textId="77777777" w:rsidR="001B4ED5" w:rsidRPr="00895D0B" w:rsidRDefault="006B41C0">
            <w:pPr>
              <w:pStyle w:val="ListParagraph"/>
              <w:numPr>
                <w:ilvl w:val="0"/>
                <w:numId w:val="12"/>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Type of farming, type of crops and animals and location and ownership of land</w:t>
            </w:r>
          </w:p>
        </w:tc>
        <w:tc>
          <w:tcPr>
            <w:tcW w:w="3447" w:type="dxa"/>
            <w:tcBorders>
              <w:top w:val="single" w:sz="4" w:space="0" w:color="auto"/>
              <w:left w:val="single" w:sz="4" w:space="0" w:color="auto"/>
              <w:bottom w:val="single" w:sz="4" w:space="0" w:color="auto"/>
              <w:right w:val="single" w:sz="4" w:space="0" w:color="auto"/>
            </w:tcBorders>
          </w:tcPr>
          <w:p w14:paraId="5E488EBB" w14:textId="77777777" w:rsidR="001B4ED5" w:rsidRPr="00895D0B" w:rsidRDefault="006B41C0">
            <w:pPr>
              <w:spacing w:line="240" w:lineRule="auto"/>
              <w:rPr>
                <w:rFonts w:cs="Times New Roman"/>
                <w:color w:val="000000" w:themeColor="text1"/>
                <w:szCs w:val="24"/>
                <w:lang w:val="en-US"/>
              </w:rPr>
            </w:pPr>
            <w:r w:rsidRPr="00895D0B">
              <w:rPr>
                <w:rFonts w:cs="Times New Roman"/>
                <w:b/>
                <w:i/>
                <w:color w:val="000000" w:themeColor="text1"/>
                <w:szCs w:val="24"/>
                <w:lang w:val="en-US"/>
              </w:rPr>
              <w:t xml:space="preserve">Primary </w:t>
            </w:r>
            <w:r w:rsidRPr="00895D0B">
              <w:rPr>
                <w:rFonts w:cs="Times New Roman"/>
                <w:i/>
                <w:color w:val="000000" w:themeColor="text1"/>
                <w:szCs w:val="24"/>
                <w:lang w:val="en-US"/>
              </w:rPr>
              <w:t>–</w:t>
            </w:r>
            <w:r w:rsidRPr="00895D0B">
              <w:rPr>
                <w:rFonts w:cs="Times New Roman"/>
                <w:color w:val="000000" w:themeColor="text1"/>
                <w:szCs w:val="24"/>
                <w:lang w:val="en-US"/>
              </w:rPr>
              <w:t xml:space="preserve"> Households </w:t>
            </w:r>
          </w:p>
        </w:tc>
        <w:tc>
          <w:tcPr>
            <w:tcW w:w="4683" w:type="dxa"/>
            <w:tcBorders>
              <w:top w:val="single" w:sz="4" w:space="0" w:color="auto"/>
              <w:left w:val="single" w:sz="4" w:space="0" w:color="auto"/>
              <w:bottom w:val="single" w:sz="4" w:space="0" w:color="auto"/>
              <w:right w:val="single" w:sz="4" w:space="0" w:color="auto"/>
            </w:tcBorders>
          </w:tcPr>
          <w:p w14:paraId="209890F9" w14:textId="77777777" w:rsidR="001B4ED5" w:rsidRPr="00895D0B" w:rsidRDefault="006B41C0">
            <w:pPr>
              <w:pStyle w:val="ListParagraph"/>
              <w:numPr>
                <w:ilvl w:val="0"/>
                <w:numId w:val="13"/>
              </w:numPr>
              <w:spacing w:line="240" w:lineRule="auto"/>
              <w:rPr>
                <w:rFonts w:cs="Times New Roman"/>
                <w:color w:val="000000" w:themeColor="text1"/>
                <w:szCs w:val="24"/>
                <w:lang w:val="en-US"/>
              </w:rPr>
            </w:pPr>
            <w:r w:rsidRPr="00895D0B">
              <w:rPr>
                <w:rFonts w:cs="Times New Roman"/>
                <w:color w:val="000000" w:themeColor="text1"/>
                <w:szCs w:val="24"/>
                <w:lang w:val="en-US"/>
              </w:rPr>
              <w:t>Survey using semi-structured questionnaire and key informant interviews using interview guide and tape recorders</w:t>
            </w:r>
          </w:p>
          <w:p w14:paraId="17FE6FA9" w14:textId="77777777" w:rsidR="001B4ED5" w:rsidRPr="00895D0B" w:rsidRDefault="006B41C0">
            <w:pPr>
              <w:pStyle w:val="ListParagraph"/>
              <w:numPr>
                <w:ilvl w:val="0"/>
                <w:numId w:val="13"/>
              </w:numPr>
              <w:spacing w:line="240" w:lineRule="auto"/>
              <w:rPr>
                <w:rFonts w:cs="Times New Roman"/>
                <w:color w:val="000000" w:themeColor="text1"/>
                <w:szCs w:val="24"/>
                <w:lang w:val="en-US"/>
              </w:rPr>
            </w:pPr>
            <w:r w:rsidRPr="00895D0B">
              <w:rPr>
                <w:rFonts w:cs="Times New Roman"/>
                <w:color w:val="000000" w:themeColor="text1"/>
                <w:szCs w:val="24"/>
              </w:rPr>
              <w:t xml:space="preserve">Observation using checklist and cameras </w:t>
            </w:r>
          </w:p>
        </w:tc>
      </w:tr>
      <w:tr w:rsidR="00895D0B" w:rsidRPr="00895D0B" w14:paraId="1B0423BD" w14:textId="77777777" w:rsidTr="005C12E8">
        <w:trPr>
          <w:trHeight w:val="1035"/>
        </w:trPr>
        <w:tc>
          <w:tcPr>
            <w:tcW w:w="1566" w:type="dxa"/>
            <w:vMerge/>
            <w:tcBorders>
              <w:top w:val="single" w:sz="4" w:space="0" w:color="auto"/>
              <w:left w:val="single" w:sz="4" w:space="0" w:color="auto"/>
              <w:bottom w:val="single" w:sz="4" w:space="0" w:color="auto"/>
              <w:right w:val="single" w:sz="4" w:space="0" w:color="auto"/>
            </w:tcBorders>
            <w:vAlign w:val="center"/>
          </w:tcPr>
          <w:p w14:paraId="1C91F213" w14:textId="77777777" w:rsidR="001B4ED5" w:rsidRPr="00895D0B" w:rsidRDefault="001B4ED5">
            <w:pPr>
              <w:spacing w:line="240" w:lineRule="auto"/>
              <w:jc w:val="left"/>
              <w:rPr>
                <w:rFonts w:cs="Times New Roman"/>
                <w:color w:val="000000" w:themeColor="text1"/>
                <w:szCs w:val="24"/>
                <w:lang w:val="en-US"/>
              </w:rPr>
            </w:pPr>
          </w:p>
        </w:tc>
        <w:tc>
          <w:tcPr>
            <w:tcW w:w="4369" w:type="dxa"/>
            <w:tcBorders>
              <w:top w:val="single" w:sz="4" w:space="0" w:color="auto"/>
              <w:left w:val="single" w:sz="4" w:space="0" w:color="auto"/>
              <w:bottom w:val="single" w:sz="4" w:space="0" w:color="auto"/>
              <w:right w:val="single" w:sz="4" w:space="0" w:color="auto"/>
            </w:tcBorders>
          </w:tcPr>
          <w:p w14:paraId="2600824B" w14:textId="77777777" w:rsidR="001B4ED5" w:rsidRPr="00895D0B" w:rsidRDefault="006B41C0">
            <w:pPr>
              <w:pStyle w:val="ListParagraph"/>
              <w:numPr>
                <w:ilvl w:val="0"/>
                <w:numId w:val="12"/>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Laws on urban farming</w:t>
            </w:r>
          </w:p>
        </w:tc>
        <w:tc>
          <w:tcPr>
            <w:tcW w:w="3447" w:type="dxa"/>
            <w:tcBorders>
              <w:top w:val="single" w:sz="4" w:space="0" w:color="auto"/>
              <w:left w:val="single" w:sz="4" w:space="0" w:color="auto"/>
              <w:bottom w:val="single" w:sz="4" w:space="0" w:color="auto"/>
              <w:right w:val="single" w:sz="4" w:space="0" w:color="auto"/>
            </w:tcBorders>
          </w:tcPr>
          <w:p w14:paraId="7C934458" w14:textId="77777777" w:rsidR="001B4ED5" w:rsidRPr="00895D0B" w:rsidRDefault="006B41C0">
            <w:pPr>
              <w:spacing w:line="240" w:lineRule="auto"/>
              <w:jc w:val="left"/>
              <w:rPr>
                <w:rFonts w:cs="Times New Roman"/>
                <w:color w:val="000000" w:themeColor="text1"/>
                <w:szCs w:val="24"/>
                <w:lang w:val="en-US"/>
              </w:rPr>
            </w:pPr>
            <w:r w:rsidRPr="00895D0B">
              <w:rPr>
                <w:rFonts w:cs="Times New Roman"/>
                <w:b/>
                <w:i/>
                <w:color w:val="000000" w:themeColor="text1"/>
                <w:szCs w:val="24"/>
                <w:lang w:val="en-US"/>
              </w:rPr>
              <w:t>Secondary</w:t>
            </w:r>
            <w:r w:rsidRPr="00895D0B">
              <w:rPr>
                <w:rFonts w:cs="Times New Roman"/>
                <w:color w:val="000000" w:themeColor="text1"/>
                <w:szCs w:val="24"/>
                <w:lang w:val="en-US"/>
              </w:rPr>
              <w:t xml:space="preserve"> - Municipal Town and Country Planning Department and Department of Environmental Health  and Sanitation</w:t>
            </w:r>
          </w:p>
        </w:tc>
        <w:tc>
          <w:tcPr>
            <w:tcW w:w="4683" w:type="dxa"/>
            <w:tcBorders>
              <w:top w:val="single" w:sz="4" w:space="0" w:color="auto"/>
              <w:left w:val="single" w:sz="4" w:space="0" w:color="auto"/>
              <w:bottom w:val="single" w:sz="4" w:space="0" w:color="auto"/>
              <w:right w:val="single" w:sz="4" w:space="0" w:color="auto"/>
            </w:tcBorders>
          </w:tcPr>
          <w:p w14:paraId="38B1E0A6" w14:textId="77777777" w:rsidR="001B4ED5" w:rsidRPr="00895D0B" w:rsidRDefault="006B41C0">
            <w:pPr>
              <w:pStyle w:val="ListParagraph"/>
              <w:numPr>
                <w:ilvl w:val="0"/>
                <w:numId w:val="14"/>
              </w:numPr>
              <w:spacing w:line="240" w:lineRule="auto"/>
              <w:rPr>
                <w:rFonts w:cs="Times New Roman"/>
                <w:color w:val="000000" w:themeColor="text1"/>
                <w:szCs w:val="24"/>
                <w:lang w:val="en-US"/>
              </w:rPr>
            </w:pPr>
            <w:r w:rsidRPr="00895D0B">
              <w:rPr>
                <w:rFonts w:cs="Times New Roman"/>
                <w:color w:val="000000" w:themeColor="text1"/>
                <w:szCs w:val="24"/>
                <w:lang w:val="en-US"/>
              </w:rPr>
              <w:t>Institutional studies using documents review and KII guides and tape recorders</w:t>
            </w:r>
          </w:p>
        </w:tc>
      </w:tr>
      <w:tr w:rsidR="00895D0B" w:rsidRPr="00895D0B" w14:paraId="40A2C949" w14:textId="77777777" w:rsidTr="005C12E8">
        <w:trPr>
          <w:trHeight w:val="509"/>
        </w:trPr>
        <w:tc>
          <w:tcPr>
            <w:tcW w:w="1566" w:type="dxa"/>
            <w:tcBorders>
              <w:top w:val="single" w:sz="4" w:space="0" w:color="auto"/>
              <w:left w:val="single" w:sz="4" w:space="0" w:color="auto"/>
              <w:bottom w:val="single" w:sz="4" w:space="0" w:color="auto"/>
              <w:right w:val="single" w:sz="4" w:space="0" w:color="auto"/>
            </w:tcBorders>
          </w:tcPr>
          <w:p w14:paraId="08DBBE90" w14:textId="77777777" w:rsidR="001B4ED5" w:rsidRPr="00895D0B" w:rsidRDefault="006B41C0">
            <w:pPr>
              <w:spacing w:line="240" w:lineRule="auto"/>
              <w:rPr>
                <w:rFonts w:cs="Times New Roman"/>
                <w:color w:val="000000" w:themeColor="text1"/>
                <w:szCs w:val="24"/>
                <w:lang w:val="en-US"/>
              </w:rPr>
            </w:pPr>
            <w:r w:rsidRPr="00895D0B">
              <w:rPr>
                <w:rFonts w:cs="Times New Roman"/>
                <w:color w:val="000000" w:themeColor="text1"/>
                <w:szCs w:val="24"/>
                <w:lang w:val="en-US"/>
              </w:rPr>
              <w:t xml:space="preserve">Question 2 </w:t>
            </w:r>
          </w:p>
        </w:tc>
        <w:tc>
          <w:tcPr>
            <w:tcW w:w="4369" w:type="dxa"/>
            <w:tcBorders>
              <w:top w:val="single" w:sz="4" w:space="0" w:color="auto"/>
              <w:left w:val="single" w:sz="4" w:space="0" w:color="auto"/>
              <w:bottom w:val="single" w:sz="4" w:space="0" w:color="auto"/>
              <w:right w:val="single" w:sz="4" w:space="0" w:color="auto"/>
            </w:tcBorders>
          </w:tcPr>
          <w:p w14:paraId="712A56ED" w14:textId="77777777" w:rsidR="001B4ED5" w:rsidRPr="00895D0B" w:rsidRDefault="006B41C0">
            <w:pPr>
              <w:pStyle w:val="ListParagraph"/>
              <w:numPr>
                <w:ilvl w:val="0"/>
                <w:numId w:val="12"/>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 xml:space="preserve">Spatial data on crops and animals type, housing type and farm sizes </w:t>
            </w:r>
          </w:p>
        </w:tc>
        <w:tc>
          <w:tcPr>
            <w:tcW w:w="3447" w:type="dxa"/>
            <w:tcBorders>
              <w:top w:val="single" w:sz="4" w:space="0" w:color="auto"/>
              <w:left w:val="single" w:sz="4" w:space="0" w:color="auto"/>
              <w:bottom w:val="single" w:sz="4" w:space="0" w:color="auto"/>
              <w:right w:val="single" w:sz="4" w:space="0" w:color="auto"/>
            </w:tcBorders>
          </w:tcPr>
          <w:p w14:paraId="0055C048" w14:textId="77777777" w:rsidR="001B4ED5" w:rsidRPr="00895D0B" w:rsidRDefault="006B41C0">
            <w:pPr>
              <w:spacing w:line="240" w:lineRule="auto"/>
              <w:rPr>
                <w:rFonts w:cs="Times New Roman"/>
                <w:b/>
                <w:i/>
                <w:color w:val="000000" w:themeColor="text1"/>
                <w:szCs w:val="24"/>
                <w:lang w:val="en-US"/>
              </w:rPr>
            </w:pPr>
            <w:r w:rsidRPr="00895D0B">
              <w:rPr>
                <w:rFonts w:cs="Times New Roman"/>
                <w:b/>
                <w:i/>
                <w:color w:val="000000" w:themeColor="text1"/>
                <w:szCs w:val="24"/>
                <w:lang w:val="en-US"/>
              </w:rPr>
              <w:t xml:space="preserve">Primary – </w:t>
            </w:r>
            <w:r w:rsidRPr="00895D0B">
              <w:rPr>
                <w:rFonts w:cs="Times New Roman"/>
                <w:color w:val="000000" w:themeColor="text1"/>
                <w:szCs w:val="24"/>
                <w:lang w:val="en-US"/>
              </w:rPr>
              <w:t>Households</w:t>
            </w:r>
            <w:r w:rsidRPr="00895D0B">
              <w:rPr>
                <w:rFonts w:cs="Times New Roman"/>
                <w:b/>
                <w:i/>
                <w:color w:val="000000" w:themeColor="text1"/>
                <w:szCs w:val="24"/>
                <w:lang w:val="en-US"/>
              </w:rPr>
              <w:t xml:space="preserve"> </w:t>
            </w:r>
          </w:p>
        </w:tc>
        <w:tc>
          <w:tcPr>
            <w:tcW w:w="4683" w:type="dxa"/>
            <w:tcBorders>
              <w:top w:val="single" w:sz="4" w:space="0" w:color="auto"/>
              <w:left w:val="single" w:sz="4" w:space="0" w:color="auto"/>
              <w:bottom w:val="single" w:sz="4" w:space="0" w:color="auto"/>
              <w:right w:val="single" w:sz="4" w:space="0" w:color="auto"/>
            </w:tcBorders>
          </w:tcPr>
          <w:p w14:paraId="74BE3922" w14:textId="77777777" w:rsidR="001B4ED5" w:rsidRPr="00895D0B" w:rsidRDefault="006B41C0">
            <w:pPr>
              <w:pStyle w:val="ListParagraph"/>
              <w:numPr>
                <w:ilvl w:val="0"/>
                <w:numId w:val="14"/>
              </w:numPr>
              <w:spacing w:line="240" w:lineRule="auto"/>
              <w:rPr>
                <w:rFonts w:cs="Times New Roman"/>
                <w:color w:val="000000" w:themeColor="text1"/>
                <w:szCs w:val="24"/>
                <w:lang w:val="en-US"/>
              </w:rPr>
            </w:pPr>
            <w:r w:rsidRPr="00895D0B">
              <w:rPr>
                <w:rFonts w:cs="Times New Roman"/>
                <w:color w:val="000000" w:themeColor="text1"/>
                <w:szCs w:val="24"/>
                <w:lang w:val="en-US"/>
              </w:rPr>
              <w:t xml:space="preserve">Picking of geographic coordinates using Global Positioning System (GPS) </w:t>
            </w:r>
          </w:p>
        </w:tc>
      </w:tr>
      <w:tr w:rsidR="00895D0B" w:rsidRPr="00895D0B" w14:paraId="1A95E059" w14:textId="77777777" w:rsidTr="005C12E8">
        <w:trPr>
          <w:trHeight w:val="539"/>
        </w:trPr>
        <w:tc>
          <w:tcPr>
            <w:tcW w:w="1566" w:type="dxa"/>
            <w:tcBorders>
              <w:top w:val="single" w:sz="4" w:space="0" w:color="auto"/>
              <w:left w:val="single" w:sz="4" w:space="0" w:color="auto"/>
              <w:bottom w:val="single" w:sz="4" w:space="0" w:color="auto"/>
              <w:right w:val="single" w:sz="4" w:space="0" w:color="auto"/>
            </w:tcBorders>
          </w:tcPr>
          <w:p w14:paraId="4010C804" w14:textId="77777777" w:rsidR="001B4ED5" w:rsidRPr="00895D0B" w:rsidRDefault="006B41C0">
            <w:pPr>
              <w:spacing w:line="240" w:lineRule="auto"/>
              <w:rPr>
                <w:rFonts w:cs="Times New Roman"/>
                <w:color w:val="000000" w:themeColor="text1"/>
                <w:szCs w:val="24"/>
                <w:lang w:val="en-US"/>
              </w:rPr>
            </w:pPr>
            <w:r w:rsidRPr="00895D0B">
              <w:rPr>
                <w:rFonts w:cs="Times New Roman"/>
                <w:color w:val="000000" w:themeColor="text1"/>
                <w:szCs w:val="24"/>
                <w:lang w:val="en-US"/>
              </w:rPr>
              <w:t>Question 3</w:t>
            </w:r>
          </w:p>
        </w:tc>
        <w:tc>
          <w:tcPr>
            <w:tcW w:w="4369" w:type="dxa"/>
            <w:tcBorders>
              <w:top w:val="single" w:sz="4" w:space="0" w:color="auto"/>
              <w:left w:val="single" w:sz="4" w:space="0" w:color="auto"/>
              <w:bottom w:val="single" w:sz="4" w:space="0" w:color="auto"/>
              <w:right w:val="single" w:sz="4" w:space="0" w:color="auto"/>
            </w:tcBorders>
          </w:tcPr>
          <w:p w14:paraId="5ED61AC4" w14:textId="77777777" w:rsidR="001B4ED5" w:rsidRPr="00895D0B" w:rsidRDefault="006B41C0">
            <w:pPr>
              <w:pStyle w:val="ListParagraph"/>
              <w:numPr>
                <w:ilvl w:val="0"/>
                <w:numId w:val="12"/>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Socio-economic characteristics</w:t>
            </w:r>
          </w:p>
          <w:p w14:paraId="56CDBED2" w14:textId="77777777" w:rsidR="001B4ED5" w:rsidRPr="00895D0B" w:rsidRDefault="006B41C0">
            <w:pPr>
              <w:pStyle w:val="ListParagraph"/>
              <w:numPr>
                <w:ilvl w:val="0"/>
                <w:numId w:val="12"/>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Households decision to participate</w:t>
            </w:r>
          </w:p>
        </w:tc>
        <w:tc>
          <w:tcPr>
            <w:tcW w:w="3447" w:type="dxa"/>
            <w:tcBorders>
              <w:top w:val="single" w:sz="4" w:space="0" w:color="auto"/>
              <w:left w:val="single" w:sz="4" w:space="0" w:color="auto"/>
              <w:bottom w:val="single" w:sz="4" w:space="0" w:color="auto"/>
              <w:right w:val="single" w:sz="4" w:space="0" w:color="auto"/>
            </w:tcBorders>
          </w:tcPr>
          <w:p w14:paraId="2E1E7487" w14:textId="77777777" w:rsidR="001B4ED5" w:rsidRPr="00895D0B" w:rsidRDefault="006B41C0">
            <w:pPr>
              <w:spacing w:line="240" w:lineRule="auto"/>
              <w:rPr>
                <w:rFonts w:cs="Times New Roman"/>
                <w:b/>
                <w:i/>
                <w:color w:val="000000" w:themeColor="text1"/>
                <w:szCs w:val="24"/>
                <w:lang w:val="en-US"/>
              </w:rPr>
            </w:pPr>
            <w:r w:rsidRPr="00895D0B">
              <w:rPr>
                <w:rFonts w:cs="Times New Roman"/>
                <w:b/>
                <w:i/>
                <w:color w:val="000000" w:themeColor="text1"/>
                <w:szCs w:val="24"/>
                <w:lang w:val="en-US"/>
              </w:rPr>
              <w:t xml:space="preserve">Primary – </w:t>
            </w:r>
            <w:r w:rsidRPr="00895D0B">
              <w:rPr>
                <w:rFonts w:cs="Times New Roman"/>
                <w:color w:val="000000" w:themeColor="text1"/>
                <w:szCs w:val="24"/>
                <w:lang w:val="en-US"/>
              </w:rPr>
              <w:t>Households</w:t>
            </w:r>
          </w:p>
        </w:tc>
        <w:tc>
          <w:tcPr>
            <w:tcW w:w="4683" w:type="dxa"/>
            <w:tcBorders>
              <w:top w:val="single" w:sz="4" w:space="0" w:color="auto"/>
              <w:left w:val="single" w:sz="4" w:space="0" w:color="auto"/>
              <w:bottom w:val="single" w:sz="4" w:space="0" w:color="auto"/>
              <w:right w:val="single" w:sz="4" w:space="0" w:color="auto"/>
            </w:tcBorders>
          </w:tcPr>
          <w:p w14:paraId="61692AA5" w14:textId="77777777" w:rsidR="001B4ED5" w:rsidRPr="00895D0B" w:rsidRDefault="006B41C0">
            <w:pPr>
              <w:pStyle w:val="ListParagraph"/>
              <w:numPr>
                <w:ilvl w:val="0"/>
                <w:numId w:val="14"/>
              </w:numPr>
              <w:spacing w:line="240" w:lineRule="auto"/>
              <w:rPr>
                <w:rFonts w:cs="Times New Roman"/>
                <w:color w:val="000000" w:themeColor="text1"/>
                <w:szCs w:val="24"/>
                <w:lang w:val="en-US"/>
              </w:rPr>
            </w:pPr>
            <w:r w:rsidRPr="00895D0B">
              <w:rPr>
                <w:rFonts w:cs="Times New Roman"/>
                <w:color w:val="000000" w:themeColor="text1"/>
                <w:szCs w:val="24"/>
                <w:lang w:val="en-US"/>
              </w:rPr>
              <w:t>Survey using semi-structured questionnaire</w:t>
            </w:r>
          </w:p>
        </w:tc>
      </w:tr>
      <w:tr w:rsidR="00895D0B" w:rsidRPr="00895D0B" w14:paraId="7B3EAEEC" w14:textId="77777777" w:rsidTr="005C12E8">
        <w:trPr>
          <w:trHeight w:val="1561"/>
        </w:trPr>
        <w:tc>
          <w:tcPr>
            <w:tcW w:w="1566" w:type="dxa"/>
            <w:vMerge w:val="restart"/>
            <w:tcBorders>
              <w:top w:val="single" w:sz="4" w:space="0" w:color="auto"/>
              <w:left w:val="single" w:sz="4" w:space="0" w:color="auto"/>
              <w:bottom w:val="single" w:sz="4" w:space="0" w:color="auto"/>
              <w:right w:val="single" w:sz="4" w:space="0" w:color="auto"/>
            </w:tcBorders>
          </w:tcPr>
          <w:p w14:paraId="02CC7919" w14:textId="77777777" w:rsidR="001B4ED5" w:rsidRPr="00895D0B" w:rsidRDefault="006B41C0">
            <w:pPr>
              <w:spacing w:line="240" w:lineRule="auto"/>
              <w:rPr>
                <w:rFonts w:cs="Times New Roman"/>
                <w:color w:val="000000" w:themeColor="text1"/>
                <w:szCs w:val="24"/>
                <w:lang w:val="en-US"/>
              </w:rPr>
            </w:pPr>
            <w:r w:rsidRPr="00895D0B">
              <w:rPr>
                <w:rFonts w:cs="Times New Roman"/>
                <w:color w:val="000000" w:themeColor="text1"/>
                <w:szCs w:val="24"/>
                <w:lang w:val="en-US"/>
              </w:rPr>
              <w:t>Question 4</w:t>
            </w:r>
          </w:p>
        </w:tc>
        <w:tc>
          <w:tcPr>
            <w:tcW w:w="4369" w:type="dxa"/>
            <w:tcBorders>
              <w:top w:val="single" w:sz="4" w:space="0" w:color="auto"/>
              <w:left w:val="single" w:sz="4" w:space="0" w:color="auto"/>
              <w:bottom w:val="single" w:sz="4" w:space="0" w:color="auto"/>
              <w:right w:val="single" w:sz="4" w:space="0" w:color="auto"/>
            </w:tcBorders>
          </w:tcPr>
          <w:p w14:paraId="794E617C" w14:textId="77777777" w:rsidR="001B4ED5" w:rsidRPr="00895D0B" w:rsidRDefault="006B41C0">
            <w:pPr>
              <w:pStyle w:val="ListParagraph"/>
              <w:numPr>
                <w:ilvl w:val="0"/>
                <w:numId w:val="12"/>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 xml:space="preserve">Crop varieties and types of animals (indigenous/improved) </w:t>
            </w:r>
          </w:p>
          <w:p w14:paraId="4EFED519" w14:textId="77777777" w:rsidR="001B4ED5" w:rsidRPr="00895D0B" w:rsidRDefault="006B41C0">
            <w:pPr>
              <w:pStyle w:val="ListParagraph"/>
              <w:numPr>
                <w:ilvl w:val="0"/>
                <w:numId w:val="12"/>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Agriculture practices and support systems for farmers</w:t>
            </w:r>
          </w:p>
          <w:p w14:paraId="21420503" w14:textId="77777777" w:rsidR="001B4ED5" w:rsidRPr="00895D0B" w:rsidRDefault="006B41C0">
            <w:pPr>
              <w:pStyle w:val="ListParagraph"/>
              <w:numPr>
                <w:ilvl w:val="0"/>
                <w:numId w:val="12"/>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Veterinary and extension services accessibility</w:t>
            </w:r>
          </w:p>
        </w:tc>
        <w:tc>
          <w:tcPr>
            <w:tcW w:w="3447" w:type="dxa"/>
            <w:tcBorders>
              <w:top w:val="single" w:sz="4" w:space="0" w:color="auto"/>
              <w:left w:val="single" w:sz="4" w:space="0" w:color="auto"/>
              <w:bottom w:val="single" w:sz="4" w:space="0" w:color="auto"/>
              <w:right w:val="single" w:sz="4" w:space="0" w:color="auto"/>
            </w:tcBorders>
          </w:tcPr>
          <w:p w14:paraId="7CC71143" w14:textId="77777777" w:rsidR="001B4ED5" w:rsidRPr="00895D0B" w:rsidRDefault="006B41C0">
            <w:pPr>
              <w:spacing w:line="240" w:lineRule="auto"/>
              <w:jc w:val="left"/>
              <w:rPr>
                <w:rFonts w:cs="Times New Roman"/>
                <w:color w:val="000000" w:themeColor="text1"/>
                <w:szCs w:val="24"/>
                <w:lang w:val="en-US"/>
              </w:rPr>
            </w:pPr>
            <w:r w:rsidRPr="00895D0B">
              <w:rPr>
                <w:rFonts w:cs="Times New Roman"/>
                <w:b/>
                <w:i/>
                <w:color w:val="000000" w:themeColor="text1"/>
                <w:szCs w:val="24"/>
                <w:lang w:val="en-US"/>
              </w:rPr>
              <w:t>Primary</w:t>
            </w:r>
            <w:r w:rsidRPr="00895D0B">
              <w:rPr>
                <w:rFonts w:cs="Times New Roman"/>
                <w:color w:val="000000" w:themeColor="text1"/>
                <w:szCs w:val="24"/>
                <w:lang w:val="en-US"/>
              </w:rPr>
              <w:t xml:space="preserve"> – Households, Agricultural extension, and Veterinary Officers</w:t>
            </w:r>
          </w:p>
        </w:tc>
        <w:tc>
          <w:tcPr>
            <w:tcW w:w="4683" w:type="dxa"/>
            <w:tcBorders>
              <w:top w:val="single" w:sz="4" w:space="0" w:color="auto"/>
              <w:left w:val="single" w:sz="4" w:space="0" w:color="auto"/>
              <w:bottom w:val="single" w:sz="4" w:space="0" w:color="auto"/>
              <w:right w:val="single" w:sz="4" w:space="0" w:color="auto"/>
            </w:tcBorders>
          </w:tcPr>
          <w:p w14:paraId="7BEE3AFC" w14:textId="77777777" w:rsidR="001B4ED5" w:rsidRPr="00895D0B" w:rsidRDefault="006B41C0">
            <w:pPr>
              <w:pStyle w:val="ListParagraph"/>
              <w:numPr>
                <w:ilvl w:val="0"/>
                <w:numId w:val="15"/>
              </w:numPr>
              <w:spacing w:line="240" w:lineRule="auto"/>
              <w:rPr>
                <w:rFonts w:cs="Times New Roman"/>
                <w:color w:val="000000" w:themeColor="text1"/>
                <w:szCs w:val="24"/>
                <w:lang w:val="en-US"/>
              </w:rPr>
            </w:pPr>
            <w:r w:rsidRPr="00895D0B">
              <w:rPr>
                <w:rFonts w:cs="Times New Roman"/>
                <w:color w:val="000000" w:themeColor="text1"/>
                <w:szCs w:val="24"/>
                <w:lang w:val="en-US"/>
              </w:rPr>
              <w:t>Household survey using a semi-structured questionnaire</w:t>
            </w:r>
          </w:p>
          <w:p w14:paraId="7D59DB4A" w14:textId="77777777" w:rsidR="001B4ED5" w:rsidRPr="00895D0B" w:rsidRDefault="006B41C0">
            <w:pPr>
              <w:pStyle w:val="ListParagraph"/>
              <w:numPr>
                <w:ilvl w:val="0"/>
                <w:numId w:val="15"/>
              </w:numPr>
              <w:spacing w:line="240" w:lineRule="auto"/>
              <w:rPr>
                <w:rFonts w:cs="Times New Roman"/>
                <w:color w:val="000000" w:themeColor="text1"/>
                <w:szCs w:val="24"/>
                <w:lang w:val="en-US"/>
              </w:rPr>
            </w:pPr>
            <w:r w:rsidRPr="00895D0B">
              <w:rPr>
                <w:rFonts w:cs="Times New Roman"/>
                <w:color w:val="000000" w:themeColor="text1"/>
                <w:szCs w:val="24"/>
                <w:lang w:val="en-US"/>
              </w:rPr>
              <w:t>KIIs using interview guides and tape recorders</w:t>
            </w:r>
          </w:p>
        </w:tc>
      </w:tr>
      <w:tr w:rsidR="00895D0B" w:rsidRPr="00895D0B" w14:paraId="5A57DDE7" w14:textId="77777777" w:rsidTr="005C12E8">
        <w:trPr>
          <w:trHeight w:val="464"/>
        </w:trPr>
        <w:tc>
          <w:tcPr>
            <w:tcW w:w="1566" w:type="dxa"/>
            <w:vMerge/>
            <w:tcBorders>
              <w:top w:val="single" w:sz="4" w:space="0" w:color="auto"/>
              <w:left w:val="single" w:sz="4" w:space="0" w:color="auto"/>
              <w:bottom w:val="single" w:sz="4" w:space="0" w:color="auto"/>
              <w:right w:val="single" w:sz="4" w:space="0" w:color="auto"/>
            </w:tcBorders>
            <w:vAlign w:val="center"/>
          </w:tcPr>
          <w:p w14:paraId="2EC99C7B" w14:textId="77777777" w:rsidR="001B4ED5" w:rsidRPr="00895D0B" w:rsidRDefault="001B4ED5">
            <w:pPr>
              <w:spacing w:line="240" w:lineRule="auto"/>
              <w:jc w:val="left"/>
              <w:rPr>
                <w:rFonts w:cs="Times New Roman"/>
                <w:color w:val="000000" w:themeColor="text1"/>
                <w:szCs w:val="24"/>
                <w:lang w:val="en-US"/>
              </w:rPr>
            </w:pPr>
          </w:p>
        </w:tc>
        <w:tc>
          <w:tcPr>
            <w:tcW w:w="4369" w:type="dxa"/>
            <w:tcBorders>
              <w:top w:val="single" w:sz="4" w:space="0" w:color="auto"/>
              <w:left w:val="single" w:sz="4" w:space="0" w:color="auto"/>
              <w:bottom w:val="single" w:sz="4" w:space="0" w:color="auto"/>
              <w:right w:val="single" w:sz="4" w:space="0" w:color="auto"/>
            </w:tcBorders>
          </w:tcPr>
          <w:p w14:paraId="0784E132" w14:textId="77777777" w:rsidR="001B4ED5" w:rsidRPr="00895D0B" w:rsidRDefault="006B41C0">
            <w:pPr>
              <w:pStyle w:val="ListParagraph"/>
              <w:numPr>
                <w:ilvl w:val="0"/>
                <w:numId w:val="12"/>
              </w:numPr>
              <w:spacing w:line="240" w:lineRule="auto"/>
              <w:jc w:val="left"/>
              <w:rPr>
                <w:rFonts w:cs="Times New Roman"/>
                <w:color w:val="000000" w:themeColor="text1"/>
                <w:szCs w:val="24"/>
              </w:rPr>
            </w:pPr>
            <w:r w:rsidRPr="00895D0B">
              <w:rPr>
                <w:rFonts w:cs="Times New Roman"/>
                <w:color w:val="000000" w:themeColor="text1"/>
                <w:szCs w:val="24"/>
                <w:lang w:val="en-US"/>
              </w:rPr>
              <w:t>Types of crops and animals in urban farming</w:t>
            </w:r>
          </w:p>
        </w:tc>
        <w:tc>
          <w:tcPr>
            <w:tcW w:w="3447" w:type="dxa"/>
            <w:tcBorders>
              <w:top w:val="single" w:sz="4" w:space="0" w:color="auto"/>
              <w:left w:val="single" w:sz="4" w:space="0" w:color="auto"/>
              <w:bottom w:val="single" w:sz="4" w:space="0" w:color="auto"/>
              <w:right w:val="single" w:sz="4" w:space="0" w:color="auto"/>
            </w:tcBorders>
          </w:tcPr>
          <w:p w14:paraId="0FBFEBB9" w14:textId="77777777" w:rsidR="001B4ED5" w:rsidRPr="00895D0B" w:rsidRDefault="006B41C0">
            <w:pPr>
              <w:spacing w:line="240" w:lineRule="auto"/>
              <w:rPr>
                <w:rFonts w:cs="Times New Roman"/>
                <w:color w:val="000000" w:themeColor="text1"/>
                <w:szCs w:val="24"/>
                <w:lang w:val="en-US"/>
              </w:rPr>
            </w:pPr>
            <w:r w:rsidRPr="00895D0B">
              <w:rPr>
                <w:rFonts w:cs="Times New Roman"/>
                <w:b/>
                <w:i/>
                <w:color w:val="000000" w:themeColor="text1"/>
                <w:szCs w:val="24"/>
                <w:lang w:val="en-US"/>
              </w:rPr>
              <w:t>Secondary -</w:t>
            </w:r>
            <w:r w:rsidRPr="00895D0B">
              <w:rPr>
                <w:rFonts w:cs="Times New Roman"/>
                <w:color w:val="000000" w:themeColor="text1"/>
                <w:szCs w:val="24"/>
                <w:lang w:val="en-US"/>
              </w:rPr>
              <w:t xml:space="preserve"> Crop and animals Departments of MOFA</w:t>
            </w:r>
          </w:p>
        </w:tc>
        <w:tc>
          <w:tcPr>
            <w:tcW w:w="4683" w:type="dxa"/>
            <w:tcBorders>
              <w:top w:val="single" w:sz="4" w:space="0" w:color="auto"/>
              <w:left w:val="single" w:sz="4" w:space="0" w:color="auto"/>
              <w:bottom w:val="single" w:sz="4" w:space="0" w:color="auto"/>
              <w:right w:val="single" w:sz="4" w:space="0" w:color="auto"/>
            </w:tcBorders>
          </w:tcPr>
          <w:p w14:paraId="50C2C04B" w14:textId="77777777" w:rsidR="001B4ED5" w:rsidRPr="00895D0B" w:rsidRDefault="006B41C0">
            <w:pPr>
              <w:pStyle w:val="ListParagraph"/>
              <w:numPr>
                <w:ilvl w:val="0"/>
                <w:numId w:val="16"/>
              </w:numPr>
              <w:spacing w:line="240" w:lineRule="auto"/>
              <w:rPr>
                <w:rFonts w:cs="Times New Roman"/>
                <w:color w:val="000000" w:themeColor="text1"/>
                <w:szCs w:val="24"/>
                <w:lang w:val="en-US"/>
              </w:rPr>
            </w:pPr>
            <w:r w:rsidRPr="00895D0B">
              <w:rPr>
                <w:rFonts w:cs="Times New Roman"/>
                <w:color w:val="000000" w:themeColor="text1"/>
                <w:szCs w:val="24"/>
                <w:lang w:val="en-US"/>
              </w:rPr>
              <w:t>Institutional review guides and tape recorders</w:t>
            </w:r>
          </w:p>
        </w:tc>
      </w:tr>
    </w:tbl>
    <w:p w14:paraId="77E8CCE4"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Source: Author, Construct, 2022</w:t>
      </w:r>
    </w:p>
    <w:p w14:paraId="39094F33" w14:textId="77777777" w:rsidR="001B4ED5" w:rsidRPr="00895D0B" w:rsidRDefault="001B4ED5">
      <w:pPr>
        <w:spacing w:line="360" w:lineRule="auto"/>
        <w:jc w:val="left"/>
        <w:rPr>
          <w:rFonts w:cs="Times New Roman"/>
          <w:color w:val="000000" w:themeColor="text1"/>
          <w:szCs w:val="24"/>
        </w:rPr>
        <w:sectPr w:rsidR="001B4ED5" w:rsidRPr="00895D0B" w:rsidSect="005C12E8">
          <w:pgSz w:w="16838" w:h="11906" w:orient="landscape" w:code="9"/>
          <w:pgMar w:top="2160" w:right="1440" w:bottom="1440" w:left="1440" w:header="720" w:footer="720" w:gutter="0"/>
          <w:cols w:space="720"/>
        </w:sectPr>
      </w:pPr>
    </w:p>
    <w:p w14:paraId="2A25087F" w14:textId="77777777" w:rsidR="001B4ED5" w:rsidRPr="00895D0B" w:rsidRDefault="006B41C0">
      <w:pPr>
        <w:pStyle w:val="Heading2"/>
      </w:pPr>
      <w:bookmarkStart w:id="73" w:name="_Toc167379903"/>
      <w:r w:rsidRPr="00895D0B">
        <w:lastRenderedPageBreak/>
        <w:t>3.6 Methods of Data Analysis</w:t>
      </w:r>
      <w:bookmarkEnd w:id="73"/>
    </w:p>
    <w:p w14:paraId="69C3B345" w14:textId="77777777" w:rsidR="001B4ED5" w:rsidRPr="00895D0B" w:rsidRDefault="006B41C0" w:rsidP="009864E3">
      <w:pPr>
        <w:pStyle w:val="Heading3"/>
      </w:pPr>
      <w:bookmarkStart w:id="74" w:name="_Toc167379904"/>
      <w:r w:rsidRPr="00895D0B">
        <w:t>3.6.1 Quantitative phase</w:t>
      </w:r>
      <w:bookmarkEnd w:id="74"/>
    </w:p>
    <w:p w14:paraId="13C154AE" w14:textId="7CD92939" w:rsidR="001B4ED5" w:rsidRDefault="006B41C0">
      <w:pPr>
        <w:spacing w:line="360" w:lineRule="auto"/>
        <w:rPr>
          <w:rFonts w:cs="Times New Roman"/>
          <w:color w:val="000000" w:themeColor="text1"/>
          <w:szCs w:val="24"/>
          <w:lang w:val="en-US"/>
        </w:rPr>
      </w:pPr>
      <w:r w:rsidRPr="00895D0B">
        <w:rPr>
          <w:rFonts w:cs="Times New Roman"/>
          <w:color w:val="000000" w:themeColor="text1"/>
          <w:szCs w:val="24"/>
          <w:lang w:val="en-US"/>
        </w:rPr>
        <w:t xml:space="preserve">In this method, the households’ data, gathered through the survey were edited and refined for further statistical analysis. Statistical analysis is important as it gives a numerical understanding of the research findings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{"citationItems":[{"id":"ITEM-1","itemData":{"ISBN":"9781452226095","author":[{"dropping-particle":"","family":"Crewell","given":"J. W.","non-dropping-particle":"","parse-names":false,"suffix":""}],"edition":"Fourth","editor":[{"dropping-particle":"","family":"Knight","given":"V.","non-dropping-particle":"","parse-names":false,"suffix":""},{"dropping-particle":"","family":"Young","given":"J.","non-dropping-particle":"","parse-names":false,"suffix":""},{"dropping-particle":"","family":"Bauhaus","given":"K.","non-dropping-particle":"","parse-names":false,"suffix":""},{"dropping-particle":"","family":"Mauhaus","given":"B.","non-dropping-particle":"","parse-names":false,"suffix":""}],"id":"ITEM-1","issued":{"date-parts":[["2014"]]},"publisher":"SAGE Publications, Inc","publisher-place":"California","title":"Research design: qualitative, quantitative and mixed methods approaches","type":"book"},"uris":["http://www.mendeley.com/documents/?uuid=bc23e028-b078-4d48-967c-c341ed6fb8de"]}],"mendeley":{"formattedCitation":"(Crewell, 2014)","plainTextFormattedCitation":"(Crewell, 2014)","previouslyFormattedCitation":"(Crewell, 2014)"},"properties":{"noteIndex":0},"schema":"https://github.com/citation-style-language/schema/raw/master/csl-citation.json"}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(Crewell, 2014)</w:t>
      </w:r>
      <w:r w:rsidRPr="00895D0B">
        <w:rPr>
          <w:rFonts w:cs="Times New Roman"/>
          <w:color w:val="000000" w:themeColor="text1"/>
          <w:szCs w:val="24"/>
          <w:lang w:val="en-US"/>
        </w:rPr>
        <w:fldChar w:fldCharType="end"/>
      </w:r>
      <w:r w:rsidRPr="00895D0B">
        <w:rPr>
          <w:rFonts w:cs="Times New Roman"/>
          <w:color w:val="000000" w:themeColor="text1"/>
          <w:szCs w:val="24"/>
          <w:lang w:val="en-US"/>
        </w:rPr>
        <w:t xml:space="preserve">. The study, therefore, </w:t>
      </w:r>
      <w:r w:rsidRPr="00895D0B">
        <w:rPr>
          <w:rFonts w:cs="Times New Roman"/>
          <w:color w:val="000000" w:themeColor="text1"/>
          <w:szCs w:val="24"/>
        </w:rPr>
        <w:t>analysed the quantitative data using Statistical Package for Social Sciences (SPSS version 20.0). In this, descriptive statistics in the form of frequencies, percentages, cross-tabulations, and chi-square tests were done. The results were presented in the form of tables, graphs, and figures. Further analysis was done on the demographic features of urban farmers and their participation in crop and animal production using the binary logistics regression model. The climatic data from the Ghana Meteorological Agency were analysed and presented using combined line graphs. The spatial data were also analysed using</w:t>
      </w:r>
      <w:r w:rsidR="006940CA" w:rsidRPr="00895D0B">
        <w:rPr>
          <w:rFonts w:cs="Times New Roman"/>
          <w:color w:val="000000" w:themeColor="text1"/>
          <w:szCs w:val="24"/>
        </w:rPr>
        <w:t xml:space="preserve"> average nearest  neighbourhood (ANN) ratio analysis from </w:t>
      </w:r>
      <w:r w:rsidRPr="00895D0B">
        <w:rPr>
          <w:rFonts w:cs="Times New Roman"/>
          <w:color w:val="000000" w:themeColor="text1"/>
          <w:szCs w:val="24"/>
        </w:rPr>
        <w:t xml:space="preserve"> </w:t>
      </w:r>
      <w:r w:rsidRPr="00895D0B">
        <w:rPr>
          <w:rFonts w:cs="Times New Roman"/>
          <w:color w:val="000000" w:themeColor="text1"/>
          <w:szCs w:val="24"/>
          <w:lang w:val="en-US"/>
        </w:rPr>
        <w:t xml:space="preserve">ArcGIS version 14.0. The coordinates picked were used to draw spatial and farm location maps. Also, the study area was digitized from Google earth to analyze spatial distributions of urban agricultural activities across the three different clusters using the </w:t>
      </w:r>
      <w:r w:rsidRPr="00895D0B">
        <w:rPr>
          <w:rFonts w:cs="Times New Roman"/>
          <w:color w:val="000000" w:themeColor="text1"/>
          <w:szCs w:val="24"/>
        </w:rPr>
        <w:t>average nearest neighbour (ANN) ratio</w:t>
      </w:r>
      <w:r w:rsidRPr="00895D0B">
        <w:rPr>
          <w:rFonts w:cs="Times New Roman"/>
          <w:color w:val="000000" w:themeColor="text1"/>
          <w:szCs w:val="24"/>
          <w:lang w:val="en-US"/>
        </w:rPr>
        <w:t xml:space="preserve"> (</w:t>
      </w:r>
      <w:r w:rsidRPr="00895D0B">
        <w:rPr>
          <w:rFonts w:cs="Times New Roman"/>
          <w:i/>
          <w:color w:val="000000" w:themeColor="text1"/>
          <w:szCs w:val="24"/>
          <w:lang w:val="en-US"/>
        </w:rPr>
        <w:t>Table 3.3</w:t>
      </w:r>
      <w:r w:rsidRPr="00895D0B">
        <w:rPr>
          <w:rFonts w:cs="Times New Roman"/>
          <w:color w:val="000000" w:themeColor="text1"/>
          <w:szCs w:val="24"/>
          <w:lang w:val="en-US"/>
        </w:rPr>
        <w:t xml:space="preserve">). Details on the </w:t>
      </w:r>
      <w:r w:rsidRPr="00895D0B">
        <w:rPr>
          <w:rFonts w:cs="Times New Roman"/>
          <w:color w:val="000000" w:themeColor="text1"/>
          <w:szCs w:val="24"/>
        </w:rPr>
        <w:t>Average Nearest Neighbour ratio analysis</w:t>
      </w:r>
      <w:r w:rsidRPr="00895D0B">
        <w:rPr>
          <w:rFonts w:cs="Times New Roman"/>
          <w:color w:val="000000" w:themeColor="text1"/>
          <w:szCs w:val="24"/>
          <w:lang w:val="en-US"/>
        </w:rPr>
        <w:t xml:space="preserve"> and the logistic regression model are discussed below.</w:t>
      </w:r>
    </w:p>
    <w:p w14:paraId="26239BF7" w14:textId="77777777" w:rsidR="005C12E8" w:rsidRPr="00895D0B" w:rsidRDefault="005C12E8" w:rsidP="00360960">
      <w:pPr>
        <w:pStyle w:val="NoSpacing"/>
        <w:rPr>
          <w:lang w:val="en-US"/>
        </w:rPr>
      </w:pPr>
    </w:p>
    <w:p w14:paraId="7ADA5F4A" w14:textId="55EA0CE4" w:rsidR="001B4ED5" w:rsidRPr="00895D0B" w:rsidRDefault="006B41C0" w:rsidP="005C12E8">
      <w:pPr>
        <w:pStyle w:val="Heading6"/>
      </w:pPr>
      <w:bookmarkStart w:id="75" w:name="_Toc148890591"/>
      <w:bookmarkStart w:id="76" w:name="_Toc167368588"/>
      <w:r w:rsidRPr="00895D0B">
        <w:t xml:space="preserve">Table 3. </w:t>
      </w:r>
      <w:r w:rsidR="00895D0B" w:rsidRPr="00895D0B">
        <w:fldChar w:fldCharType="begin"/>
      </w:r>
      <w:r w:rsidR="00895D0B" w:rsidRPr="00895D0B">
        <w:instrText xml:space="preserve"> SEQ Table_3. \* ARABIC </w:instrText>
      </w:r>
      <w:r w:rsidR="00895D0B" w:rsidRPr="00895D0B">
        <w:fldChar w:fldCharType="separate"/>
      </w:r>
      <w:r w:rsidR="0026489B">
        <w:rPr>
          <w:noProof/>
        </w:rPr>
        <w:t>3</w:t>
      </w:r>
      <w:r w:rsidR="00895D0B" w:rsidRPr="00895D0B">
        <w:fldChar w:fldCharType="end"/>
      </w:r>
      <w:r w:rsidRPr="00895D0B">
        <w:t>: Data Analytical Framework</w:t>
      </w:r>
      <w:bookmarkEnd w:id="75"/>
      <w:bookmarkEnd w:id="76"/>
    </w:p>
    <w:tbl>
      <w:tblPr>
        <w:tblW w:w="8820" w:type="dxa"/>
        <w:tblLook w:val="04A0" w:firstRow="1" w:lastRow="0" w:firstColumn="1" w:lastColumn="0" w:noHBand="0" w:noVBand="1"/>
      </w:tblPr>
      <w:tblGrid>
        <w:gridCol w:w="4140"/>
        <w:gridCol w:w="1440"/>
        <w:gridCol w:w="3240"/>
      </w:tblGrid>
      <w:tr w:rsidR="00895D0B" w:rsidRPr="00895D0B" w14:paraId="7BA5DCBF" w14:textId="77777777" w:rsidTr="005C12E8">
        <w:trPr>
          <w:trHeight w:val="277"/>
        </w:trPr>
        <w:tc>
          <w:tcPr>
            <w:tcW w:w="4140" w:type="dxa"/>
            <w:tcBorders>
              <w:top w:val="single" w:sz="4" w:space="0" w:color="auto"/>
              <w:bottom w:val="single" w:sz="4" w:space="0" w:color="auto"/>
            </w:tcBorders>
          </w:tcPr>
          <w:p w14:paraId="2686900C" w14:textId="77777777" w:rsidR="001B4ED5" w:rsidRPr="00895D0B" w:rsidRDefault="006B41C0" w:rsidP="00131EA5">
            <w:pPr>
              <w:pStyle w:val="Default"/>
              <w:jc w:val="center"/>
              <w:rPr>
                <w:b/>
                <w:color w:val="000000" w:themeColor="text1"/>
              </w:rPr>
            </w:pPr>
            <w:r w:rsidRPr="00895D0B">
              <w:rPr>
                <w:b/>
                <w:bCs/>
                <w:color w:val="000000" w:themeColor="text1"/>
              </w:rPr>
              <w:t>Type of Data or information to be collected</w:t>
            </w:r>
          </w:p>
        </w:tc>
        <w:tc>
          <w:tcPr>
            <w:tcW w:w="1440" w:type="dxa"/>
            <w:tcBorders>
              <w:top w:val="single" w:sz="4" w:space="0" w:color="auto"/>
              <w:bottom w:val="single" w:sz="4" w:space="0" w:color="auto"/>
            </w:tcBorders>
          </w:tcPr>
          <w:p w14:paraId="1350E112" w14:textId="77777777" w:rsidR="001B4ED5" w:rsidRPr="00895D0B" w:rsidRDefault="006B41C0" w:rsidP="00131EA5">
            <w:pPr>
              <w:spacing w:line="240" w:lineRule="auto"/>
              <w:jc w:val="center"/>
              <w:rPr>
                <w:rFonts w:cs="Times New Roman"/>
                <w:b/>
                <w:color w:val="000000" w:themeColor="text1"/>
                <w:szCs w:val="24"/>
                <w:lang w:val="en-US"/>
              </w:rPr>
            </w:pPr>
            <w:r w:rsidRPr="00895D0B">
              <w:rPr>
                <w:rFonts w:cs="Times New Roman"/>
                <w:b/>
                <w:color w:val="000000" w:themeColor="text1"/>
                <w:szCs w:val="24"/>
                <w:lang w:val="en-US"/>
              </w:rPr>
              <w:t>Sources of data</w:t>
            </w:r>
          </w:p>
        </w:tc>
        <w:tc>
          <w:tcPr>
            <w:tcW w:w="3240" w:type="dxa"/>
            <w:tcBorders>
              <w:top w:val="single" w:sz="4" w:space="0" w:color="auto"/>
              <w:bottom w:val="single" w:sz="4" w:space="0" w:color="auto"/>
            </w:tcBorders>
          </w:tcPr>
          <w:p w14:paraId="20D738AC" w14:textId="77777777" w:rsidR="001B4ED5" w:rsidRPr="00895D0B" w:rsidRDefault="006B41C0" w:rsidP="00131EA5">
            <w:pPr>
              <w:spacing w:line="240" w:lineRule="auto"/>
              <w:jc w:val="center"/>
              <w:rPr>
                <w:rFonts w:cs="Times New Roman"/>
                <w:b/>
                <w:color w:val="000000" w:themeColor="text1"/>
                <w:szCs w:val="24"/>
                <w:lang w:val="en-US"/>
              </w:rPr>
            </w:pPr>
            <w:r w:rsidRPr="00895D0B">
              <w:rPr>
                <w:rFonts w:cs="Times New Roman"/>
                <w:b/>
                <w:color w:val="000000" w:themeColor="text1"/>
                <w:szCs w:val="24"/>
                <w:lang w:val="en-US"/>
              </w:rPr>
              <w:t>Analytical methods</w:t>
            </w:r>
          </w:p>
        </w:tc>
      </w:tr>
      <w:tr w:rsidR="00895D0B" w:rsidRPr="00895D0B" w14:paraId="2AF4AB74" w14:textId="77777777" w:rsidTr="005C12E8">
        <w:trPr>
          <w:trHeight w:val="355"/>
        </w:trPr>
        <w:tc>
          <w:tcPr>
            <w:tcW w:w="4140" w:type="dxa"/>
            <w:tcBorders>
              <w:top w:val="single" w:sz="4" w:space="0" w:color="auto"/>
            </w:tcBorders>
          </w:tcPr>
          <w:p w14:paraId="2512896B" w14:textId="77777777" w:rsidR="001B4ED5" w:rsidRPr="00895D0B" w:rsidRDefault="006B41C0" w:rsidP="00131EA5">
            <w:pPr>
              <w:pStyle w:val="ListParagraph"/>
              <w:numPr>
                <w:ilvl w:val="0"/>
                <w:numId w:val="17"/>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Spatial data (coordinates)</w:t>
            </w:r>
          </w:p>
        </w:tc>
        <w:tc>
          <w:tcPr>
            <w:tcW w:w="1440" w:type="dxa"/>
            <w:tcBorders>
              <w:top w:val="single" w:sz="4" w:space="0" w:color="auto"/>
            </w:tcBorders>
          </w:tcPr>
          <w:p w14:paraId="532E956D" w14:textId="77777777" w:rsidR="001B4ED5" w:rsidRPr="00895D0B" w:rsidRDefault="006B41C0" w:rsidP="00131EA5">
            <w:pPr>
              <w:spacing w:line="240" w:lineRule="auto"/>
              <w:rPr>
                <w:rFonts w:cs="Times New Roman"/>
                <w:color w:val="000000" w:themeColor="text1"/>
                <w:szCs w:val="24"/>
                <w:lang w:val="en-US"/>
              </w:rPr>
            </w:pPr>
            <w:r w:rsidRPr="00895D0B">
              <w:rPr>
                <w:rFonts w:cs="Times New Roman"/>
                <w:color w:val="000000" w:themeColor="text1"/>
                <w:szCs w:val="24"/>
                <w:lang w:val="en-US"/>
              </w:rPr>
              <w:t xml:space="preserve">Primary </w:t>
            </w:r>
          </w:p>
        </w:tc>
        <w:tc>
          <w:tcPr>
            <w:tcW w:w="3240" w:type="dxa"/>
            <w:tcBorders>
              <w:top w:val="single" w:sz="4" w:space="0" w:color="auto"/>
            </w:tcBorders>
          </w:tcPr>
          <w:p w14:paraId="3D276258" w14:textId="77777777" w:rsidR="001B4ED5" w:rsidRPr="00895D0B" w:rsidRDefault="006B41C0" w:rsidP="00131EA5">
            <w:pPr>
              <w:pStyle w:val="ListParagraph"/>
              <w:numPr>
                <w:ilvl w:val="0"/>
                <w:numId w:val="18"/>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 xml:space="preserve">Drawing of locational density maps </w:t>
            </w:r>
            <w:r w:rsidRPr="00895D0B">
              <w:rPr>
                <w:rFonts w:cs="Times New Roman"/>
                <w:color w:val="000000" w:themeColor="text1"/>
                <w:szCs w:val="24"/>
              </w:rPr>
              <w:t xml:space="preserve">and running average nearest  neighbour ratio </w:t>
            </w:r>
            <w:r w:rsidRPr="00895D0B">
              <w:rPr>
                <w:rFonts w:cs="Times New Roman"/>
                <w:color w:val="000000" w:themeColor="text1"/>
                <w:szCs w:val="24"/>
                <w:lang w:val="en-US"/>
              </w:rPr>
              <w:t>using ArcGIS Version 14.0</w:t>
            </w:r>
          </w:p>
        </w:tc>
      </w:tr>
      <w:tr w:rsidR="00895D0B" w:rsidRPr="00895D0B" w14:paraId="554D648B" w14:textId="77777777" w:rsidTr="005C12E8">
        <w:trPr>
          <w:trHeight w:val="248"/>
        </w:trPr>
        <w:tc>
          <w:tcPr>
            <w:tcW w:w="4140" w:type="dxa"/>
            <w:tcBorders>
              <w:bottom w:val="single" w:sz="4" w:space="0" w:color="auto"/>
            </w:tcBorders>
          </w:tcPr>
          <w:p w14:paraId="076240AF" w14:textId="77777777" w:rsidR="001B4ED5" w:rsidRPr="00895D0B" w:rsidRDefault="006B41C0" w:rsidP="00131EA5">
            <w:pPr>
              <w:pStyle w:val="ListParagraph"/>
              <w:numPr>
                <w:ilvl w:val="0"/>
                <w:numId w:val="19"/>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Households demographics</w:t>
            </w:r>
          </w:p>
          <w:p w14:paraId="5F582E3F" w14:textId="77777777" w:rsidR="001B4ED5" w:rsidRPr="00895D0B" w:rsidRDefault="006B41C0" w:rsidP="00131EA5">
            <w:pPr>
              <w:pStyle w:val="ListParagraph"/>
              <w:numPr>
                <w:ilvl w:val="0"/>
                <w:numId w:val="19"/>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 xml:space="preserve">Demographic determinants of participation in urban agriculture  </w:t>
            </w:r>
          </w:p>
          <w:p w14:paraId="54F31B53" w14:textId="77777777" w:rsidR="001B4ED5" w:rsidRPr="00895D0B" w:rsidRDefault="006B41C0" w:rsidP="00131EA5">
            <w:pPr>
              <w:pStyle w:val="ListParagraph"/>
              <w:numPr>
                <w:ilvl w:val="0"/>
                <w:numId w:val="19"/>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Types and varieties of crops and production</w:t>
            </w:r>
          </w:p>
          <w:p w14:paraId="0D6C2356" w14:textId="77777777" w:rsidR="001B4ED5" w:rsidRPr="00895D0B" w:rsidRDefault="006B41C0" w:rsidP="00131EA5">
            <w:pPr>
              <w:pStyle w:val="ListParagraph"/>
              <w:numPr>
                <w:ilvl w:val="0"/>
                <w:numId w:val="19"/>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 xml:space="preserve">Types and breeds of animals and production and climate change adaptation strategies </w:t>
            </w:r>
          </w:p>
        </w:tc>
        <w:tc>
          <w:tcPr>
            <w:tcW w:w="1440" w:type="dxa"/>
            <w:tcBorders>
              <w:bottom w:val="single" w:sz="4" w:space="0" w:color="auto"/>
            </w:tcBorders>
          </w:tcPr>
          <w:p w14:paraId="0894481A" w14:textId="77777777" w:rsidR="001B4ED5" w:rsidRPr="00895D0B" w:rsidRDefault="006B41C0" w:rsidP="00131EA5">
            <w:pPr>
              <w:spacing w:line="240" w:lineRule="auto"/>
              <w:rPr>
                <w:rFonts w:cs="Times New Roman"/>
                <w:color w:val="000000" w:themeColor="text1"/>
                <w:szCs w:val="24"/>
                <w:lang w:val="en-US"/>
              </w:rPr>
            </w:pPr>
            <w:r w:rsidRPr="00895D0B">
              <w:rPr>
                <w:rFonts w:cs="Times New Roman"/>
                <w:color w:val="000000" w:themeColor="text1"/>
                <w:szCs w:val="24"/>
                <w:lang w:val="en-US"/>
              </w:rPr>
              <w:t xml:space="preserve">Primary </w:t>
            </w:r>
          </w:p>
        </w:tc>
        <w:tc>
          <w:tcPr>
            <w:tcW w:w="3240" w:type="dxa"/>
            <w:tcBorders>
              <w:bottom w:val="single" w:sz="4" w:space="0" w:color="auto"/>
            </w:tcBorders>
          </w:tcPr>
          <w:p w14:paraId="3B9EC737" w14:textId="77777777" w:rsidR="001B4ED5" w:rsidRPr="00895D0B" w:rsidRDefault="006B41C0" w:rsidP="00131EA5">
            <w:pPr>
              <w:pStyle w:val="ListParagraph"/>
              <w:numPr>
                <w:ilvl w:val="0"/>
                <w:numId w:val="20"/>
              </w:numPr>
              <w:spacing w:line="240" w:lineRule="auto"/>
              <w:jc w:val="left"/>
              <w:rPr>
                <w:rFonts w:cs="Times New Roman"/>
                <w:color w:val="000000" w:themeColor="text1"/>
                <w:szCs w:val="24"/>
                <w:lang w:val="en-US"/>
              </w:rPr>
            </w:pPr>
            <w:r w:rsidRPr="00895D0B">
              <w:rPr>
                <w:rFonts w:cs="Times New Roman"/>
                <w:color w:val="000000" w:themeColor="text1"/>
                <w:szCs w:val="24"/>
                <w:lang w:val="en-US"/>
              </w:rPr>
              <w:t>The use of descriptive statistics</w:t>
            </w:r>
            <w:r w:rsidRPr="00895D0B">
              <w:rPr>
                <w:rFonts w:cs="Times New Roman"/>
                <w:color w:val="000000" w:themeColor="text1"/>
                <w:szCs w:val="24"/>
              </w:rPr>
              <w:t>; frequencies, percentages, chi-square-test,</w:t>
            </w:r>
            <w:r w:rsidRPr="00895D0B">
              <w:rPr>
                <w:rFonts w:cs="Times New Roman"/>
                <w:color w:val="000000" w:themeColor="text1"/>
                <w:szCs w:val="24"/>
                <w:lang w:val="en-US"/>
              </w:rPr>
              <w:t xml:space="preserve"> </w:t>
            </w:r>
            <w:r w:rsidRPr="00895D0B">
              <w:rPr>
                <w:rFonts w:cs="Times New Roman"/>
                <w:color w:val="000000" w:themeColor="text1"/>
                <w:szCs w:val="24"/>
              </w:rPr>
              <w:t>and</w:t>
            </w:r>
            <w:r w:rsidRPr="00895D0B">
              <w:rPr>
                <w:rFonts w:cs="Times New Roman"/>
                <w:color w:val="000000" w:themeColor="text1"/>
                <w:szCs w:val="24"/>
                <w:lang w:val="en-US"/>
              </w:rPr>
              <w:t xml:space="preserve"> binary logistics regress model </w:t>
            </w:r>
          </w:p>
        </w:tc>
      </w:tr>
    </w:tbl>
    <w:p w14:paraId="151700FD" w14:textId="77777777" w:rsidR="001B4ED5" w:rsidRPr="00895D0B" w:rsidRDefault="006B41C0">
      <w:pPr>
        <w:spacing w:line="360" w:lineRule="auto"/>
        <w:rPr>
          <w:rFonts w:cs="Times New Roman"/>
          <w:color w:val="000000" w:themeColor="text1"/>
          <w:szCs w:val="24"/>
          <w:lang w:val="en-US"/>
        </w:rPr>
      </w:pPr>
      <w:r w:rsidRPr="00895D0B">
        <w:rPr>
          <w:rFonts w:cs="Times New Roman"/>
          <w:b/>
          <w:color w:val="000000" w:themeColor="text1"/>
          <w:szCs w:val="24"/>
          <w:lang w:val="en-US"/>
        </w:rPr>
        <w:t>Source:</w:t>
      </w:r>
      <w:r w:rsidRPr="00895D0B">
        <w:rPr>
          <w:rFonts w:cs="Times New Roman"/>
          <w:color w:val="000000" w:themeColor="text1"/>
          <w:szCs w:val="24"/>
          <w:lang w:val="en-US"/>
        </w:rPr>
        <w:t xml:space="preserve"> Authors construct, 2022</w:t>
      </w:r>
    </w:p>
    <w:p w14:paraId="2E8DB13E" w14:textId="77777777" w:rsidR="001B4ED5" w:rsidRPr="00895D0B" w:rsidRDefault="001B4ED5">
      <w:pPr>
        <w:spacing w:line="360" w:lineRule="auto"/>
        <w:rPr>
          <w:rFonts w:cs="Times New Roman"/>
          <w:color w:val="000000" w:themeColor="text1"/>
          <w:szCs w:val="24"/>
        </w:rPr>
      </w:pPr>
    </w:p>
    <w:p w14:paraId="0CD56E5E" w14:textId="7777777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lastRenderedPageBreak/>
        <w:t>Spatial distribution analysis model estimate for Average Nearest Neighbour ratio analysis</w:t>
      </w:r>
    </w:p>
    <w:p w14:paraId="72F7D3A1" w14:textId="659A2F05"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This model was used to analyse objective two of the study. The Average Nearest Neighbour (ANN) tool calculates the separation between the centroid locations of each feature and its closest neighbours. The distances between each nearest neighbour is then averaged (Alam et al., 2012). The distribution of the features under analysis is said to be clustered if the average distance is less than the average for a </w:t>
      </w:r>
      <w:r w:rsidR="0014762D" w:rsidRPr="00895D0B">
        <w:rPr>
          <w:rFonts w:cs="Times New Roman"/>
          <w:color w:val="000000" w:themeColor="text1"/>
          <w:szCs w:val="24"/>
        </w:rPr>
        <w:t xml:space="preserve">reference </w:t>
      </w:r>
      <w:r w:rsidRPr="00895D0B">
        <w:rPr>
          <w:rFonts w:cs="Times New Roman"/>
          <w:color w:val="000000" w:themeColor="text1"/>
          <w:szCs w:val="24"/>
        </w:rPr>
        <w:t xml:space="preserve">random distribution. The characteristics are said to be distributed if the average distance exceeds a fictitious random distribution. The average nearest-neighbour ratio is determined as the difference between the observed and expected average distances, where the expected average distance is based on a fictitious random distribution with the same number of features covering the same total area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{"citationItems":[{"id":"ITEM-1","itemData":{"DOI":"10.1177/001316446802800256","ISSN":"0013-1644","author":[{"dropping-particle":"","family":"William","given":"R. B. G.","non-dropping-particle":"","parse-names":false,"suffix":""}],"container-title":"Educational and Psychological Measurement","id":"ITEM-1","issue":"2","issued":{"date-parts":[["1968"]]},"page":"619-620","title":"intermediate Statistics for Geographers and Earth Scientists","type":"article-journal","volume":"28"},"uris":["http://www.mendeley.com/documents/?uuid=05e01a81-1282-4c01-8e98-366f4b578b5c"]},{"id":"ITEM-2","itemData":{"ISBN":"9781439861578","author":[{"dropping-particle":"","family":"Alam","given":"S.","non-dropping-particle":"","parse-names":false,"suffix":""},{"dropping-particle":"","family":"Barik","given":"V.K.","non-dropping-particle":"","parse-names":false,"suffix":""},{"dropping-particle":"","family":"Vishal","given":"W.","non-dropping-particle":"","parse-names":false,"suffix":""}],"id":"ITEM-2","issue":"1","issued":{"date-parts":[["2012"]]},"page":"37-39","title":"Learning about data to learning with Data","type":"article-journal","volume":"66"},"uris":["http://www.mendeley.com/documents/?uuid=9199cf91-4321-47d8-99e7-0128e66c7859"]}],"mendeley":{"formattedCitation":"(Alam et al., 2012; William, 1968)","manualFormatting":"(William, 1968)","plainTextFormattedCitation":"(Alam et al., 2012; William, 1968)","previouslyFormattedCitation":"(Alam et al., 2012; William, 1968)"},"properties":{"noteIndex":0},"schema":"https://github.com/citation-style-language/schema/raw/master/csl-citation.json"}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(William, 1968)</w:t>
      </w:r>
      <w:r w:rsidRPr="00895D0B">
        <w:rPr>
          <w:rFonts w:cs="Times New Roman"/>
          <w:color w:val="000000" w:themeColor="text1"/>
          <w:szCs w:val="24"/>
        </w:rPr>
        <w:fldChar w:fldCharType="end"/>
      </w:r>
      <w:r w:rsidRPr="00895D0B">
        <w:rPr>
          <w:rFonts w:cs="Times New Roman"/>
          <w:color w:val="000000" w:themeColor="text1"/>
          <w:szCs w:val="24"/>
        </w:rPr>
        <w:t xml:space="preserve">. Therefore, the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{"citationItems":[{"id":"ITEM-1","itemData":{"DOI":"10.1177/001316446802800256","ISSN":"0013-1644","author":[{"dropping-particle":"","family":"William","given":"R. B. G.","non-dropping-particle":"","parse-names":false,"suffix":""}],"container-title":"Educational and Psychological Measurement","id":"ITEM-1","issue":"2","issued":{"date-parts":[["1968"]]},"page":"619-620","title":"intermediate Statistics for Geographers and Earth Scientists","type":"article-journal","volume":"28"},"uris":["http://www.mendeley.com/documents/?uuid=05e01a81-1282-4c01-8e98-366f4b578b5c"]},{"id":"ITEM-2","itemData":{"ISBN":"9781439861578","author":[{"dropping-particle":"","family":"Alam","given":"S.","non-dropping-particle":"","parse-names":false,"suffix":""},{"dropping-particle":"","family":"Barik","given":"V.K.","non-dropping-particle":"","parse-names":false,"suffix":""},{"dropping-particle":"","family":"Vishal","given":"W.","non-dropping-particle":"","parse-names":false,"suffix":""}],"id":"ITEM-2","issue":"1","issued":{"date-parts":[["2012"]]},"page":"37-39","title":"Learning about data to learning with Data","type":"article-journal","volume":"66"},"uris":["http://www.mendeley.com/documents/?uuid=9199cf91-4321-47d8-99e7-0128e66c7859"]}],"mendeley":{"formattedCitation":"(Alam et al., 2012; William, 1968)","manualFormatting":"William (1968)","plainTextFormattedCitation":"(Alam et al., 2012; William, 1968)","previouslyFormattedCitation":"(Alam et al., 2012; William, 1968)"},"properties":{"noteIndex":0},"schema":"https://github.com/citation-style-language/schema/raw/master/csl-citation.json"}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William (1968)</w:t>
      </w:r>
      <w:r w:rsidRPr="00895D0B">
        <w:rPr>
          <w:rFonts w:cs="Times New Roman"/>
          <w:color w:val="000000" w:themeColor="text1"/>
          <w:szCs w:val="24"/>
        </w:rPr>
        <w:fldChar w:fldCharType="end"/>
      </w:r>
      <w:r w:rsidRPr="00895D0B">
        <w:rPr>
          <w:rFonts w:cs="Times New Roman"/>
          <w:color w:val="000000" w:themeColor="text1"/>
          <w:szCs w:val="24"/>
        </w:rPr>
        <w:t xml:space="preserve"> used the nearest neighbour ratio in the analysis of spatial data as stated in the equations below:</w:t>
      </w:r>
    </w:p>
    <w:p w14:paraId="287EAC45" w14:textId="77777777" w:rsidR="001B4ED5" w:rsidRPr="00895D0B" w:rsidRDefault="001B4ED5" w:rsidP="00360960">
      <w:pPr>
        <w:pStyle w:val="NoSpacing"/>
      </w:pPr>
    </w:p>
    <w:p w14:paraId="1EA39262" w14:textId="4811A6CB" w:rsidR="001B4ED5" w:rsidRPr="00895D0B" w:rsidRDefault="006B41C0">
      <w:pPr>
        <w:spacing w:line="360" w:lineRule="auto"/>
        <w:rPr>
          <w:rFonts w:eastAsiaTheme="minorEastAsia" w:cs="Times New Roman"/>
          <w:color w:val="000000" w:themeColor="text1"/>
          <w:szCs w:val="24"/>
        </w:rPr>
      </w:pPr>
      <m:oMath>
        <m:r>
          <w:rPr>
            <w:rFonts w:ascii="Cambria Math" w:hAnsi="Cambria Math" w:cs="Times New Roman"/>
            <w:color w:val="000000" w:themeColor="text1"/>
            <w:szCs w:val="24"/>
          </w:rPr>
          <m:t xml:space="preserve"> ANN=  </m:t>
        </m:r>
        <m:f>
          <m:fPr>
            <m:ctrlPr>
              <w:rPr>
                <w:rFonts w:ascii="Cambria Math" w:eastAsiaTheme="minorEastAsia" w:hAnsi="Cambria Math" w:cs="Times New Roman"/>
                <w:i/>
                <w:color w:val="000000" w:themeColor="text1"/>
                <w:szCs w:val="24"/>
              </w:rPr>
            </m:ctrlPr>
          </m:fPr>
          <m:num>
            <m:sSub>
              <m:sSubPr>
                <m:ctrlPr>
                  <w:rPr>
                    <w:rFonts w:ascii="Cambria Math" w:eastAsiaTheme="minorEastAsia" w:hAnsi="Cambria Math" w:cs="Times New Roman"/>
                    <w:i/>
                    <w:color w:val="000000" w:themeColor="text1"/>
                    <w:szCs w:val="24"/>
                  </w:rPr>
                </m:ctrlPr>
              </m:sSubPr>
              <m:e>
                <m:acc>
                  <m:accPr>
                    <m:chr m:val="̅"/>
                    <m:ctrlPr>
                      <w:rPr>
                        <w:rFonts w:ascii="Cambria Math" w:eastAsiaTheme="minorEastAsia" w:hAnsi="Cambria Math" w:cs="Times New Roman"/>
                        <w:i/>
                        <w:color w:val="000000" w:themeColor="text1"/>
                        <w:szCs w:val="24"/>
                      </w:rPr>
                    </m:ctrlPr>
                  </m:accPr>
                  <m:e>
                    <m:r>
                      <w:rPr>
                        <w:rFonts w:ascii="Cambria Math" w:eastAsiaTheme="minorEastAsia" w:hAnsi="Cambria Math" w:cs="Times New Roman"/>
                        <w:color w:val="000000" w:themeColor="text1"/>
                        <w:szCs w:val="24"/>
                      </w:rPr>
                      <m:t>D</m:t>
                    </m:r>
                  </m:e>
                </m:acc>
              </m:e>
              <m:sub>
                <m:r>
                  <w:rPr>
                    <w:rFonts w:ascii="Cambria Math" w:eastAsiaTheme="minorEastAsia" w:hAnsi="Cambria Math" w:cs="Times New Roman"/>
                    <w:color w:val="000000" w:themeColor="text1"/>
                    <w:szCs w:val="24"/>
                  </w:rPr>
                  <m:t>1</m:t>
                </m:r>
              </m:sub>
            </m:sSub>
          </m:num>
          <m:den>
            <m:sSub>
              <m:sSubPr>
                <m:ctrlPr>
                  <w:rPr>
                    <w:rFonts w:ascii="Cambria Math" w:eastAsiaTheme="minorEastAsia" w:hAnsi="Cambria Math" w:cs="Times New Roman"/>
                    <w:i/>
                    <w:color w:val="000000" w:themeColor="text1"/>
                    <w:szCs w:val="24"/>
                  </w:rPr>
                </m:ctrlPr>
              </m:sSubPr>
              <m:e>
                <m:acc>
                  <m:accPr>
                    <m:chr m:val="̅"/>
                    <m:ctrlPr>
                      <w:rPr>
                        <w:rFonts w:ascii="Cambria Math" w:eastAsiaTheme="minorEastAsia" w:hAnsi="Cambria Math" w:cs="Times New Roman"/>
                        <w:i/>
                        <w:color w:val="000000" w:themeColor="text1"/>
                        <w:szCs w:val="24"/>
                      </w:rPr>
                    </m:ctrlPr>
                  </m:accPr>
                  <m:e>
                    <m:r>
                      <w:rPr>
                        <w:rFonts w:ascii="Cambria Math" w:eastAsiaTheme="minorEastAsia" w:hAnsi="Cambria Math" w:cs="Times New Roman"/>
                        <w:color w:val="000000" w:themeColor="text1"/>
                        <w:szCs w:val="24"/>
                      </w:rPr>
                      <m:t>D</m:t>
                    </m:r>
                  </m:e>
                </m:acc>
              </m:e>
              <m:sub>
                <m:r>
                  <w:rPr>
                    <w:rFonts w:ascii="Cambria Math" w:eastAsiaTheme="minorEastAsia" w:hAnsi="Cambria Math" w:cs="Times New Roman"/>
                    <w:color w:val="000000" w:themeColor="text1"/>
                    <w:szCs w:val="24"/>
                  </w:rPr>
                  <m:t>e</m:t>
                </m:r>
              </m:sub>
            </m:sSub>
          </m:den>
        </m:f>
        <m:r>
          <w:rPr>
            <w:rFonts w:ascii="Cambria Math" w:hAnsi="Cambria Math" w:cs="Times New Roman"/>
            <w:color w:val="000000" w:themeColor="text1"/>
            <w:szCs w:val="24"/>
          </w:rPr>
          <m:t xml:space="preserve"> </m:t>
        </m:r>
      </m:oMath>
      <w:r w:rsidRPr="00895D0B">
        <w:rPr>
          <w:rFonts w:eastAsiaTheme="minorEastAsia" w:cs="Times New Roman"/>
          <w:color w:val="000000" w:themeColor="text1"/>
          <w:szCs w:val="24"/>
        </w:rPr>
        <w:t>…………</w:t>
      </w:r>
      <w:r w:rsidR="00E24FF1" w:rsidRPr="00895D0B">
        <w:rPr>
          <w:rFonts w:eastAsiaTheme="minorEastAsia" w:cs="Times New Roman"/>
          <w:color w:val="000000" w:themeColor="text1"/>
          <w:szCs w:val="24"/>
        </w:rPr>
        <w:t>………………………………………………………………[1]</w:t>
      </w:r>
    </w:p>
    <w:p w14:paraId="04337FBD" w14:textId="77777777" w:rsidR="001B4ED5" w:rsidRPr="00895D0B" w:rsidRDefault="006B41C0">
      <w:pPr>
        <w:spacing w:line="360" w:lineRule="auto"/>
        <w:rPr>
          <w:rFonts w:eastAsiaTheme="minorEastAsia" w:cs="Times New Roman"/>
          <w:color w:val="000000" w:themeColor="text1"/>
          <w:szCs w:val="24"/>
        </w:rPr>
      </w:pPr>
      <m:oMathPara>
        <m:oMath>
          <m:r>
            <m:rPr>
              <m:sty m:val="p"/>
            </m:rPr>
            <w:rPr>
              <w:rFonts w:ascii="Cambria Math" w:hAnsi="Cambria Math" w:cs="Times New Roman"/>
              <w:color w:val="000000" w:themeColor="text1"/>
              <w:szCs w:val="24"/>
            </w:rPr>
            <m:t xml:space="preserve">where </m:t>
          </m:r>
          <m:sSub>
            <m:sSubPr>
              <m:ctrlPr>
                <w:rPr>
                  <w:rFonts w:ascii="Cambria Math" w:eastAsiaTheme="minorEastAsia" w:hAnsi="Cambria Math" w:cs="Times New Roman"/>
                  <w:i/>
                  <w:color w:val="000000" w:themeColor="text1"/>
                  <w:szCs w:val="24"/>
                </w:rPr>
              </m:ctrlPr>
            </m:sSubPr>
            <m:e>
              <m:acc>
                <m:accPr>
                  <m:chr m:val="̅"/>
                  <m:ctrlPr>
                    <w:rPr>
                      <w:rFonts w:ascii="Cambria Math" w:eastAsiaTheme="minorEastAsia" w:hAnsi="Cambria Math" w:cs="Times New Roman"/>
                      <w:i/>
                      <w:color w:val="000000" w:themeColor="text1"/>
                      <w:szCs w:val="24"/>
                    </w:rPr>
                  </m:ctrlPr>
                </m:accPr>
                <m:e>
                  <m:r>
                    <w:rPr>
                      <w:rFonts w:ascii="Cambria Math" w:eastAsiaTheme="minorEastAsia" w:hAnsi="Cambria Math" w:cs="Times New Roman"/>
                      <w:color w:val="000000" w:themeColor="text1"/>
                      <w:szCs w:val="24"/>
                    </w:rPr>
                    <m:t>D</m:t>
                  </m:r>
                </m:e>
              </m:acc>
            </m:e>
            <m:sub>
              <m:r>
                <w:rPr>
                  <w:rFonts w:ascii="Cambria Math" w:eastAsiaTheme="minorEastAsia" w:hAnsi="Cambria Math" w:cs="Times New Roman"/>
                  <w:color w:val="000000" w:themeColor="text1"/>
                  <w:szCs w:val="24"/>
                </w:rPr>
                <m:t>1</m:t>
              </m:r>
            </m:sub>
          </m:sSub>
          <m:r>
            <m:rPr>
              <m:sty m:val="p"/>
            </m:rPr>
            <w:rPr>
              <w:rFonts w:ascii="Cambria Math" w:hAnsi="Cambria Math" w:cs="Times New Roman"/>
              <w:color w:val="000000" w:themeColor="text1"/>
              <w:szCs w:val="24"/>
            </w:rPr>
            <m:t xml:space="preserve"> stands for the distance between each observed feature and its nearest neighbor;</m:t>
          </m:r>
        </m:oMath>
      </m:oMathPara>
    </w:p>
    <w:p w14:paraId="46B829BC" w14:textId="6838A7AA" w:rsidR="001B4ED5" w:rsidRPr="00895D0B" w:rsidRDefault="00000000">
      <w:pPr>
        <w:spacing w:line="360" w:lineRule="auto"/>
        <w:rPr>
          <w:rFonts w:eastAsiaTheme="minorEastAsia" w:cs="Times New Roman"/>
          <w:color w:val="000000" w:themeColor="text1"/>
          <w:szCs w:val="24"/>
        </w:rPr>
      </w:pPr>
      <m:oMath>
        <m:sSub>
          <m:sSubPr>
            <m:ctrlPr>
              <w:rPr>
                <w:rFonts w:ascii="Cambria Math" w:eastAsiaTheme="minorEastAsia" w:hAnsi="Cambria Math" w:cs="Times New Roman"/>
                <w:i/>
                <w:color w:val="000000" w:themeColor="text1"/>
                <w:szCs w:val="24"/>
              </w:rPr>
            </m:ctrlPr>
          </m:sSubPr>
          <m:e>
            <m:acc>
              <m:accPr>
                <m:chr m:val="̅"/>
                <m:ctrlPr>
                  <w:rPr>
                    <w:rFonts w:ascii="Cambria Math" w:eastAsiaTheme="minorEastAsia" w:hAnsi="Cambria Math" w:cs="Times New Roman"/>
                    <w:i/>
                    <w:color w:val="000000" w:themeColor="text1"/>
                    <w:szCs w:val="24"/>
                  </w:rPr>
                </m:ctrlPr>
              </m:accPr>
              <m:e>
                <m:r>
                  <w:rPr>
                    <w:rFonts w:ascii="Cambria Math" w:eastAsiaTheme="minorEastAsia" w:hAnsi="Cambria Math" w:cs="Times New Roman"/>
                    <w:color w:val="000000" w:themeColor="text1"/>
                    <w:szCs w:val="24"/>
                  </w:rPr>
                  <m:t>D</m:t>
                </m:r>
              </m:e>
            </m:acc>
          </m:e>
          <m:sub>
            <m:r>
              <w:rPr>
                <w:rFonts w:ascii="Cambria Math" w:eastAsiaTheme="minorEastAsia" w:hAnsi="Cambria Math" w:cs="Times New Roman"/>
                <w:color w:val="000000" w:themeColor="text1"/>
                <w:szCs w:val="24"/>
              </w:rPr>
              <m:t>1</m:t>
            </m:r>
          </m:sub>
        </m:sSub>
        <m:r>
          <w:rPr>
            <w:rFonts w:ascii="Cambria Math" w:eastAsiaTheme="minorEastAsia" w:hAnsi="Cambria Math" w:cs="Times New Roman"/>
            <w:color w:val="000000" w:themeColor="text1"/>
            <w:szCs w:val="24"/>
          </w:rPr>
          <m:t>=</m:t>
        </m:r>
        <m:f>
          <m:fPr>
            <m:ctrlPr>
              <w:rPr>
                <w:rFonts w:ascii="Cambria Math" w:eastAsiaTheme="minorEastAsia" w:hAnsi="Cambria Math" w:cs="Times New Roman"/>
                <w:i/>
                <w:color w:val="000000" w:themeColor="text1"/>
                <w:szCs w:val="24"/>
              </w:rPr>
            </m:ctrlPr>
          </m:fPr>
          <m:num>
            <m:nary>
              <m:naryPr>
                <m:chr m:val="∑"/>
                <m:limLoc m:val="undOvr"/>
                <m:ctrlPr>
                  <w:rPr>
                    <w:rFonts w:ascii="Cambria Math" w:eastAsiaTheme="minorEastAsia" w:hAnsi="Cambria Math" w:cs="Times New Roman"/>
                    <w:i/>
                    <w:color w:val="000000" w:themeColor="text1"/>
                    <w:szCs w:val="24"/>
                  </w:rPr>
                </m:ctrlPr>
              </m:naryPr>
              <m:sub>
                <m:r>
                  <w:rPr>
                    <w:rFonts w:ascii="Cambria Math" w:eastAsiaTheme="minorEastAsia" w:hAnsi="Cambria Math" w:cs="Times New Roman"/>
                    <w:color w:val="000000" w:themeColor="text1"/>
                    <w:szCs w:val="24"/>
                  </w:rPr>
                  <m:t>i=1</m:t>
                </m:r>
              </m:sub>
              <m:sup>
                <m:r>
                  <w:rPr>
                    <w:rFonts w:ascii="Cambria Math" w:eastAsiaTheme="minorEastAsia" w:hAnsi="Cambria Math" w:cs="Times New Roman"/>
                    <w:color w:val="000000" w:themeColor="text1"/>
                    <w:szCs w:val="24"/>
                  </w:rPr>
                  <m:t>n</m:t>
                </m:r>
              </m:sup>
              <m:e>
                <m:r>
                  <w:rPr>
                    <w:rFonts w:ascii="Cambria Math" w:eastAsiaTheme="minorEastAsia" w:hAnsi="Cambria Math" w:cs="Times New Roman"/>
                    <w:color w:val="000000" w:themeColor="text1"/>
                    <w:szCs w:val="24"/>
                  </w:rPr>
                  <m:t>di</m:t>
                </m:r>
              </m:e>
            </m:nary>
          </m:num>
          <m:den>
            <m:r>
              <w:rPr>
                <w:rFonts w:ascii="Cambria Math" w:eastAsiaTheme="minorEastAsia" w:hAnsi="Cambria Math" w:cs="Times New Roman"/>
                <w:color w:val="000000" w:themeColor="text1"/>
                <w:szCs w:val="24"/>
              </w:rPr>
              <m:t>n</m:t>
            </m:r>
          </m:den>
        </m:f>
      </m:oMath>
      <w:r w:rsidR="00E24FF1" w:rsidRPr="00895D0B">
        <w:rPr>
          <w:rFonts w:eastAsiaTheme="minorEastAsia" w:cs="Times New Roman"/>
          <w:color w:val="000000" w:themeColor="text1"/>
          <w:szCs w:val="24"/>
        </w:rPr>
        <w:t>…………………………………………………………………………[2]</w:t>
      </w:r>
    </w:p>
    <w:p w14:paraId="2225F45B" w14:textId="77777777" w:rsidR="001B4ED5" w:rsidRPr="00895D0B" w:rsidRDefault="006B41C0">
      <w:pPr>
        <w:spacing w:line="360" w:lineRule="auto"/>
        <w:rPr>
          <w:rFonts w:eastAsiaTheme="minorEastAsia" w:cs="Times New Roman"/>
          <w:color w:val="000000" w:themeColor="text1"/>
          <w:szCs w:val="24"/>
        </w:rPr>
      </w:pPr>
      <w:r w:rsidRPr="00895D0B">
        <w:rPr>
          <w:rFonts w:cs="Times New Roman"/>
          <w:color w:val="000000" w:themeColor="text1"/>
          <w:szCs w:val="24"/>
        </w:rPr>
        <w:t xml:space="preserve">The </w:t>
      </w:r>
      <m:oMath>
        <m:sSub>
          <m:sSubPr>
            <m:ctrlPr>
              <w:rPr>
                <w:rFonts w:ascii="Cambria Math" w:eastAsiaTheme="minorEastAsia" w:hAnsi="Cambria Math" w:cs="Times New Roman"/>
                <w:i/>
                <w:color w:val="000000" w:themeColor="text1"/>
                <w:szCs w:val="24"/>
              </w:rPr>
            </m:ctrlPr>
          </m:sSubPr>
          <m:e>
            <m:acc>
              <m:accPr>
                <m:chr m:val="̅"/>
                <m:ctrlPr>
                  <w:rPr>
                    <w:rFonts w:ascii="Cambria Math" w:eastAsiaTheme="minorEastAsia" w:hAnsi="Cambria Math" w:cs="Times New Roman"/>
                    <w:i/>
                    <w:color w:val="000000" w:themeColor="text1"/>
                    <w:szCs w:val="24"/>
                  </w:rPr>
                </m:ctrlPr>
              </m:accPr>
              <m:e>
                <m:r>
                  <w:rPr>
                    <w:rFonts w:ascii="Cambria Math" w:eastAsiaTheme="minorEastAsia" w:hAnsi="Cambria Math" w:cs="Times New Roman"/>
                    <w:color w:val="000000" w:themeColor="text1"/>
                    <w:szCs w:val="24"/>
                  </w:rPr>
                  <m:t>D</m:t>
                </m:r>
              </m:e>
            </m:acc>
          </m:e>
          <m:sub>
            <m:r>
              <w:rPr>
                <w:rFonts w:ascii="Cambria Math" w:eastAsiaTheme="minorEastAsia" w:hAnsi="Cambria Math" w:cs="Times New Roman"/>
                <w:color w:val="000000" w:themeColor="text1"/>
                <w:szCs w:val="24"/>
              </w:rPr>
              <m:t>e</m:t>
            </m:r>
          </m:sub>
        </m:sSub>
      </m:oMath>
      <w:r w:rsidRPr="00895D0B">
        <w:rPr>
          <w:rFonts w:eastAsiaTheme="minorEastAsia" w:cs="Times New Roman"/>
          <w:color w:val="000000" w:themeColor="text1"/>
          <w:szCs w:val="24"/>
        </w:rPr>
        <w:t xml:space="preserve"> in the above equation represents the distance of the expected mean for the attributes in a random pattern;</w:t>
      </w:r>
    </w:p>
    <w:p w14:paraId="251BFF7B" w14:textId="60851081" w:rsidR="001B4ED5" w:rsidRPr="00895D0B" w:rsidRDefault="00000000">
      <w:pPr>
        <w:spacing w:line="360" w:lineRule="auto"/>
        <w:rPr>
          <w:rFonts w:cs="Times New Roman"/>
          <w:color w:val="000000" w:themeColor="text1"/>
          <w:szCs w:val="24"/>
        </w:rPr>
      </w:pPr>
      <m:oMath>
        <m:sSub>
          <m:sSubPr>
            <m:ctrlPr>
              <w:rPr>
                <w:rFonts w:ascii="Cambria Math" w:eastAsiaTheme="minorEastAsia" w:hAnsi="Cambria Math" w:cs="Times New Roman"/>
                <w:i/>
                <w:color w:val="000000" w:themeColor="text1"/>
                <w:szCs w:val="24"/>
              </w:rPr>
            </m:ctrlPr>
          </m:sSubPr>
          <m:e>
            <m:acc>
              <m:accPr>
                <m:chr m:val="̅"/>
                <m:ctrlPr>
                  <w:rPr>
                    <w:rFonts w:ascii="Cambria Math" w:eastAsiaTheme="minorEastAsia" w:hAnsi="Cambria Math" w:cs="Times New Roman"/>
                    <w:i/>
                    <w:color w:val="000000" w:themeColor="text1"/>
                    <w:szCs w:val="24"/>
                  </w:rPr>
                </m:ctrlPr>
              </m:accPr>
              <m:e>
                <m:r>
                  <w:rPr>
                    <w:rFonts w:ascii="Cambria Math" w:eastAsiaTheme="minorEastAsia" w:hAnsi="Cambria Math" w:cs="Times New Roman"/>
                    <w:color w:val="000000" w:themeColor="text1"/>
                    <w:szCs w:val="24"/>
                  </w:rPr>
                  <m:t>D</m:t>
                </m:r>
              </m:e>
            </m:acc>
          </m:e>
          <m:sub>
            <m:r>
              <w:rPr>
                <w:rFonts w:ascii="Cambria Math" w:eastAsiaTheme="minorEastAsia" w:hAnsi="Cambria Math" w:cs="Times New Roman"/>
                <w:color w:val="000000" w:themeColor="text1"/>
                <w:szCs w:val="24"/>
              </w:rPr>
              <m:t>e</m:t>
            </m:r>
          </m:sub>
        </m:sSub>
        <m:r>
          <w:rPr>
            <w:rFonts w:ascii="Cambria Math" w:hAnsi="Cambria Math" w:cs="Times New Roman"/>
            <w:color w:val="000000" w:themeColor="text1"/>
            <w:szCs w:val="24"/>
          </w:rPr>
          <m:t>=</m:t>
        </m:r>
        <m:f>
          <m:fPr>
            <m:ctrlPr>
              <w:rPr>
                <w:rFonts w:ascii="Cambria Math" w:hAnsi="Cambria Math" w:cs="Times New Roman"/>
                <w:i/>
                <w:color w:val="000000" w:themeColor="text1"/>
                <w:szCs w:val="24"/>
              </w:rPr>
            </m:ctrlPr>
          </m:fPr>
          <m:num>
            <m:r>
              <w:rPr>
                <w:rFonts w:ascii="Cambria Math" w:hAnsi="Cambria Math" w:cs="Times New Roman"/>
                <w:color w:val="000000" w:themeColor="text1"/>
                <w:szCs w:val="24"/>
              </w:rPr>
              <m:t>0.5</m:t>
            </m:r>
          </m:num>
          <m:den>
            <m:rad>
              <m:radPr>
                <m:degHide m:val="1"/>
                <m:ctrlPr>
                  <w:rPr>
                    <w:rFonts w:ascii="Cambria Math" w:hAnsi="Cambria Math" w:cs="Times New Roman"/>
                    <w:i/>
                    <w:color w:val="000000" w:themeColor="text1"/>
                    <w:szCs w:val="24"/>
                  </w:rPr>
                </m:ctrlPr>
              </m:radPr>
              <m:deg/>
              <m:e>
                <m:r>
                  <w:rPr>
                    <w:rFonts w:ascii="Cambria Math" w:hAnsi="Cambria Math" w:cs="Times New Roman"/>
                    <w:color w:val="000000" w:themeColor="text1"/>
                    <w:szCs w:val="24"/>
                  </w:rPr>
                  <m:t>n/Ḁ</m:t>
                </m:r>
              </m:e>
            </m:rad>
          </m:den>
        </m:f>
      </m:oMath>
      <w:r w:rsidR="006B41C0" w:rsidRPr="00895D0B">
        <w:rPr>
          <w:rFonts w:eastAsiaTheme="minorEastAsia" w:cs="Times New Roman"/>
          <w:color w:val="000000" w:themeColor="text1"/>
          <w:szCs w:val="24"/>
        </w:rPr>
        <w:t>……………...</w:t>
      </w:r>
      <w:r w:rsidR="00E24FF1" w:rsidRPr="00895D0B">
        <w:rPr>
          <w:rFonts w:eastAsiaTheme="minorEastAsia" w:cs="Times New Roman"/>
          <w:color w:val="000000" w:themeColor="text1"/>
          <w:szCs w:val="24"/>
        </w:rPr>
        <w:t>..………………………….……………………………….[</w:t>
      </w:r>
      <w:r w:rsidR="006B41C0" w:rsidRPr="00895D0B">
        <w:rPr>
          <w:rFonts w:eastAsiaTheme="minorEastAsia" w:cs="Times New Roman"/>
          <w:color w:val="000000" w:themeColor="text1"/>
          <w:szCs w:val="24"/>
        </w:rPr>
        <w:t>3</w:t>
      </w:r>
      <w:r w:rsidR="00E24FF1" w:rsidRPr="00895D0B">
        <w:rPr>
          <w:rFonts w:eastAsiaTheme="minorEastAsia" w:cs="Times New Roman"/>
          <w:color w:val="000000" w:themeColor="text1"/>
          <w:szCs w:val="24"/>
        </w:rPr>
        <w:t>]</w:t>
      </w:r>
      <w:r w:rsidR="006B41C0" w:rsidRPr="00895D0B">
        <w:rPr>
          <w:rFonts w:eastAsiaTheme="minorEastAsia" w:cs="Times New Roman"/>
          <w:color w:val="000000" w:themeColor="text1"/>
          <w:szCs w:val="24"/>
        </w:rPr>
        <w:t xml:space="preserve"> </w:t>
      </w:r>
    </w:p>
    <w:p w14:paraId="3E24E2E8" w14:textId="77777777" w:rsidR="001B4ED5" w:rsidRPr="00895D0B" w:rsidRDefault="006B41C0">
      <w:pPr>
        <w:spacing w:line="360" w:lineRule="auto"/>
        <w:rPr>
          <w:rFonts w:eastAsiaTheme="minorEastAsia" w:cs="Times New Roman"/>
          <w:color w:val="000000" w:themeColor="text1"/>
          <w:szCs w:val="24"/>
        </w:rPr>
      </w:pPr>
      <w:r w:rsidRPr="00895D0B">
        <w:rPr>
          <w:rFonts w:cs="Times New Roman"/>
          <w:color w:val="000000" w:themeColor="text1"/>
          <w:szCs w:val="24"/>
        </w:rPr>
        <w:t xml:space="preserve">In equation (3), </w:t>
      </w:r>
      <m:oMath>
        <m:r>
          <w:rPr>
            <w:rFonts w:ascii="Cambria Math" w:hAnsi="Cambria Math" w:cs="Times New Roman"/>
            <w:color w:val="000000" w:themeColor="text1"/>
            <w:szCs w:val="24"/>
          </w:rPr>
          <m:t>di</m:t>
        </m:r>
      </m:oMath>
      <w:r w:rsidRPr="00895D0B">
        <w:rPr>
          <w:rFonts w:cs="Times New Roman"/>
          <w:color w:val="000000" w:themeColor="text1"/>
          <w:szCs w:val="24"/>
        </w:rPr>
        <w:t xml:space="preserve"> represents attribute </w:t>
      </w:r>
      <m:oMath>
        <m:r>
          <w:rPr>
            <w:rFonts w:ascii="Cambria Math" w:hAnsi="Cambria Math" w:cs="Times New Roman"/>
            <w:color w:val="000000" w:themeColor="text1"/>
            <w:szCs w:val="24"/>
          </w:rPr>
          <m:t>i</m:t>
        </m:r>
      </m:oMath>
      <w:r w:rsidRPr="00895D0B">
        <w:rPr>
          <w:rFonts w:cs="Times New Roman"/>
          <w:color w:val="000000" w:themeColor="text1"/>
          <w:szCs w:val="24"/>
        </w:rPr>
        <w:t xml:space="preserve"> and its nearest neighbour, </w:t>
      </w:r>
      <m:oMath>
        <m:r>
          <w:rPr>
            <w:rFonts w:ascii="Cambria Math" w:hAnsi="Cambria Math" w:cs="Times New Roman"/>
            <w:color w:val="000000" w:themeColor="text1"/>
            <w:szCs w:val="24"/>
          </w:rPr>
          <m:t>n</m:t>
        </m:r>
      </m:oMath>
      <w:r w:rsidRPr="00895D0B">
        <w:rPr>
          <w:rFonts w:eastAsiaTheme="minorEastAsia" w:cs="Times New Roman"/>
          <w:color w:val="000000" w:themeColor="text1"/>
          <w:szCs w:val="24"/>
        </w:rPr>
        <w:t xml:space="preserve"> is the total number of attributes and </w:t>
      </w:r>
      <m:oMath>
        <m:r>
          <w:rPr>
            <w:rFonts w:ascii="Cambria Math" w:hAnsi="Cambria Math" w:cs="Times New Roman"/>
            <w:color w:val="000000" w:themeColor="text1"/>
            <w:szCs w:val="24"/>
          </w:rPr>
          <m:t>Ḁ</m:t>
        </m:r>
      </m:oMath>
      <w:r w:rsidRPr="00895D0B">
        <w:rPr>
          <w:rFonts w:eastAsiaTheme="minorEastAsia" w:cs="Times New Roman"/>
          <w:color w:val="000000" w:themeColor="text1"/>
          <w:szCs w:val="24"/>
        </w:rPr>
        <w:t xml:space="preserve"> stands for the minimum closed area or a rectangle around an attribute. In this, the ANN z-score in driving at the statistics is computed as;</w:t>
      </w:r>
    </w:p>
    <w:p w14:paraId="2821B43A" w14:textId="6BD70658" w:rsidR="001B4ED5" w:rsidRPr="00895D0B" w:rsidRDefault="006B41C0">
      <w:pPr>
        <w:spacing w:line="360" w:lineRule="auto"/>
        <w:rPr>
          <w:rFonts w:eastAsiaTheme="minorEastAsia" w:cs="Times New Roman"/>
          <w:color w:val="000000" w:themeColor="text1"/>
          <w:szCs w:val="24"/>
        </w:rPr>
      </w:pPr>
      <m:oMath>
        <m:r>
          <w:rPr>
            <w:rFonts w:ascii="Cambria Math" w:hAnsi="Cambria Math" w:cs="Times New Roman"/>
            <w:color w:val="000000" w:themeColor="text1"/>
            <w:szCs w:val="24"/>
          </w:rPr>
          <m:t xml:space="preserve">z= </m:t>
        </m:r>
        <m:f>
          <m:fPr>
            <m:ctrlPr>
              <w:rPr>
                <w:rFonts w:ascii="Cambria Math" w:hAnsi="Cambria Math" w:cs="Times New Roman"/>
                <w:i/>
                <w:color w:val="000000" w:themeColor="text1"/>
                <w:szCs w:val="24"/>
              </w:rPr>
            </m:ctrlPr>
          </m:fPr>
          <m:num>
            <m:sSub>
              <m:sSubPr>
                <m:ctrlPr>
                  <w:rPr>
                    <w:rFonts w:ascii="Cambria Math" w:eastAsiaTheme="minorEastAsia" w:hAnsi="Cambria Math" w:cs="Times New Roman"/>
                    <w:i/>
                    <w:color w:val="000000" w:themeColor="text1"/>
                    <w:szCs w:val="24"/>
                  </w:rPr>
                </m:ctrlPr>
              </m:sSubPr>
              <m:e>
                <m:acc>
                  <m:accPr>
                    <m:chr m:val="̅"/>
                    <m:ctrlPr>
                      <w:rPr>
                        <w:rFonts w:ascii="Cambria Math" w:eastAsiaTheme="minorEastAsia" w:hAnsi="Cambria Math" w:cs="Times New Roman"/>
                        <w:i/>
                        <w:color w:val="000000" w:themeColor="text1"/>
                        <w:szCs w:val="24"/>
                      </w:rPr>
                    </m:ctrlPr>
                  </m:accPr>
                  <m:e>
                    <m:r>
                      <w:rPr>
                        <w:rFonts w:ascii="Cambria Math" w:eastAsiaTheme="minorEastAsia" w:hAnsi="Cambria Math" w:cs="Times New Roman"/>
                        <w:color w:val="000000" w:themeColor="text1"/>
                        <w:szCs w:val="24"/>
                      </w:rPr>
                      <m:t>D</m:t>
                    </m:r>
                  </m:e>
                </m:acc>
              </m:e>
              <m:sub>
                <m:r>
                  <w:rPr>
                    <w:rFonts w:ascii="Cambria Math" w:eastAsiaTheme="minorEastAsia" w:hAnsi="Cambria Math" w:cs="Times New Roman"/>
                    <w:color w:val="000000" w:themeColor="text1"/>
                    <w:szCs w:val="24"/>
                  </w:rPr>
                  <m:t>1</m:t>
                </m:r>
              </m:sub>
            </m:sSub>
            <m:r>
              <w:rPr>
                <w:rFonts w:ascii="Cambria Math" w:eastAsiaTheme="minorEastAsia"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acc>
                  <m:accPr>
                    <m:chr m:val="̅"/>
                    <m:ctrlPr>
                      <w:rPr>
                        <w:rFonts w:ascii="Cambria Math" w:eastAsiaTheme="minorEastAsia" w:hAnsi="Cambria Math" w:cs="Times New Roman"/>
                        <w:i/>
                        <w:color w:val="000000" w:themeColor="text1"/>
                        <w:szCs w:val="24"/>
                      </w:rPr>
                    </m:ctrlPr>
                  </m:accPr>
                  <m:e>
                    <m:r>
                      <w:rPr>
                        <w:rFonts w:ascii="Cambria Math" w:eastAsiaTheme="minorEastAsia" w:hAnsi="Cambria Math" w:cs="Times New Roman"/>
                        <w:color w:val="000000" w:themeColor="text1"/>
                        <w:szCs w:val="24"/>
                      </w:rPr>
                      <m:t>D</m:t>
                    </m:r>
                  </m:e>
                </m:acc>
              </m:e>
              <m:sub>
                <m:r>
                  <w:rPr>
                    <w:rFonts w:ascii="Cambria Math" w:eastAsiaTheme="minorEastAsia" w:hAnsi="Cambria Math" w:cs="Times New Roman"/>
                    <w:color w:val="000000" w:themeColor="text1"/>
                    <w:szCs w:val="24"/>
                  </w:rPr>
                  <m:t>e</m:t>
                </m:r>
              </m:sub>
            </m:sSub>
          </m:num>
          <m:den>
            <m:r>
              <w:rPr>
                <w:rFonts w:ascii="Cambria Math" w:hAnsi="Cambria Math" w:cs="Times New Roman"/>
                <w:color w:val="000000" w:themeColor="text1"/>
                <w:szCs w:val="24"/>
              </w:rPr>
              <m:t>se</m:t>
            </m:r>
          </m:den>
        </m:f>
      </m:oMath>
      <w:r w:rsidRPr="00895D0B">
        <w:rPr>
          <w:rFonts w:eastAsiaTheme="minorEastAsia" w:cs="Times New Roman"/>
          <w:color w:val="000000" w:themeColor="text1"/>
          <w:szCs w:val="24"/>
        </w:rPr>
        <w:t>…………</w:t>
      </w:r>
      <w:r w:rsidR="00E24FF1" w:rsidRPr="00895D0B">
        <w:rPr>
          <w:rFonts w:eastAsiaTheme="minorEastAsia" w:cs="Times New Roman"/>
          <w:color w:val="000000" w:themeColor="text1"/>
          <w:szCs w:val="24"/>
        </w:rPr>
        <w:t>……………………………………………………………….[</w:t>
      </w:r>
      <w:r w:rsidRPr="00895D0B">
        <w:rPr>
          <w:rFonts w:eastAsiaTheme="minorEastAsia" w:cs="Times New Roman"/>
          <w:color w:val="000000" w:themeColor="text1"/>
          <w:szCs w:val="24"/>
        </w:rPr>
        <w:t>4</w:t>
      </w:r>
      <w:r w:rsidR="00E24FF1" w:rsidRPr="00895D0B">
        <w:rPr>
          <w:rFonts w:eastAsiaTheme="minorEastAsia" w:cs="Times New Roman"/>
          <w:color w:val="000000" w:themeColor="text1"/>
          <w:szCs w:val="24"/>
        </w:rPr>
        <w:t>]</w:t>
      </w:r>
    </w:p>
    <w:p w14:paraId="300BD5A9" w14:textId="77777777" w:rsidR="001B4ED5" w:rsidRPr="00895D0B" w:rsidRDefault="006B41C0">
      <w:pPr>
        <w:spacing w:line="360" w:lineRule="auto"/>
        <w:rPr>
          <w:rFonts w:eastAsiaTheme="minorEastAsia" w:cs="Times New Roman"/>
          <w:color w:val="000000" w:themeColor="text1"/>
          <w:szCs w:val="24"/>
        </w:rPr>
      </w:pPr>
      <w:r w:rsidRPr="00895D0B">
        <w:rPr>
          <w:rFonts w:eastAsiaTheme="minorEastAsia" w:cs="Times New Roman"/>
          <w:color w:val="000000" w:themeColor="text1"/>
          <w:szCs w:val="24"/>
        </w:rPr>
        <w:t>Where</w:t>
      </w:r>
    </w:p>
    <w:p w14:paraId="51107DE6" w14:textId="331B43DF" w:rsidR="001B4ED5" w:rsidRDefault="006B41C0">
      <w:pPr>
        <w:spacing w:line="360" w:lineRule="auto"/>
        <w:jc w:val="center"/>
        <w:rPr>
          <w:rFonts w:eastAsiaTheme="minorEastAsia" w:cs="Times New Roman"/>
          <w:color w:val="000000" w:themeColor="text1"/>
          <w:szCs w:val="24"/>
        </w:rPr>
      </w:pPr>
      <w:r w:rsidRPr="00895D0B">
        <w:rPr>
          <w:rFonts w:eastAsiaTheme="minorEastAsia" w:cs="Times New Roman"/>
          <w:color w:val="000000" w:themeColor="text1"/>
          <w:szCs w:val="24"/>
        </w:rPr>
        <w:t xml:space="preserve"> </w:t>
      </w:r>
      <m:oMath>
        <m:r>
          <w:rPr>
            <w:rFonts w:ascii="Cambria Math" w:eastAsiaTheme="minorEastAsia" w:hAnsi="Cambria Math" w:cs="Times New Roman"/>
            <w:color w:val="000000" w:themeColor="text1"/>
            <w:szCs w:val="24"/>
          </w:rPr>
          <m:t>se=</m:t>
        </m:r>
        <m:f>
          <m:fPr>
            <m:ctrlPr>
              <w:rPr>
                <w:rFonts w:ascii="Cambria Math" w:hAnsi="Cambria Math" w:cs="Times New Roman"/>
                <w:i/>
                <w:color w:val="000000" w:themeColor="text1"/>
                <w:szCs w:val="24"/>
              </w:rPr>
            </m:ctrlPr>
          </m:fPr>
          <m:num>
            <m:r>
              <w:rPr>
                <w:rFonts w:ascii="Cambria Math" w:hAnsi="Cambria Math" w:cs="Times New Roman"/>
                <w:color w:val="000000" w:themeColor="text1"/>
                <w:szCs w:val="24"/>
              </w:rPr>
              <m:t>0.5</m:t>
            </m:r>
          </m:num>
          <m:den>
            <m:rad>
              <m:radPr>
                <m:degHide m:val="1"/>
                <m:ctrlPr>
                  <w:rPr>
                    <w:rFonts w:ascii="Cambria Math" w:hAnsi="Cambria Math" w:cs="Times New Roman"/>
                    <w:i/>
                    <w:color w:val="000000" w:themeColor="text1"/>
                    <w:szCs w:val="24"/>
                  </w:rPr>
                </m:ctrlPr>
              </m:radPr>
              <m:deg/>
              <m:e>
                <m:sSup>
                  <m:sSupPr>
                    <m:ctrlPr>
                      <w:rPr>
                        <w:rFonts w:ascii="Cambria Math" w:hAnsi="Cambria Math" w:cs="Times New Roman"/>
                        <w:i/>
                        <w:color w:val="000000" w:themeColor="text1"/>
                        <w:szCs w:val="24"/>
                      </w:rPr>
                    </m:ctrlPr>
                  </m:sSupPr>
                  <m:e>
                    <m:r>
                      <w:rPr>
                        <w:rFonts w:ascii="Cambria Math" w:hAnsi="Cambria Math" w:cs="Times New Roman"/>
                        <w:color w:val="000000" w:themeColor="text1"/>
                        <w:szCs w:val="24"/>
                      </w:rPr>
                      <m:t>n</m:t>
                    </m:r>
                  </m:e>
                  <m:sup>
                    <m:r>
                      <w:rPr>
                        <w:rFonts w:ascii="Cambria Math" w:hAnsi="Cambria Math" w:cs="Times New Roman"/>
                        <w:color w:val="000000" w:themeColor="text1"/>
                        <w:szCs w:val="24"/>
                      </w:rPr>
                      <m:t>2</m:t>
                    </m:r>
                  </m:sup>
                </m:sSup>
                <m:r>
                  <w:rPr>
                    <w:rFonts w:ascii="Cambria Math" w:hAnsi="Cambria Math" w:cs="Times New Roman"/>
                    <w:color w:val="000000" w:themeColor="text1"/>
                    <w:szCs w:val="24"/>
                  </w:rPr>
                  <m:t>/Ḁ</m:t>
                </m:r>
              </m:e>
            </m:rad>
          </m:den>
        </m:f>
      </m:oMath>
      <w:r w:rsidR="00E24FF1" w:rsidRPr="00895D0B">
        <w:rPr>
          <w:rFonts w:eastAsiaTheme="minorEastAsia" w:cs="Times New Roman"/>
          <w:color w:val="000000" w:themeColor="text1"/>
          <w:szCs w:val="24"/>
        </w:rPr>
        <w:t>……………………………………………………………………</w:t>
      </w:r>
      <w:r w:rsidRPr="00895D0B">
        <w:rPr>
          <w:rFonts w:eastAsiaTheme="minorEastAsia" w:cs="Times New Roman"/>
          <w:color w:val="000000" w:themeColor="text1"/>
          <w:szCs w:val="24"/>
        </w:rPr>
        <w:t>…</w:t>
      </w:r>
      <w:r w:rsidR="00E24FF1" w:rsidRPr="00895D0B">
        <w:rPr>
          <w:rFonts w:eastAsiaTheme="minorEastAsia" w:cs="Times New Roman"/>
          <w:color w:val="000000" w:themeColor="text1"/>
          <w:szCs w:val="24"/>
        </w:rPr>
        <w:t>[</w:t>
      </w:r>
      <w:r w:rsidRPr="00895D0B">
        <w:rPr>
          <w:rFonts w:eastAsiaTheme="minorEastAsia" w:cs="Times New Roman"/>
          <w:color w:val="000000" w:themeColor="text1"/>
          <w:szCs w:val="24"/>
        </w:rPr>
        <w:t>5</w:t>
      </w:r>
      <w:r w:rsidR="00E24FF1" w:rsidRPr="00895D0B">
        <w:rPr>
          <w:rFonts w:eastAsiaTheme="minorEastAsia" w:cs="Times New Roman"/>
          <w:color w:val="000000" w:themeColor="text1"/>
          <w:szCs w:val="24"/>
        </w:rPr>
        <w:t>]</w:t>
      </w:r>
      <w:r w:rsidRPr="00895D0B">
        <w:rPr>
          <w:rFonts w:eastAsiaTheme="minorEastAsia" w:cs="Times New Roman"/>
          <w:color w:val="000000" w:themeColor="text1"/>
          <w:szCs w:val="24"/>
        </w:rPr>
        <w:t xml:space="preserve"> </w:t>
      </w:r>
    </w:p>
    <w:p w14:paraId="1720C9CD" w14:textId="77777777" w:rsidR="002D7F3D" w:rsidRPr="00895D0B" w:rsidRDefault="002D7F3D" w:rsidP="002D7F3D">
      <w:pPr>
        <w:pStyle w:val="NoSpacing"/>
      </w:pPr>
    </w:p>
    <w:p w14:paraId="00BAC1AA"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The model implies that if the average nearest neighbour ratio, or index, is smaller than 1, clustering is present in the pattern. The trend is toward dispersion if the index is higher than 1. The average nearest neighbour distance index (1) and z-score (4) equations are based on the presumption that the points being measured are free to locate </w:t>
      </w:r>
      <w:r w:rsidRPr="00895D0B">
        <w:rPr>
          <w:rFonts w:cs="Times New Roman"/>
          <w:color w:val="000000" w:themeColor="text1"/>
          <w:szCs w:val="24"/>
        </w:rPr>
        <w:lastRenderedPageBreak/>
        <w:t>anywhere within the study area (for instance, there are no obstructions and all cases or features are located independently of one another). The p-value, which is constrained by the test statistic, is a numerical estimate of the area under the curve for a known distribution (Alam et al., 2012).</w:t>
      </w:r>
    </w:p>
    <w:p w14:paraId="17169693" w14:textId="3F9D4341" w:rsidR="001B4ED5" w:rsidRPr="00895D0B" w:rsidRDefault="001B4ED5" w:rsidP="002D7F3D">
      <w:pPr>
        <w:pStyle w:val="NoSpacing"/>
      </w:pPr>
    </w:p>
    <w:p w14:paraId="589B36BE" w14:textId="7777777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Estimation of binary logistic models</w:t>
      </w:r>
    </w:p>
    <w:p w14:paraId="558FF518"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As part of the quantitative analysis, the study intended to use a binary logistic regression model to estimate some demographic features that influence urban residents’ participation in crop and animal production. This model was used to determine the factors that influence the decision to participate in crops and animal production in an urban neighbourhood. This offered an opportunity to examine households’ characteristics that can best explain their participation in crop and animal production in urban neighbourhoods.  The respondents (household heads) were asked to respond to questions with two responses, pre-coded 0 and 1 for yes or no. As such the binary model took the value of 1 and 0 to aid the modelling process. This made it possible to obtain the odds ratio by employing many explanatory variables. Furthermore, the researcher got the opportunity to use continuous variables at the same time. This made the binary logistic regression model user-friendly as compared to that of the linear regression model in the scientific fields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{"citationItems":[{"id":"ITEM-1","itemData":{"DOI":"10.1080/09712119.2016.1208099","ISSN":"09741844","abstract":"India is blessed with the highest population of dairy animals, but has very poor productivity per se, which may be due to various factors such as lack of improved breeding and feeding services, access to markets, capital, inputs and technology. Although professionals have pointed out artificial insemination (AI) as an emerging technology of socio-economic importance, the ground realities or practices about AI is entirely different. With this theoretical background, an attempt was made to study the adoption status of AI and also to identify factors affecting adoption of AI in India by both qualitative and quantitative methods from 360 dairy farmers in four states of North India. The adoption status of AI pointed out that majority of the respondents had adopted AI since more than 9 years, which was mostly partial in nature. Multinomial logit model depicted the Chi-square value of 113.97, indicating that the model was highly significant (p &lt;.001). Two variables (‘distance to veterinary institution’ and ‘education’) significantly influenced the probability of partial and full adoption of AI. In case of full adoption, in addition to the above variables, ‘size of livestock holding’ and ‘scientific orientation’ also emerged as significant variables. Since majority of the dairy farmers were in partial adoption category, scientists have to analyse the problems of dairy farmers and find suitable solutions for higher diffusion and adoption at field conditions by participatory technology generation and transfer approach in India.","author":[{"dropping-particle":"","family":"Rathod","given":"Prakashkumar","non-dropping-particle":"","parse-names":false,"suffix":""},{"dropping-particle":"","family":"Chander","given":"Mahesh","non-dropping-particle":"","parse-names":false,"suffix":""},{"dropping-particle":"","family":"Chethan Sharma","given":"G.","non-dropping-particle":"","parse-names":false,"suffix":""}],"container-title":"Journal of Applied Animal Research","id":"ITEM-1","issue":"1","issued":{"date-parts":[["2017"]]},"page":"442-446","title":"Adoption status of artificial insemination in Indian dairy sector: Application of multinomial logit model","type":"article-journal","volume":"45"},"uris":["http://www.mendeley.com/documents/?uuid=ea27d32b-3651-4673-95cc-1eebe11dfee3"]}],"mendeley":{"formattedCitation":"(Rathod et al., 2017)","manualFormatting":"(Rathod et al., 2017","plainTextFormattedCitation":"(Rathod et al., 2017)","previouslyFormattedCitation":"(Rathod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(Rathod et al., 2017</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{"citationItems":[{"id":"ITEM-1","itemData":{"author":[{"dropping-particle":"","family":"Takele","given":"Melaku Tarekegn","non-dropping-particle":"","parse-names":false,"suffix":""},{"dropping-particle":"","family":"Umer","given":"Mehammed Ibrahim","non-dropping-particle":"","parse-names":false,"suffix":""}],"id":"ITEM-1","issued":{"date-parts":[["2020"]]},"title":"Determinant factors of farmer ’ s willingness to pay for sustainable land management practices evidence with Homosha Benishangul Gumuz Region : Application with multinomial logit model , mixed logit model , and conditional logit model","type":"article-journal"},"uris":["http://www.mendeley.com/documents/?uuid=066f1e01-4209-42ea-a3a7-840be84ea8cd"]}],"mendeley":{"formattedCitation":"(Takele &amp; Umer, 2020)","manualFormatting":"Takele &amp; Umer, 2020)","plainTextFormattedCitation":"(Takele &amp; Umer, 2020)","previouslyFormattedCitation":"(Takele &amp; Umer,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Takele &amp; Umer, 2020)</w:t>
      </w:r>
      <w:r w:rsidRPr="00895D0B">
        <w:rPr>
          <w:rFonts w:cs="Times New Roman"/>
          <w:color w:val="000000" w:themeColor="text1"/>
          <w:szCs w:val="24"/>
        </w:rPr>
        <w:fldChar w:fldCharType="end"/>
      </w:r>
      <w:r w:rsidRPr="00895D0B">
        <w:rPr>
          <w:rFonts w:cs="Times New Roman"/>
          <w:color w:val="000000" w:themeColor="text1"/>
          <w:szCs w:val="24"/>
        </w:rPr>
        <w:t xml:space="preserve">. The study adopted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{"citationItems":[{"id":"ITEM-1","itemData":{"ISBN":"9781136586101","author":[{"dropping-particle":"","family":"Gujarati","given":"D. N.","non-dropping-particle":"","parse-names":false,"suffix":""},{"dropping-particle":"","family":"Porter","given":"D. C.","non-dropping-particle":"","parse-names":false,"suffix":""}],"edition":"Fifth Edit","id":"ITEM-1","issued":{"date-parts":[["2013"]]},"number-of-pages":"1-2","publisher":"McGraw-Hill Irwin","publisher-place":"New York","title":"Basic Econometrics","type":"book"},"uris":["http://www.mendeley.com/documents/?uuid=0e024111-48a5-45fa-990d-c9dcb3169ed6"]}],"mendeley":{"formattedCitation":"(Gujarati &amp; Porter, 2013)","manualFormatting":"Gujarati and Porter (2013)","plainTextFormattedCitation":"(Gujarati &amp; Porter, 2013)","previouslyFormattedCitation":"(Gujarati &amp; Porter, 2013)"},"properties":{"noteIndex":0},"schema":"https://github.com/citation-style-language/schema/raw/master/csl-citation.json"}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Gujarati and Porter (2013)</w:t>
      </w:r>
      <w:r w:rsidRPr="00895D0B">
        <w:rPr>
          <w:rFonts w:cs="Times New Roman"/>
          <w:color w:val="000000" w:themeColor="text1"/>
          <w:szCs w:val="24"/>
        </w:rPr>
        <w:fldChar w:fldCharType="end"/>
      </w:r>
      <w:r w:rsidRPr="00895D0B">
        <w:rPr>
          <w:rFonts w:cs="Times New Roman"/>
          <w:color w:val="000000" w:themeColor="text1"/>
          <w:szCs w:val="24"/>
        </w:rPr>
        <w:t xml:space="preserve"> regression model that gives the cumulative logistic distribution function as follows; </w:t>
      </w:r>
    </w:p>
    <w:p w14:paraId="0EBA889E" w14:textId="4F1FBDB0" w:rsidR="001B4ED5" w:rsidRPr="00895D0B" w:rsidRDefault="00000000">
      <w:pPr>
        <w:spacing w:line="360" w:lineRule="auto"/>
        <w:rPr>
          <w:rFonts w:cs="Times New Roman"/>
          <w:color w:val="000000" w:themeColor="text1"/>
          <w:szCs w:val="24"/>
        </w:rPr>
      </w:pPr>
      <m:oMath>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ρ</m:t>
            </m:r>
          </m:e>
          <m:sub>
            <m:r>
              <w:rPr>
                <w:rFonts w:ascii="Cambria Math" w:eastAsiaTheme="minorEastAsia" w:hAnsi="Cambria Math" w:cs="Times New Roman"/>
                <w:color w:val="000000" w:themeColor="text1"/>
                <w:szCs w:val="24"/>
              </w:rPr>
              <m:t>i</m:t>
            </m:r>
          </m:sub>
        </m:sSub>
        <m:r>
          <w:rPr>
            <w:rFonts w:ascii="Cambria Math" w:hAnsi="Cambria Math" w:cs="Times New Roman"/>
            <w:color w:val="000000" w:themeColor="text1"/>
            <w:szCs w:val="24"/>
          </w:rPr>
          <m:t>=</m:t>
        </m:r>
        <m:f>
          <m:fPr>
            <m:ctrlPr>
              <w:rPr>
                <w:rFonts w:ascii="Cambria Math" w:hAnsi="Cambria Math" w:cs="Times New Roman"/>
                <w:color w:val="000000" w:themeColor="text1"/>
                <w:szCs w:val="24"/>
              </w:rPr>
            </m:ctrlPr>
          </m:fPr>
          <m:num>
            <m:r>
              <w:rPr>
                <w:rFonts w:ascii="Cambria Math" w:hAnsi="Cambria Math" w:cs="Times New Roman"/>
                <w:color w:val="000000" w:themeColor="text1"/>
                <w:szCs w:val="24"/>
              </w:rPr>
              <m:t>1</m:t>
            </m:r>
          </m:num>
          <m:den>
            <m:r>
              <w:rPr>
                <w:rFonts w:ascii="Cambria Math" w:hAnsi="Cambria Math" w:cs="Times New Roman"/>
                <w:color w:val="000000" w:themeColor="text1"/>
                <w:szCs w:val="24"/>
              </w:rPr>
              <m:t>1+</m:t>
            </m:r>
            <m:sSup>
              <m:sSupPr>
                <m:ctrlPr>
                  <w:rPr>
                    <w:rFonts w:ascii="Cambria Math" w:hAnsi="Cambria Math" w:cs="Times New Roman"/>
                    <w:i/>
                    <w:color w:val="000000" w:themeColor="text1"/>
                    <w:szCs w:val="24"/>
                  </w:rPr>
                </m:ctrlPr>
              </m:sSupPr>
              <m:e>
                <m:r>
                  <w:rPr>
                    <w:rFonts w:ascii="Cambria Math" w:hAnsi="Cambria Math" w:cs="Times New Roman"/>
                    <w:color w:val="000000" w:themeColor="text1"/>
                    <w:szCs w:val="24"/>
                  </w:rPr>
                  <m:t>e</m:t>
                </m:r>
              </m:e>
              <m:sup>
                <m:r>
                  <w:rPr>
                    <w:rFonts w:ascii="Cambria Math" w:hAnsi="Cambria Math" w:cs="Times New Roman"/>
                    <w:color w:val="000000" w:themeColor="text1"/>
                    <w:szCs w:val="24"/>
                  </w:rPr>
                  <m:t>-</m:t>
                </m:r>
                <m:sSub>
                  <m:sSubPr>
                    <m:ctrlPr>
                      <w:rPr>
                        <w:rFonts w:ascii="Cambria Math" w:hAnsi="Cambria Math" w:cs="Times New Roman"/>
                        <w:i/>
                        <w:color w:val="000000" w:themeColor="text1"/>
                        <w:szCs w:val="24"/>
                      </w:rPr>
                    </m:ctrlPr>
                  </m:sSubPr>
                  <m:e>
                    <m:r>
                      <w:rPr>
                        <w:rFonts w:ascii="Cambria Math" w:hAnsi="Cambria Math" w:cs="Times New Roman"/>
                        <w:color w:val="000000" w:themeColor="text1"/>
                        <w:szCs w:val="24"/>
                      </w:rPr>
                      <m:t>ω</m:t>
                    </m:r>
                  </m:e>
                  <m:sub>
                    <m:r>
                      <w:rPr>
                        <w:rFonts w:ascii="Cambria Math" w:hAnsi="Cambria Math" w:cs="Times New Roman"/>
                        <w:color w:val="000000" w:themeColor="text1"/>
                        <w:szCs w:val="24"/>
                      </w:rPr>
                      <m:t>i</m:t>
                    </m:r>
                  </m:sub>
                </m:sSub>
              </m:sup>
            </m:sSup>
          </m:den>
        </m:f>
        <m:r>
          <w:rPr>
            <w:rFonts w:ascii="Cambria Math" w:hAnsi="Cambria Math" w:cs="Times New Roman"/>
            <w:color w:val="000000" w:themeColor="text1"/>
            <w:szCs w:val="24"/>
          </w:rPr>
          <m:t>+</m:t>
        </m:r>
        <m:f>
          <m:fPr>
            <m:ctrlPr>
              <w:rPr>
                <w:rFonts w:ascii="Cambria Math" w:hAnsi="Cambria Math" w:cs="Times New Roman"/>
                <w:color w:val="000000" w:themeColor="text1"/>
                <w:szCs w:val="24"/>
              </w:rPr>
            </m:ctrlPr>
          </m:fPr>
          <m:num>
            <m:sSup>
              <m:sSupPr>
                <m:ctrlPr>
                  <w:rPr>
                    <w:rFonts w:ascii="Cambria Math" w:hAnsi="Cambria Math" w:cs="Times New Roman"/>
                    <w:i/>
                    <w:color w:val="000000" w:themeColor="text1"/>
                    <w:szCs w:val="24"/>
                  </w:rPr>
                </m:ctrlPr>
              </m:sSupPr>
              <m:e>
                <m:r>
                  <w:rPr>
                    <w:rFonts w:ascii="Cambria Math" w:hAnsi="Cambria Math" w:cs="Times New Roman"/>
                    <w:color w:val="000000" w:themeColor="text1"/>
                    <w:szCs w:val="24"/>
                  </w:rPr>
                  <m:t>e</m:t>
                </m:r>
              </m:e>
              <m:sup>
                <m:sSub>
                  <m:sSubPr>
                    <m:ctrlPr>
                      <w:rPr>
                        <w:rFonts w:ascii="Cambria Math" w:hAnsi="Cambria Math" w:cs="Times New Roman"/>
                        <w:i/>
                        <w:color w:val="000000" w:themeColor="text1"/>
                        <w:szCs w:val="24"/>
                      </w:rPr>
                    </m:ctrlPr>
                  </m:sSubPr>
                  <m:e>
                    <m:r>
                      <w:rPr>
                        <w:rFonts w:ascii="Cambria Math" w:hAnsi="Cambria Math" w:cs="Times New Roman"/>
                        <w:color w:val="000000" w:themeColor="text1"/>
                        <w:szCs w:val="24"/>
                      </w:rPr>
                      <m:t>ω</m:t>
                    </m:r>
                  </m:e>
                  <m:sub>
                    <m:r>
                      <w:rPr>
                        <w:rFonts w:ascii="Cambria Math" w:hAnsi="Cambria Math" w:cs="Times New Roman"/>
                        <w:color w:val="000000" w:themeColor="text1"/>
                        <w:szCs w:val="24"/>
                      </w:rPr>
                      <m:t>i</m:t>
                    </m:r>
                  </m:sub>
                </m:sSub>
              </m:sup>
            </m:sSup>
          </m:num>
          <m:den>
            <m:r>
              <w:rPr>
                <w:rFonts w:ascii="Cambria Math" w:hAnsi="Cambria Math" w:cs="Times New Roman"/>
                <w:color w:val="000000" w:themeColor="text1"/>
                <w:szCs w:val="24"/>
              </w:rPr>
              <m:t>1+</m:t>
            </m:r>
            <m:sSup>
              <m:sSupPr>
                <m:ctrlPr>
                  <w:rPr>
                    <w:rFonts w:ascii="Cambria Math" w:hAnsi="Cambria Math" w:cs="Times New Roman"/>
                    <w:i/>
                    <w:color w:val="000000" w:themeColor="text1"/>
                    <w:szCs w:val="24"/>
                  </w:rPr>
                </m:ctrlPr>
              </m:sSupPr>
              <m:e>
                <m:r>
                  <w:rPr>
                    <w:rFonts w:ascii="Cambria Math" w:hAnsi="Cambria Math" w:cs="Times New Roman"/>
                    <w:color w:val="000000" w:themeColor="text1"/>
                    <w:szCs w:val="24"/>
                  </w:rPr>
                  <m:t>e</m:t>
                </m:r>
              </m:e>
              <m:sup>
                <m:sSub>
                  <m:sSubPr>
                    <m:ctrlPr>
                      <w:rPr>
                        <w:rFonts w:ascii="Cambria Math" w:hAnsi="Cambria Math" w:cs="Times New Roman"/>
                        <w:i/>
                        <w:color w:val="000000" w:themeColor="text1"/>
                        <w:szCs w:val="24"/>
                      </w:rPr>
                    </m:ctrlPr>
                  </m:sSubPr>
                  <m:e>
                    <m:r>
                      <w:rPr>
                        <w:rFonts w:ascii="Cambria Math" w:hAnsi="Cambria Math" w:cs="Times New Roman"/>
                        <w:color w:val="000000" w:themeColor="text1"/>
                        <w:szCs w:val="24"/>
                      </w:rPr>
                      <m:t>ω</m:t>
                    </m:r>
                  </m:e>
                  <m:sub>
                    <m:r>
                      <w:rPr>
                        <w:rFonts w:ascii="Cambria Math" w:hAnsi="Cambria Math" w:cs="Times New Roman"/>
                        <w:color w:val="000000" w:themeColor="text1"/>
                        <w:szCs w:val="24"/>
                      </w:rPr>
                      <m:t>i</m:t>
                    </m:r>
                  </m:sub>
                </m:sSub>
              </m:sup>
            </m:sSup>
          </m:den>
        </m:f>
      </m:oMath>
      <w:r w:rsidR="006B41C0" w:rsidRPr="00895D0B">
        <w:rPr>
          <w:rFonts w:eastAsiaTheme="minorEastAsia" w:cs="Times New Roman"/>
          <w:color w:val="000000" w:themeColor="text1"/>
          <w:szCs w:val="24"/>
        </w:rPr>
        <w:t>…</w:t>
      </w:r>
      <w:r w:rsidR="00996C74" w:rsidRPr="00895D0B">
        <w:rPr>
          <w:rFonts w:eastAsiaTheme="minorEastAsia" w:cs="Times New Roman"/>
          <w:color w:val="000000" w:themeColor="text1"/>
          <w:szCs w:val="24"/>
        </w:rPr>
        <w:t>………………………………………………………………[</w:t>
      </w:r>
      <w:r w:rsidR="006B41C0" w:rsidRPr="00895D0B">
        <w:rPr>
          <w:rFonts w:eastAsiaTheme="minorEastAsia" w:cs="Times New Roman"/>
          <w:color w:val="000000" w:themeColor="text1"/>
          <w:szCs w:val="24"/>
        </w:rPr>
        <w:t>1</w:t>
      </w:r>
      <w:r w:rsidR="00996C74" w:rsidRPr="00895D0B">
        <w:rPr>
          <w:rFonts w:eastAsiaTheme="minorEastAsia" w:cs="Times New Roman"/>
          <w:color w:val="000000" w:themeColor="text1"/>
          <w:szCs w:val="24"/>
        </w:rPr>
        <w:t>]</w:t>
      </w:r>
    </w:p>
    <w:p w14:paraId="2517C248"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where:</w:t>
      </w:r>
      <w:r w:rsidRPr="00895D0B">
        <w:rPr>
          <w:rFonts w:cs="Times New Roman"/>
          <w:i/>
          <w:color w:val="000000" w:themeColor="text1"/>
          <w:szCs w:val="24"/>
        </w:rPr>
        <w:t xml:space="preserve"> </w:t>
      </w:r>
      <m:oMath>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ρ</m:t>
            </m:r>
          </m:e>
          <m:sub>
            <m:r>
              <w:rPr>
                <w:rFonts w:ascii="Cambria Math" w:eastAsiaTheme="minorEastAsia" w:hAnsi="Cambria Math" w:cs="Times New Roman"/>
                <w:color w:val="000000" w:themeColor="text1"/>
                <w:szCs w:val="24"/>
              </w:rPr>
              <m:t>i</m:t>
            </m:r>
          </m:sub>
        </m:sSub>
      </m:oMath>
      <w:r w:rsidRPr="00895D0B">
        <w:rPr>
          <w:rFonts w:cs="Times New Roman"/>
          <w:color w:val="000000" w:themeColor="text1"/>
          <w:szCs w:val="24"/>
        </w:rPr>
        <w:t xml:space="preserve"> represents the probability of a household engaging in crop and animal production in the urban neighbourhood. </w:t>
      </w:r>
    </w:p>
    <w:p w14:paraId="1B85166E" w14:textId="0FBCDA8A" w:rsidR="001B4ED5" w:rsidRPr="00895D0B" w:rsidRDefault="00000000">
      <w:pPr>
        <w:spacing w:line="360" w:lineRule="auto"/>
        <w:rPr>
          <w:rFonts w:cs="Times New Roman"/>
          <w:color w:val="000000" w:themeColor="text1"/>
          <w:szCs w:val="24"/>
        </w:rPr>
      </w:pPr>
      <m:oMath>
        <m:sSub>
          <m:sSubPr>
            <m:ctrlPr>
              <w:rPr>
                <w:rFonts w:ascii="Cambria Math" w:hAnsi="Cambria Math" w:cs="Times New Roman"/>
                <w:i/>
                <w:color w:val="000000" w:themeColor="text1"/>
                <w:szCs w:val="24"/>
              </w:rPr>
            </m:ctrlPr>
          </m:sSubPr>
          <m:e>
            <m:r>
              <w:rPr>
                <w:rFonts w:ascii="Cambria Math" w:hAnsi="Cambria Math" w:cs="Times New Roman"/>
                <w:color w:val="000000" w:themeColor="text1"/>
                <w:szCs w:val="24"/>
              </w:rPr>
              <m:t>ω</m:t>
            </m:r>
          </m:e>
          <m:sub>
            <m:r>
              <w:rPr>
                <w:rFonts w:ascii="Cambria Math" w:hAnsi="Cambria Math" w:cs="Times New Roman"/>
                <w:color w:val="000000" w:themeColor="text1"/>
                <w:szCs w:val="24"/>
              </w:rPr>
              <m:t>i</m:t>
            </m:r>
          </m:sub>
        </m:sSub>
        <m:r>
          <w:rPr>
            <w:rFonts w:ascii="Cambria Math"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0</m:t>
            </m:r>
          </m:sub>
        </m:sSub>
        <m:r>
          <w:rPr>
            <w:rFonts w:ascii="Cambria Math" w:eastAsiaTheme="minorEastAsia"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i</m:t>
            </m:r>
          </m:sub>
        </m:sSub>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π</m:t>
            </m:r>
          </m:e>
          <m:sub>
            <m:r>
              <w:rPr>
                <w:rFonts w:ascii="Cambria Math" w:eastAsiaTheme="minorEastAsia" w:hAnsi="Cambria Math" w:cs="Times New Roman"/>
                <w:color w:val="000000" w:themeColor="text1"/>
                <w:szCs w:val="24"/>
              </w:rPr>
              <m:t>i</m:t>
            </m:r>
          </m:sub>
        </m:sSub>
      </m:oMath>
      <w:r w:rsidR="006B41C0" w:rsidRPr="00895D0B">
        <w:rPr>
          <w:rFonts w:eastAsiaTheme="minorEastAsia" w:cs="Times New Roman"/>
          <w:color w:val="000000" w:themeColor="text1"/>
          <w:szCs w:val="24"/>
        </w:rPr>
        <w:t>…………………………</w:t>
      </w:r>
      <w:r w:rsidR="00996C74" w:rsidRPr="00895D0B">
        <w:rPr>
          <w:rFonts w:eastAsiaTheme="minorEastAsia" w:cs="Times New Roman"/>
          <w:color w:val="000000" w:themeColor="text1"/>
          <w:szCs w:val="24"/>
        </w:rPr>
        <w:t>…………………………………..............[</w:t>
      </w:r>
      <w:r w:rsidR="006B41C0" w:rsidRPr="00895D0B">
        <w:rPr>
          <w:rFonts w:eastAsiaTheme="minorEastAsia" w:cs="Times New Roman"/>
          <w:color w:val="000000" w:themeColor="text1"/>
          <w:szCs w:val="24"/>
        </w:rPr>
        <w:t>2</w:t>
      </w:r>
      <w:r w:rsidR="00996C74" w:rsidRPr="00895D0B">
        <w:rPr>
          <w:rFonts w:eastAsiaTheme="minorEastAsia" w:cs="Times New Roman"/>
          <w:color w:val="000000" w:themeColor="text1"/>
          <w:szCs w:val="24"/>
        </w:rPr>
        <w:t>]</w:t>
      </w:r>
    </w:p>
    <w:p w14:paraId="5BBA3E5E"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where: </w:t>
      </w:r>
      <m:oMath>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π</m:t>
            </m:r>
          </m:e>
          <m:sub>
            <m:r>
              <w:rPr>
                <w:rFonts w:ascii="Cambria Math" w:eastAsiaTheme="minorEastAsia" w:hAnsi="Cambria Math" w:cs="Times New Roman"/>
                <w:color w:val="000000" w:themeColor="text1"/>
                <w:szCs w:val="24"/>
              </w:rPr>
              <m:t>i</m:t>
            </m:r>
          </m:sub>
        </m:sSub>
      </m:oMath>
      <w:r w:rsidRPr="00895D0B">
        <w:rPr>
          <w:rFonts w:cs="Times New Roman"/>
          <w:color w:val="000000" w:themeColor="text1"/>
          <w:szCs w:val="24"/>
        </w:rPr>
        <w:t xml:space="preserve"> = Vector of explanatory variables. </w:t>
      </w:r>
    </w:p>
    <w:p w14:paraId="12F79623" w14:textId="670AC1EF" w:rsidR="001B4ED5" w:rsidRPr="00895D0B" w:rsidRDefault="00000000">
      <w:pPr>
        <w:spacing w:line="360" w:lineRule="auto"/>
        <w:rPr>
          <w:rFonts w:cs="Times New Roman"/>
          <w:color w:val="000000" w:themeColor="text1"/>
          <w:szCs w:val="24"/>
        </w:rPr>
      </w:pPr>
      <m:oMath>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0</m:t>
            </m:r>
          </m:sub>
        </m:sSub>
      </m:oMath>
      <w:r w:rsidR="006B41C0" w:rsidRPr="00895D0B">
        <w:rPr>
          <w:rFonts w:cs="Times New Roman"/>
          <w:color w:val="000000" w:themeColor="text1"/>
          <w:szCs w:val="24"/>
        </w:rPr>
        <w:t xml:space="preserve"> = </w:t>
      </w:r>
      <w:r w:rsidR="006940CA" w:rsidRPr="00895D0B">
        <w:rPr>
          <w:rFonts w:cs="Times New Roman"/>
          <w:color w:val="000000" w:themeColor="text1"/>
          <w:szCs w:val="24"/>
        </w:rPr>
        <w:t>A</w:t>
      </w:r>
      <w:r w:rsidR="006B41C0" w:rsidRPr="00895D0B">
        <w:rPr>
          <w:rFonts w:cs="Times New Roman"/>
          <w:color w:val="000000" w:themeColor="text1"/>
          <w:szCs w:val="24"/>
        </w:rPr>
        <w:t xml:space="preserve"> constant term. </w:t>
      </w:r>
    </w:p>
    <w:p w14:paraId="3F47651A" w14:textId="77777777" w:rsidR="001B4ED5" w:rsidRPr="00895D0B" w:rsidRDefault="00000000">
      <w:pPr>
        <w:spacing w:line="360" w:lineRule="auto"/>
        <w:rPr>
          <w:rFonts w:cs="Times New Roman"/>
          <w:color w:val="000000" w:themeColor="text1"/>
          <w:szCs w:val="24"/>
        </w:rPr>
      </w:pPr>
      <m:oMath>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i</m:t>
            </m:r>
          </m:sub>
        </m:sSub>
      </m:oMath>
      <w:r w:rsidR="006B41C0" w:rsidRPr="00895D0B">
        <w:rPr>
          <w:rFonts w:cs="Times New Roman"/>
          <w:color w:val="000000" w:themeColor="text1"/>
          <w:szCs w:val="24"/>
        </w:rPr>
        <w:t xml:space="preserve"> = Vector of the logistic regression coefficient.</w:t>
      </w:r>
    </w:p>
    <w:p w14:paraId="30FE6C9D"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Given that, ω sorts from ∞ to ∞, </w:t>
      </w:r>
      <m:oMath>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ρ</m:t>
            </m:r>
          </m:e>
          <m:sub>
            <m:r>
              <w:rPr>
                <w:rFonts w:ascii="Cambria Math" w:eastAsiaTheme="minorEastAsia" w:hAnsi="Cambria Math" w:cs="Times New Roman"/>
                <w:color w:val="000000" w:themeColor="text1"/>
                <w:szCs w:val="24"/>
              </w:rPr>
              <m:t>i</m:t>
            </m:r>
          </m:sub>
        </m:sSub>
      </m:oMath>
      <w:r w:rsidRPr="00895D0B">
        <w:rPr>
          <w:rFonts w:cs="Times New Roman"/>
          <w:color w:val="000000" w:themeColor="text1"/>
          <w:szCs w:val="24"/>
        </w:rPr>
        <w:t xml:space="preserve"> sorts from 0 to 1 and where the probability of not engaging in urban agriculture is </w:t>
      </w:r>
      <m:oMath>
        <m:r>
          <w:rPr>
            <w:rFonts w:ascii="Cambria Math" w:hAnsi="Cambria Math" w:cs="Times New Roman"/>
            <w:color w:val="000000" w:themeColor="text1"/>
            <w:szCs w:val="24"/>
          </w:rPr>
          <m:t>1-</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ρ</m:t>
            </m:r>
          </m:e>
          <m:sub>
            <m:r>
              <w:rPr>
                <w:rFonts w:ascii="Cambria Math" w:eastAsiaTheme="minorEastAsia" w:hAnsi="Cambria Math" w:cs="Times New Roman"/>
                <w:color w:val="000000" w:themeColor="text1"/>
                <w:szCs w:val="24"/>
              </w:rPr>
              <m:t>i</m:t>
            </m:r>
          </m:sub>
        </m:sSub>
      </m:oMath>
      <w:r w:rsidRPr="00895D0B">
        <w:rPr>
          <w:rFonts w:cs="Times New Roman"/>
          <w:color w:val="000000" w:themeColor="text1"/>
          <w:szCs w:val="24"/>
        </w:rPr>
        <w:t xml:space="preserve">. </w:t>
      </w:r>
    </w:p>
    <w:p w14:paraId="2B999888"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where:</w:t>
      </w:r>
    </w:p>
    <w:p w14:paraId="3E7D568C" w14:textId="5B188C30" w:rsidR="001B4ED5" w:rsidRPr="00895D0B" w:rsidRDefault="006B41C0">
      <w:pPr>
        <w:spacing w:line="360" w:lineRule="auto"/>
        <w:rPr>
          <w:rFonts w:eastAsiaTheme="minorEastAsia" w:cs="Times New Roman"/>
          <w:color w:val="000000" w:themeColor="text1"/>
          <w:szCs w:val="24"/>
        </w:rPr>
      </w:pPr>
      <m:oMath>
        <m:r>
          <w:rPr>
            <w:rFonts w:ascii="Cambria Math" w:hAnsi="Cambria Math" w:cs="Times New Roman"/>
            <w:color w:val="000000" w:themeColor="text1"/>
            <w:szCs w:val="24"/>
          </w:rPr>
          <m:t xml:space="preserve">1- </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ρ</m:t>
            </m:r>
          </m:e>
          <m:sub>
            <m:r>
              <w:rPr>
                <w:rFonts w:ascii="Cambria Math" w:eastAsiaTheme="minorEastAsia" w:hAnsi="Cambria Math" w:cs="Times New Roman"/>
                <w:color w:val="000000" w:themeColor="text1"/>
                <w:szCs w:val="24"/>
              </w:rPr>
              <m:t>i</m:t>
            </m:r>
          </m:sub>
        </m:sSub>
        <m:r>
          <w:rPr>
            <w:rFonts w:ascii="Cambria Math" w:hAnsi="Cambria Math" w:cs="Times New Roman"/>
            <w:color w:val="000000" w:themeColor="text1"/>
            <w:szCs w:val="24"/>
          </w:rPr>
          <m:t xml:space="preserve">=1- </m:t>
        </m:r>
        <m:f>
          <m:fPr>
            <m:ctrlPr>
              <w:rPr>
                <w:rFonts w:ascii="Cambria Math" w:hAnsi="Cambria Math" w:cs="Times New Roman"/>
                <w:color w:val="000000" w:themeColor="text1"/>
                <w:szCs w:val="24"/>
              </w:rPr>
            </m:ctrlPr>
          </m:fPr>
          <m:num>
            <m:sSup>
              <m:sSupPr>
                <m:ctrlPr>
                  <w:rPr>
                    <w:rFonts w:ascii="Cambria Math" w:hAnsi="Cambria Math" w:cs="Times New Roman"/>
                    <w:i/>
                    <w:color w:val="000000" w:themeColor="text1"/>
                    <w:szCs w:val="24"/>
                  </w:rPr>
                </m:ctrlPr>
              </m:sSupPr>
              <m:e>
                <m:r>
                  <w:rPr>
                    <w:rFonts w:ascii="Cambria Math" w:hAnsi="Cambria Math" w:cs="Times New Roman"/>
                    <w:color w:val="000000" w:themeColor="text1"/>
                    <w:szCs w:val="24"/>
                  </w:rPr>
                  <m:t>e</m:t>
                </m:r>
              </m:e>
              <m:sup>
                <m:r>
                  <w:rPr>
                    <w:rFonts w:ascii="Cambria Math" w:hAnsi="Cambria Math" w:cs="Times New Roman"/>
                    <w:color w:val="000000" w:themeColor="text1"/>
                    <w:szCs w:val="24"/>
                  </w:rPr>
                  <m:t>ωi</m:t>
                </m:r>
              </m:sup>
            </m:sSup>
          </m:num>
          <m:den>
            <m:r>
              <w:rPr>
                <w:rFonts w:ascii="Cambria Math" w:hAnsi="Cambria Math" w:cs="Times New Roman"/>
                <w:color w:val="000000" w:themeColor="text1"/>
                <w:szCs w:val="24"/>
              </w:rPr>
              <m:t>1+</m:t>
            </m:r>
            <m:sSup>
              <m:sSupPr>
                <m:ctrlPr>
                  <w:rPr>
                    <w:rFonts w:ascii="Cambria Math" w:hAnsi="Cambria Math" w:cs="Times New Roman"/>
                    <w:i/>
                    <w:color w:val="000000" w:themeColor="text1"/>
                    <w:szCs w:val="24"/>
                  </w:rPr>
                </m:ctrlPr>
              </m:sSupPr>
              <m:e>
                <m:r>
                  <w:rPr>
                    <w:rFonts w:ascii="Cambria Math" w:hAnsi="Cambria Math" w:cs="Times New Roman"/>
                    <w:color w:val="000000" w:themeColor="text1"/>
                    <w:szCs w:val="24"/>
                  </w:rPr>
                  <m:t>e</m:t>
                </m:r>
              </m:e>
              <m:sup>
                <m:r>
                  <w:rPr>
                    <w:rFonts w:ascii="Cambria Math" w:hAnsi="Cambria Math" w:cs="Times New Roman"/>
                    <w:color w:val="000000" w:themeColor="text1"/>
                    <w:szCs w:val="24"/>
                  </w:rPr>
                  <m:t>ωi</m:t>
                </m:r>
              </m:sup>
            </m:sSup>
          </m:den>
        </m:f>
      </m:oMath>
      <w:r w:rsidR="00131EA5" w:rsidRPr="00895D0B">
        <w:rPr>
          <w:rFonts w:eastAsiaTheme="minorEastAsia" w:cs="Times New Roman"/>
          <w:color w:val="000000" w:themeColor="text1"/>
          <w:szCs w:val="24"/>
        </w:rPr>
        <w:t>………………………………</w:t>
      </w:r>
      <w:r w:rsidR="00117C49" w:rsidRPr="00895D0B">
        <w:rPr>
          <w:rFonts w:eastAsiaTheme="minorEastAsia" w:cs="Times New Roman"/>
          <w:color w:val="000000" w:themeColor="text1"/>
          <w:szCs w:val="24"/>
        </w:rPr>
        <w:t>………..………….……………[</w:t>
      </w:r>
      <w:r w:rsidRPr="00895D0B">
        <w:rPr>
          <w:rFonts w:eastAsiaTheme="minorEastAsia" w:cs="Times New Roman"/>
          <w:color w:val="000000" w:themeColor="text1"/>
          <w:szCs w:val="24"/>
        </w:rPr>
        <w:t>3</w:t>
      </w:r>
      <w:r w:rsidR="00117C49" w:rsidRPr="00895D0B">
        <w:rPr>
          <w:rFonts w:eastAsiaTheme="minorEastAsia" w:cs="Times New Roman"/>
          <w:color w:val="000000" w:themeColor="text1"/>
          <w:szCs w:val="24"/>
        </w:rPr>
        <w:t>]</w:t>
      </w:r>
    </w:p>
    <w:p w14:paraId="696E1B17" w14:textId="77777777" w:rsidR="001B4ED5" w:rsidRPr="00895D0B" w:rsidRDefault="006B41C0">
      <w:pPr>
        <w:spacing w:line="360" w:lineRule="auto"/>
        <w:rPr>
          <w:rFonts w:cs="Times New Roman"/>
          <w:color w:val="000000" w:themeColor="text1"/>
          <w:szCs w:val="24"/>
        </w:rPr>
      </w:pPr>
      <w:r w:rsidRPr="00895D0B">
        <w:rPr>
          <w:rFonts w:eastAsiaTheme="minorEastAsia" w:cs="Times New Roman"/>
          <w:color w:val="000000" w:themeColor="text1"/>
          <w:szCs w:val="24"/>
        </w:rPr>
        <w:t xml:space="preserve">In simplifying equation (1) gives; </w:t>
      </w:r>
    </w:p>
    <w:p w14:paraId="40122037" w14:textId="6CFE5E73" w:rsidR="001B4ED5" w:rsidRPr="00895D0B" w:rsidRDefault="006B41C0">
      <w:pPr>
        <w:spacing w:line="360" w:lineRule="auto"/>
        <w:rPr>
          <w:rFonts w:eastAsiaTheme="minorEastAsia" w:cs="Times New Roman"/>
          <w:color w:val="000000" w:themeColor="text1"/>
          <w:szCs w:val="24"/>
        </w:rPr>
      </w:pPr>
      <m:oMath>
        <m:r>
          <w:rPr>
            <w:rFonts w:ascii="Cambria Math" w:eastAsiaTheme="minorEastAsia" w:hAnsi="Cambria Math" w:cs="Times New Roman"/>
            <w:color w:val="000000" w:themeColor="text1"/>
            <w:szCs w:val="24"/>
          </w:rPr>
          <w:lastRenderedPageBreak/>
          <m:t>ln</m:t>
        </m:r>
        <m:d>
          <m:dPr>
            <m:ctrlPr>
              <w:rPr>
                <w:rFonts w:ascii="Cambria Math" w:eastAsiaTheme="minorEastAsia" w:hAnsi="Cambria Math" w:cs="Times New Roman"/>
                <w:i/>
                <w:color w:val="000000" w:themeColor="text1"/>
                <w:szCs w:val="24"/>
              </w:rPr>
            </m:ctrlPr>
          </m:dPr>
          <m:e>
            <m:f>
              <m:fPr>
                <m:ctrlPr>
                  <w:rPr>
                    <w:rFonts w:ascii="Cambria Math" w:eastAsiaTheme="minorEastAsia" w:hAnsi="Cambria Math" w:cs="Times New Roman"/>
                    <w:i/>
                    <w:color w:val="000000" w:themeColor="text1"/>
                    <w:szCs w:val="24"/>
                  </w:rPr>
                </m:ctrlPr>
              </m:fPr>
              <m:num>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ρ</m:t>
                    </m:r>
                  </m:e>
                  <m:sub>
                    <m:r>
                      <w:rPr>
                        <w:rFonts w:ascii="Cambria Math" w:eastAsiaTheme="minorEastAsia" w:hAnsi="Cambria Math" w:cs="Times New Roman"/>
                        <w:color w:val="000000" w:themeColor="text1"/>
                        <w:szCs w:val="24"/>
                      </w:rPr>
                      <m:t>i</m:t>
                    </m:r>
                  </m:sub>
                </m:sSub>
              </m:num>
              <m:den>
                <m:r>
                  <w:rPr>
                    <w:rFonts w:ascii="Cambria Math" w:eastAsiaTheme="minorEastAsia" w:hAnsi="Cambria Math" w:cs="Times New Roman"/>
                    <w:color w:val="000000" w:themeColor="text1"/>
                    <w:szCs w:val="24"/>
                  </w:rPr>
                  <m:t xml:space="preserve">1- </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ρ</m:t>
                    </m:r>
                  </m:e>
                  <m:sub>
                    <m:r>
                      <w:rPr>
                        <w:rFonts w:ascii="Cambria Math" w:eastAsiaTheme="minorEastAsia" w:hAnsi="Cambria Math" w:cs="Times New Roman"/>
                        <w:color w:val="000000" w:themeColor="text1"/>
                        <w:szCs w:val="24"/>
                      </w:rPr>
                      <m:t>i</m:t>
                    </m:r>
                  </m:sub>
                </m:sSub>
              </m:den>
            </m:f>
          </m:e>
        </m:d>
        <m:r>
          <w:rPr>
            <w:rFonts w:ascii="Cambria Math" w:eastAsiaTheme="minorEastAsia" w:hAnsi="Cambria Math" w:cs="Times New Roman"/>
            <w:color w:val="000000" w:themeColor="text1"/>
            <w:szCs w:val="24"/>
          </w:rPr>
          <m:t xml:space="preserve">= </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0</m:t>
            </m:r>
          </m:sub>
        </m:sSub>
        <m:r>
          <w:rPr>
            <w:rFonts w:ascii="Cambria Math" w:eastAsiaTheme="minorEastAsia"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i</m:t>
            </m:r>
          </m:sub>
        </m:sSub>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π</m:t>
            </m:r>
          </m:e>
          <m:sub>
            <m:r>
              <w:rPr>
                <w:rFonts w:ascii="Cambria Math" w:eastAsiaTheme="minorEastAsia" w:hAnsi="Cambria Math" w:cs="Times New Roman"/>
                <w:color w:val="000000" w:themeColor="text1"/>
                <w:szCs w:val="24"/>
              </w:rPr>
              <m:t>i</m:t>
            </m:r>
          </m:sub>
        </m:sSub>
        <m:r>
          <w:rPr>
            <w:rFonts w:ascii="Cambria Math" w:eastAsiaTheme="minorEastAsia" w:hAnsi="Cambria Math" w:cs="Times New Roman"/>
            <w:color w:val="000000" w:themeColor="text1"/>
            <w:szCs w:val="24"/>
          </w:rPr>
          <m:t xml:space="preserve">+ </m:t>
        </m:r>
        <m:r>
          <m:rPr>
            <m:sty m:val="p"/>
          </m:rPr>
          <w:rPr>
            <w:rFonts w:ascii="Cambria Math" w:hAnsi="Cambria Math" w:cs="Times New Roman"/>
            <w:color w:val="000000" w:themeColor="text1"/>
            <w:szCs w:val="24"/>
            <w:lang w:val="en-US"/>
          </w:rPr>
          <m:t>∞</m:t>
        </m:r>
      </m:oMath>
      <w:r w:rsidRPr="00895D0B">
        <w:rPr>
          <w:rFonts w:eastAsiaTheme="minorEastAsia" w:cs="Times New Roman"/>
          <w:color w:val="000000" w:themeColor="text1"/>
          <w:szCs w:val="24"/>
          <w:lang w:val="en-US"/>
        </w:rPr>
        <w:t>……</w:t>
      </w:r>
      <w:r w:rsidR="00117C49" w:rsidRPr="00895D0B">
        <w:rPr>
          <w:rFonts w:eastAsiaTheme="minorEastAsia" w:cs="Times New Roman"/>
          <w:color w:val="000000" w:themeColor="text1"/>
          <w:szCs w:val="24"/>
          <w:lang w:val="en-US"/>
        </w:rPr>
        <w:t>…………………………………...........…………..</w:t>
      </w:r>
      <w:r w:rsidRPr="00895D0B">
        <w:rPr>
          <w:rFonts w:eastAsiaTheme="minorEastAsia" w:cs="Times New Roman"/>
          <w:color w:val="000000" w:themeColor="text1"/>
          <w:szCs w:val="24"/>
          <w:lang w:val="en-US"/>
        </w:rPr>
        <w:t xml:space="preserve"> </w:t>
      </w:r>
      <w:r w:rsidR="00117C49" w:rsidRPr="00895D0B">
        <w:rPr>
          <w:rFonts w:eastAsiaTheme="minorEastAsia" w:cs="Times New Roman"/>
          <w:color w:val="000000" w:themeColor="text1"/>
          <w:szCs w:val="24"/>
          <w:lang w:val="en-US"/>
        </w:rPr>
        <w:t>[</w:t>
      </w:r>
      <w:r w:rsidRPr="00895D0B">
        <w:rPr>
          <w:rFonts w:eastAsiaTheme="minorEastAsia" w:cs="Times New Roman"/>
          <w:color w:val="000000" w:themeColor="text1"/>
          <w:szCs w:val="24"/>
          <w:lang w:val="en-US"/>
        </w:rPr>
        <w:t>4</w:t>
      </w:r>
      <w:r w:rsidR="00117C49" w:rsidRPr="00895D0B">
        <w:rPr>
          <w:rFonts w:eastAsiaTheme="minorEastAsia" w:cs="Times New Roman"/>
          <w:color w:val="000000" w:themeColor="text1"/>
          <w:szCs w:val="24"/>
          <w:lang w:val="en-US"/>
        </w:rPr>
        <w:t>]</w:t>
      </w:r>
    </w:p>
    <w:p w14:paraId="126AB62D"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Again, the probability that a household would engage in crop and or animals production in the urban neighbourhood is related to each of the explanatory variables and is given in terms of marginal effect;</w:t>
      </w:r>
    </w:p>
    <w:p w14:paraId="22DB87CF" w14:textId="57C70625" w:rsidR="001B4ED5" w:rsidRPr="00895D0B" w:rsidRDefault="00000000">
      <w:pPr>
        <w:spacing w:line="360" w:lineRule="auto"/>
        <w:rPr>
          <w:rFonts w:eastAsiaTheme="minorEastAsia" w:cs="Times New Roman"/>
          <w:color w:val="000000" w:themeColor="text1"/>
          <w:szCs w:val="24"/>
        </w:rPr>
      </w:pPr>
      <m:oMath>
        <m:f>
          <m:fPr>
            <m:ctrlPr>
              <w:rPr>
                <w:rFonts w:ascii="Cambria Math" w:hAnsi="Cambria Math" w:cs="Times New Roman"/>
                <w:i/>
                <w:color w:val="000000" w:themeColor="text1"/>
                <w:szCs w:val="24"/>
              </w:rPr>
            </m:ctrlPr>
          </m:fPr>
          <m:num>
            <m:r>
              <w:rPr>
                <w:rFonts w:ascii="Cambria Math" w:hAnsi="Cambria Math" w:cs="Times New Roman"/>
                <w:color w:val="000000" w:themeColor="text1"/>
                <w:szCs w:val="24"/>
              </w:rPr>
              <m:t>∂(ρi)</m:t>
            </m:r>
          </m:num>
          <m:den>
            <m:r>
              <w:rPr>
                <w:rFonts w:ascii="Cambria Math" w:hAnsi="Cambria Math" w:cs="Times New Roman"/>
                <w:color w:val="000000" w:themeColor="text1"/>
                <w:szCs w:val="24"/>
              </w:rPr>
              <m:t>∂(ρi)</m:t>
            </m:r>
          </m:den>
        </m:f>
        <m:r>
          <w:rPr>
            <w:rFonts w:ascii="Cambria Math" w:hAnsi="Cambria Math" w:cs="Times New Roman"/>
            <w:color w:val="000000" w:themeColor="text1"/>
            <w:szCs w:val="24"/>
          </w:rPr>
          <m:t xml:space="preserve">= </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i</m:t>
            </m:r>
          </m:sub>
        </m:sSub>
        <m:d>
          <m:dPr>
            <m:begChr m:val="["/>
            <m:endChr m:val="]"/>
            <m:ctrlPr>
              <w:rPr>
                <w:rFonts w:ascii="Cambria Math" w:hAnsi="Cambria Math" w:cs="Times New Roman"/>
                <w:i/>
                <w:color w:val="000000" w:themeColor="text1"/>
                <w:szCs w:val="24"/>
              </w:rPr>
            </m:ctrlPr>
          </m:dPr>
          <m:e>
            <m:acc>
              <m:accPr>
                <m:chr m:val="̅"/>
                <m:ctrlPr>
                  <w:rPr>
                    <w:rFonts w:ascii="Cambria Math" w:hAnsi="Cambria Math" w:cs="Times New Roman"/>
                    <w:i/>
                    <w:color w:val="000000" w:themeColor="text1"/>
                    <w:szCs w:val="24"/>
                  </w:rPr>
                </m:ctrlPr>
              </m:accPr>
              <m:e>
                <m:r>
                  <w:rPr>
                    <w:rFonts w:ascii="Cambria Math" w:hAnsi="Cambria Math" w:cs="Times New Roman"/>
                    <w:color w:val="000000" w:themeColor="text1"/>
                    <w:szCs w:val="24"/>
                  </w:rPr>
                  <m:t>ρ</m:t>
                </m:r>
              </m:e>
            </m:acc>
            <m:r>
              <w:rPr>
                <w:rFonts w:ascii="Cambria Math" w:hAnsi="Cambria Math" w:cs="Times New Roman"/>
                <w:color w:val="000000" w:themeColor="text1"/>
                <w:szCs w:val="24"/>
              </w:rPr>
              <m:t xml:space="preserve">(1- </m:t>
            </m:r>
            <m:acc>
              <m:accPr>
                <m:chr m:val="̅"/>
                <m:ctrlPr>
                  <w:rPr>
                    <w:rFonts w:ascii="Cambria Math" w:hAnsi="Cambria Math" w:cs="Times New Roman"/>
                    <w:i/>
                    <w:color w:val="000000" w:themeColor="text1"/>
                    <w:szCs w:val="24"/>
                  </w:rPr>
                </m:ctrlPr>
              </m:accPr>
              <m:e>
                <m:r>
                  <w:rPr>
                    <w:rFonts w:ascii="Cambria Math" w:hAnsi="Cambria Math" w:cs="Times New Roman"/>
                    <w:color w:val="000000" w:themeColor="text1"/>
                    <w:szCs w:val="24"/>
                  </w:rPr>
                  <m:t>ρ</m:t>
                </m:r>
              </m:e>
            </m:acc>
            <m:r>
              <w:rPr>
                <w:rFonts w:ascii="Cambria Math" w:hAnsi="Cambria Math" w:cs="Times New Roman"/>
                <w:color w:val="000000" w:themeColor="text1"/>
                <w:szCs w:val="24"/>
              </w:rPr>
              <m:t>)</m:t>
            </m:r>
          </m:e>
        </m:d>
      </m:oMath>
      <w:r w:rsidR="00117C49" w:rsidRPr="00895D0B">
        <w:rPr>
          <w:rFonts w:eastAsiaTheme="minorEastAsia" w:cs="Times New Roman"/>
          <w:color w:val="000000" w:themeColor="text1"/>
          <w:szCs w:val="24"/>
        </w:rPr>
        <w:t>…………………………………………….…….……………[</w:t>
      </w:r>
      <w:r w:rsidR="006B41C0" w:rsidRPr="00895D0B">
        <w:rPr>
          <w:rFonts w:eastAsiaTheme="minorEastAsia" w:cs="Times New Roman"/>
          <w:color w:val="000000" w:themeColor="text1"/>
          <w:szCs w:val="24"/>
        </w:rPr>
        <w:t>5</w:t>
      </w:r>
      <w:r w:rsidR="00117C49" w:rsidRPr="00895D0B">
        <w:rPr>
          <w:rFonts w:eastAsiaTheme="minorEastAsia" w:cs="Times New Roman"/>
          <w:color w:val="000000" w:themeColor="text1"/>
          <w:szCs w:val="24"/>
        </w:rPr>
        <w:t>]</w:t>
      </w:r>
    </w:p>
    <w:p w14:paraId="5AF5D129" w14:textId="7777777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 xml:space="preserve">Given the mean of the dependent variable as </w:t>
      </w:r>
      <m:oMath>
        <m:acc>
          <m:accPr>
            <m:chr m:val="̅"/>
            <m:ctrlPr>
              <w:rPr>
                <w:rFonts w:ascii="Cambria Math" w:hAnsi="Cambria Math" w:cs="Times New Roman"/>
                <w:i/>
                <w:color w:val="000000" w:themeColor="text1"/>
                <w:szCs w:val="24"/>
              </w:rPr>
            </m:ctrlPr>
          </m:accPr>
          <m:e>
            <m:r>
              <w:rPr>
                <w:rFonts w:ascii="Cambria Math" w:hAnsi="Cambria Math" w:cs="Times New Roman"/>
                <w:color w:val="000000" w:themeColor="text1"/>
                <w:szCs w:val="24"/>
                <w:lang w:val="en-US"/>
              </w:rPr>
              <m:t>ρ</m:t>
            </m:r>
          </m:e>
        </m:acc>
      </m:oMath>
      <w:r w:rsidRPr="00895D0B">
        <w:rPr>
          <w:rFonts w:cs="Times New Roman"/>
          <w:color w:val="000000" w:themeColor="text1"/>
          <w:szCs w:val="24"/>
          <w:lang w:val="en-US"/>
        </w:rPr>
        <w:t xml:space="preserve"> , households engaging in crop and animals production in urban centers is empirically be given as; </w:t>
      </w:r>
    </w:p>
    <w:p w14:paraId="2365FE3E" w14:textId="0943AB30" w:rsidR="001B4ED5" w:rsidRPr="00895D0B" w:rsidRDefault="006B41C0">
      <w:pPr>
        <w:autoSpaceDE w:val="0"/>
        <w:autoSpaceDN w:val="0"/>
        <w:adjustRightInd w:val="0"/>
        <w:spacing w:after="240" w:line="360" w:lineRule="auto"/>
        <w:rPr>
          <w:rFonts w:cs="Times New Roman"/>
          <w:color w:val="000000" w:themeColor="text1"/>
          <w:szCs w:val="24"/>
          <w:lang w:val="en-US"/>
        </w:rPr>
      </w:pPr>
      <m:oMath>
        <m:r>
          <w:rPr>
            <w:rFonts w:ascii="Cambria Math" w:eastAsiaTheme="minorEastAsia" w:hAnsi="Cambria Math" w:cs="Times New Roman"/>
            <w:color w:val="000000" w:themeColor="text1"/>
            <w:szCs w:val="24"/>
          </w:rPr>
          <m:t>ln</m:t>
        </m:r>
        <m:d>
          <m:dPr>
            <m:ctrlPr>
              <w:rPr>
                <w:rFonts w:ascii="Cambria Math" w:eastAsiaTheme="minorEastAsia" w:hAnsi="Cambria Math" w:cs="Times New Roman"/>
                <w:i/>
                <w:color w:val="000000" w:themeColor="text1"/>
                <w:szCs w:val="24"/>
              </w:rPr>
            </m:ctrlPr>
          </m:dPr>
          <m:e>
            <m:f>
              <m:fPr>
                <m:ctrlPr>
                  <w:rPr>
                    <w:rFonts w:ascii="Cambria Math" w:eastAsiaTheme="minorEastAsia" w:hAnsi="Cambria Math" w:cs="Times New Roman"/>
                    <w:i/>
                    <w:color w:val="000000" w:themeColor="text1"/>
                    <w:szCs w:val="24"/>
                  </w:rPr>
                </m:ctrlPr>
              </m:fPr>
              <m:num>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ρ</m:t>
                    </m:r>
                  </m:e>
                  <m:sub>
                    <m:r>
                      <w:rPr>
                        <w:rFonts w:ascii="Cambria Math" w:eastAsiaTheme="minorEastAsia" w:hAnsi="Cambria Math" w:cs="Times New Roman"/>
                        <w:color w:val="000000" w:themeColor="text1"/>
                        <w:szCs w:val="24"/>
                      </w:rPr>
                      <m:t>i</m:t>
                    </m:r>
                  </m:sub>
                </m:sSub>
              </m:num>
              <m:den>
                <m:r>
                  <w:rPr>
                    <w:rFonts w:ascii="Cambria Math" w:eastAsiaTheme="minorEastAsia" w:hAnsi="Cambria Math" w:cs="Times New Roman"/>
                    <w:color w:val="000000" w:themeColor="text1"/>
                    <w:szCs w:val="24"/>
                  </w:rPr>
                  <m:t xml:space="preserve">1- </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ρ</m:t>
                    </m:r>
                  </m:e>
                  <m:sub>
                    <m:r>
                      <w:rPr>
                        <w:rFonts w:ascii="Cambria Math" w:eastAsiaTheme="minorEastAsia" w:hAnsi="Cambria Math" w:cs="Times New Roman"/>
                        <w:color w:val="000000" w:themeColor="text1"/>
                        <w:szCs w:val="24"/>
                      </w:rPr>
                      <m:t>i</m:t>
                    </m:r>
                  </m:sub>
                </m:sSub>
              </m:den>
            </m:f>
          </m:e>
        </m:d>
        <m:r>
          <w:rPr>
            <w:rFonts w:ascii="Cambria Math" w:eastAsiaTheme="minorEastAsia"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0</m:t>
            </m:r>
          </m:sub>
        </m:sSub>
        <m:r>
          <w:rPr>
            <w:rFonts w:ascii="Cambria Math" w:eastAsiaTheme="minorEastAsia"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1</m:t>
            </m:r>
          </m:sub>
        </m:sSub>
        <m:r>
          <w:rPr>
            <w:rFonts w:ascii="Cambria Math" w:eastAsiaTheme="minorEastAsia" w:hAnsi="Cambria Math" w:cs="Times New Roman"/>
            <w:color w:val="000000" w:themeColor="text1"/>
            <w:szCs w:val="24"/>
          </w:rPr>
          <m:t>AGE+</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2</m:t>
            </m:r>
          </m:sub>
        </m:sSub>
        <m:r>
          <w:rPr>
            <w:rFonts w:ascii="Cambria Math" w:eastAsiaTheme="minorEastAsia" w:hAnsi="Cambria Math" w:cs="Times New Roman"/>
            <w:color w:val="000000" w:themeColor="text1"/>
            <w:szCs w:val="24"/>
          </w:rPr>
          <m:t>SEX+</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3</m:t>
            </m:r>
          </m:sub>
        </m:sSub>
        <m:r>
          <w:rPr>
            <w:rFonts w:ascii="Cambria Math" w:hAnsi="Cambria Math" w:cs="Times New Roman"/>
            <w:color w:val="000000" w:themeColor="text1"/>
            <w:szCs w:val="24"/>
            <w:lang w:val="en-US"/>
          </w:rPr>
          <m:t>MARI</m:t>
        </m:r>
        <m:sSub>
          <m:sSubPr>
            <m:ctrlPr>
              <w:rPr>
                <w:rFonts w:ascii="Cambria Math" w:hAnsi="Cambria Math" w:cs="Times New Roman"/>
                <w:i/>
                <w:color w:val="000000" w:themeColor="text1"/>
                <w:szCs w:val="24"/>
              </w:rPr>
            </m:ctrlPr>
          </m:sSubPr>
          <m:e>
            <m:r>
              <w:rPr>
                <w:rFonts w:ascii="Cambria Math" w:hAnsi="Cambria Math" w:cs="Times New Roman"/>
                <w:color w:val="000000" w:themeColor="text1"/>
                <w:szCs w:val="24"/>
                <w:lang w:val="en-US"/>
              </w:rPr>
              <m:t>T</m:t>
            </m:r>
          </m:e>
          <m:sub>
            <m:r>
              <w:rPr>
                <w:rFonts w:ascii="Cambria Math" w:hAnsi="Cambria Math" w:cs="Times New Roman"/>
                <w:color w:val="000000" w:themeColor="text1"/>
                <w:szCs w:val="24"/>
                <w:lang w:val="en-US"/>
              </w:rPr>
              <m:t>STAT</m:t>
            </m:r>
          </m:sub>
        </m:sSub>
      </m:oMath>
      <w:r w:rsidRPr="00895D0B">
        <w:rPr>
          <w:rFonts w:eastAsiaTheme="minorEastAsia" w:cs="Times New Roman"/>
          <w:color w:val="000000" w:themeColor="text1"/>
          <w:szCs w:val="24"/>
          <w:lang w:val="en-US"/>
        </w:rPr>
        <w:t>+</w:t>
      </w:r>
      <m:oMath>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4</m:t>
            </m:r>
          </m:sub>
        </m:sSub>
        <m:r>
          <w:rPr>
            <w:rFonts w:ascii="Cambria Math" w:eastAsiaTheme="minorEastAsia" w:hAnsi="Cambria Math" w:cs="Times New Roman"/>
            <w:color w:val="000000" w:themeColor="text1"/>
            <w:szCs w:val="24"/>
          </w:rPr>
          <m:t>EMPLO</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Y</m:t>
            </m:r>
          </m:e>
          <m:sub>
            <m:r>
              <w:rPr>
                <w:rFonts w:ascii="Cambria Math" w:eastAsiaTheme="minorEastAsia" w:hAnsi="Cambria Math" w:cs="Times New Roman"/>
                <w:color w:val="000000" w:themeColor="text1"/>
                <w:szCs w:val="24"/>
              </w:rPr>
              <m:t>STAT</m:t>
            </m:r>
          </m:sub>
        </m:sSub>
        <m:r>
          <w:rPr>
            <w:rFonts w:ascii="Cambria Math" w:eastAsiaTheme="minorEastAsia"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5</m:t>
            </m:r>
          </m:sub>
        </m:sSub>
        <m:r>
          <w:rPr>
            <w:rFonts w:ascii="Cambria Math" w:eastAsiaTheme="minorEastAsia" w:hAnsi="Cambria Math" w:cs="Times New Roman"/>
            <w:color w:val="000000" w:themeColor="text1"/>
            <w:szCs w:val="24"/>
          </w:rPr>
          <m:t>EMPLO</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Y</m:t>
            </m:r>
          </m:e>
          <m:sub>
            <m:r>
              <w:rPr>
                <w:rFonts w:ascii="Cambria Math" w:eastAsiaTheme="minorEastAsia" w:hAnsi="Cambria Math" w:cs="Times New Roman"/>
                <w:color w:val="000000" w:themeColor="text1"/>
                <w:szCs w:val="24"/>
              </w:rPr>
              <m:t>TYPE</m:t>
            </m:r>
          </m:sub>
        </m:sSub>
        <m:r>
          <w:rPr>
            <w:rFonts w:ascii="Cambria Math" w:eastAsiaTheme="minorEastAsia"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6</m:t>
            </m:r>
          </m:sub>
        </m:sSub>
        <m:r>
          <w:rPr>
            <w:rFonts w:ascii="Cambria Math" w:eastAsiaTheme="minorEastAsia" w:hAnsi="Cambria Math" w:cs="Times New Roman"/>
            <w:color w:val="000000" w:themeColor="text1"/>
            <w:szCs w:val="24"/>
          </w:rPr>
          <m:t>ED</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U</m:t>
            </m:r>
          </m:e>
          <m:sub>
            <m:r>
              <w:rPr>
                <w:rFonts w:ascii="Cambria Math" w:eastAsiaTheme="minorEastAsia" w:hAnsi="Cambria Math" w:cs="Times New Roman"/>
                <w:color w:val="000000" w:themeColor="text1"/>
                <w:szCs w:val="24"/>
              </w:rPr>
              <m:t>STAT</m:t>
            </m:r>
          </m:sub>
        </m:sSub>
        <m:r>
          <w:rPr>
            <w:rFonts w:ascii="Cambria Math" w:eastAsiaTheme="minorEastAsia"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7</m:t>
            </m:r>
          </m:sub>
        </m:sSub>
        <m:r>
          <w:rPr>
            <w:rFonts w:ascii="Cambria Math" w:eastAsiaTheme="minorEastAsia" w:hAnsi="Cambria Math" w:cs="Times New Roman"/>
            <w:color w:val="000000" w:themeColor="text1"/>
            <w:szCs w:val="24"/>
          </w:rPr>
          <m:t>RE</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T</m:t>
            </m:r>
          </m:e>
          <m:sub>
            <m:r>
              <w:rPr>
                <w:rFonts w:ascii="Cambria Math" w:eastAsiaTheme="minorEastAsia" w:hAnsi="Cambria Math" w:cs="Times New Roman"/>
                <w:color w:val="000000" w:themeColor="text1"/>
                <w:szCs w:val="24"/>
              </w:rPr>
              <m:t>STAT</m:t>
            </m:r>
          </m:sub>
        </m:sSub>
        <m:r>
          <w:rPr>
            <w:rFonts w:ascii="Cambria Math" w:eastAsiaTheme="minorEastAsia"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7</m:t>
            </m:r>
          </m:sub>
        </m:sSub>
        <m:r>
          <w:rPr>
            <w:rFonts w:ascii="Cambria Math" w:eastAsiaTheme="minorEastAsia" w:hAnsi="Cambria Math" w:cs="Times New Roman"/>
            <w:color w:val="000000" w:themeColor="text1"/>
            <w:szCs w:val="24"/>
          </w:rPr>
          <m:t>RE</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T</m:t>
            </m:r>
          </m:e>
          <m:sub>
            <m:r>
              <w:rPr>
                <w:rFonts w:ascii="Cambria Math" w:eastAsiaTheme="minorEastAsia" w:hAnsi="Cambria Math" w:cs="Times New Roman"/>
                <w:color w:val="000000" w:themeColor="text1"/>
                <w:szCs w:val="24"/>
              </w:rPr>
              <m:t>STAT</m:t>
            </m:r>
          </m:sub>
        </m:sSub>
        <m:r>
          <w:rPr>
            <w:rFonts w:ascii="Cambria Math" w:eastAsiaTheme="minorEastAsia"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8</m:t>
            </m:r>
          </m:sub>
        </m:sSub>
        <m:r>
          <w:rPr>
            <w:rFonts w:ascii="Cambria Math" w:eastAsiaTheme="minorEastAsia" w:hAnsi="Cambria Math" w:cs="Times New Roman"/>
            <w:color w:val="000000" w:themeColor="text1"/>
            <w:szCs w:val="24"/>
          </w:rPr>
          <m:t>H</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H</m:t>
            </m:r>
          </m:e>
          <m:sub>
            <m:r>
              <w:rPr>
                <w:rFonts w:ascii="Cambria Math" w:eastAsiaTheme="minorEastAsia" w:hAnsi="Cambria Math" w:cs="Times New Roman"/>
                <w:color w:val="000000" w:themeColor="text1"/>
                <w:szCs w:val="24"/>
              </w:rPr>
              <m:t>SIZE</m:t>
            </m:r>
          </m:sub>
        </m:sSub>
        <m:r>
          <w:rPr>
            <w:rFonts w:ascii="Cambria Math" w:eastAsiaTheme="minorEastAsia" w:hAnsi="Cambria Math" w:cs="Times New Roman"/>
            <w:color w:val="000000" w:themeColor="text1"/>
            <w:szCs w:val="24"/>
          </w:rPr>
          <m:t>+</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β</m:t>
            </m:r>
          </m:e>
          <m:sub>
            <m:r>
              <w:rPr>
                <w:rFonts w:ascii="Cambria Math" w:eastAsiaTheme="minorEastAsia" w:hAnsi="Cambria Math" w:cs="Times New Roman"/>
                <w:color w:val="000000" w:themeColor="text1"/>
                <w:szCs w:val="24"/>
              </w:rPr>
              <m:t>9</m:t>
            </m:r>
          </m:sub>
        </m:sSub>
        <m:r>
          <w:rPr>
            <w:rFonts w:ascii="Cambria Math" w:eastAsiaTheme="minorEastAsia" w:hAnsi="Cambria Math" w:cs="Times New Roman"/>
            <w:color w:val="000000" w:themeColor="text1"/>
            <w:szCs w:val="24"/>
          </w:rPr>
          <m:t xml:space="preserve"> H</m:t>
        </m:r>
        <m:sSub>
          <m:sSubPr>
            <m:ctrlPr>
              <w:rPr>
                <w:rFonts w:ascii="Cambria Math" w:eastAsiaTheme="minorEastAsia" w:hAnsi="Cambria Math" w:cs="Times New Roman"/>
                <w:i/>
                <w:color w:val="000000" w:themeColor="text1"/>
                <w:szCs w:val="24"/>
              </w:rPr>
            </m:ctrlPr>
          </m:sSubPr>
          <m:e>
            <m:r>
              <w:rPr>
                <w:rFonts w:ascii="Cambria Math" w:eastAsiaTheme="minorEastAsia" w:hAnsi="Cambria Math" w:cs="Times New Roman"/>
                <w:color w:val="000000" w:themeColor="text1"/>
                <w:szCs w:val="24"/>
              </w:rPr>
              <m:t>H</m:t>
            </m:r>
          </m:e>
          <m:sub>
            <m:r>
              <w:rPr>
                <w:rFonts w:ascii="Cambria Math" w:eastAsiaTheme="minorEastAsia" w:hAnsi="Cambria Math" w:cs="Times New Roman"/>
                <w:color w:val="000000" w:themeColor="text1"/>
                <w:szCs w:val="24"/>
              </w:rPr>
              <m:t>INCOME</m:t>
            </m:r>
          </m:sub>
        </m:sSub>
      </m:oMath>
      <w:r w:rsidRPr="00895D0B">
        <w:rPr>
          <w:rFonts w:eastAsiaTheme="minorEastAsia" w:cs="Times New Roman"/>
          <w:color w:val="000000" w:themeColor="text1"/>
          <w:szCs w:val="24"/>
        </w:rPr>
        <w:t>+</w:t>
      </w:r>
      <m:oMath>
        <m:r>
          <m:rPr>
            <m:sty m:val="bi"/>
          </m:rPr>
          <w:rPr>
            <w:rFonts w:ascii="Cambria Math" w:eastAsiaTheme="minorEastAsia" w:hAnsi="Cambria Math" w:cs="Times New Roman"/>
            <w:color w:val="000000" w:themeColor="text1"/>
            <w:szCs w:val="24"/>
          </w:rPr>
          <m:t xml:space="preserve"> ε</m:t>
        </m:r>
      </m:oMath>
      <w:r w:rsidRPr="00895D0B">
        <w:rPr>
          <w:rFonts w:eastAsiaTheme="minorEastAsia" w:cs="Times New Roman"/>
          <w:color w:val="000000" w:themeColor="text1"/>
          <w:szCs w:val="24"/>
        </w:rPr>
        <w:t xml:space="preserve"> </w:t>
      </w:r>
      <m:oMath>
        <m:r>
          <m:rPr>
            <m:sty m:val="bi"/>
          </m:rPr>
          <w:rPr>
            <w:rFonts w:ascii="Cambria Math" w:eastAsiaTheme="minorEastAsia" w:hAnsi="Cambria Math" w:cs="Times New Roman"/>
            <w:color w:val="000000" w:themeColor="text1"/>
            <w:szCs w:val="24"/>
          </w:rPr>
          <m:t xml:space="preserve">… </m:t>
        </m:r>
      </m:oMath>
      <w:r w:rsidRPr="00895D0B">
        <w:rPr>
          <w:rFonts w:eastAsiaTheme="minorEastAsia" w:cs="Times New Roman"/>
          <w:bCs/>
          <w:color w:val="000000" w:themeColor="text1"/>
          <w:szCs w:val="24"/>
          <w:lang w:val="en-US"/>
        </w:rPr>
        <w:t>………………………………………………………</w:t>
      </w:r>
      <w:r w:rsidR="00117C49" w:rsidRPr="00895D0B">
        <w:rPr>
          <w:rFonts w:eastAsiaTheme="minorEastAsia" w:cs="Times New Roman"/>
          <w:bCs/>
          <w:color w:val="000000" w:themeColor="text1"/>
          <w:szCs w:val="24"/>
          <w:lang w:val="en-US"/>
        </w:rPr>
        <w:t>………...[</w:t>
      </w:r>
      <w:r w:rsidRPr="00895D0B">
        <w:rPr>
          <w:rFonts w:eastAsiaTheme="minorEastAsia" w:cs="Times New Roman"/>
          <w:bCs/>
          <w:color w:val="000000" w:themeColor="text1"/>
          <w:szCs w:val="24"/>
          <w:lang w:val="en-US"/>
        </w:rPr>
        <w:t>6</w:t>
      </w:r>
      <w:r w:rsidR="00117C49" w:rsidRPr="00895D0B">
        <w:rPr>
          <w:rFonts w:eastAsiaTheme="minorEastAsia" w:cs="Times New Roman"/>
          <w:bCs/>
          <w:color w:val="000000" w:themeColor="text1"/>
          <w:szCs w:val="24"/>
          <w:lang w:val="en-US"/>
        </w:rPr>
        <w:t>]</w:t>
      </w:r>
    </w:p>
    <w:p w14:paraId="1AD75D07" w14:textId="35FE815D"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 xml:space="preserve"> Specification of the and Demographic Features of the Respondents</w:t>
      </w:r>
    </w:p>
    <w:p w14:paraId="53189A7A" w14:textId="77777777" w:rsidR="001B4ED5" w:rsidRDefault="006B41C0">
      <w:pPr>
        <w:spacing w:line="360" w:lineRule="auto"/>
        <w:rPr>
          <w:rFonts w:cs="Times New Roman"/>
          <w:color w:val="000000" w:themeColor="text1"/>
          <w:szCs w:val="24"/>
        </w:rPr>
      </w:pPr>
      <w:r w:rsidRPr="00895D0B">
        <w:rPr>
          <w:rFonts w:cs="Times New Roman"/>
          <w:color w:val="000000" w:themeColor="text1"/>
          <w:szCs w:val="24"/>
        </w:rPr>
        <w:t xml:space="preserve">The specification of the socioeconomic variables meant for running the regression model is found in Table 3.4 below. </w:t>
      </w:r>
    </w:p>
    <w:p w14:paraId="34154B87" w14:textId="77777777" w:rsidR="002D7F3D" w:rsidRPr="00895D0B" w:rsidRDefault="002D7F3D">
      <w:pPr>
        <w:spacing w:line="360" w:lineRule="auto"/>
        <w:rPr>
          <w:rFonts w:cs="Times New Roman"/>
          <w:color w:val="000000" w:themeColor="text1"/>
          <w:szCs w:val="24"/>
        </w:rPr>
      </w:pPr>
    </w:p>
    <w:p w14:paraId="71EB185A" w14:textId="091B3FFB" w:rsidR="001B4ED5" w:rsidRPr="00895D0B" w:rsidRDefault="006B41C0" w:rsidP="00C9416B">
      <w:pPr>
        <w:pStyle w:val="Caption"/>
        <w:spacing w:after="0" w:line="360" w:lineRule="auto"/>
      </w:pPr>
      <w:bookmarkStart w:id="77" w:name="_Toc148890592"/>
      <w:r w:rsidRPr="00895D0B">
        <w:t xml:space="preserve">Table 3. </w:t>
      </w:r>
      <w:fldSimple w:instr=" SEQ Table_3. \* ARABIC ">
        <w:r w:rsidR="0026489B">
          <w:rPr>
            <w:noProof/>
          </w:rPr>
          <w:t>4</w:t>
        </w:r>
      </w:fldSimple>
      <w:r w:rsidRPr="00895D0B">
        <w:t>: Variables Definition and Unit of Analysis</w:t>
      </w:r>
      <w:bookmarkEnd w:id="77"/>
    </w:p>
    <w:tbl>
      <w:tblPr>
        <w:tblW w:w="0" w:type="auto"/>
        <w:tblLook w:val="04A0" w:firstRow="1" w:lastRow="0" w:firstColumn="1" w:lastColumn="0" w:noHBand="0" w:noVBand="1"/>
      </w:tblPr>
      <w:tblGrid>
        <w:gridCol w:w="3116"/>
        <w:gridCol w:w="2258"/>
        <w:gridCol w:w="2932"/>
      </w:tblGrid>
      <w:tr w:rsidR="00895D0B" w:rsidRPr="00895D0B" w14:paraId="77B8339D" w14:textId="77777777" w:rsidTr="006940CA">
        <w:tc>
          <w:tcPr>
            <w:tcW w:w="3195" w:type="dxa"/>
            <w:tcBorders>
              <w:top w:val="single" w:sz="4" w:space="0" w:color="auto"/>
              <w:left w:val="nil"/>
              <w:bottom w:val="single" w:sz="4" w:space="0" w:color="auto"/>
              <w:right w:val="nil"/>
            </w:tcBorders>
          </w:tcPr>
          <w:p w14:paraId="63123353" w14:textId="77777777" w:rsidR="001B4ED5" w:rsidRPr="00895D0B" w:rsidRDefault="006B41C0" w:rsidP="00996C74">
            <w:pPr>
              <w:spacing w:line="240" w:lineRule="auto"/>
              <w:jc w:val="center"/>
              <w:rPr>
                <w:rFonts w:cs="Times New Roman"/>
                <w:b/>
                <w:color w:val="000000" w:themeColor="text1"/>
                <w:szCs w:val="24"/>
              </w:rPr>
            </w:pPr>
            <w:r w:rsidRPr="00895D0B">
              <w:rPr>
                <w:rFonts w:cs="Times New Roman"/>
                <w:b/>
                <w:color w:val="000000" w:themeColor="text1"/>
                <w:szCs w:val="24"/>
              </w:rPr>
              <w:t>Variable</w:t>
            </w:r>
          </w:p>
        </w:tc>
        <w:tc>
          <w:tcPr>
            <w:tcW w:w="2392" w:type="dxa"/>
            <w:tcBorders>
              <w:top w:val="single" w:sz="4" w:space="0" w:color="auto"/>
              <w:left w:val="nil"/>
              <w:bottom w:val="single" w:sz="4" w:space="0" w:color="auto"/>
              <w:right w:val="nil"/>
            </w:tcBorders>
          </w:tcPr>
          <w:p w14:paraId="4C47D018" w14:textId="77777777" w:rsidR="001B4ED5" w:rsidRPr="00895D0B" w:rsidRDefault="006B41C0" w:rsidP="005573B9">
            <w:pPr>
              <w:spacing w:line="240" w:lineRule="auto"/>
              <w:jc w:val="left"/>
              <w:rPr>
                <w:rFonts w:cs="Times New Roman"/>
                <w:b/>
                <w:color w:val="000000" w:themeColor="text1"/>
                <w:szCs w:val="24"/>
              </w:rPr>
            </w:pPr>
            <w:r w:rsidRPr="00895D0B">
              <w:rPr>
                <w:rFonts w:cs="Times New Roman"/>
                <w:b/>
                <w:color w:val="000000" w:themeColor="text1"/>
                <w:szCs w:val="24"/>
              </w:rPr>
              <w:t>Definition</w:t>
            </w:r>
          </w:p>
        </w:tc>
        <w:tc>
          <w:tcPr>
            <w:tcW w:w="2945" w:type="dxa"/>
            <w:tcBorders>
              <w:top w:val="single" w:sz="4" w:space="0" w:color="auto"/>
              <w:left w:val="nil"/>
              <w:bottom w:val="single" w:sz="4" w:space="0" w:color="auto"/>
              <w:right w:val="nil"/>
            </w:tcBorders>
          </w:tcPr>
          <w:p w14:paraId="7A06F37E" w14:textId="77777777" w:rsidR="001B4ED5" w:rsidRPr="00895D0B" w:rsidRDefault="006B41C0" w:rsidP="00996C74">
            <w:pPr>
              <w:spacing w:line="240" w:lineRule="auto"/>
              <w:jc w:val="center"/>
              <w:rPr>
                <w:rFonts w:cs="Times New Roman"/>
                <w:b/>
                <w:color w:val="000000" w:themeColor="text1"/>
                <w:szCs w:val="24"/>
              </w:rPr>
            </w:pPr>
            <w:r w:rsidRPr="00895D0B">
              <w:rPr>
                <w:rFonts w:cs="Times New Roman"/>
                <w:b/>
                <w:color w:val="000000" w:themeColor="text1"/>
                <w:szCs w:val="24"/>
              </w:rPr>
              <w:t>Unit of Analysis</w:t>
            </w:r>
          </w:p>
        </w:tc>
      </w:tr>
      <w:tr w:rsidR="00895D0B" w:rsidRPr="00895D0B" w14:paraId="2137693D" w14:textId="77777777" w:rsidTr="006940CA">
        <w:trPr>
          <w:trHeight w:val="70"/>
        </w:trPr>
        <w:tc>
          <w:tcPr>
            <w:tcW w:w="3195" w:type="dxa"/>
            <w:vMerge w:val="restart"/>
            <w:tcBorders>
              <w:top w:val="single" w:sz="4" w:space="0" w:color="auto"/>
              <w:left w:val="nil"/>
              <w:bottom w:val="nil"/>
              <w:right w:val="nil"/>
            </w:tcBorders>
          </w:tcPr>
          <w:p w14:paraId="70A0FE33" w14:textId="77777777" w:rsidR="001B4ED5" w:rsidRPr="00895D0B" w:rsidRDefault="006B41C0" w:rsidP="00996C74">
            <w:pPr>
              <w:spacing w:line="240" w:lineRule="auto"/>
              <w:rPr>
                <w:rFonts w:cs="Times New Roman"/>
                <w:b/>
                <w:color w:val="000000" w:themeColor="text1"/>
                <w:szCs w:val="24"/>
              </w:rPr>
            </w:pPr>
            <w:r w:rsidRPr="00895D0B">
              <w:rPr>
                <w:rFonts w:cs="Times New Roman"/>
                <w:b/>
                <w:color w:val="000000" w:themeColor="text1"/>
                <w:szCs w:val="24"/>
              </w:rPr>
              <w:t>Dependent Variable (Y)</w:t>
            </w:r>
          </w:p>
        </w:tc>
        <w:tc>
          <w:tcPr>
            <w:tcW w:w="2392" w:type="dxa"/>
            <w:vMerge w:val="restart"/>
            <w:tcBorders>
              <w:top w:val="single" w:sz="4" w:space="0" w:color="auto"/>
              <w:left w:val="nil"/>
              <w:bottom w:val="nil"/>
              <w:right w:val="nil"/>
            </w:tcBorders>
          </w:tcPr>
          <w:p w14:paraId="6B44E795" w14:textId="0A9D3B58" w:rsidR="001B4ED5" w:rsidRPr="00895D0B" w:rsidRDefault="006B41C0" w:rsidP="005573B9">
            <w:pPr>
              <w:spacing w:line="240" w:lineRule="auto"/>
              <w:jc w:val="left"/>
              <w:rPr>
                <w:rFonts w:cs="Times New Roman"/>
                <w:color w:val="000000" w:themeColor="text1"/>
                <w:szCs w:val="24"/>
              </w:rPr>
            </w:pPr>
            <w:r w:rsidRPr="00895D0B">
              <w:rPr>
                <w:rFonts w:cs="Times New Roman"/>
                <w:color w:val="000000" w:themeColor="text1"/>
                <w:szCs w:val="24"/>
              </w:rPr>
              <w:t>Participation in UA</w:t>
            </w:r>
          </w:p>
        </w:tc>
        <w:tc>
          <w:tcPr>
            <w:tcW w:w="2945" w:type="dxa"/>
            <w:tcBorders>
              <w:top w:val="single" w:sz="4" w:space="0" w:color="auto"/>
              <w:left w:val="nil"/>
              <w:bottom w:val="nil"/>
              <w:right w:val="nil"/>
            </w:tcBorders>
          </w:tcPr>
          <w:p w14:paraId="4D751F1D"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0 = Yes</w:t>
            </w:r>
          </w:p>
        </w:tc>
      </w:tr>
      <w:tr w:rsidR="00895D0B" w:rsidRPr="00895D0B" w14:paraId="390C784C" w14:textId="77777777" w:rsidTr="006940CA">
        <w:tc>
          <w:tcPr>
            <w:tcW w:w="0" w:type="auto"/>
            <w:vMerge/>
            <w:tcBorders>
              <w:top w:val="single" w:sz="4" w:space="0" w:color="auto"/>
              <w:left w:val="nil"/>
              <w:bottom w:val="nil"/>
              <w:right w:val="nil"/>
            </w:tcBorders>
            <w:vAlign w:val="center"/>
          </w:tcPr>
          <w:p w14:paraId="65CD0A7F" w14:textId="77777777" w:rsidR="001B4ED5" w:rsidRPr="00895D0B" w:rsidRDefault="001B4ED5" w:rsidP="00996C74">
            <w:pPr>
              <w:spacing w:line="240" w:lineRule="auto"/>
              <w:jc w:val="left"/>
              <w:rPr>
                <w:rFonts w:cs="Times New Roman"/>
                <w:b/>
                <w:color w:val="000000" w:themeColor="text1"/>
                <w:szCs w:val="24"/>
              </w:rPr>
            </w:pPr>
          </w:p>
        </w:tc>
        <w:tc>
          <w:tcPr>
            <w:tcW w:w="0" w:type="auto"/>
            <w:vMerge/>
            <w:tcBorders>
              <w:top w:val="single" w:sz="4" w:space="0" w:color="auto"/>
              <w:left w:val="nil"/>
              <w:bottom w:val="nil"/>
              <w:right w:val="nil"/>
            </w:tcBorders>
            <w:vAlign w:val="center"/>
          </w:tcPr>
          <w:p w14:paraId="061892F7"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77CAC5A0"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 xml:space="preserve">1 = No </w:t>
            </w:r>
          </w:p>
        </w:tc>
      </w:tr>
      <w:tr w:rsidR="00895D0B" w:rsidRPr="00895D0B" w14:paraId="115CC579" w14:textId="77777777" w:rsidTr="006940CA">
        <w:tc>
          <w:tcPr>
            <w:tcW w:w="8532" w:type="dxa"/>
            <w:gridSpan w:val="3"/>
          </w:tcPr>
          <w:p w14:paraId="2E6FC81D" w14:textId="77777777" w:rsidR="001B4ED5" w:rsidRPr="00895D0B" w:rsidRDefault="006B41C0" w:rsidP="005573B9">
            <w:pPr>
              <w:spacing w:line="240" w:lineRule="auto"/>
              <w:jc w:val="left"/>
              <w:rPr>
                <w:rFonts w:cs="Times New Roman"/>
                <w:b/>
                <w:color w:val="000000" w:themeColor="text1"/>
                <w:szCs w:val="24"/>
              </w:rPr>
            </w:pPr>
            <w:r w:rsidRPr="00895D0B">
              <w:rPr>
                <w:rFonts w:cs="Times New Roman"/>
                <w:b/>
                <w:color w:val="000000" w:themeColor="text1"/>
                <w:szCs w:val="24"/>
              </w:rPr>
              <w:t>Independent Variables (X)</w:t>
            </w:r>
          </w:p>
        </w:tc>
      </w:tr>
      <w:tr w:rsidR="00895D0B" w:rsidRPr="00895D0B" w14:paraId="6BB47F1F" w14:textId="77777777" w:rsidTr="006940CA">
        <w:tc>
          <w:tcPr>
            <w:tcW w:w="3195" w:type="dxa"/>
            <w:vMerge w:val="restart"/>
          </w:tcPr>
          <w:p w14:paraId="2F106AA1" w14:textId="77777777" w:rsidR="001B4ED5" w:rsidRPr="00895D0B" w:rsidRDefault="006B41C0" w:rsidP="00996C74">
            <w:pPr>
              <w:pStyle w:val="ListParagraph"/>
              <w:numPr>
                <w:ilvl w:val="0"/>
                <w:numId w:val="21"/>
              </w:numPr>
              <w:spacing w:line="240" w:lineRule="auto"/>
              <w:rPr>
                <w:rFonts w:cs="Times New Roman"/>
                <w:color w:val="000000" w:themeColor="text1"/>
                <w:szCs w:val="24"/>
              </w:rPr>
            </w:pPr>
            <w:r w:rsidRPr="00895D0B">
              <w:rPr>
                <w:rFonts w:cs="Times New Roman"/>
                <w:color w:val="000000" w:themeColor="text1"/>
                <w:szCs w:val="24"/>
              </w:rPr>
              <w:t>AGE</w:t>
            </w:r>
          </w:p>
        </w:tc>
        <w:tc>
          <w:tcPr>
            <w:tcW w:w="2392" w:type="dxa"/>
            <w:vMerge w:val="restart"/>
          </w:tcPr>
          <w:p w14:paraId="23D77AC1" w14:textId="4CFA5F8E" w:rsidR="001B4ED5" w:rsidRPr="00895D0B" w:rsidRDefault="006B41C0" w:rsidP="005573B9">
            <w:pPr>
              <w:spacing w:line="240" w:lineRule="auto"/>
              <w:jc w:val="left"/>
              <w:rPr>
                <w:rFonts w:cs="Times New Roman"/>
                <w:color w:val="000000" w:themeColor="text1"/>
                <w:szCs w:val="24"/>
              </w:rPr>
            </w:pPr>
            <w:r w:rsidRPr="00895D0B">
              <w:rPr>
                <w:rFonts w:cs="Times New Roman"/>
                <w:color w:val="000000" w:themeColor="text1"/>
                <w:szCs w:val="24"/>
              </w:rPr>
              <w:t>Age in complete years</w:t>
            </w:r>
          </w:p>
        </w:tc>
        <w:tc>
          <w:tcPr>
            <w:tcW w:w="2945" w:type="dxa"/>
          </w:tcPr>
          <w:p w14:paraId="1C8D16E8"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0 = 18 – 30</w:t>
            </w:r>
          </w:p>
        </w:tc>
      </w:tr>
      <w:tr w:rsidR="00895D0B" w:rsidRPr="00895D0B" w14:paraId="1E191319" w14:textId="77777777" w:rsidTr="006940CA">
        <w:tc>
          <w:tcPr>
            <w:tcW w:w="0" w:type="auto"/>
            <w:vMerge/>
            <w:vAlign w:val="center"/>
          </w:tcPr>
          <w:p w14:paraId="067DB4FD"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1F94F09B"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2FDF219B"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1 = 31 – 40</w:t>
            </w:r>
          </w:p>
        </w:tc>
      </w:tr>
      <w:tr w:rsidR="00895D0B" w:rsidRPr="00895D0B" w14:paraId="3CC77851" w14:textId="77777777" w:rsidTr="006940CA">
        <w:tc>
          <w:tcPr>
            <w:tcW w:w="0" w:type="auto"/>
            <w:vMerge/>
            <w:vAlign w:val="center"/>
          </w:tcPr>
          <w:p w14:paraId="42FE6D1D"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35ACD2DE"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4222669D"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2 = 41 – 50</w:t>
            </w:r>
          </w:p>
        </w:tc>
      </w:tr>
      <w:tr w:rsidR="00895D0B" w:rsidRPr="00895D0B" w14:paraId="0BEBF412" w14:textId="77777777" w:rsidTr="006940CA">
        <w:tc>
          <w:tcPr>
            <w:tcW w:w="0" w:type="auto"/>
            <w:vMerge/>
            <w:vAlign w:val="center"/>
          </w:tcPr>
          <w:p w14:paraId="4B5F88C0"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2B0E18F9"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56E0DF86"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3 = 51 – 60</w:t>
            </w:r>
          </w:p>
        </w:tc>
      </w:tr>
      <w:tr w:rsidR="00895D0B" w:rsidRPr="00895D0B" w14:paraId="16A079B3" w14:textId="77777777" w:rsidTr="006940CA">
        <w:tc>
          <w:tcPr>
            <w:tcW w:w="0" w:type="auto"/>
            <w:vMerge/>
            <w:vAlign w:val="center"/>
          </w:tcPr>
          <w:p w14:paraId="75FF0897"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53F96F95"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233A822B"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4 = 60+</w:t>
            </w:r>
          </w:p>
        </w:tc>
      </w:tr>
      <w:tr w:rsidR="00895D0B" w:rsidRPr="00895D0B" w14:paraId="182FA91B" w14:textId="77777777" w:rsidTr="006940CA">
        <w:tc>
          <w:tcPr>
            <w:tcW w:w="3195" w:type="dxa"/>
            <w:vMerge w:val="restart"/>
          </w:tcPr>
          <w:p w14:paraId="256985D8" w14:textId="77777777" w:rsidR="001B4ED5" w:rsidRPr="00895D0B" w:rsidRDefault="006B41C0" w:rsidP="00996C74">
            <w:pPr>
              <w:pStyle w:val="ListParagraph"/>
              <w:numPr>
                <w:ilvl w:val="0"/>
                <w:numId w:val="21"/>
              </w:numPr>
              <w:spacing w:line="240" w:lineRule="auto"/>
              <w:rPr>
                <w:rFonts w:cs="Times New Roman"/>
                <w:color w:val="000000" w:themeColor="text1"/>
                <w:szCs w:val="24"/>
              </w:rPr>
            </w:pPr>
            <w:r w:rsidRPr="00895D0B">
              <w:rPr>
                <w:rFonts w:cs="Times New Roman"/>
                <w:color w:val="000000" w:themeColor="text1"/>
                <w:szCs w:val="24"/>
              </w:rPr>
              <w:t>SEX</w:t>
            </w:r>
          </w:p>
        </w:tc>
        <w:tc>
          <w:tcPr>
            <w:tcW w:w="2392" w:type="dxa"/>
            <w:vMerge w:val="restart"/>
          </w:tcPr>
          <w:p w14:paraId="5C4083B0" w14:textId="3C30BA74" w:rsidR="001B4ED5" w:rsidRPr="00895D0B" w:rsidRDefault="006B41C0" w:rsidP="005573B9">
            <w:pPr>
              <w:spacing w:line="240" w:lineRule="auto"/>
              <w:jc w:val="left"/>
              <w:rPr>
                <w:rFonts w:cs="Times New Roman"/>
                <w:color w:val="000000" w:themeColor="text1"/>
                <w:szCs w:val="24"/>
              </w:rPr>
            </w:pPr>
            <w:r w:rsidRPr="00895D0B">
              <w:rPr>
                <w:rFonts w:cs="Times New Roman"/>
                <w:color w:val="000000" w:themeColor="text1"/>
                <w:szCs w:val="24"/>
              </w:rPr>
              <w:t>Gender</w:t>
            </w:r>
          </w:p>
        </w:tc>
        <w:tc>
          <w:tcPr>
            <w:tcW w:w="2945" w:type="dxa"/>
          </w:tcPr>
          <w:p w14:paraId="3208D712"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0 = Male</w:t>
            </w:r>
          </w:p>
        </w:tc>
      </w:tr>
      <w:tr w:rsidR="00895D0B" w:rsidRPr="00895D0B" w14:paraId="58A75560" w14:textId="77777777" w:rsidTr="006940CA">
        <w:tc>
          <w:tcPr>
            <w:tcW w:w="0" w:type="auto"/>
            <w:vMerge/>
            <w:vAlign w:val="center"/>
          </w:tcPr>
          <w:p w14:paraId="777722EF"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30841885"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56AD7D28"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 xml:space="preserve">1 = Female </w:t>
            </w:r>
          </w:p>
        </w:tc>
      </w:tr>
      <w:tr w:rsidR="00895D0B" w:rsidRPr="00895D0B" w14:paraId="794E85C6" w14:textId="77777777" w:rsidTr="006940CA">
        <w:tc>
          <w:tcPr>
            <w:tcW w:w="3195" w:type="dxa"/>
            <w:vMerge w:val="restart"/>
          </w:tcPr>
          <w:p w14:paraId="268328A8" w14:textId="77777777" w:rsidR="001B4ED5" w:rsidRPr="00895D0B" w:rsidRDefault="006B41C0" w:rsidP="00996C74">
            <w:pPr>
              <w:pStyle w:val="ListParagraph"/>
              <w:numPr>
                <w:ilvl w:val="0"/>
                <w:numId w:val="21"/>
              </w:numPr>
              <w:spacing w:line="240" w:lineRule="auto"/>
              <w:rPr>
                <w:rFonts w:cs="Times New Roman"/>
                <w:color w:val="000000" w:themeColor="text1"/>
                <w:szCs w:val="24"/>
              </w:rPr>
            </w:pPr>
            <w:r w:rsidRPr="00895D0B">
              <w:rPr>
                <w:rFonts w:cs="Times New Roman"/>
                <w:color w:val="000000" w:themeColor="text1"/>
                <w:szCs w:val="24"/>
              </w:rPr>
              <w:t>MARIT_STAT</w:t>
            </w:r>
          </w:p>
        </w:tc>
        <w:tc>
          <w:tcPr>
            <w:tcW w:w="2392" w:type="dxa"/>
            <w:vMerge w:val="restart"/>
          </w:tcPr>
          <w:p w14:paraId="10BB7446" w14:textId="346DD540" w:rsidR="001B4ED5" w:rsidRPr="00895D0B" w:rsidRDefault="006B41C0" w:rsidP="005573B9">
            <w:pPr>
              <w:spacing w:line="240" w:lineRule="auto"/>
              <w:jc w:val="left"/>
              <w:rPr>
                <w:rFonts w:cs="Times New Roman"/>
                <w:color w:val="000000" w:themeColor="text1"/>
                <w:szCs w:val="24"/>
              </w:rPr>
            </w:pPr>
            <w:r w:rsidRPr="00895D0B">
              <w:rPr>
                <w:rFonts w:cs="Times New Roman"/>
                <w:color w:val="000000" w:themeColor="text1"/>
                <w:szCs w:val="24"/>
              </w:rPr>
              <w:t>Marital Status</w:t>
            </w:r>
          </w:p>
        </w:tc>
        <w:tc>
          <w:tcPr>
            <w:tcW w:w="2945" w:type="dxa"/>
          </w:tcPr>
          <w:p w14:paraId="02686099"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 xml:space="preserve">0 = Never Married </w:t>
            </w:r>
          </w:p>
        </w:tc>
      </w:tr>
      <w:tr w:rsidR="00895D0B" w:rsidRPr="00895D0B" w14:paraId="30BEB1A0" w14:textId="77777777" w:rsidTr="006940CA">
        <w:tc>
          <w:tcPr>
            <w:tcW w:w="0" w:type="auto"/>
            <w:vMerge/>
            <w:vAlign w:val="center"/>
          </w:tcPr>
          <w:p w14:paraId="546F05FA"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42451AC4"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7020ADF6"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 xml:space="preserve">1 = Married </w:t>
            </w:r>
          </w:p>
        </w:tc>
      </w:tr>
      <w:tr w:rsidR="00895D0B" w:rsidRPr="00895D0B" w14:paraId="4090E3BE" w14:textId="77777777" w:rsidTr="006940CA">
        <w:tc>
          <w:tcPr>
            <w:tcW w:w="0" w:type="auto"/>
            <w:vMerge/>
            <w:vAlign w:val="center"/>
          </w:tcPr>
          <w:p w14:paraId="1EB11953"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0B254299"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2F7898F6"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 xml:space="preserve">2 = Separated </w:t>
            </w:r>
          </w:p>
        </w:tc>
      </w:tr>
      <w:tr w:rsidR="00895D0B" w:rsidRPr="00895D0B" w14:paraId="29E53483" w14:textId="77777777" w:rsidTr="006940CA">
        <w:tc>
          <w:tcPr>
            <w:tcW w:w="0" w:type="auto"/>
            <w:vMerge/>
            <w:vAlign w:val="center"/>
          </w:tcPr>
          <w:p w14:paraId="117DC9B7"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21B03538"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7FF6609C"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3 = Widow/Widower</w:t>
            </w:r>
          </w:p>
        </w:tc>
      </w:tr>
      <w:tr w:rsidR="00895D0B" w:rsidRPr="00895D0B" w14:paraId="5E863618" w14:textId="77777777" w:rsidTr="006940CA">
        <w:tc>
          <w:tcPr>
            <w:tcW w:w="3195" w:type="dxa"/>
            <w:vMerge w:val="restart"/>
          </w:tcPr>
          <w:p w14:paraId="591C5889" w14:textId="77777777" w:rsidR="001B4ED5" w:rsidRPr="00895D0B" w:rsidRDefault="006B41C0" w:rsidP="00996C74">
            <w:pPr>
              <w:pStyle w:val="ListParagraph"/>
              <w:numPr>
                <w:ilvl w:val="0"/>
                <w:numId w:val="21"/>
              </w:numPr>
              <w:spacing w:line="240" w:lineRule="auto"/>
              <w:rPr>
                <w:rFonts w:cs="Times New Roman"/>
                <w:color w:val="000000" w:themeColor="text1"/>
                <w:szCs w:val="24"/>
              </w:rPr>
            </w:pPr>
            <w:r w:rsidRPr="00895D0B">
              <w:rPr>
                <w:rFonts w:cs="Times New Roman"/>
                <w:color w:val="000000" w:themeColor="text1"/>
                <w:szCs w:val="24"/>
              </w:rPr>
              <w:t>EMPLOY_STAT</w:t>
            </w:r>
          </w:p>
        </w:tc>
        <w:tc>
          <w:tcPr>
            <w:tcW w:w="2392" w:type="dxa"/>
            <w:vMerge w:val="restart"/>
          </w:tcPr>
          <w:p w14:paraId="2F7D5C88" w14:textId="749ABB4F" w:rsidR="001B4ED5" w:rsidRPr="00895D0B" w:rsidRDefault="006B41C0" w:rsidP="005573B9">
            <w:pPr>
              <w:spacing w:line="240" w:lineRule="auto"/>
              <w:jc w:val="left"/>
              <w:rPr>
                <w:rFonts w:cs="Times New Roman"/>
                <w:color w:val="000000" w:themeColor="text1"/>
                <w:szCs w:val="24"/>
              </w:rPr>
            </w:pPr>
            <w:r w:rsidRPr="00895D0B">
              <w:rPr>
                <w:rFonts w:cs="Times New Roman"/>
                <w:color w:val="000000" w:themeColor="text1"/>
                <w:szCs w:val="24"/>
              </w:rPr>
              <w:t>Employment Status</w:t>
            </w:r>
          </w:p>
        </w:tc>
        <w:tc>
          <w:tcPr>
            <w:tcW w:w="2945" w:type="dxa"/>
          </w:tcPr>
          <w:p w14:paraId="7753A24C"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 xml:space="preserve">0 = Employed </w:t>
            </w:r>
          </w:p>
        </w:tc>
      </w:tr>
      <w:tr w:rsidR="00895D0B" w:rsidRPr="00895D0B" w14:paraId="4614CE94" w14:textId="77777777" w:rsidTr="006940CA">
        <w:tc>
          <w:tcPr>
            <w:tcW w:w="0" w:type="auto"/>
            <w:vMerge/>
            <w:vAlign w:val="center"/>
          </w:tcPr>
          <w:p w14:paraId="5DD6138E"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78B90A72"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6DD2ABC6"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 xml:space="preserve">1 = Unemployed </w:t>
            </w:r>
          </w:p>
        </w:tc>
      </w:tr>
      <w:tr w:rsidR="00895D0B" w:rsidRPr="00895D0B" w14:paraId="0E7BD6A3" w14:textId="77777777" w:rsidTr="006940CA">
        <w:tc>
          <w:tcPr>
            <w:tcW w:w="3195" w:type="dxa"/>
            <w:vMerge w:val="restart"/>
          </w:tcPr>
          <w:p w14:paraId="2745E327" w14:textId="77777777" w:rsidR="001B4ED5" w:rsidRPr="00895D0B" w:rsidRDefault="006B41C0" w:rsidP="00996C74">
            <w:pPr>
              <w:pStyle w:val="ListParagraph"/>
              <w:numPr>
                <w:ilvl w:val="0"/>
                <w:numId w:val="21"/>
              </w:numPr>
              <w:spacing w:line="240" w:lineRule="auto"/>
              <w:rPr>
                <w:rFonts w:cs="Times New Roman"/>
                <w:color w:val="000000" w:themeColor="text1"/>
                <w:szCs w:val="24"/>
              </w:rPr>
            </w:pPr>
            <w:r w:rsidRPr="00895D0B">
              <w:rPr>
                <w:rFonts w:cs="Times New Roman"/>
                <w:color w:val="000000" w:themeColor="text1"/>
                <w:szCs w:val="24"/>
              </w:rPr>
              <w:t>EMPLOY_TYPE</w:t>
            </w:r>
          </w:p>
        </w:tc>
        <w:tc>
          <w:tcPr>
            <w:tcW w:w="2392" w:type="dxa"/>
            <w:vMerge w:val="restart"/>
          </w:tcPr>
          <w:p w14:paraId="3F280B69" w14:textId="6F10B557" w:rsidR="001B4ED5" w:rsidRPr="00895D0B" w:rsidRDefault="006B41C0" w:rsidP="005573B9">
            <w:pPr>
              <w:spacing w:line="240" w:lineRule="auto"/>
              <w:jc w:val="left"/>
              <w:rPr>
                <w:rFonts w:cs="Times New Roman"/>
                <w:color w:val="000000" w:themeColor="text1"/>
                <w:szCs w:val="24"/>
              </w:rPr>
            </w:pPr>
            <w:r w:rsidRPr="00895D0B">
              <w:rPr>
                <w:rFonts w:cs="Times New Roman"/>
                <w:color w:val="000000" w:themeColor="text1"/>
                <w:szCs w:val="24"/>
              </w:rPr>
              <w:t>Employment Type</w:t>
            </w:r>
          </w:p>
        </w:tc>
        <w:tc>
          <w:tcPr>
            <w:tcW w:w="2945" w:type="dxa"/>
          </w:tcPr>
          <w:p w14:paraId="7E4A967B"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 xml:space="preserve">0 = Formal </w:t>
            </w:r>
          </w:p>
        </w:tc>
      </w:tr>
      <w:tr w:rsidR="00895D0B" w:rsidRPr="00895D0B" w14:paraId="7BAECCE8" w14:textId="77777777" w:rsidTr="006940CA">
        <w:tc>
          <w:tcPr>
            <w:tcW w:w="0" w:type="auto"/>
            <w:vMerge/>
            <w:vAlign w:val="center"/>
          </w:tcPr>
          <w:p w14:paraId="3FE5D8B2"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6FB70851"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5BC6FB98"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 xml:space="preserve">1 = Informal </w:t>
            </w:r>
          </w:p>
        </w:tc>
      </w:tr>
      <w:tr w:rsidR="00895D0B" w:rsidRPr="00895D0B" w14:paraId="4AC1BE64" w14:textId="77777777" w:rsidTr="006940CA">
        <w:tc>
          <w:tcPr>
            <w:tcW w:w="3195" w:type="dxa"/>
            <w:vMerge w:val="restart"/>
          </w:tcPr>
          <w:p w14:paraId="7BF7E68D" w14:textId="77777777" w:rsidR="001B4ED5" w:rsidRPr="00895D0B" w:rsidRDefault="006B41C0" w:rsidP="00996C74">
            <w:pPr>
              <w:pStyle w:val="ListParagraph"/>
              <w:numPr>
                <w:ilvl w:val="0"/>
                <w:numId w:val="21"/>
              </w:numPr>
              <w:spacing w:line="240" w:lineRule="auto"/>
              <w:rPr>
                <w:rFonts w:cs="Times New Roman"/>
                <w:color w:val="000000" w:themeColor="text1"/>
                <w:szCs w:val="24"/>
              </w:rPr>
            </w:pPr>
            <w:r w:rsidRPr="00895D0B">
              <w:rPr>
                <w:rFonts w:cs="Times New Roman"/>
                <w:color w:val="000000" w:themeColor="text1"/>
                <w:szCs w:val="24"/>
              </w:rPr>
              <w:t>EDU_STAT</w:t>
            </w:r>
          </w:p>
        </w:tc>
        <w:tc>
          <w:tcPr>
            <w:tcW w:w="2392" w:type="dxa"/>
            <w:vMerge w:val="restart"/>
          </w:tcPr>
          <w:p w14:paraId="70549C3E" w14:textId="6F09BD51" w:rsidR="001B4ED5" w:rsidRPr="00895D0B" w:rsidRDefault="006B41C0" w:rsidP="005573B9">
            <w:pPr>
              <w:spacing w:line="240" w:lineRule="auto"/>
              <w:jc w:val="left"/>
              <w:rPr>
                <w:rFonts w:cs="Times New Roman"/>
                <w:color w:val="000000" w:themeColor="text1"/>
                <w:szCs w:val="24"/>
              </w:rPr>
            </w:pPr>
            <w:r w:rsidRPr="00895D0B">
              <w:rPr>
                <w:rFonts w:cs="Times New Roman"/>
                <w:color w:val="000000" w:themeColor="text1"/>
                <w:szCs w:val="24"/>
              </w:rPr>
              <w:t>Educational Status</w:t>
            </w:r>
          </w:p>
        </w:tc>
        <w:tc>
          <w:tcPr>
            <w:tcW w:w="2945" w:type="dxa"/>
          </w:tcPr>
          <w:p w14:paraId="78FADB73"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0 = No Formal Education</w:t>
            </w:r>
          </w:p>
        </w:tc>
      </w:tr>
      <w:tr w:rsidR="00895D0B" w:rsidRPr="00895D0B" w14:paraId="2FD4FCD4" w14:textId="77777777" w:rsidTr="006940CA">
        <w:tc>
          <w:tcPr>
            <w:tcW w:w="0" w:type="auto"/>
            <w:vMerge/>
            <w:vAlign w:val="center"/>
          </w:tcPr>
          <w:p w14:paraId="05B1E6A9"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14EA9D31"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079D1255"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1 = Basic Education/Middle School</w:t>
            </w:r>
          </w:p>
        </w:tc>
      </w:tr>
      <w:tr w:rsidR="00895D0B" w:rsidRPr="00895D0B" w14:paraId="398B132B" w14:textId="77777777" w:rsidTr="006940CA">
        <w:tc>
          <w:tcPr>
            <w:tcW w:w="0" w:type="auto"/>
            <w:vMerge/>
            <w:vAlign w:val="center"/>
          </w:tcPr>
          <w:p w14:paraId="18F42277"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68DAF3B6"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32C48E12"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2= SHS/Secondary/Vocational</w:t>
            </w:r>
          </w:p>
        </w:tc>
      </w:tr>
      <w:tr w:rsidR="00895D0B" w:rsidRPr="00895D0B" w14:paraId="68D59EFB" w14:textId="77777777" w:rsidTr="006940CA">
        <w:tc>
          <w:tcPr>
            <w:tcW w:w="0" w:type="auto"/>
            <w:vMerge/>
            <w:vAlign w:val="center"/>
          </w:tcPr>
          <w:p w14:paraId="276B2F2A"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55FD303A"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6D301655"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 xml:space="preserve">3 = Tertiary </w:t>
            </w:r>
          </w:p>
        </w:tc>
      </w:tr>
      <w:tr w:rsidR="00895D0B" w:rsidRPr="00895D0B" w14:paraId="649C0278" w14:textId="77777777" w:rsidTr="006940CA">
        <w:tc>
          <w:tcPr>
            <w:tcW w:w="3195" w:type="dxa"/>
            <w:vMerge w:val="restart"/>
          </w:tcPr>
          <w:p w14:paraId="6640F6CC" w14:textId="77777777" w:rsidR="001B4ED5" w:rsidRPr="00895D0B" w:rsidRDefault="006B41C0" w:rsidP="00996C74">
            <w:pPr>
              <w:pStyle w:val="ListParagraph"/>
              <w:numPr>
                <w:ilvl w:val="0"/>
                <w:numId w:val="21"/>
              </w:numPr>
              <w:spacing w:line="240" w:lineRule="auto"/>
              <w:rPr>
                <w:rFonts w:cs="Times New Roman"/>
                <w:color w:val="000000" w:themeColor="text1"/>
                <w:szCs w:val="24"/>
              </w:rPr>
            </w:pPr>
            <w:r w:rsidRPr="00895D0B">
              <w:rPr>
                <w:rFonts w:cs="Times New Roman"/>
                <w:color w:val="000000" w:themeColor="text1"/>
                <w:szCs w:val="24"/>
              </w:rPr>
              <w:t>REST_TYPE</w:t>
            </w:r>
          </w:p>
        </w:tc>
        <w:tc>
          <w:tcPr>
            <w:tcW w:w="2392" w:type="dxa"/>
            <w:vMerge w:val="restart"/>
          </w:tcPr>
          <w:p w14:paraId="6548D45D" w14:textId="77777777" w:rsidR="001B4ED5" w:rsidRPr="00895D0B" w:rsidRDefault="006B41C0" w:rsidP="005573B9">
            <w:pPr>
              <w:spacing w:line="240" w:lineRule="auto"/>
              <w:jc w:val="left"/>
              <w:rPr>
                <w:rFonts w:cs="Times New Roman"/>
                <w:color w:val="000000" w:themeColor="text1"/>
                <w:szCs w:val="24"/>
              </w:rPr>
            </w:pPr>
            <w:r w:rsidRPr="00895D0B">
              <w:rPr>
                <w:rFonts w:cs="Times New Roman"/>
                <w:color w:val="000000" w:themeColor="text1"/>
                <w:szCs w:val="24"/>
              </w:rPr>
              <w:t>Resident Type</w:t>
            </w:r>
          </w:p>
        </w:tc>
        <w:tc>
          <w:tcPr>
            <w:tcW w:w="2945" w:type="dxa"/>
          </w:tcPr>
          <w:p w14:paraId="3607CEF9"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0 = Natives</w:t>
            </w:r>
          </w:p>
        </w:tc>
      </w:tr>
      <w:tr w:rsidR="00895D0B" w:rsidRPr="00895D0B" w14:paraId="17878673" w14:textId="77777777" w:rsidTr="006940CA">
        <w:tc>
          <w:tcPr>
            <w:tcW w:w="0" w:type="auto"/>
            <w:vMerge/>
            <w:vAlign w:val="center"/>
          </w:tcPr>
          <w:p w14:paraId="50179188"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3336E360"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5BBDB2F7"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1 = Settlers</w:t>
            </w:r>
          </w:p>
        </w:tc>
      </w:tr>
      <w:tr w:rsidR="00895D0B" w:rsidRPr="00895D0B" w14:paraId="65591C5B" w14:textId="77777777" w:rsidTr="006940CA">
        <w:tc>
          <w:tcPr>
            <w:tcW w:w="3195" w:type="dxa"/>
            <w:vMerge w:val="restart"/>
          </w:tcPr>
          <w:p w14:paraId="453D9FA7" w14:textId="77777777" w:rsidR="001B4ED5" w:rsidRPr="00895D0B" w:rsidRDefault="006B41C0" w:rsidP="00996C74">
            <w:pPr>
              <w:pStyle w:val="ListParagraph"/>
              <w:numPr>
                <w:ilvl w:val="0"/>
                <w:numId w:val="21"/>
              </w:numPr>
              <w:spacing w:line="240" w:lineRule="auto"/>
              <w:rPr>
                <w:rFonts w:cs="Times New Roman"/>
                <w:color w:val="000000" w:themeColor="text1"/>
                <w:szCs w:val="24"/>
              </w:rPr>
            </w:pPr>
            <w:r w:rsidRPr="00895D0B">
              <w:rPr>
                <w:rFonts w:cs="Times New Roman"/>
                <w:color w:val="000000" w:themeColor="text1"/>
                <w:szCs w:val="24"/>
              </w:rPr>
              <w:t>HH_SIZE</w:t>
            </w:r>
          </w:p>
        </w:tc>
        <w:tc>
          <w:tcPr>
            <w:tcW w:w="2392" w:type="dxa"/>
            <w:vMerge w:val="restart"/>
          </w:tcPr>
          <w:p w14:paraId="68229425" w14:textId="63B0D039" w:rsidR="001B4ED5" w:rsidRPr="00895D0B" w:rsidRDefault="006B41C0" w:rsidP="005573B9">
            <w:pPr>
              <w:spacing w:line="240" w:lineRule="auto"/>
              <w:jc w:val="left"/>
              <w:rPr>
                <w:rFonts w:cs="Times New Roman"/>
                <w:color w:val="000000" w:themeColor="text1"/>
                <w:szCs w:val="24"/>
              </w:rPr>
            </w:pPr>
            <w:r w:rsidRPr="00895D0B">
              <w:rPr>
                <w:rFonts w:cs="Times New Roman"/>
                <w:color w:val="000000" w:themeColor="text1"/>
                <w:szCs w:val="24"/>
              </w:rPr>
              <w:t>Household Size</w:t>
            </w:r>
          </w:p>
        </w:tc>
        <w:tc>
          <w:tcPr>
            <w:tcW w:w="2945" w:type="dxa"/>
          </w:tcPr>
          <w:p w14:paraId="119A3E6A"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 xml:space="preserve">0 = 1 – 5 </w:t>
            </w:r>
          </w:p>
        </w:tc>
      </w:tr>
      <w:tr w:rsidR="00895D0B" w:rsidRPr="00895D0B" w14:paraId="76FAC046" w14:textId="77777777" w:rsidTr="006940CA">
        <w:tc>
          <w:tcPr>
            <w:tcW w:w="0" w:type="auto"/>
            <w:vMerge/>
            <w:vAlign w:val="center"/>
          </w:tcPr>
          <w:p w14:paraId="26A1C393" w14:textId="77777777" w:rsidR="001B4ED5" w:rsidRPr="00895D0B" w:rsidRDefault="001B4ED5" w:rsidP="00996C74">
            <w:pPr>
              <w:spacing w:line="240" w:lineRule="auto"/>
              <w:jc w:val="left"/>
              <w:rPr>
                <w:rFonts w:cs="Times New Roman"/>
                <w:color w:val="000000" w:themeColor="text1"/>
                <w:szCs w:val="24"/>
              </w:rPr>
            </w:pPr>
          </w:p>
        </w:tc>
        <w:tc>
          <w:tcPr>
            <w:tcW w:w="0" w:type="auto"/>
            <w:vMerge/>
            <w:vAlign w:val="center"/>
          </w:tcPr>
          <w:p w14:paraId="26D8A330" w14:textId="77777777" w:rsidR="001B4ED5" w:rsidRPr="00895D0B" w:rsidRDefault="001B4ED5" w:rsidP="005573B9">
            <w:pPr>
              <w:spacing w:line="240" w:lineRule="auto"/>
              <w:jc w:val="left"/>
              <w:rPr>
                <w:rFonts w:cs="Times New Roman"/>
                <w:color w:val="000000" w:themeColor="text1"/>
                <w:szCs w:val="24"/>
              </w:rPr>
            </w:pPr>
          </w:p>
        </w:tc>
        <w:tc>
          <w:tcPr>
            <w:tcW w:w="2945" w:type="dxa"/>
          </w:tcPr>
          <w:p w14:paraId="5FF93889"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1 = 6 or more people</w:t>
            </w:r>
          </w:p>
        </w:tc>
      </w:tr>
      <w:tr w:rsidR="00895D0B" w:rsidRPr="00895D0B" w14:paraId="0164E4CB" w14:textId="77777777" w:rsidTr="006940CA">
        <w:tc>
          <w:tcPr>
            <w:tcW w:w="3195" w:type="dxa"/>
            <w:vMerge w:val="restart"/>
            <w:tcBorders>
              <w:top w:val="nil"/>
              <w:left w:val="nil"/>
              <w:bottom w:val="single" w:sz="4" w:space="0" w:color="auto"/>
              <w:right w:val="nil"/>
            </w:tcBorders>
          </w:tcPr>
          <w:p w14:paraId="0CAF3BD6" w14:textId="77777777" w:rsidR="001B4ED5" w:rsidRPr="00895D0B" w:rsidRDefault="006B41C0" w:rsidP="00996C74">
            <w:pPr>
              <w:pStyle w:val="ListParagraph"/>
              <w:numPr>
                <w:ilvl w:val="0"/>
                <w:numId w:val="21"/>
              </w:numPr>
              <w:spacing w:line="240" w:lineRule="auto"/>
              <w:rPr>
                <w:rFonts w:cs="Times New Roman"/>
                <w:color w:val="000000" w:themeColor="text1"/>
                <w:szCs w:val="24"/>
              </w:rPr>
            </w:pPr>
            <w:r w:rsidRPr="00895D0B">
              <w:rPr>
                <w:rFonts w:cs="Times New Roman"/>
                <w:color w:val="000000" w:themeColor="text1"/>
                <w:szCs w:val="24"/>
              </w:rPr>
              <w:t>HH_INCOME</w:t>
            </w:r>
          </w:p>
        </w:tc>
        <w:tc>
          <w:tcPr>
            <w:tcW w:w="2392" w:type="dxa"/>
            <w:vMerge w:val="restart"/>
            <w:tcBorders>
              <w:top w:val="nil"/>
              <w:left w:val="nil"/>
              <w:bottom w:val="single" w:sz="4" w:space="0" w:color="auto"/>
              <w:right w:val="nil"/>
            </w:tcBorders>
          </w:tcPr>
          <w:p w14:paraId="399744B4" w14:textId="77777777" w:rsidR="001B4ED5" w:rsidRPr="00895D0B" w:rsidRDefault="006B41C0" w:rsidP="005573B9">
            <w:pPr>
              <w:spacing w:line="240" w:lineRule="auto"/>
              <w:jc w:val="left"/>
              <w:rPr>
                <w:rFonts w:cs="Times New Roman"/>
                <w:color w:val="000000" w:themeColor="text1"/>
                <w:szCs w:val="24"/>
              </w:rPr>
            </w:pPr>
            <w:r w:rsidRPr="00895D0B">
              <w:rPr>
                <w:rFonts w:cs="Times New Roman"/>
                <w:color w:val="000000" w:themeColor="text1"/>
                <w:szCs w:val="24"/>
              </w:rPr>
              <w:t>Household Monthly Income (GHS)</w:t>
            </w:r>
          </w:p>
        </w:tc>
        <w:tc>
          <w:tcPr>
            <w:tcW w:w="2945" w:type="dxa"/>
          </w:tcPr>
          <w:p w14:paraId="7B337D90"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0 = &lt; 1, 000.00</w:t>
            </w:r>
          </w:p>
        </w:tc>
      </w:tr>
      <w:tr w:rsidR="00895D0B" w:rsidRPr="00895D0B" w14:paraId="31F7500C" w14:textId="77777777" w:rsidTr="006B68B5">
        <w:tc>
          <w:tcPr>
            <w:tcW w:w="0" w:type="auto"/>
            <w:vMerge/>
            <w:tcBorders>
              <w:top w:val="nil"/>
              <w:left w:val="nil"/>
              <w:bottom w:val="single" w:sz="4" w:space="0" w:color="auto"/>
              <w:right w:val="nil"/>
            </w:tcBorders>
            <w:vAlign w:val="center"/>
          </w:tcPr>
          <w:p w14:paraId="16A9ED61" w14:textId="77777777" w:rsidR="001B4ED5" w:rsidRPr="00895D0B" w:rsidRDefault="001B4ED5" w:rsidP="00996C74">
            <w:pPr>
              <w:spacing w:line="240" w:lineRule="auto"/>
              <w:jc w:val="left"/>
              <w:rPr>
                <w:rFonts w:cs="Times New Roman"/>
                <w:color w:val="000000" w:themeColor="text1"/>
                <w:szCs w:val="24"/>
              </w:rPr>
            </w:pPr>
          </w:p>
        </w:tc>
        <w:tc>
          <w:tcPr>
            <w:tcW w:w="0" w:type="auto"/>
            <w:vMerge/>
            <w:tcBorders>
              <w:top w:val="nil"/>
              <w:left w:val="nil"/>
              <w:bottom w:val="single" w:sz="4" w:space="0" w:color="auto"/>
              <w:right w:val="nil"/>
            </w:tcBorders>
            <w:vAlign w:val="center"/>
          </w:tcPr>
          <w:p w14:paraId="10046D79" w14:textId="77777777" w:rsidR="001B4ED5" w:rsidRPr="00895D0B" w:rsidRDefault="001B4ED5" w:rsidP="005573B9">
            <w:pPr>
              <w:spacing w:line="240" w:lineRule="auto"/>
              <w:jc w:val="left"/>
              <w:rPr>
                <w:rFonts w:cs="Times New Roman"/>
                <w:color w:val="000000" w:themeColor="text1"/>
                <w:szCs w:val="24"/>
              </w:rPr>
            </w:pPr>
          </w:p>
        </w:tc>
        <w:tc>
          <w:tcPr>
            <w:tcW w:w="2945" w:type="dxa"/>
            <w:tcBorders>
              <w:top w:val="nil"/>
              <w:left w:val="nil"/>
              <w:bottom w:val="single" w:sz="4" w:space="0" w:color="auto"/>
              <w:right w:val="nil"/>
            </w:tcBorders>
          </w:tcPr>
          <w:p w14:paraId="14E861A9" w14:textId="77777777" w:rsidR="001B4ED5" w:rsidRPr="00895D0B" w:rsidRDefault="006B41C0" w:rsidP="00996C74">
            <w:pPr>
              <w:spacing w:line="240" w:lineRule="auto"/>
              <w:rPr>
                <w:rFonts w:cs="Times New Roman"/>
                <w:color w:val="000000" w:themeColor="text1"/>
                <w:szCs w:val="24"/>
              </w:rPr>
            </w:pPr>
            <w:r w:rsidRPr="00895D0B">
              <w:rPr>
                <w:rFonts w:cs="Times New Roman"/>
                <w:color w:val="000000" w:themeColor="text1"/>
                <w:szCs w:val="24"/>
              </w:rPr>
              <w:t>1 = &gt; 1. 000.00</w:t>
            </w:r>
          </w:p>
        </w:tc>
      </w:tr>
      <w:tr w:rsidR="00895D0B" w:rsidRPr="00895D0B" w14:paraId="3B42C6CF" w14:textId="77777777" w:rsidTr="007C7EB3">
        <w:tc>
          <w:tcPr>
            <w:tcW w:w="8532" w:type="dxa"/>
            <w:gridSpan w:val="3"/>
            <w:tcBorders>
              <w:top w:val="single" w:sz="4" w:space="0" w:color="auto"/>
              <w:left w:val="nil"/>
              <w:right w:val="nil"/>
            </w:tcBorders>
            <w:vAlign w:val="center"/>
          </w:tcPr>
          <w:p w14:paraId="17A54B34" w14:textId="2EF91558" w:rsidR="006940CA" w:rsidRPr="00895D0B" w:rsidRDefault="006940CA" w:rsidP="005573B9">
            <w:pPr>
              <w:spacing w:line="240" w:lineRule="auto"/>
              <w:jc w:val="left"/>
              <w:rPr>
                <w:rFonts w:cs="Times New Roman"/>
                <w:color w:val="000000" w:themeColor="text1"/>
                <w:szCs w:val="24"/>
              </w:rPr>
            </w:pPr>
            <w:r w:rsidRPr="00895D0B">
              <w:rPr>
                <w:rFonts w:cs="Times New Roman"/>
                <w:b/>
                <w:color w:val="000000" w:themeColor="text1"/>
                <w:szCs w:val="24"/>
              </w:rPr>
              <w:t>Note:</w:t>
            </w:r>
            <w:r w:rsidRPr="00895D0B">
              <w:rPr>
                <w:rFonts w:cs="Times New Roman"/>
                <w:color w:val="000000" w:themeColor="text1"/>
                <w:szCs w:val="24"/>
              </w:rPr>
              <w:t xml:space="preserve"> AGE = Age of the respondents; SEX = Sex of the respondents; MARIT_STAT = Marital status of the respondents;  EMPLOY_STAT = Employment status of the respondents; EDU_STAT = Educational status of the respondents; REST_TYPE = Residential status of the respondents; HH_SIZE = Household size; HH_INCOME = Household income.</w:t>
            </w:r>
          </w:p>
        </w:tc>
      </w:tr>
    </w:tbl>
    <w:p w14:paraId="77C6AEAA" w14:textId="0A583E31" w:rsidR="001B4ED5" w:rsidRPr="00895D0B"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1C27B133" w14:textId="77777777" w:rsidR="001B4ED5" w:rsidRPr="00895D0B" w:rsidRDefault="001B4ED5">
      <w:pPr>
        <w:spacing w:line="360" w:lineRule="auto"/>
        <w:rPr>
          <w:rFonts w:cs="Times New Roman"/>
          <w:color w:val="000000" w:themeColor="text1"/>
          <w:szCs w:val="24"/>
        </w:rPr>
      </w:pPr>
    </w:p>
    <w:p w14:paraId="39C5AFF1" w14:textId="77777777" w:rsidR="001B4ED5" w:rsidRPr="00895D0B" w:rsidRDefault="006B41C0" w:rsidP="009864E3">
      <w:pPr>
        <w:pStyle w:val="Heading3"/>
      </w:pPr>
      <w:bookmarkStart w:id="78" w:name="_Toc167379905"/>
      <w:r w:rsidRPr="00895D0B">
        <w:t>3.6.2 Qualitative phase</w:t>
      </w:r>
      <w:bookmarkEnd w:id="78"/>
    </w:p>
    <w:p w14:paraId="6FFB9627" w14:textId="77777777" w:rsidR="001B4ED5" w:rsidRPr="00895D0B" w:rsidRDefault="006B41C0">
      <w:pPr>
        <w:spacing w:line="360" w:lineRule="auto"/>
        <w:rPr>
          <w:rFonts w:cs="Times New Roman"/>
          <w:color w:val="000000" w:themeColor="text1"/>
          <w:szCs w:val="24"/>
          <w:lang w:val="en-US"/>
        </w:rPr>
      </w:pPr>
      <w:r w:rsidRPr="00895D0B">
        <w:rPr>
          <w:rFonts w:cs="Times New Roman"/>
          <w:color w:val="000000" w:themeColor="text1"/>
          <w:szCs w:val="24"/>
          <w:lang w:val="en-US"/>
        </w:rPr>
        <w:t xml:space="preserve">In the qualitative analysis, the voices in the interviews recorded were transcribed to pave way for the analysis. The data were grouped according to themes and content for analysis in line with the study objectives. The various data taken from different methods were triangulated and synthesized to come out with the results. The study followed the grounded theory approach in the qualitative analysis. The results were presented in the form narrations, paraphrasing, and direct quotation of the respondents. </w:t>
      </w:r>
    </w:p>
    <w:p w14:paraId="21BC3BB3" w14:textId="77777777" w:rsidR="001B4ED5" w:rsidRPr="00895D0B" w:rsidRDefault="001B4ED5" w:rsidP="005573B9">
      <w:pPr>
        <w:pStyle w:val="NoSpacing"/>
        <w:rPr>
          <w:lang w:val="en-US"/>
        </w:rPr>
      </w:pPr>
    </w:p>
    <w:p w14:paraId="4D4AFA4C" w14:textId="77777777" w:rsidR="001B4ED5" w:rsidRPr="00895D0B" w:rsidRDefault="006B41C0">
      <w:pPr>
        <w:pStyle w:val="Heading2"/>
      </w:pPr>
      <w:bookmarkStart w:id="79" w:name="_Toc167379906"/>
      <w:r w:rsidRPr="00895D0B">
        <w:t>3.7 Data Validity, Reliability, and Ethical Considerations</w:t>
      </w:r>
      <w:bookmarkEnd w:id="79"/>
      <w:r w:rsidRPr="00895D0B">
        <w:t xml:space="preserve"> </w:t>
      </w:r>
    </w:p>
    <w:p w14:paraId="50711F42" w14:textId="77777777" w:rsidR="001B4ED5" w:rsidRPr="00895D0B" w:rsidRDefault="006B41C0">
      <w:pPr>
        <w:spacing w:line="360" w:lineRule="auto"/>
        <w:rPr>
          <w:rFonts w:cs="Times New Roman"/>
          <w:color w:val="000000" w:themeColor="text1"/>
          <w:szCs w:val="24"/>
          <w:lang w:val="en-US" w:eastAsia="en-GB"/>
        </w:rPr>
      </w:pPr>
      <w:r w:rsidRPr="00895D0B">
        <w:rPr>
          <w:rFonts w:cs="Times New Roman"/>
          <w:color w:val="000000" w:themeColor="text1"/>
          <w:szCs w:val="24"/>
          <w:lang w:val="en-US" w:eastAsia="en-GB"/>
        </w:rPr>
        <w:t>The section of the chapter covers data validity. It also presents how data quality was ensured. The strategies that were employed in ensuring ethical issues in the study are also highlighted.</w:t>
      </w:r>
    </w:p>
    <w:p w14:paraId="1EC9052A" w14:textId="77777777" w:rsidR="001B4ED5" w:rsidRPr="00895D0B" w:rsidRDefault="006B41C0" w:rsidP="002D7F3D">
      <w:pPr>
        <w:pStyle w:val="NoSpacing"/>
        <w:rPr>
          <w:lang w:val="en-US" w:eastAsia="en-GB"/>
        </w:rPr>
      </w:pPr>
      <w:r w:rsidRPr="00895D0B">
        <w:rPr>
          <w:lang w:val="en-US" w:eastAsia="en-GB"/>
        </w:rPr>
        <w:t xml:space="preserve"> </w:t>
      </w:r>
    </w:p>
    <w:p w14:paraId="20D7DC19" w14:textId="77777777" w:rsidR="001B4ED5" w:rsidRPr="00895D0B" w:rsidRDefault="006B41C0" w:rsidP="009864E3">
      <w:pPr>
        <w:pStyle w:val="Heading3"/>
      </w:pPr>
      <w:bookmarkStart w:id="80" w:name="_Toc167379907"/>
      <w:r w:rsidRPr="00895D0B">
        <w:t>3.7.1 Validity and reliability of the study</w:t>
      </w:r>
      <w:bookmarkEnd w:id="80"/>
      <w:r w:rsidRPr="00895D0B">
        <w:t xml:space="preserve"> </w:t>
      </w:r>
    </w:p>
    <w:p w14:paraId="14237BA2" w14:textId="7777777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 xml:space="preserve">Data validity is an important component in research because of the correlation it has with the outcome of the findings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{"citationItems":[{"id":"ITEM-1","itemData":{"DOI":"10.32674/jise.v9i2.2026","abstract":"The case study is a widely used method in qualitative research. Although defining the case study can be simple, it is complex to develop its strategy. Furthermore, it is still often not considered to be a sufficiently robust research strategy in the education field because it does not offer well-defined and use well-structured protocols. One of the most frequent criticisms associated with the case study approach is its low validity and reliability. In this sense, this study aims to concisely explore the main difficulties inherent to the process of developing a case study, also attempting to suggest some practices that can increase its reliability, construct validity, internal and external validity.","author":[{"dropping-particle":"","family":"Quintão","given":"Cátia","non-dropping-particle":"","parse-names":false,"suffix":""},{"dropping-particle":"","family":"Andrade","given":"Pedro","non-dropping-particle":"","parse-names":false,"suffix":""},{"dropping-particle":"","family":"Almeida","given":"Fernando","non-dropping-particle":"","parse-names":false,"suffix":""}],"container-title":"Journal of Interdisciplinary Studies in Education","id":"ITEM-1","issue":"2","issued":{"date-parts":[["2020"]]},"page":"273-284","title":"How to Improve the Validity and Reliability of a Case Study Approach?","type":"article-journal","volume":"9"},"uris":["http://www.mendeley.com/documents/?uuid=5e3e9cc3-4f64-4db3-bf6c-8470cc0af50f"]},{"id":"ITEM-2","itemData":{"DOI":"10.25073/2525-2445/vnufs.4672","ISSN":"2525-2445","abstract":"Educational constructs change over time to reflect developments in research and educational approaches. To illustrate the process, this article aims to examine validity and reliability, which are important concepts to justify research quality. Originally, validity and reliability were applied to quantitative research. However, these criteria can not be equally applied to qualitative research studies which differ in terms of their theoretical foundations and research aims. The unclear use of these concepts might lead to inappropriate research design or evaluation. This paper, therefore, first examines two different theoretical foundations underlying these two research traditions. It then analyses the subtle variations to clarify the notions of reliability and validity. Some implications are made for researchers to flexibly employ these criteria to enhance their research rigor.","author":[{"dropping-particle":"","family":"Nha","given":"Vu Thi Thanh","non-dropping-particle":"","parse-names":false,"suffix":""}],"container-title":"VNU Journal of Foreign Studies","id":"ITEM-2","issue":"3","issued":{"date-parts":[["2021"]]},"page":"1-10","title":"Understanding validity and reliability from qualitative and quantitative research traditions","type":"article-journal","volume":"37"},"uris":["http://www.mendeley.com/documents/?uuid=086093ea-0ddd-44f7-86e5-f4feba66f197"]}],"mendeley":{"formattedCitation":"(Nha, 2021; Quintão et al., 2020)","manualFormatting":"(Nha, 2021) ","plainTextFormattedCitation":"(Nha, 2021; Quintão et al., 2020)","previouslyFormattedCitation":"(Nha, 2021; Quintão et al., 2020)"},"properties":{"noteIndex":0},"schema":"https://github.com/citation-style-language/schema/raw/master/csl-citation.json"}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 xml:space="preserve">(Nha, 2021) </w:t>
      </w:r>
      <w:r w:rsidRPr="00895D0B">
        <w:rPr>
          <w:rFonts w:cs="Times New Roman"/>
          <w:color w:val="000000" w:themeColor="text1"/>
          <w:szCs w:val="24"/>
          <w:lang w:val="en-US"/>
        </w:rPr>
        <w:fldChar w:fldCharType="end"/>
      </w:r>
      <w:r w:rsidRPr="00895D0B">
        <w:rPr>
          <w:rFonts w:cs="Times New Roman"/>
          <w:color w:val="000000" w:themeColor="text1"/>
          <w:szCs w:val="24"/>
          <w:lang w:val="en-US"/>
        </w:rPr>
        <w:t>. Therefore, several measures were put in place in checking data quality and validity. For instance, in the quantitative data collection process, measures were taken to ensure that there are few or no missing responses. Field officers were trained in questionnaire administration. During this exercise, field officers learned how to translate the questionnaire from the English Language to the “</w:t>
      </w:r>
      <w:r w:rsidRPr="00895D0B">
        <w:rPr>
          <w:rFonts w:cs="Times New Roman"/>
          <w:i/>
          <w:color w:val="000000" w:themeColor="text1"/>
          <w:szCs w:val="24"/>
          <w:lang w:val="en-US"/>
        </w:rPr>
        <w:t>Dagaare</w:t>
      </w:r>
      <w:r w:rsidRPr="00895D0B">
        <w:rPr>
          <w:rFonts w:cs="Times New Roman"/>
          <w:color w:val="000000" w:themeColor="text1"/>
          <w:szCs w:val="24"/>
          <w:lang w:val="en-US"/>
        </w:rPr>
        <w:t xml:space="preserve">” Language to cater to those respondents who could not speak, read and understand the English Language. In the course of the data collection, the sample of the data was exported to SPSS Version 20.0 for preliminary analysis </w:t>
      </w:r>
      <w:r w:rsidRPr="00895D0B">
        <w:rPr>
          <w:rFonts w:cs="Times New Roman"/>
          <w:color w:val="000000" w:themeColor="text1"/>
          <w:szCs w:val="24"/>
          <w:lang w:val="en-US"/>
        </w:rPr>
        <w:lastRenderedPageBreak/>
        <w:t xml:space="preserve">which helped to identify inconsistencies in responses. As part of the consistency checks in the responses, some questions were deliberately repeated to serve as a crosscheck on earlier responses. Data reliability is a component that ensures research integrity (Quintão et al., 2020). The reliability of the data was checked by pre-testing the questionnaire and interview guide on the field in addition to review by the academic supervisors. This takes care of ambiguous questions in the instruments. Experienced research officials were recruited to undertake the exercise at both the household, local key informants, and institutional informants’ levels. The qualitative data also allow deeper saturation of the results through interviewing many respondents to get the pattern of the responses. </w:t>
      </w:r>
    </w:p>
    <w:p w14:paraId="304AB372" w14:textId="77777777" w:rsidR="001B4ED5" w:rsidRPr="00895D0B" w:rsidRDefault="001B4ED5" w:rsidP="002D7F3D">
      <w:pPr>
        <w:pStyle w:val="NoSpacing"/>
        <w:rPr>
          <w:lang w:val="en-US"/>
        </w:rPr>
      </w:pPr>
    </w:p>
    <w:p w14:paraId="3CD2DBBB" w14:textId="77777777" w:rsidR="001B4ED5" w:rsidRPr="00895D0B" w:rsidRDefault="006B41C0" w:rsidP="009864E3">
      <w:pPr>
        <w:pStyle w:val="Heading3"/>
      </w:pPr>
      <w:bookmarkStart w:id="81" w:name="_Toc167379908"/>
      <w:r w:rsidRPr="00895D0B">
        <w:t>3.7.2 Ethical considerations of the study</w:t>
      </w:r>
      <w:bookmarkEnd w:id="81"/>
      <w:r w:rsidRPr="00895D0B">
        <w:t xml:space="preserve"> </w:t>
      </w:r>
    </w:p>
    <w:p w14:paraId="00445B12" w14:textId="7777777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t xml:space="preserve">Ethical consideration is key in research in the sense that the consent of the respondents must be met to get the right information </w:t>
      </w: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ADDIN CSL_CITATION {"citationItems":[{"id":"ITEM-1","itemData":{"DOI":"10.1007/978-94-6300-112-0_4","ISBN":"9789463001120","author":[{"dropping-particle":"","family":"Rogers","given":"B.","non-dropping-particle":"","parse-names":false,"suffix":""}],"container-title":"The Praxis of English Language Teaching and Learning (PELT): Beyond the Binaries: Researching Critically in EFL Classrooms","id":"ITEM-1","issue":"10","issued":{"date-parts":[["2015"]]},"page":"55-73","title":"Ethical considerations in research","type":"article-journal","volume":"35"},"uris":["http://www.mendeley.com/documents/?uuid=936a2e9b-59a5-4c46-9b59-032478936b5c"]}],"mendeley":{"formattedCitation":"(Rogers, 2015)","plainTextFormattedCitation":"(Rogers, 2015)","previouslyFormattedCitation":"(Rogers, 2015)"},"properties":{"noteIndex":0},"schema":"https://github.com/citation-style-language/schema/raw/master/csl-citation.json"}</w:instrText>
      </w:r>
      <w:r w:rsidRPr="00895D0B">
        <w:rPr>
          <w:rFonts w:cs="Times New Roman"/>
          <w:color w:val="000000" w:themeColor="text1"/>
          <w:szCs w:val="24"/>
          <w:lang w:val="en-US"/>
        </w:rPr>
        <w:fldChar w:fldCharType="separate"/>
      </w:r>
      <w:r w:rsidRPr="00895D0B">
        <w:rPr>
          <w:rFonts w:cs="Times New Roman"/>
          <w:noProof/>
          <w:color w:val="000000" w:themeColor="text1"/>
          <w:szCs w:val="24"/>
          <w:lang w:val="en-US"/>
        </w:rPr>
        <w:t>(Rogers, 2015)</w:t>
      </w:r>
      <w:r w:rsidRPr="00895D0B">
        <w:rPr>
          <w:rFonts w:cs="Times New Roman"/>
          <w:color w:val="000000" w:themeColor="text1"/>
          <w:szCs w:val="24"/>
          <w:lang w:val="en-US"/>
        </w:rPr>
        <w:fldChar w:fldCharType="end"/>
      </w:r>
      <w:r w:rsidRPr="00895D0B">
        <w:rPr>
          <w:rFonts w:cs="Times New Roman"/>
          <w:color w:val="000000" w:themeColor="text1"/>
          <w:szCs w:val="24"/>
          <w:lang w:val="en-US"/>
        </w:rPr>
        <w:t>. In terms of ethical considerations, the study data collection process went through an ethical clearance process before the fieldwork started. There was a community entry process, informed consent was sought from the respondents through the sectional leaders such as the Chiefs, ‘</w:t>
      </w:r>
      <w:r w:rsidRPr="00895D0B">
        <w:rPr>
          <w:rFonts w:cs="Times New Roman"/>
          <w:i/>
          <w:color w:val="000000" w:themeColor="text1"/>
          <w:szCs w:val="24"/>
          <w:lang w:val="en-US"/>
        </w:rPr>
        <w:t>Tindaabas’</w:t>
      </w:r>
      <w:r w:rsidRPr="00895D0B">
        <w:rPr>
          <w:rFonts w:cs="Times New Roman"/>
          <w:color w:val="000000" w:themeColor="text1"/>
          <w:szCs w:val="24"/>
          <w:lang w:val="en-US"/>
        </w:rPr>
        <w:t xml:space="preserve">, and Assembly Members by way of an introductory letter signed by the Head of the Department of Environment and Resource Management of the SDD-UBIDS. Also, at the respondents’ level, they were assured of the confidentiality of the information they are giving out, and an informed consent form was filled out and endorsed by each respondent as proof. Respondents who could read and write were allowed to go through and complete the questionnaire themselves while the field officers translated the questionnaire from the English language to </w:t>
      </w:r>
      <w:r w:rsidRPr="00895D0B">
        <w:rPr>
          <w:rFonts w:cs="Times New Roman"/>
          <w:i/>
          <w:color w:val="000000" w:themeColor="text1"/>
          <w:szCs w:val="24"/>
          <w:lang w:val="en-US"/>
        </w:rPr>
        <w:t>‘Dagaare’</w:t>
      </w:r>
      <w:r w:rsidRPr="00895D0B">
        <w:rPr>
          <w:rFonts w:cs="Times New Roman"/>
          <w:color w:val="000000" w:themeColor="text1"/>
          <w:szCs w:val="24"/>
          <w:lang w:val="en-US"/>
        </w:rPr>
        <w:t xml:space="preserve"> (the Native Language) for those who could not read, understand or write.  </w:t>
      </w:r>
    </w:p>
    <w:p w14:paraId="5966759D" w14:textId="2E8E099B" w:rsidR="001B4ED5" w:rsidRDefault="001B4ED5">
      <w:pPr>
        <w:autoSpaceDE w:val="0"/>
        <w:autoSpaceDN w:val="0"/>
        <w:adjustRightInd w:val="0"/>
        <w:spacing w:line="360" w:lineRule="auto"/>
        <w:rPr>
          <w:rFonts w:cs="Times New Roman"/>
          <w:color w:val="000000" w:themeColor="text1"/>
          <w:szCs w:val="24"/>
          <w:lang w:val="en-US"/>
        </w:rPr>
      </w:pPr>
    </w:p>
    <w:p w14:paraId="1A13545B" w14:textId="07C3625A" w:rsidR="00895D0B" w:rsidRDefault="00895D0B">
      <w:pPr>
        <w:autoSpaceDE w:val="0"/>
        <w:autoSpaceDN w:val="0"/>
        <w:adjustRightInd w:val="0"/>
        <w:spacing w:line="360" w:lineRule="auto"/>
        <w:rPr>
          <w:rFonts w:cs="Times New Roman"/>
          <w:color w:val="000000" w:themeColor="text1"/>
          <w:szCs w:val="24"/>
          <w:lang w:val="en-US"/>
        </w:rPr>
      </w:pPr>
    </w:p>
    <w:p w14:paraId="6DA0CDB1" w14:textId="4B528BC0" w:rsidR="00895D0B" w:rsidRDefault="00895D0B">
      <w:pPr>
        <w:autoSpaceDE w:val="0"/>
        <w:autoSpaceDN w:val="0"/>
        <w:adjustRightInd w:val="0"/>
        <w:spacing w:line="360" w:lineRule="auto"/>
        <w:rPr>
          <w:rFonts w:cs="Times New Roman"/>
          <w:color w:val="000000" w:themeColor="text1"/>
          <w:szCs w:val="24"/>
          <w:lang w:val="en-US"/>
        </w:rPr>
      </w:pPr>
    </w:p>
    <w:p w14:paraId="38C81F57" w14:textId="3F82E4F2" w:rsidR="00895D0B" w:rsidRDefault="00895D0B">
      <w:pPr>
        <w:autoSpaceDE w:val="0"/>
        <w:autoSpaceDN w:val="0"/>
        <w:adjustRightInd w:val="0"/>
        <w:spacing w:line="360" w:lineRule="auto"/>
        <w:rPr>
          <w:rFonts w:cs="Times New Roman"/>
          <w:color w:val="000000" w:themeColor="text1"/>
          <w:szCs w:val="24"/>
          <w:lang w:val="en-US"/>
        </w:rPr>
      </w:pPr>
    </w:p>
    <w:p w14:paraId="1B95F4C1" w14:textId="5F6B0637" w:rsidR="00895D0B" w:rsidRDefault="00895D0B">
      <w:pPr>
        <w:autoSpaceDE w:val="0"/>
        <w:autoSpaceDN w:val="0"/>
        <w:adjustRightInd w:val="0"/>
        <w:spacing w:line="360" w:lineRule="auto"/>
        <w:rPr>
          <w:rFonts w:cs="Times New Roman"/>
          <w:color w:val="000000" w:themeColor="text1"/>
          <w:szCs w:val="24"/>
          <w:lang w:val="en-US"/>
        </w:rPr>
      </w:pPr>
    </w:p>
    <w:p w14:paraId="27DA42F9" w14:textId="3512422D" w:rsidR="00895D0B" w:rsidRDefault="00895D0B">
      <w:pPr>
        <w:autoSpaceDE w:val="0"/>
        <w:autoSpaceDN w:val="0"/>
        <w:adjustRightInd w:val="0"/>
        <w:spacing w:line="360" w:lineRule="auto"/>
        <w:rPr>
          <w:rFonts w:cs="Times New Roman"/>
          <w:color w:val="000000" w:themeColor="text1"/>
          <w:szCs w:val="24"/>
          <w:lang w:val="en-US"/>
        </w:rPr>
      </w:pPr>
    </w:p>
    <w:p w14:paraId="18818B4C" w14:textId="4D41BA60" w:rsidR="00895D0B" w:rsidRDefault="00895D0B">
      <w:pPr>
        <w:autoSpaceDE w:val="0"/>
        <w:autoSpaceDN w:val="0"/>
        <w:adjustRightInd w:val="0"/>
        <w:spacing w:line="360" w:lineRule="auto"/>
        <w:rPr>
          <w:rFonts w:cs="Times New Roman"/>
          <w:color w:val="000000" w:themeColor="text1"/>
          <w:szCs w:val="24"/>
          <w:lang w:val="en-US"/>
        </w:rPr>
      </w:pPr>
    </w:p>
    <w:p w14:paraId="6D97D3F5" w14:textId="2F7101EB" w:rsidR="00895D0B" w:rsidRDefault="00895D0B">
      <w:pPr>
        <w:autoSpaceDE w:val="0"/>
        <w:autoSpaceDN w:val="0"/>
        <w:adjustRightInd w:val="0"/>
        <w:spacing w:line="360" w:lineRule="auto"/>
        <w:rPr>
          <w:rFonts w:cs="Times New Roman"/>
          <w:color w:val="000000" w:themeColor="text1"/>
          <w:szCs w:val="24"/>
          <w:lang w:val="en-US"/>
        </w:rPr>
      </w:pPr>
    </w:p>
    <w:p w14:paraId="571107FA" w14:textId="77777777" w:rsidR="001B4ED5" w:rsidRPr="00895D0B" w:rsidRDefault="006B41C0" w:rsidP="009745EC">
      <w:pPr>
        <w:pStyle w:val="Heading1"/>
      </w:pPr>
      <w:bookmarkStart w:id="82" w:name="_Toc167379909"/>
      <w:r w:rsidRPr="00895D0B">
        <w:lastRenderedPageBreak/>
        <w:t>CHAPTER FOUR</w:t>
      </w:r>
      <w:bookmarkEnd w:id="82"/>
    </w:p>
    <w:p w14:paraId="436BECAB" w14:textId="77777777" w:rsidR="001B4ED5" w:rsidRPr="00895D0B" w:rsidRDefault="006B41C0" w:rsidP="009745EC">
      <w:pPr>
        <w:pStyle w:val="Heading1"/>
      </w:pPr>
      <w:bookmarkStart w:id="83" w:name="_Toc167379910"/>
      <w:r w:rsidRPr="00895D0B">
        <w:t>CHARACTERISTICS OF URBAN FOOD CROP AND ANIMAL PRODUCTION</w:t>
      </w:r>
      <w:bookmarkEnd w:id="83"/>
      <w:r w:rsidRPr="00895D0B">
        <w:t xml:space="preserve"> </w:t>
      </w:r>
    </w:p>
    <w:p w14:paraId="5F36AEBF" w14:textId="77777777" w:rsidR="001B4ED5" w:rsidRPr="00895D0B" w:rsidRDefault="006B41C0">
      <w:pPr>
        <w:pStyle w:val="Heading2"/>
      </w:pPr>
      <w:bookmarkStart w:id="84" w:name="_Toc167379911"/>
      <w:r w:rsidRPr="00895D0B">
        <w:t>4.1 Introduction</w:t>
      </w:r>
      <w:bookmarkEnd w:id="84"/>
      <w:r w:rsidRPr="00895D0B">
        <w:t xml:space="preserve"> </w:t>
      </w:r>
    </w:p>
    <w:p w14:paraId="4FDAABEE" w14:textId="0766D479"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This chapter seeks to present findings on objective one of the study which focuses on </w:t>
      </w:r>
      <w:r w:rsidRPr="00895D0B">
        <w:rPr>
          <w:rFonts w:eastAsia="Times New Roman" w:cs="Times New Roman"/>
          <w:color w:val="000000" w:themeColor="text1"/>
          <w:szCs w:val="24"/>
          <w:lang w:val="en-US"/>
        </w:rPr>
        <w:t>the characteristics of urban food crop and livestock production.</w:t>
      </w:r>
      <w:r w:rsidRPr="00895D0B">
        <w:rPr>
          <w:rFonts w:cs="Times New Roman"/>
          <w:color w:val="000000" w:themeColor="text1"/>
          <w:szCs w:val="24"/>
        </w:rPr>
        <w:t xml:space="preserve"> The chapter highlights several issues; the types of urban agriculture, and the type of animals and crops produced within the urban neighbourhoods across the various zones (inner core, transition, and outer clusters). These thematic analyses are discussed based on climate change adaptions. </w:t>
      </w:r>
    </w:p>
    <w:p w14:paraId="13029B70" w14:textId="77777777" w:rsidR="001B4ED5" w:rsidRPr="00895D0B" w:rsidRDefault="001B4ED5" w:rsidP="002D7F3D">
      <w:pPr>
        <w:pStyle w:val="NoSpacing"/>
      </w:pPr>
    </w:p>
    <w:p w14:paraId="6611C039" w14:textId="77777777" w:rsidR="001B4ED5" w:rsidRPr="00895D0B" w:rsidRDefault="006B41C0">
      <w:pPr>
        <w:pStyle w:val="Heading2"/>
      </w:pPr>
      <w:bookmarkStart w:id="85" w:name="_Toc167379912"/>
      <w:r w:rsidRPr="00895D0B">
        <w:t>4.2. Type of urban agriculture and mode of land acquisition</w:t>
      </w:r>
      <w:bookmarkEnd w:id="85"/>
      <w:r w:rsidRPr="00895D0B">
        <w:t xml:space="preserve"> </w:t>
      </w:r>
    </w:p>
    <w:p w14:paraId="245FFF4F" w14:textId="77777777" w:rsidR="00283166" w:rsidRDefault="00283166" w:rsidP="00283166">
      <w:pPr>
        <w:spacing w:line="360" w:lineRule="auto"/>
        <w:rPr>
          <w:rFonts w:eastAsia="Times New Roman" w:cs="Times New Roman"/>
          <w:color w:val="000000" w:themeColor="text1"/>
          <w:szCs w:val="24"/>
          <w:lang w:eastAsia="en-GB"/>
        </w:rPr>
      </w:pPr>
      <w:bookmarkStart w:id="86" w:name="_Toc148890632"/>
      <w:r w:rsidRPr="00895D0B">
        <w:rPr>
          <w:rFonts w:eastAsia="Times New Roman" w:cs="Times New Roman"/>
          <w:color w:val="000000" w:themeColor="text1"/>
          <w:szCs w:val="24"/>
          <w:lang w:eastAsia="en-GB"/>
        </w:rPr>
        <w:t>The study underscores urban households’ participation and non-participation in urban agriculture in the era of climatic stressors. Results on urban dwellers' participation in UA production in the Wa Municipality are presented in Table 4.1. Of the 362 households that participated in the survey, the findings show that the majority (52.8%) of the respondents are engaged in UA. Evidentially, many of the urban farmers are into crop production only, representing about 73.5% of the respondents, while about 10.9% are into animal production only, and only 15.2% are growing crops while at the same time rearing animals (</w:t>
      </w:r>
      <w:r w:rsidRPr="00895D0B">
        <w:rPr>
          <w:rFonts w:eastAsia="Times New Roman" w:cs="Times New Roman"/>
          <w:i/>
          <w:iCs/>
          <w:color w:val="000000" w:themeColor="text1"/>
          <w:szCs w:val="24"/>
          <w:lang w:eastAsia="en-GB"/>
        </w:rPr>
        <w:t>see Table 4.1</w:t>
      </w:r>
      <w:r w:rsidRPr="00895D0B">
        <w:rPr>
          <w:rFonts w:eastAsia="Times New Roman" w:cs="Times New Roman"/>
          <w:color w:val="000000" w:themeColor="text1"/>
          <w:szCs w:val="24"/>
          <w:lang w:eastAsia="en-GB"/>
        </w:rPr>
        <w:t>).</w:t>
      </w:r>
    </w:p>
    <w:p w14:paraId="4E79CBA2" w14:textId="77777777" w:rsidR="002D7F3D" w:rsidRPr="00895D0B" w:rsidRDefault="002D7F3D" w:rsidP="002D7F3D">
      <w:pPr>
        <w:pStyle w:val="NoSpacing"/>
        <w:rPr>
          <w:lang w:eastAsia="en-GB"/>
        </w:rPr>
      </w:pPr>
    </w:p>
    <w:p w14:paraId="1EF8AED1" w14:textId="6C7EC025" w:rsidR="001B4ED5" w:rsidRPr="00895D0B" w:rsidRDefault="006B41C0" w:rsidP="002D7F3D">
      <w:pPr>
        <w:pStyle w:val="Heading6"/>
      </w:pPr>
      <w:bookmarkStart w:id="87" w:name="_Toc167368589"/>
      <w:r w:rsidRPr="00895D0B">
        <w:t xml:space="preserve">Table 4. </w:t>
      </w:r>
      <w:r w:rsidR="00895D0B" w:rsidRPr="00895D0B">
        <w:fldChar w:fldCharType="begin"/>
      </w:r>
      <w:r w:rsidR="00895D0B" w:rsidRPr="00895D0B">
        <w:instrText xml:space="preserve"> SEQ Table_4. \* ARABIC </w:instrText>
      </w:r>
      <w:r w:rsidR="00895D0B" w:rsidRPr="00895D0B">
        <w:fldChar w:fldCharType="separate"/>
      </w:r>
      <w:r w:rsidR="0026489B">
        <w:rPr>
          <w:noProof/>
        </w:rPr>
        <w:t>1</w:t>
      </w:r>
      <w:r w:rsidR="00895D0B" w:rsidRPr="00895D0B">
        <w:fldChar w:fldCharType="end"/>
      </w:r>
      <w:r w:rsidRPr="00895D0B">
        <w:t>: Participation in Urban Agriculture (N = 362)</w:t>
      </w:r>
      <w:bookmarkEnd w:id="86"/>
      <w:bookmarkEnd w:id="87"/>
    </w:p>
    <w:tbl>
      <w:tblPr>
        <w:tblW w:w="8642" w:type="dxa"/>
        <w:tblLayout w:type="fixed"/>
        <w:tblCellMar>
          <w:left w:w="0" w:type="dxa"/>
          <w:right w:w="0" w:type="dxa"/>
        </w:tblCellMar>
        <w:tblLook w:val="04A0" w:firstRow="1" w:lastRow="0" w:firstColumn="1" w:lastColumn="0" w:noHBand="0" w:noVBand="1"/>
      </w:tblPr>
      <w:tblGrid>
        <w:gridCol w:w="5240"/>
        <w:gridCol w:w="2126"/>
        <w:gridCol w:w="1276"/>
      </w:tblGrid>
      <w:tr w:rsidR="00895D0B" w:rsidRPr="00895D0B" w14:paraId="6B9E68CB" w14:textId="77777777">
        <w:trPr>
          <w:cantSplit/>
        </w:trPr>
        <w:tc>
          <w:tcPr>
            <w:tcW w:w="5240" w:type="dxa"/>
            <w:tcBorders>
              <w:top w:val="single" w:sz="4" w:space="0" w:color="auto"/>
              <w:bottom w:val="single" w:sz="4" w:space="0" w:color="auto"/>
            </w:tcBorders>
            <w:shd w:val="clear" w:color="auto" w:fill="FFFFFF"/>
          </w:tcPr>
          <w:p w14:paraId="455745D1" w14:textId="77777777" w:rsidR="001B4ED5" w:rsidRPr="00895D0B" w:rsidRDefault="006B41C0">
            <w:pPr>
              <w:autoSpaceDE w:val="0"/>
              <w:autoSpaceDN w:val="0"/>
              <w:adjustRightInd w:val="0"/>
              <w:spacing w:line="360" w:lineRule="auto"/>
              <w:ind w:left="60" w:right="60"/>
              <w:rPr>
                <w:rFonts w:cs="Times New Roman"/>
                <w:b/>
                <w:color w:val="000000" w:themeColor="text1"/>
                <w:szCs w:val="24"/>
              </w:rPr>
            </w:pPr>
            <w:r w:rsidRPr="00895D0B">
              <w:rPr>
                <w:rFonts w:cs="Times New Roman"/>
                <w:b/>
                <w:color w:val="000000" w:themeColor="text1"/>
                <w:szCs w:val="24"/>
              </w:rPr>
              <w:t>Participation</w:t>
            </w:r>
          </w:p>
        </w:tc>
        <w:tc>
          <w:tcPr>
            <w:tcW w:w="2126" w:type="dxa"/>
            <w:tcBorders>
              <w:top w:val="single" w:sz="4" w:space="0" w:color="auto"/>
              <w:bottom w:val="single" w:sz="4" w:space="0" w:color="auto"/>
            </w:tcBorders>
            <w:shd w:val="clear" w:color="auto" w:fill="FFFFFF"/>
          </w:tcPr>
          <w:p w14:paraId="401E3E1D" w14:textId="77777777" w:rsidR="001B4ED5" w:rsidRPr="00895D0B" w:rsidRDefault="006B41C0">
            <w:pPr>
              <w:autoSpaceDE w:val="0"/>
              <w:autoSpaceDN w:val="0"/>
              <w:adjustRightInd w:val="0"/>
              <w:spacing w:line="360" w:lineRule="auto"/>
              <w:ind w:left="60" w:right="60"/>
              <w:jc w:val="center"/>
              <w:rPr>
                <w:rFonts w:cs="Times New Roman"/>
                <w:b/>
                <w:color w:val="000000" w:themeColor="text1"/>
                <w:szCs w:val="24"/>
              </w:rPr>
            </w:pPr>
            <w:r w:rsidRPr="00895D0B">
              <w:rPr>
                <w:rFonts w:cs="Times New Roman"/>
                <w:b/>
                <w:color w:val="000000" w:themeColor="text1"/>
                <w:szCs w:val="24"/>
              </w:rPr>
              <w:t>Frequency</w:t>
            </w:r>
          </w:p>
        </w:tc>
        <w:tc>
          <w:tcPr>
            <w:tcW w:w="1276" w:type="dxa"/>
            <w:tcBorders>
              <w:top w:val="single" w:sz="4" w:space="0" w:color="auto"/>
              <w:bottom w:val="single" w:sz="4" w:space="0" w:color="auto"/>
            </w:tcBorders>
            <w:shd w:val="clear" w:color="auto" w:fill="FFFFFF"/>
          </w:tcPr>
          <w:p w14:paraId="6341BA8C" w14:textId="77777777" w:rsidR="001B4ED5" w:rsidRPr="00895D0B" w:rsidRDefault="006B41C0">
            <w:pPr>
              <w:autoSpaceDE w:val="0"/>
              <w:autoSpaceDN w:val="0"/>
              <w:adjustRightInd w:val="0"/>
              <w:spacing w:line="360" w:lineRule="auto"/>
              <w:ind w:left="60" w:right="60"/>
              <w:jc w:val="center"/>
              <w:rPr>
                <w:rFonts w:cs="Times New Roman"/>
                <w:b/>
                <w:color w:val="000000" w:themeColor="text1"/>
                <w:szCs w:val="24"/>
              </w:rPr>
            </w:pPr>
            <w:r w:rsidRPr="00895D0B">
              <w:rPr>
                <w:rFonts w:cs="Times New Roman"/>
                <w:b/>
                <w:color w:val="000000" w:themeColor="text1"/>
                <w:szCs w:val="24"/>
              </w:rPr>
              <w:t>Percent</w:t>
            </w:r>
          </w:p>
        </w:tc>
      </w:tr>
      <w:tr w:rsidR="00895D0B" w:rsidRPr="00895D0B" w14:paraId="45FC8E19" w14:textId="77777777">
        <w:trPr>
          <w:cantSplit/>
        </w:trPr>
        <w:tc>
          <w:tcPr>
            <w:tcW w:w="5240" w:type="dxa"/>
            <w:tcBorders>
              <w:top w:val="single" w:sz="4" w:space="0" w:color="auto"/>
            </w:tcBorders>
            <w:shd w:val="clear" w:color="auto" w:fill="FFFFFF"/>
          </w:tcPr>
          <w:p w14:paraId="37272F14" w14:textId="77777777" w:rsidR="001B4ED5" w:rsidRPr="00895D0B" w:rsidRDefault="006B41C0">
            <w:pPr>
              <w:autoSpaceDE w:val="0"/>
              <w:autoSpaceDN w:val="0"/>
              <w:adjustRightInd w:val="0"/>
              <w:spacing w:line="360" w:lineRule="auto"/>
              <w:ind w:left="60" w:right="60"/>
              <w:rPr>
                <w:rFonts w:cs="Times New Roman"/>
                <w:color w:val="000000" w:themeColor="text1"/>
                <w:szCs w:val="24"/>
              </w:rPr>
            </w:pPr>
            <w:r w:rsidRPr="00895D0B">
              <w:rPr>
                <w:rFonts w:cs="Times New Roman"/>
                <w:color w:val="000000" w:themeColor="text1"/>
                <w:szCs w:val="24"/>
              </w:rPr>
              <w:t xml:space="preserve">Yes </w:t>
            </w:r>
          </w:p>
        </w:tc>
        <w:tc>
          <w:tcPr>
            <w:tcW w:w="2126" w:type="dxa"/>
            <w:tcBorders>
              <w:top w:val="single" w:sz="4" w:space="0" w:color="auto"/>
            </w:tcBorders>
            <w:shd w:val="clear" w:color="auto" w:fill="FFFFFF"/>
          </w:tcPr>
          <w:p w14:paraId="7545EB81" w14:textId="77777777" w:rsidR="001B4ED5" w:rsidRPr="00895D0B" w:rsidRDefault="006B41C0">
            <w:pPr>
              <w:autoSpaceDE w:val="0"/>
              <w:autoSpaceDN w:val="0"/>
              <w:adjustRightInd w:val="0"/>
              <w:spacing w:line="360" w:lineRule="auto"/>
              <w:ind w:left="60" w:right="60"/>
              <w:jc w:val="center"/>
              <w:rPr>
                <w:rFonts w:cs="Times New Roman"/>
                <w:color w:val="000000" w:themeColor="text1"/>
                <w:szCs w:val="24"/>
              </w:rPr>
            </w:pPr>
            <w:r w:rsidRPr="00895D0B">
              <w:rPr>
                <w:rFonts w:cs="Times New Roman"/>
                <w:color w:val="000000" w:themeColor="text1"/>
                <w:szCs w:val="24"/>
              </w:rPr>
              <w:t>191</w:t>
            </w:r>
          </w:p>
        </w:tc>
        <w:tc>
          <w:tcPr>
            <w:tcW w:w="1276" w:type="dxa"/>
            <w:tcBorders>
              <w:top w:val="single" w:sz="4" w:space="0" w:color="auto"/>
            </w:tcBorders>
            <w:shd w:val="clear" w:color="auto" w:fill="FFFFFF"/>
          </w:tcPr>
          <w:p w14:paraId="16689A85" w14:textId="77777777" w:rsidR="001B4ED5" w:rsidRPr="00895D0B" w:rsidRDefault="006B41C0">
            <w:pPr>
              <w:autoSpaceDE w:val="0"/>
              <w:autoSpaceDN w:val="0"/>
              <w:adjustRightInd w:val="0"/>
              <w:spacing w:line="360" w:lineRule="auto"/>
              <w:ind w:left="60" w:right="60"/>
              <w:jc w:val="center"/>
              <w:rPr>
                <w:rFonts w:cs="Times New Roman"/>
                <w:color w:val="000000" w:themeColor="text1"/>
                <w:szCs w:val="24"/>
              </w:rPr>
            </w:pPr>
            <w:r w:rsidRPr="00895D0B">
              <w:rPr>
                <w:rFonts w:cs="Times New Roman"/>
                <w:color w:val="000000" w:themeColor="text1"/>
                <w:szCs w:val="24"/>
              </w:rPr>
              <w:t>52.8</w:t>
            </w:r>
          </w:p>
        </w:tc>
      </w:tr>
      <w:tr w:rsidR="00895D0B" w:rsidRPr="00895D0B" w14:paraId="521FB462" w14:textId="77777777">
        <w:trPr>
          <w:cantSplit/>
        </w:trPr>
        <w:tc>
          <w:tcPr>
            <w:tcW w:w="5240" w:type="dxa"/>
            <w:shd w:val="clear" w:color="auto" w:fill="FFFFFF"/>
          </w:tcPr>
          <w:p w14:paraId="04E42E40" w14:textId="77777777" w:rsidR="001B4ED5" w:rsidRPr="00895D0B" w:rsidRDefault="006B41C0">
            <w:pPr>
              <w:autoSpaceDE w:val="0"/>
              <w:autoSpaceDN w:val="0"/>
              <w:adjustRightInd w:val="0"/>
              <w:spacing w:line="360" w:lineRule="auto"/>
              <w:ind w:left="60" w:right="60"/>
              <w:rPr>
                <w:rFonts w:cs="Times New Roman"/>
                <w:color w:val="000000" w:themeColor="text1"/>
                <w:szCs w:val="24"/>
              </w:rPr>
            </w:pPr>
            <w:r w:rsidRPr="00895D0B">
              <w:rPr>
                <w:rFonts w:cs="Times New Roman"/>
                <w:color w:val="000000" w:themeColor="text1"/>
                <w:szCs w:val="24"/>
              </w:rPr>
              <w:t xml:space="preserve">No </w:t>
            </w:r>
          </w:p>
        </w:tc>
        <w:tc>
          <w:tcPr>
            <w:tcW w:w="2126" w:type="dxa"/>
            <w:shd w:val="clear" w:color="auto" w:fill="FFFFFF"/>
          </w:tcPr>
          <w:p w14:paraId="40CF0692" w14:textId="77777777" w:rsidR="001B4ED5" w:rsidRPr="00895D0B" w:rsidRDefault="006B41C0">
            <w:pPr>
              <w:autoSpaceDE w:val="0"/>
              <w:autoSpaceDN w:val="0"/>
              <w:adjustRightInd w:val="0"/>
              <w:spacing w:line="360" w:lineRule="auto"/>
              <w:ind w:left="60" w:right="60"/>
              <w:jc w:val="center"/>
              <w:rPr>
                <w:rFonts w:cs="Times New Roman"/>
                <w:color w:val="000000" w:themeColor="text1"/>
                <w:szCs w:val="24"/>
              </w:rPr>
            </w:pPr>
            <w:r w:rsidRPr="00895D0B">
              <w:rPr>
                <w:rFonts w:cs="Times New Roman"/>
                <w:color w:val="000000" w:themeColor="text1"/>
                <w:szCs w:val="24"/>
              </w:rPr>
              <w:t>171</w:t>
            </w:r>
          </w:p>
        </w:tc>
        <w:tc>
          <w:tcPr>
            <w:tcW w:w="1276" w:type="dxa"/>
            <w:shd w:val="clear" w:color="auto" w:fill="FFFFFF"/>
          </w:tcPr>
          <w:p w14:paraId="613BE727" w14:textId="77777777" w:rsidR="001B4ED5" w:rsidRPr="00895D0B" w:rsidRDefault="006B41C0">
            <w:pPr>
              <w:autoSpaceDE w:val="0"/>
              <w:autoSpaceDN w:val="0"/>
              <w:adjustRightInd w:val="0"/>
              <w:spacing w:line="360" w:lineRule="auto"/>
              <w:ind w:left="60" w:right="60"/>
              <w:jc w:val="center"/>
              <w:rPr>
                <w:rFonts w:cs="Times New Roman"/>
                <w:color w:val="000000" w:themeColor="text1"/>
                <w:szCs w:val="24"/>
              </w:rPr>
            </w:pPr>
            <w:r w:rsidRPr="00895D0B">
              <w:rPr>
                <w:rFonts w:cs="Times New Roman"/>
                <w:color w:val="000000" w:themeColor="text1"/>
                <w:szCs w:val="24"/>
              </w:rPr>
              <w:t>47.2</w:t>
            </w:r>
          </w:p>
        </w:tc>
      </w:tr>
      <w:tr w:rsidR="00895D0B" w:rsidRPr="00895D0B" w14:paraId="3BE05B55" w14:textId="77777777">
        <w:trPr>
          <w:cantSplit/>
        </w:trPr>
        <w:tc>
          <w:tcPr>
            <w:tcW w:w="8642" w:type="dxa"/>
            <w:gridSpan w:val="3"/>
            <w:shd w:val="clear" w:color="auto" w:fill="FFFFFF"/>
          </w:tcPr>
          <w:p w14:paraId="2557FF0D" w14:textId="77777777" w:rsidR="001B4ED5" w:rsidRPr="00895D0B" w:rsidRDefault="006B41C0">
            <w:pPr>
              <w:autoSpaceDE w:val="0"/>
              <w:autoSpaceDN w:val="0"/>
              <w:adjustRightInd w:val="0"/>
              <w:spacing w:line="360" w:lineRule="auto"/>
              <w:ind w:left="60" w:right="60"/>
              <w:rPr>
                <w:rFonts w:cs="Times New Roman"/>
                <w:color w:val="000000" w:themeColor="text1"/>
                <w:szCs w:val="24"/>
              </w:rPr>
            </w:pPr>
            <w:r w:rsidRPr="00895D0B">
              <w:rPr>
                <w:rFonts w:cs="Times New Roman"/>
                <w:b/>
                <w:bCs/>
                <w:color w:val="000000" w:themeColor="text1"/>
                <w:szCs w:val="24"/>
              </w:rPr>
              <w:t>Type of urban farming</w:t>
            </w:r>
          </w:p>
        </w:tc>
      </w:tr>
      <w:tr w:rsidR="00895D0B" w:rsidRPr="00895D0B" w14:paraId="0BCF2DA3" w14:textId="77777777">
        <w:trPr>
          <w:cantSplit/>
        </w:trPr>
        <w:tc>
          <w:tcPr>
            <w:tcW w:w="5240" w:type="dxa"/>
            <w:shd w:val="clear" w:color="auto" w:fill="FFFFFF"/>
            <w:vAlign w:val="center"/>
          </w:tcPr>
          <w:p w14:paraId="291C9BE7" w14:textId="77777777" w:rsidR="001B4ED5" w:rsidRPr="00895D0B" w:rsidRDefault="006B41C0">
            <w:pPr>
              <w:autoSpaceDE w:val="0"/>
              <w:autoSpaceDN w:val="0"/>
              <w:adjustRightInd w:val="0"/>
              <w:spacing w:line="360" w:lineRule="auto"/>
              <w:ind w:left="60" w:right="60"/>
              <w:rPr>
                <w:rFonts w:cs="Times New Roman"/>
                <w:color w:val="000000" w:themeColor="text1"/>
                <w:szCs w:val="24"/>
              </w:rPr>
            </w:pPr>
            <w:r w:rsidRPr="00895D0B">
              <w:rPr>
                <w:rFonts w:cs="Times New Roman"/>
                <w:color w:val="000000" w:themeColor="text1"/>
                <w:szCs w:val="24"/>
              </w:rPr>
              <w:t>Crop production</w:t>
            </w:r>
          </w:p>
        </w:tc>
        <w:tc>
          <w:tcPr>
            <w:tcW w:w="2126" w:type="dxa"/>
            <w:shd w:val="clear" w:color="auto" w:fill="FFFFFF"/>
            <w:vAlign w:val="center"/>
          </w:tcPr>
          <w:p w14:paraId="4995C675" w14:textId="77777777" w:rsidR="001B4ED5" w:rsidRPr="00895D0B" w:rsidRDefault="006B41C0">
            <w:pPr>
              <w:autoSpaceDE w:val="0"/>
              <w:autoSpaceDN w:val="0"/>
              <w:adjustRightInd w:val="0"/>
              <w:spacing w:line="360" w:lineRule="auto"/>
              <w:ind w:left="60" w:right="60"/>
              <w:jc w:val="center"/>
              <w:rPr>
                <w:rFonts w:cs="Times New Roman"/>
                <w:color w:val="000000" w:themeColor="text1"/>
                <w:szCs w:val="24"/>
              </w:rPr>
            </w:pPr>
            <w:r w:rsidRPr="00895D0B">
              <w:rPr>
                <w:rFonts w:cs="Times New Roman"/>
                <w:color w:val="000000" w:themeColor="text1"/>
                <w:szCs w:val="24"/>
              </w:rPr>
              <w:t>141</w:t>
            </w:r>
          </w:p>
        </w:tc>
        <w:tc>
          <w:tcPr>
            <w:tcW w:w="1276" w:type="dxa"/>
            <w:shd w:val="clear" w:color="auto" w:fill="FFFFFF"/>
            <w:vAlign w:val="center"/>
          </w:tcPr>
          <w:p w14:paraId="11EB52AB" w14:textId="77777777" w:rsidR="001B4ED5" w:rsidRPr="00895D0B" w:rsidRDefault="006B41C0">
            <w:pPr>
              <w:autoSpaceDE w:val="0"/>
              <w:autoSpaceDN w:val="0"/>
              <w:adjustRightInd w:val="0"/>
              <w:spacing w:line="360" w:lineRule="auto"/>
              <w:ind w:left="60" w:right="60"/>
              <w:jc w:val="center"/>
              <w:rPr>
                <w:rFonts w:cs="Times New Roman"/>
                <w:color w:val="000000" w:themeColor="text1"/>
                <w:szCs w:val="24"/>
              </w:rPr>
            </w:pPr>
            <w:r w:rsidRPr="00895D0B">
              <w:rPr>
                <w:rFonts w:cs="Times New Roman"/>
                <w:color w:val="000000" w:themeColor="text1"/>
                <w:szCs w:val="24"/>
              </w:rPr>
              <w:t>73.8</w:t>
            </w:r>
          </w:p>
        </w:tc>
      </w:tr>
      <w:tr w:rsidR="00895D0B" w:rsidRPr="00895D0B" w14:paraId="7B681092" w14:textId="77777777">
        <w:trPr>
          <w:cantSplit/>
        </w:trPr>
        <w:tc>
          <w:tcPr>
            <w:tcW w:w="5240" w:type="dxa"/>
            <w:shd w:val="clear" w:color="auto" w:fill="FFFFFF"/>
            <w:vAlign w:val="center"/>
          </w:tcPr>
          <w:p w14:paraId="26166C94" w14:textId="77777777" w:rsidR="001B4ED5" w:rsidRPr="00895D0B" w:rsidRDefault="006B41C0">
            <w:pPr>
              <w:autoSpaceDE w:val="0"/>
              <w:autoSpaceDN w:val="0"/>
              <w:adjustRightInd w:val="0"/>
              <w:spacing w:line="360" w:lineRule="auto"/>
              <w:ind w:left="60" w:right="60"/>
              <w:rPr>
                <w:rFonts w:cs="Times New Roman"/>
                <w:color w:val="000000" w:themeColor="text1"/>
                <w:szCs w:val="24"/>
              </w:rPr>
            </w:pPr>
            <w:r w:rsidRPr="00895D0B">
              <w:rPr>
                <w:rFonts w:cs="Times New Roman"/>
                <w:color w:val="000000" w:themeColor="text1"/>
                <w:szCs w:val="24"/>
              </w:rPr>
              <w:t>Animals production</w:t>
            </w:r>
          </w:p>
        </w:tc>
        <w:tc>
          <w:tcPr>
            <w:tcW w:w="2126" w:type="dxa"/>
            <w:shd w:val="clear" w:color="auto" w:fill="FFFFFF"/>
            <w:vAlign w:val="center"/>
          </w:tcPr>
          <w:p w14:paraId="4550439B" w14:textId="77777777" w:rsidR="001B4ED5" w:rsidRPr="00895D0B" w:rsidRDefault="006B41C0">
            <w:pPr>
              <w:autoSpaceDE w:val="0"/>
              <w:autoSpaceDN w:val="0"/>
              <w:adjustRightInd w:val="0"/>
              <w:spacing w:line="360" w:lineRule="auto"/>
              <w:ind w:left="60" w:right="60"/>
              <w:jc w:val="center"/>
              <w:rPr>
                <w:rFonts w:cs="Times New Roman"/>
                <w:color w:val="000000" w:themeColor="text1"/>
                <w:szCs w:val="24"/>
              </w:rPr>
            </w:pPr>
            <w:r w:rsidRPr="00895D0B">
              <w:rPr>
                <w:rFonts w:cs="Times New Roman"/>
                <w:color w:val="000000" w:themeColor="text1"/>
                <w:szCs w:val="24"/>
              </w:rPr>
              <w:t>21</w:t>
            </w:r>
          </w:p>
        </w:tc>
        <w:tc>
          <w:tcPr>
            <w:tcW w:w="1276" w:type="dxa"/>
            <w:shd w:val="clear" w:color="auto" w:fill="FFFFFF"/>
            <w:vAlign w:val="center"/>
          </w:tcPr>
          <w:p w14:paraId="333E62FB" w14:textId="77777777" w:rsidR="001B4ED5" w:rsidRPr="00895D0B" w:rsidRDefault="006B41C0">
            <w:pPr>
              <w:autoSpaceDE w:val="0"/>
              <w:autoSpaceDN w:val="0"/>
              <w:adjustRightInd w:val="0"/>
              <w:spacing w:line="360" w:lineRule="auto"/>
              <w:ind w:left="60" w:right="60"/>
              <w:jc w:val="center"/>
              <w:rPr>
                <w:rFonts w:cs="Times New Roman"/>
                <w:color w:val="000000" w:themeColor="text1"/>
                <w:szCs w:val="24"/>
              </w:rPr>
            </w:pPr>
            <w:r w:rsidRPr="00895D0B">
              <w:rPr>
                <w:rFonts w:cs="Times New Roman"/>
                <w:color w:val="000000" w:themeColor="text1"/>
                <w:szCs w:val="24"/>
              </w:rPr>
              <w:t>10.9</w:t>
            </w:r>
          </w:p>
        </w:tc>
      </w:tr>
      <w:tr w:rsidR="00895D0B" w:rsidRPr="00895D0B" w14:paraId="4B1E9262" w14:textId="77777777">
        <w:trPr>
          <w:cantSplit/>
        </w:trPr>
        <w:tc>
          <w:tcPr>
            <w:tcW w:w="5240" w:type="dxa"/>
            <w:tcBorders>
              <w:bottom w:val="single" w:sz="4" w:space="0" w:color="auto"/>
            </w:tcBorders>
            <w:shd w:val="clear" w:color="auto" w:fill="FFFFFF"/>
            <w:vAlign w:val="center"/>
          </w:tcPr>
          <w:p w14:paraId="6250A5A0" w14:textId="77777777" w:rsidR="001B4ED5" w:rsidRPr="00895D0B" w:rsidRDefault="006B41C0">
            <w:pPr>
              <w:autoSpaceDE w:val="0"/>
              <w:autoSpaceDN w:val="0"/>
              <w:adjustRightInd w:val="0"/>
              <w:spacing w:line="360" w:lineRule="auto"/>
              <w:ind w:left="60" w:right="60"/>
              <w:rPr>
                <w:rFonts w:cs="Times New Roman"/>
                <w:color w:val="000000" w:themeColor="text1"/>
                <w:szCs w:val="24"/>
              </w:rPr>
            </w:pPr>
            <w:r w:rsidRPr="00895D0B">
              <w:rPr>
                <w:rFonts w:cs="Times New Roman"/>
                <w:color w:val="000000" w:themeColor="text1"/>
                <w:szCs w:val="24"/>
              </w:rPr>
              <w:t>Both crops and animal production</w:t>
            </w:r>
          </w:p>
        </w:tc>
        <w:tc>
          <w:tcPr>
            <w:tcW w:w="2126" w:type="dxa"/>
            <w:tcBorders>
              <w:bottom w:val="single" w:sz="4" w:space="0" w:color="auto"/>
            </w:tcBorders>
            <w:shd w:val="clear" w:color="auto" w:fill="FFFFFF"/>
            <w:vAlign w:val="center"/>
          </w:tcPr>
          <w:p w14:paraId="4AEEDD3E" w14:textId="77777777" w:rsidR="001B4ED5" w:rsidRPr="00895D0B" w:rsidRDefault="006B41C0">
            <w:pPr>
              <w:autoSpaceDE w:val="0"/>
              <w:autoSpaceDN w:val="0"/>
              <w:adjustRightInd w:val="0"/>
              <w:spacing w:line="360" w:lineRule="auto"/>
              <w:ind w:left="60" w:right="60"/>
              <w:jc w:val="center"/>
              <w:rPr>
                <w:rFonts w:cs="Times New Roman"/>
                <w:color w:val="000000" w:themeColor="text1"/>
                <w:szCs w:val="24"/>
              </w:rPr>
            </w:pPr>
            <w:r w:rsidRPr="00895D0B">
              <w:rPr>
                <w:rFonts w:cs="Times New Roman"/>
                <w:color w:val="000000" w:themeColor="text1"/>
                <w:szCs w:val="24"/>
              </w:rPr>
              <w:t>29</w:t>
            </w:r>
          </w:p>
        </w:tc>
        <w:tc>
          <w:tcPr>
            <w:tcW w:w="1276" w:type="dxa"/>
            <w:tcBorders>
              <w:bottom w:val="single" w:sz="4" w:space="0" w:color="auto"/>
            </w:tcBorders>
            <w:shd w:val="clear" w:color="auto" w:fill="FFFFFF"/>
            <w:vAlign w:val="center"/>
          </w:tcPr>
          <w:p w14:paraId="48AA5F80" w14:textId="77777777" w:rsidR="001B4ED5" w:rsidRPr="00895D0B" w:rsidRDefault="006B41C0">
            <w:pPr>
              <w:autoSpaceDE w:val="0"/>
              <w:autoSpaceDN w:val="0"/>
              <w:adjustRightInd w:val="0"/>
              <w:spacing w:line="360" w:lineRule="auto"/>
              <w:ind w:left="60" w:right="60"/>
              <w:jc w:val="center"/>
              <w:rPr>
                <w:rFonts w:cs="Times New Roman"/>
                <w:color w:val="000000" w:themeColor="text1"/>
                <w:szCs w:val="24"/>
              </w:rPr>
            </w:pPr>
            <w:r w:rsidRPr="00895D0B">
              <w:rPr>
                <w:rFonts w:cs="Times New Roman"/>
                <w:color w:val="000000" w:themeColor="text1"/>
                <w:szCs w:val="24"/>
              </w:rPr>
              <w:t>15.2</w:t>
            </w:r>
          </w:p>
        </w:tc>
      </w:tr>
    </w:tbl>
    <w:p w14:paraId="6EE28E1E" w14:textId="77777777" w:rsidR="001B4ED5" w:rsidRDefault="006B41C0">
      <w:pPr>
        <w:autoSpaceDE w:val="0"/>
        <w:autoSpaceDN w:val="0"/>
        <w:adjustRightInd w:val="0"/>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5BBAD635" w14:textId="77777777" w:rsidR="005573B9" w:rsidRDefault="005573B9" w:rsidP="005573B9">
      <w:pPr>
        <w:pStyle w:val="NoSpacing"/>
      </w:pPr>
    </w:p>
    <w:p w14:paraId="25DA032B" w14:textId="77777777" w:rsidR="002D7F3D" w:rsidRPr="002D7F3D" w:rsidRDefault="002D7F3D" w:rsidP="002D7F3D">
      <w:pPr>
        <w:pStyle w:val="NoSpacing"/>
        <w:rPr>
          <w:sz w:val="10"/>
          <w:szCs w:val="10"/>
        </w:rPr>
      </w:pPr>
    </w:p>
    <w:p w14:paraId="5025E513" w14:textId="77777777" w:rsidR="00283166" w:rsidRPr="00895D0B" w:rsidRDefault="00283166" w:rsidP="00283166">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lastRenderedPageBreak/>
        <w:t>The qualitative findings indicate that farming in urban areas is not a bad idea, but there are several issues affecting its success. These are associated with the nature of urban design and land use planning. Urban planning in Ghana is tailored towards physical development such as building purposes, educational and healthcare facilities, entertainment and recreational centres, and meeting administrative purposes. Urban planning and zoning do not factor in the allocation of land for urban agriculture production. Even though land owners lease lands to people irrespective of their purpose, the type of development on the land is controlled by government machinery through the Town and Country Planning Department and the Lands Commission. This is seen in their work in terms of demarcation and leasing of lands for developmental purposes. Interestingly, landlords are of the view that they never had in mind reserving lands for farming because they consider urban areas prohibited from farming. A landlord said:</w:t>
      </w:r>
    </w:p>
    <w:p w14:paraId="58D1E9F6" w14:textId="77777777" w:rsidR="00283166" w:rsidRDefault="00283166" w:rsidP="0050174D">
      <w:pPr>
        <w:spacing w:line="360" w:lineRule="auto"/>
        <w:ind w:left="720"/>
        <w:rPr>
          <w:rFonts w:eastAsia="Times New Roman" w:cs="Times New Roman"/>
          <w:color w:val="000000" w:themeColor="text1"/>
          <w:szCs w:val="24"/>
          <w:lang w:eastAsia="en-GB"/>
        </w:rPr>
      </w:pPr>
      <w:r w:rsidRPr="00895D0B">
        <w:rPr>
          <w:rFonts w:eastAsia="Times New Roman" w:cs="Times New Roman"/>
          <w:i/>
          <w:iCs/>
          <w:color w:val="000000" w:themeColor="text1"/>
          <w:szCs w:val="24"/>
          <w:lang w:eastAsia="en-GB"/>
        </w:rPr>
        <w:t xml:space="preserve">” I know that people use their undeveloped land for farming purposes in urban areas, but they later use it for the intended purpose, like building. I have been assisting in the sale of land since I became the family head. What I know is that surveyors reserving land for parks, schools, hospitals, and roads, but I never heard anything like reserving land as a farm."  </w:t>
      </w:r>
      <w:r w:rsidRPr="00895D0B">
        <w:rPr>
          <w:rFonts w:eastAsia="Times New Roman" w:cs="Times New Roman"/>
          <w:color w:val="000000" w:themeColor="text1"/>
          <w:szCs w:val="24"/>
          <w:lang w:eastAsia="en-GB"/>
        </w:rPr>
        <w:t>(KII, June, 2022).</w:t>
      </w:r>
    </w:p>
    <w:p w14:paraId="43487C0F" w14:textId="77777777" w:rsidR="002D7F3D" w:rsidRPr="00895D0B" w:rsidRDefault="002D7F3D" w:rsidP="002D7F3D">
      <w:pPr>
        <w:pStyle w:val="NoSpacing"/>
        <w:rPr>
          <w:lang w:eastAsia="en-GB"/>
        </w:rPr>
      </w:pPr>
    </w:p>
    <w:p w14:paraId="080956F7" w14:textId="77777777" w:rsidR="00283166" w:rsidRDefault="00283166" w:rsidP="00283166">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Many landlords were surprised to learn that farming around their houses in the city is possible. Another landlord had this to say:</w:t>
      </w:r>
    </w:p>
    <w:p w14:paraId="2F3BC2B3" w14:textId="77777777" w:rsidR="002D7F3D" w:rsidRPr="002D7F3D" w:rsidRDefault="002D7F3D" w:rsidP="002D7F3D">
      <w:pPr>
        <w:pStyle w:val="NoSpacing"/>
        <w:rPr>
          <w:sz w:val="10"/>
          <w:szCs w:val="10"/>
          <w:lang w:eastAsia="en-GB"/>
        </w:rPr>
      </w:pPr>
    </w:p>
    <w:p w14:paraId="6959F7FA" w14:textId="77777777" w:rsidR="00283166" w:rsidRPr="00895D0B" w:rsidRDefault="00283166" w:rsidP="00283166">
      <w:pPr>
        <w:spacing w:line="360" w:lineRule="auto"/>
        <w:rPr>
          <w:rFonts w:eastAsia="Times New Roman" w:cs="Times New Roman"/>
          <w:color w:val="000000" w:themeColor="text1"/>
          <w:szCs w:val="24"/>
          <w:lang w:eastAsia="en-GB"/>
        </w:rPr>
      </w:pPr>
      <w:r w:rsidRPr="00895D0B">
        <w:rPr>
          <w:rFonts w:eastAsia="Times New Roman" w:cs="Times New Roman"/>
          <w:i/>
          <w:iCs/>
          <w:color w:val="000000" w:themeColor="text1"/>
          <w:szCs w:val="24"/>
          <w:lang w:eastAsia="en-GB"/>
        </w:rPr>
        <w:t xml:space="preserve">“Really! I have sold all my farmlands because I never knew I could farm in the city. If I were aware of this, I should have left some portions closer to my house to farm on... even though, one day my children will sell it” </w:t>
      </w:r>
      <w:r w:rsidRPr="00895D0B">
        <w:rPr>
          <w:rFonts w:eastAsia="Times New Roman" w:cs="Times New Roman"/>
          <w:color w:val="000000" w:themeColor="text1"/>
          <w:szCs w:val="24"/>
          <w:lang w:eastAsia="en-GB"/>
        </w:rPr>
        <w:t>(KII, June 2022).</w:t>
      </w:r>
    </w:p>
    <w:p w14:paraId="3B8B1F24" w14:textId="77777777" w:rsidR="00283166" w:rsidRPr="002D7F3D" w:rsidRDefault="00283166" w:rsidP="002D7F3D">
      <w:pPr>
        <w:pStyle w:val="NoSpacing"/>
        <w:rPr>
          <w:sz w:val="8"/>
          <w:szCs w:val="8"/>
          <w:lang w:eastAsia="en-GB"/>
        </w:rPr>
      </w:pPr>
      <w:r w:rsidRPr="00895D0B">
        <w:rPr>
          <w:lang w:eastAsia="en-GB"/>
        </w:rPr>
        <w:t> </w:t>
      </w:r>
    </w:p>
    <w:p w14:paraId="63368271" w14:textId="77777777" w:rsidR="00283166" w:rsidRPr="00895D0B" w:rsidRDefault="00283166" w:rsidP="00283166">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Furthermore, it was clear that urban farming before the 1980s was seen as an illegal venture within the city, especially animal production. In recent times, following the 1980s, there have been laws governing farming in the cities. For instance, the findings revealed that the Municipal Assembly by-law is not yet gazetted, but the city authorities are applying the draft and following the Criminal Code Act of 1960. The Criminal Code Act of 1960 in Ghana is a piece of legislation that was introduced and enacted in conjunction with the Criminal Procedure Code (Act 80). In Section 300, the law on animal rearing emphasised on stray cattle, including swine, sheep, and goats. It contains provisions and procedures related to criminal offenses and their punishment. This is seen in the event where farm animals such as goats, sheep, and pigs are confiscated by </w:t>
      </w:r>
      <w:r w:rsidRPr="00895D0B">
        <w:rPr>
          <w:rFonts w:eastAsia="Times New Roman" w:cs="Times New Roman"/>
          <w:color w:val="000000" w:themeColor="text1"/>
          <w:szCs w:val="24"/>
          <w:lang w:eastAsia="en-GB"/>
        </w:rPr>
        <w:lastRenderedPageBreak/>
        <w:t>authorities when found in the city, and the owners are expected to appear before the authorities within ten (10) days. In any case, there are considerations for intensive housing of animals, as the emphasis of the law is on stray animals. However, cattle production is highly prohibited. Vegetable and legume production is legal, while the other crops are not. The reason is that most of the crops, such as cereal, roots, and tubers, are not cultivated for security reasons because criminals can hide in them and commit crimes. In an interview session, a respondent said:</w:t>
      </w:r>
    </w:p>
    <w:p w14:paraId="3D370523" w14:textId="77777777" w:rsidR="00283166" w:rsidRPr="00895D0B" w:rsidRDefault="00283166" w:rsidP="00283166">
      <w:pPr>
        <w:spacing w:line="360" w:lineRule="auto"/>
        <w:ind w:left="360"/>
        <w:rPr>
          <w:rFonts w:eastAsia="Times New Roman" w:cs="Times New Roman"/>
          <w:color w:val="000000" w:themeColor="text1"/>
          <w:szCs w:val="24"/>
          <w:lang w:eastAsia="en-GB"/>
        </w:rPr>
      </w:pPr>
      <w:r w:rsidRPr="00895D0B">
        <w:rPr>
          <w:rFonts w:eastAsia="Times New Roman" w:cs="Times New Roman"/>
          <w:i/>
          <w:iCs/>
          <w:color w:val="000000" w:themeColor="text1"/>
          <w:szCs w:val="24"/>
          <w:lang w:eastAsia="en-GB"/>
        </w:rPr>
        <w:t xml:space="preserve">The law states that rearing animals and cropping are not supposed to be done in  urban centers but there was reconsideration with the advent of ‘Operation Feed Yourself’ in the 1970s.  Another law is that stray animals on the street and in town without their owners controlling them should be rounded up by the environmental health department and the owners prosecuted. Again, cattle rearing is prohibited in urban centres but should be done at the farm. And pig   rearing in urban centres is strictly an intensive method of rearing. In crop production, the law stated that only legumes and vegetables should be cultivated in  urban centres but cereals and other crops are prohibited by the law in order not to be hiding places for criminals and breeding places for mosquitoes </w:t>
      </w:r>
      <w:r w:rsidRPr="00895D0B">
        <w:rPr>
          <w:rFonts w:eastAsia="Times New Roman" w:cs="Times New Roman"/>
          <w:color w:val="000000" w:themeColor="text1"/>
          <w:szCs w:val="24"/>
          <w:lang w:eastAsia="en-GB"/>
        </w:rPr>
        <w:t>(KII, June 2022).</w:t>
      </w:r>
    </w:p>
    <w:p w14:paraId="14D9DBEF" w14:textId="7036F652" w:rsidR="001B4ED5" w:rsidRPr="00895D0B" w:rsidRDefault="001B4ED5" w:rsidP="002D7F3D">
      <w:pPr>
        <w:pStyle w:val="NoSpacing"/>
      </w:pPr>
    </w:p>
    <w:p w14:paraId="04D72B35" w14:textId="06739085" w:rsidR="001B4ED5" w:rsidRPr="00895D0B" w:rsidRDefault="006B41C0">
      <w:pPr>
        <w:pStyle w:val="Heading2"/>
      </w:pPr>
      <w:bookmarkStart w:id="88" w:name="_Toc167379913"/>
      <w:r w:rsidRPr="00895D0B">
        <w:t>4.3 Types of</w:t>
      </w:r>
      <w:r w:rsidR="004E0C0A" w:rsidRPr="00895D0B">
        <w:t xml:space="preserve"> Livestock</w:t>
      </w:r>
      <w:r w:rsidRPr="00895D0B">
        <w:t xml:space="preserve"> Urban Farmers </w:t>
      </w:r>
      <w:r w:rsidR="0014762D" w:rsidRPr="00895D0B">
        <w:t>Rear</w:t>
      </w:r>
      <w:bookmarkEnd w:id="88"/>
      <w:r w:rsidR="0014762D" w:rsidRPr="00895D0B">
        <w:t xml:space="preserve"> </w:t>
      </w:r>
    </w:p>
    <w:p w14:paraId="2196DFAC" w14:textId="3B474FDA" w:rsidR="00E35A88" w:rsidRPr="00895D0B" w:rsidRDefault="00E35A88" w:rsidP="002D7F3D">
      <w:pPr>
        <w:spacing w:after="100" w:afterAutospacing="1"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The study revealed that many types of animals are reared in urban spaces. These are grouped into ruminants, such as sheep, goats, and cattle, and non-ruminants, like pigs. Interestingly, the majority of the urban residents raise ruminants: sheep, goats, and cattle. The majority (73.3%) of urban households produce sheep. Again, about 25.7% of the urban households rear goats, and 24.3% rear cattle. However, the majority (75.7%) of urban households do not raise cattle, 74.3% do not rear goats, and 70.0% do not rear non-ruminant animals like pigs </w:t>
      </w:r>
      <w:r w:rsidRPr="00895D0B">
        <w:rPr>
          <w:rFonts w:eastAsia="Times New Roman" w:cs="Times New Roman"/>
          <w:i/>
          <w:iCs/>
          <w:color w:val="000000" w:themeColor="text1"/>
          <w:szCs w:val="24"/>
          <w:lang w:eastAsia="en-GB"/>
        </w:rPr>
        <w:t>(see Figure 4.1).</w:t>
      </w:r>
      <w:r w:rsidRPr="00895D0B">
        <w:rPr>
          <w:rFonts w:eastAsia="Times New Roman" w:cs="Times New Roman"/>
          <w:color w:val="000000" w:themeColor="text1"/>
          <w:szCs w:val="24"/>
          <w:lang w:eastAsia="en-GB"/>
        </w:rPr>
        <w:t xml:space="preserve"> Similarly, the findings hold that urban dwellers keep poultry in and around their neighbourhoods despite the recent effects of climate change. A total of 80.0% of urban residents raise poultry, such as chicken, and 79.0% raise turkey. 68.0% raise ducks, and 52.0% raise guinea fowl (</w:t>
      </w:r>
      <w:r w:rsidRPr="00895D0B">
        <w:rPr>
          <w:rFonts w:eastAsia="Times New Roman" w:cs="Times New Roman"/>
          <w:i/>
          <w:iCs/>
          <w:color w:val="000000" w:themeColor="text1"/>
          <w:szCs w:val="24"/>
          <w:lang w:eastAsia="en-GB"/>
        </w:rPr>
        <w:t>see Figure 4.1</w:t>
      </w:r>
      <w:r w:rsidRPr="00895D0B">
        <w:rPr>
          <w:rFonts w:eastAsia="Times New Roman" w:cs="Times New Roman"/>
          <w:color w:val="000000" w:themeColor="text1"/>
          <w:szCs w:val="24"/>
          <w:lang w:eastAsia="en-GB"/>
        </w:rPr>
        <w:t>).</w:t>
      </w:r>
    </w:p>
    <w:p w14:paraId="3D238074" w14:textId="77777777" w:rsidR="001B4ED5" w:rsidRPr="00895D0B" w:rsidRDefault="001B4ED5">
      <w:pPr>
        <w:autoSpaceDE w:val="0"/>
        <w:autoSpaceDN w:val="0"/>
        <w:adjustRightInd w:val="0"/>
        <w:spacing w:line="360" w:lineRule="auto"/>
        <w:rPr>
          <w:rFonts w:cs="Times New Roman"/>
          <w:color w:val="000000" w:themeColor="text1"/>
          <w:szCs w:val="24"/>
        </w:rPr>
      </w:pPr>
    </w:p>
    <w:p w14:paraId="1603B4CA" w14:textId="5338A663" w:rsidR="001B4ED5" w:rsidRPr="00895D0B" w:rsidRDefault="006B41C0" w:rsidP="002D7F3D">
      <w:pPr>
        <w:pStyle w:val="Heading5"/>
      </w:pPr>
      <w:bookmarkStart w:id="89" w:name="_Toc167368257"/>
      <w:r w:rsidRPr="00895D0B">
        <w:rPr>
          <w:noProof/>
          <w:lang w:eastAsia="en-GB"/>
        </w:rPr>
        <w:lastRenderedPageBreak/>
        <w:drawing>
          <wp:anchor distT="0" distB="0" distL="114300" distR="114300" simplePos="0" relativeHeight="251661312" behindDoc="0" locked="0" layoutInCell="1" allowOverlap="1" wp14:anchorId="1F6931AA" wp14:editId="21A31177">
            <wp:simplePos x="0" y="0"/>
            <wp:positionH relativeFrom="column">
              <wp:posOffset>0</wp:posOffset>
            </wp:positionH>
            <wp:positionV relativeFrom="paragraph">
              <wp:posOffset>41910</wp:posOffset>
            </wp:positionV>
            <wp:extent cx="5372100" cy="3257550"/>
            <wp:effectExtent l="0" t="0" r="0" b="0"/>
            <wp:wrapSquare wrapText="bothSides"/>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bookmarkStart w:id="90" w:name="_Toc148890764"/>
      <w:r w:rsidRPr="00895D0B">
        <w:t>Figure 4.</w:t>
      </w:r>
      <w:r w:rsidRPr="00895D0B">
        <w:fldChar w:fldCharType="begin"/>
      </w:r>
      <w:r w:rsidRPr="00895D0B">
        <w:instrText xml:space="preserve"> SEQ Figure_4. \* ARABIC </w:instrText>
      </w:r>
      <w:r w:rsidRPr="00895D0B">
        <w:fldChar w:fldCharType="separate"/>
      </w:r>
      <w:r w:rsidR="0026489B">
        <w:rPr>
          <w:noProof/>
        </w:rPr>
        <w:t>1</w:t>
      </w:r>
      <w:r w:rsidRPr="00895D0B">
        <w:fldChar w:fldCharType="end"/>
      </w:r>
      <w:r w:rsidRPr="00895D0B">
        <w:t xml:space="preserve">: Common Types of </w:t>
      </w:r>
      <w:r w:rsidR="004E0C0A" w:rsidRPr="00895D0B">
        <w:t xml:space="preserve">Livestock  </w:t>
      </w:r>
      <w:r w:rsidRPr="00895D0B">
        <w:t>Urban Farmers Raise</w:t>
      </w:r>
      <w:bookmarkEnd w:id="89"/>
      <w:bookmarkEnd w:id="90"/>
    </w:p>
    <w:p w14:paraId="273B6A46"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2D68BE72" w14:textId="77777777" w:rsidR="001B4ED5" w:rsidRPr="00895D0B" w:rsidRDefault="001B4ED5">
      <w:pPr>
        <w:autoSpaceDE w:val="0"/>
        <w:autoSpaceDN w:val="0"/>
        <w:adjustRightInd w:val="0"/>
        <w:spacing w:line="360" w:lineRule="auto"/>
        <w:rPr>
          <w:rFonts w:cs="Times New Roman"/>
          <w:color w:val="000000" w:themeColor="text1"/>
          <w:szCs w:val="24"/>
        </w:rPr>
      </w:pPr>
    </w:p>
    <w:p w14:paraId="265EEC0A" w14:textId="77777777" w:rsidR="001B4ED5" w:rsidRPr="00895D0B" w:rsidRDefault="006B41C0" w:rsidP="002D7F3D">
      <w:pPr>
        <w:pStyle w:val="Heading2"/>
      </w:pPr>
      <w:bookmarkStart w:id="91" w:name="_Toc167379914"/>
      <w:r w:rsidRPr="00895D0B">
        <w:t xml:space="preserve">4.4 </w:t>
      </w:r>
      <w:r w:rsidRPr="002D7F3D">
        <w:t>Type</w:t>
      </w:r>
      <w:r w:rsidRPr="00895D0B">
        <w:t xml:space="preserve"> of crops urban farmers produce</w:t>
      </w:r>
      <w:bookmarkEnd w:id="91"/>
      <w:r w:rsidRPr="00895D0B">
        <w:t xml:space="preserve"> </w:t>
      </w:r>
    </w:p>
    <w:p w14:paraId="7DBA0F24" w14:textId="3DE9C88E" w:rsidR="005D0988" w:rsidRDefault="005D0988" w:rsidP="005D0988">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In examining urban households' urban farming patterns under climatic difficulties, the study further unraveled the types of crops that are commonly grown in urban neighbourhoods. The results in Figure 4.2 indicate that there are different categories of crops that urban farmers cultivate, namely, vegetables, roots and tubers, legumes, and cereals. Urban farmers also cultivate vegetables like cabbage, which the majority of the farmers, representing 86.4%, grow. This is followed by the growing of pumpkin leaves by</w:t>
      </w:r>
      <w:r w:rsidRPr="00895D0B">
        <w:rPr>
          <w:rFonts w:eastAsia="Times New Roman" w:cs="Times New Roman"/>
          <w:strike/>
          <w:color w:val="000000" w:themeColor="text1"/>
          <w:szCs w:val="24"/>
          <w:lang w:eastAsia="en-GB"/>
        </w:rPr>
        <w:t xml:space="preserve"> </w:t>
      </w:r>
      <w:r w:rsidRPr="00895D0B">
        <w:rPr>
          <w:rFonts w:eastAsia="Times New Roman" w:cs="Times New Roman"/>
          <w:color w:val="000000" w:themeColor="text1"/>
          <w:szCs w:val="24"/>
          <w:lang w:eastAsia="en-GB"/>
        </w:rPr>
        <w:t xml:space="preserve">about 68.1% of the respondents.  Of the urban farmer population, those who engage in the cultivation of okra and tomatoes are about 62.8% each, and pepper 50.8% </w:t>
      </w:r>
      <w:r w:rsidRPr="00895D0B">
        <w:rPr>
          <w:rFonts w:eastAsia="Times New Roman" w:cs="Times New Roman"/>
          <w:i/>
          <w:iCs/>
          <w:color w:val="000000" w:themeColor="text1"/>
          <w:szCs w:val="24"/>
          <w:lang w:eastAsia="en-GB"/>
        </w:rPr>
        <w:t>(see Figure 4.1)</w:t>
      </w:r>
      <w:r w:rsidRPr="00895D0B">
        <w:rPr>
          <w:rFonts w:eastAsia="Times New Roman" w:cs="Times New Roman"/>
          <w:color w:val="000000" w:themeColor="text1"/>
          <w:szCs w:val="24"/>
          <w:lang w:eastAsia="en-GB"/>
        </w:rPr>
        <w:t>.</w:t>
      </w:r>
      <w:r w:rsidR="00895D0B">
        <w:rPr>
          <w:rFonts w:eastAsia="Times New Roman" w:cs="Times New Roman"/>
          <w:color w:val="000000" w:themeColor="text1"/>
          <w:szCs w:val="24"/>
          <w:lang w:eastAsia="en-GB"/>
        </w:rPr>
        <w:t xml:space="preserve"> </w:t>
      </w:r>
      <w:r w:rsidRPr="00895D0B">
        <w:rPr>
          <w:rFonts w:eastAsia="Times New Roman" w:cs="Times New Roman"/>
          <w:color w:val="000000" w:themeColor="text1"/>
          <w:szCs w:val="24"/>
          <w:lang w:eastAsia="en-GB"/>
        </w:rPr>
        <w:t>In terms of the growth of roots and tubers, the majority (74.9%) of the urban farmers cultivate yams, and about 54.5% grow cassava (</w:t>
      </w:r>
      <w:r w:rsidRPr="00895D0B">
        <w:rPr>
          <w:rFonts w:eastAsia="Times New Roman" w:cs="Times New Roman"/>
          <w:i/>
          <w:iCs/>
          <w:color w:val="000000" w:themeColor="text1"/>
          <w:szCs w:val="24"/>
          <w:lang w:eastAsia="en-GB"/>
        </w:rPr>
        <w:t>see Figure 4.2</w:t>
      </w:r>
      <w:r w:rsidRPr="00895D0B">
        <w:rPr>
          <w:rFonts w:eastAsia="Times New Roman" w:cs="Times New Roman"/>
          <w:color w:val="000000" w:themeColor="text1"/>
          <w:szCs w:val="24"/>
          <w:lang w:eastAsia="en-GB"/>
        </w:rPr>
        <w:t>). This shows that few roots and tubers are cultivated in urban spaces. The rationale for this pattern of cultivation is that more space is needed for this category of crops to be cultivated, and as such, many types cannot be cultivated at the same time. Field observation showed that yam production is common among urban farmers, though it is done on a small-scale basis (</w:t>
      </w:r>
      <w:r w:rsidRPr="00895D0B">
        <w:rPr>
          <w:rFonts w:eastAsia="Times New Roman" w:cs="Times New Roman"/>
          <w:i/>
          <w:iCs/>
          <w:color w:val="000000" w:themeColor="text1"/>
          <w:szCs w:val="24"/>
          <w:lang w:eastAsia="en-GB"/>
        </w:rPr>
        <w:t>see Figure 4.2</w:t>
      </w:r>
      <w:r w:rsidRPr="00895D0B">
        <w:rPr>
          <w:rFonts w:eastAsia="Times New Roman" w:cs="Times New Roman"/>
          <w:color w:val="000000" w:themeColor="text1"/>
          <w:szCs w:val="24"/>
          <w:lang w:eastAsia="en-GB"/>
        </w:rPr>
        <w:t>).</w:t>
      </w:r>
    </w:p>
    <w:p w14:paraId="4CBFB92A" w14:textId="77777777" w:rsidR="00895D0B" w:rsidRPr="00895D0B" w:rsidRDefault="00895D0B" w:rsidP="005D0988">
      <w:pPr>
        <w:spacing w:line="360" w:lineRule="auto"/>
        <w:rPr>
          <w:rFonts w:eastAsia="Times New Roman" w:cs="Times New Roman"/>
          <w:color w:val="000000" w:themeColor="text1"/>
          <w:szCs w:val="24"/>
          <w:lang w:eastAsia="en-GB"/>
        </w:rPr>
      </w:pPr>
    </w:p>
    <w:p w14:paraId="46614532"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noProof/>
          <w:color w:val="000000" w:themeColor="text1"/>
          <w:szCs w:val="24"/>
          <w:lang w:eastAsia="en-GB"/>
        </w:rPr>
        <w:lastRenderedPageBreak/>
        <w:drawing>
          <wp:inline distT="0" distB="0" distL="0" distR="0" wp14:anchorId="5FB81DA1" wp14:editId="35558A39">
            <wp:extent cx="5324475" cy="360235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344325" cy="3615863"/>
                    </a:xfrm>
                    <a:prstGeom prst="rect">
                      <a:avLst/>
                    </a:prstGeom>
                  </pic:spPr>
                </pic:pic>
              </a:graphicData>
            </a:graphic>
          </wp:inline>
        </w:drawing>
      </w:r>
    </w:p>
    <w:p w14:paraId="1CA8712C" w14:textId="5AB85889" w:rsidR="001B4ED5" w:rsidRPr="00895D0B" w:rsidRDefault="006B41C0" w:rsidP="002D7F3D">
      <w:pPr>
        <w:pStyle w:val="Heading5"/>
        <w:spacing w:before="0"/>
      </w:pPr>
      <w:bookmarkStart w:id="92" w:name="_Toc148890766"/>
      <w:bookmarkStart w:id="93" w:name="_Toc167368258"/>
      <w:r w:rsidRPr="00895D0B">
        <w:t>Figure 4.</w:t>
      </w:r>
      <w:r w:rsidR="0026193F" w:rsidRPr="00895D0B">
        <w:t>2</w:t>
      </w:r>
      <w:r w:rsidRPr="00895D0B">
        <w:t>: Urban Backyard Yam Farm</w:t>
      </w:r>
      <w:bookmarkEnd w:id="92"/>
      <w:r w:rsidR="00822D97" w:rsidRPr="00895D0B">
        <w:t xml:space="preserve"> Airport Residential Area</w:t>
      </w:r>
      <w:bookmarkEnd w:id="93"/>
    </w:p>
    <w:p w14:paraId="050A6EF1" w14:textId="411719F2"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2E4B41AA" w14:textId="77777777" w:rsidR="00E07373" w:rsidRPr="00895D0B" w:rsidRDefault="00E07373">
      <w:pPr>
        <w:autoSpaceDE w:val="0"/>
        <w:autoSpaceDN w:val="0"/>
        <w:adjustRightInd w:val="0"/>
        <w:spacing w:line="360" w:lineRule="auto"/>
        <w:rPr>
          <w:rFonts w:cs="Times New Roman"/>
          <w:color w:val="000000" w:themeColor="text1"/>
          <w:szCs w:val="24"/>
        </w:rPr>
      </w:pPr>
    </w:p>
    <w:p w14:paraId="534A6129" w14:textId="77777777" w:rsidR="00E07373" w:rsidRPr="00895D0B" w:rsidRDefault="00E07373" w:rsidP="00E07373">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The study findings suggest that aside from the cultivation of vegetables, urban farmers are interested in growing cereal crops such as maize, representing about 80.1% of the responses. Just a few cultivated millets represent about 12.6% </w:t>
      </w:r>
      <w:r w:rsidRPr="00895D0B">
        <w:rPr>
          <w:rFonts w:eastAsia="Times New Roman" w:cs="Times New Roman"/>
          <w:i/>
          <w:iCs/>
          <w:color w:val="000000" w:themeColor="text1"/>
          <w:szCs w:val="24"/>
          <w:lang w:eastAsia="en-GB"/>
        </w:rPr>
        <w:t>(see Figure 4.3).</w:t>
      </w:r>
      <w:r w:rsidRPr="00895D0B">
        <w:rPr>
          <w:rFonts w:eastAsia="Times New Roman" w:cs="Times New Roman"/>
          <w:color w:val="000000" w:themeColor="text1"/>
          <w:szCs w:val="24"/>
          <w:lang w:eastAsia="en-GB"/>
        </w:rPr>
        <w:t xml:space="preserve"> The result depicts the fact that the limited space in the urban centres cannot support the cultivation of many cereal crops, but the most popular one, like maize, which at least every household with urban space consumes daily, is more cultivated.</w:t>
      </w:r>
    </w:p>
    <w:p w14:paraId="76D136B8"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lastRenderedPageBreak/>
        <w:drawing>
          <wp:inline distT="0" distB="0" distL="0" distR="0" wp14:anchorId="2DA4734A" wp14:editId="18E7BBC5">
            <wp:extent cx="5238750" cy="4181475"/>
            <wp:effectExtent l="19050" t="19050" r="1905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32D22CF" w14:textId="6D2968F7" w:rsidR="001B4ED5" w:rsidRPr="00895D0B" w:rsidRDefault="006B41C0" w:rsidP="002D7F3D">
      <w:pPr>
        <w:pStyle w:val="Heading5"/>
      </w:pPr>
      <w:bookmarkStart w:id="94" w:name="_Toc148890767"/>
      <w:bookmarkStart w:id="95" w:name="_Toc167368259"/>
      <w:r w:rsidRPr="00895D0B">
        <w:t>Figure 4.</w:t>
      </w:r>
      <w:r w:rsidR="0026193F" w:rsidRPr="00895D0B">
        <w:t>3</w:t>
      </w:r>
      <w:r w:rsidRPr="00895D0B">
        <w:t>: Common Types of Crops Urban Farmers Grow</w:t>
      </w:r>
      <w:bookmarkEnd w:id="94"/>
      <w:bookmarkEnd w:id="95"/>
    </w:p>
    <w:p w14:paraId="059D43AF"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7A35DE90" w14:textId="77777777" w:rsidR="006C4360" w:rsidRPr="00895D0B" w:rsidRDefault="006C4360" w:rsidP="006C4360">
      <w:pPr>
        <w:spacing w:before="100" w:beforeAutospacing="1" w:after="100" w:afterAutospacing="1"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The cultivation of maize is also common because millet, such as the traditional varieties, takes a longer time to mature, and with obstructions such as climate change stressors, farmers cultivate crops that are early maturing to reduce climatic effects, such as maize varieties. During field observation, many maize farms were found within the urban space </w:t>
      </w:r>
      <w:r w:rsidRPr="00895D0B">
        <w:rPr>
          <w:rFonts w:eastAsia="Times New Roman" w:cs="Times New Roman"/>
          <w:i/>
          <w:iCs/>
          <w:color w:val="000000" w:themeColor="text1"/>
          <w:szCs w:val="24"/>
          <w:lang w:eastAsia="en-GB"/>
        </w:rPr>
        <w:t>(see Figure 4.4).</w:t>
      </w:r>
      <w:r w:rsidRPr="00895D0B">
        <w:rPr>
          <w:rFonts w:eastAsia="Times New Roman" w:cs="Times New Roman"/>
          <w:color w:val="000000" w:themeColor="text1"/>
          <w:szCs w:val="24"/>
          <w:lang w:eastAsia="en-GB"/>
        </w:rPr>
        <w:t xml:space="preserve"> Furthermore, the results indicate that urban farmers cultivate legumes such as beans and groundnuts/cowpeas. However, the majority, representing about 78% of the responses, favoured the cultivation of beans, while just a few, about 13.6%, grow groundnuts or cowpeas.</w:t>
      </w:r>
    </w:p>
    <w:p w14:paraId="7FA83185" w14:textId="77777777" w:rsidR="006C4360" w:rsidRPr="00895D0B" w:rsidRDefault="006C4360" w:rsidP="006C4360">
      <w:pPr>
        <w:spacing w:before="100" w:beforeAutospacing="1" w:after="100" w:afterAutospacing="1" w:line="240" w:lineRule="auto"/>
        <w:jc w:val="left"/>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w:t>
      </w:r>
    </w:p>
    <w:p w14:paraId="3B1D3C21"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noProof/>
          <w:color w:val="000000" w:themeColor="text1"/>
          <w:szCs w:val="24"/>
          <w:lang w:eastAsia="en-GB"/>
        </w:rPr>
        <w:lastRenderedPageBreak/>
        <w:drawing>
          <wp:inline distT="0" distB="0" distL="0" distR="0" wp14:anchorId="0D1B3EE6" wp14:editId="6948B839">
            <wp:extent cx="5343525" cy="3422015"/>
            <wp:effectExtent l="0" t="0" r="9525"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46621" cy="3423998"/>
                    </a:xfrm>
                    <a:prstGeom prst="rect">
                      <a:avLst/>
                    </a:prstGeom>
                  </pic:spPr>
                </pic:pic>
              </a:graphicData>
            </a:graphic>
          </wp:inline>
        </w:drawing>
      </w:r>
    </w:p>
    <w:p w14:paraId="6B98A1DE" w14:textId="68ACCCD4" w:rsidR="001B4ED5" w:rsidRPr="00895D0B" w:rsidRDefault="006B41C0" w:rsidP="002D7F3D">
      <w:pPr>
        <w:pStyle w:val="Heading5"/>
      </w:pPr>
      <w:bookmarkStart w:id="96" w:name="_Toc148890768"/>
      <w:bookmarkStart w:id="97" w:name="_Toc167368260"/>
      <w:r w:rsidRPr="00895D0B">
        <w:t>Figure 4.</w:t>
      </w:r>
      <w:r w:rsidR="0026193F" w:rsidRPr="00895D0B">
        <w:t>4</w:t>
      </w:r>
      <w:r w:rsidRPr="00895D0B">
        <w:t>: An Urban Backyard Maize Farm</w:t>
      </w:r>
      <w:bookmarkEnd w:id="96"/>
      <w:r w:rsidR="00195FAE" w:rsidRPr="00895D0B">
        <w:t xml:space="preserve"> at Wa Naporgbakole Extension</w:t>
      </w:r>
      <w:bookmarkEnd w:id="97"/>
    </w:p>
    <w:p w14:paraId="5986A05B"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b/>
          <w:color w:val="000000" w:themeColor="text1"/>
          <w:szCs w:val="24"/>
          <w:lang w:eastAsia="en-GB"/>
        </w:rPr>
        <w:t>Source:</w:t>
      </w:r>
      <w:r w:rsidRPr="00895D0B">
        <w:rPr>
          <w:rFonts w:cs="Times New Roman"/>
          <w:color w:val="000000" w:themeColor="text1"/>
          <w:szCs w:val="24"/>
          <w:lang w:eastAsia="en-GB"/>
        </w:rPr>
        <w:t xml:space="preserve"> Field Observation, 2022</w:t>
      </w:r>
    </w:p>
    <w:p w14:paraId="1CC2B3AE" w14:textId="77777777" w:rsidR="001B4ED5" w:rsidRPr="00895D0B" w:rsidRDefault="001B4ED5">
      <w:pPr>
        <w:autoSpaceDE w:val="0"/>
        <w:autoSpaceDN w:val="0"/>
        <w:adjustRightInd w:val="0"/>
        <w:spacing w:line="360" w:lineRule="auto"/>
        <w:rPr>
          <w:rFonts w:cs="Times New Roman"/>
          <w:color w:val="000000" w:themeColor="text1"/>
          <w:szCs w:val="24"/>
        </w:rPr>
      </w:pPr>
    </w:p>
    <w:p w14:paraId="7473CDE9" w14:textId="77777777" w:rsidR="001B4ED5" w:rsidRPr="00895D0B" w:rsidRDefault="006B41C0">
      <w:pPr>
        <w:pStyle w:val="Heading2"/>
      </w:pPr>
      <w:bookmarkStart w:id="98" w:name="_Toc167379915"/>
      <w:r w:rsidRPr="00895D0B">
        <w:t>4.5 Locations, Land Ownership and Physical Characteristics of Urban Farms</w:t>
      </w:r>
      <w:bookmarkEnd w:id="98"/>
      <w:r w:rsidRPr="00895D0B">
        <w:t xml:space="preserve"> </w:t>
      </w:r>
    </w:p>
    <w:p w14:paraId="614F2FF6" w14:textId="77777777" w:rsidR="006C4360" w:rsidRPr="00895D0B" w:rsidRDefault="006C4360" w:rsidP="006C4360">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To deepen the understanding of crops and animal production within urban settings, the study assessed the locational and ownership dynamics of urban farms. The finding shows that the majority (53.4%) of urban farming is done within the homes of the farmers. This suggests that urban dwellers use the piece of land available after building for either crops or animal production. This supports the findings that urban farming is done within farmers’ homes and surroundings. This is followed by the use of riverside for agriculture production, which represents about 37.0% of the responses (</w:t>
      </w:r>
      <w:r w:rsidRPr="00895D0B">
        <w:rPr>
          <w:rFonts w:eastAsia="Times New Roman" w:cs="Times New Roman"/>
          <w:i/>
          <w:iCs/>
          <w:color w:val="000000" w:themeColor="text1"/>
          <w:szCs w:val="24"/>
          <w:lang w:eastAsia="en-GB"/>
        </w:rPr>
        <w:t>see Table 4.2).</w:t>
      </w:r>
      <w:r w:rsidRPr="00895D0B">
        <w:rPr>
          <w:rFonts w:eastAsia="Times New Roman" w:cs="Times New Roman"/>
          <w:color w:val="000000" w:themeColor="text1"/>
          <w:szCs w:val="24"/>
          <w:lang w:eastAsia="en-GB"/>
        </w:rPr>
        <w:t xml:space="preserve"> This signifies that urban farming is possible on any undeveloped land within urban neighbourhoods. The riversides are areas noted for no physical development purposes, such as building, because these sites are mostly waterways or areas liable to flooding and are reserved for water runways. Farmers in the cities, therefore, leverage the availability of these sites to meet their agricultural production purposes.</w:t>
      </w:r>
    </w:p>
    <w:p w14:paraId="74BF39CE" w14:textId="77777777" w:rsidR="001B4ED5" w:rsidRDefault="001B4ED5" w:rsidP="006C4360">
      <w:pPr>
        <w:autoSpaceDE w:val="0"/>
        <w:autoSpaceDN w:val="0"/>
        <w:adjustRightInd w:val="0"/>
        <w:spacing w:line="360" w:lineRule="auto"/>
        <w:rPr>
          <w:rFonts w:cs="Times New Roman"/>
          <w:color w:val="000000" w:themeColor="text1"/>
          <w:szCs w:val="24"/>
        </w:rPr>
      </w:pPr>
    </w:p>
    <w:p w14:paraId="719E7243" w14:textId="77777777" w:rsidR="002D7F3D" w:rsidRDefault="002D7F3D" w:rsidP="006C4360">
      <w:pPr>
        <w:autoSpaceDE w:val="0"/>
        <w:autoSpaceDN w:val="0"/>
        <w:adjustRightInd w:val="0"/>
        <w:spacing w:line="360" w:lineRule="auto"/>
        <w:rPr>
          <w:rFonts w:cs="Times New Roman"/>
          <w:color w:val="000000" w:themeColor="text1"/>
          <w:szCs w:val="24"/>
        </w:rPr>
      </w:pPr>
    </w:p>
    <w:p w14:paraId="1C4B81B6" w14:textId="77777777" w:rsidR="002D7F3D" w:rsidRPr="00895D0B" w:rsidRDefault="002D7F3D" w:rsidP="006C4360">
      <w:pPr>
        <w:autoSpaceDE w:val="0"/>
        <w:autoSpaceDN w:val="0"/>
        <w:adjustRightInd w:val="0"/>
        <w:spacing w:line="360" w:lineRule="auto"/>
        <w:rPr>
          <w:rFonts w:cs="Times New Roman"/>
          <w:color w:val="000000" w:themeColor="text1"/>
          <w:szCs w:val="24"/>
        </w:rPr>
      </w:pPr>
    </w:p>
    <w:p w14:paraId="67199084" w14:textId="183E25F9" w:rsidR="001B4ED5" w:rsidRPr="00895D0B" w:rsidRDefault="006B41C0" w:rsidP="002D7F3D">
      <w:pPr>
        <w:pStyle w:val="Heading6"/>
      </w:pPr>
      <w:bookmarkStart w:id="99" w:name="_Toc148890633"/>
      <w:bookmarkStart w:id="100" w:name="_Toc167368590"/>
      <w:r w:rsidRPr="00895D0B">
        <w:lastRenderedPageBreak/>
        <w:t>Table 4.</w:t>
      </w:r>
      <w:r w:rsidR="00895D0B" w:rsidRPr="00895D0B">
        <w:fldChar w:fldCharType="begin"/>
      </w:r>
      <w:r w:rsidR="00895D0B" w:rsidRPr="00895D0B">
        <w:instrText xml:space="preserve"> SEQ Table_4. \* ARABIC </w:instrText>
      </w:r>
      <w:r w:rsidR="00895D0B" w:rsidRPr="00895D0B">
        <w:fldChar w:fldCharType="separate"/>
      </w:r>
      <w:r w:rsidR="0026489B">
        <w:rPr>
          <w:noProof/>
        </w:rPr>
        <w:t>2</w:t>
      </w:r>
      <w:r w:rsidR="00895D0B" w:rsidRPr="00895D0B">
        <w:fldChar w:fldCharType="end"/>
      </w:r>
      <w:r w:rsidRPr="00895D0B">
        <w:t>: Location, Ownership, and Fencing of Urban Farms</w:t>
      </w:r>
      <w:bookmarkEnd w:id="99"/>
      <w:bookmarkEnd w:id="100"/>
    </w:p>
    <w:tbl>
      <w:tblPr>
        <w:tblW w:w="8500" w:type="dxa"/>
        <w:tblLayout w:type="fixed"/>
        <w:tblCellMar>
          <w:left w:w="0" w:type="dxa"/>
          <w:right w:w="0" w:type="dxa"/>
        </w:tblCellMar>
        <w:tblLook w:val="04A0" w:firstRow="1" w:lastRow="0" w:firstColumn="1" w:lastColumn="0" w:noHBand="0" w:noVBand="1"/>
      </w:tblPr>
      <w:tblGrid>
        <w:gridCol w:w="4815"/>
        <w:gridCol w:w="1843"/>
        <w:gridCol w:w="1842"/>
      </w:tblGrid>
      <w:tr w:rsidR="00895D0B" w:rsidRPr="00895D0B" w14:paraId="557EA685" w14:textId="77777777">
        <w:trPr>
          <w:cantSplit/>
        </w:trPr>
        <w:tc>
          <w:tcPr>
            <w:tcW w:w="4815" w:type="dxa"/>
            <w:tcBorders>
              <w:top w:val="single" w:sz="4" w:space="0" w:color="auto"/>
              <w:bottom w:val="single" w:sz="4" w:space="0" w:color="auto"/>
            </w:tcBorders>
            <w:shd w:val="clear" w:color="auto" w:fill="FFFFFF"/>
          </w:tcPr>
          <w:p w14:paraId="5AC9FB62"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Attributes </w:t>
            </w:r>
          </w:p>
        </w:tc>
        <w:tc>
          <w:tcPr>
            <w:tcW w:w="1843" w:type="dxa"/>
            <w:tcBorders>
              <w:top w:val="single" w:sz="4" w:space="0" w:color="auto"/>
              <w:bottom w:val="single" w:sz="4" w:space="0" w:color="auto"/>
            </w:tcBorders>
            <w:shd w:val="clear" w:color="auto" w:fill="FFFFFF"/>
          </w:tcPr>
          <w:p w14:paraId="11BDB9DE"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Frequency</w:t>
            </w:r>
          </w:p>
        </w:tc>
        <w:tc>
          <w:tcPr>
            <w:tcW w:w="1842" w:type="dxa"/>
            <w:tcBorders>
              <w:top w:val="single" w:sz="4" w:space="0" w:color="auto"/>
              <w:bottom w:val="single" w:sz="4" w:space="0" w:color="auto"/>
            </w:tcBorders>
            <w:shd w:val="clear" w:color="auto" w:fill="FFFFFF"/>
          </w:tcPr>
          <w:p w14:paraId="36903644"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Percent</w:t>
            </w:r>
          </w:p>
        </w:tc>
      </w:tr>
      <w:tr w:rsidR="00895D0B" w:rsidRPr="00895D0B" w14:paraId="4DFD55F6" w14:textId="77777777">
        <w:trPr>
          <w:cantSplit/>
        </w:trPr>
        <w:tc>
          <w:tcPr>
            <w:tcW w:w="8500" w:type="dxa"/>
            <w:gridSpan w:val="3"/>
            <w:tcBorders>
              <w:top w:val="single" w:sz="4" w:space="0" w:color="auto"/>
            </w:tcBorders>
            <w:shd w:val="clear" w:color="auto" w:fill="FFFFFF"/>
          </w:tcPr>
          <w:p w14:paraId="76C711A8"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b/>
                <w:color w:val="000000" w:themeColor="text1"/>
                <w:szCs w:val="24"/>
              </w:rPr>
              <w:t>Location</w:t>
            </w:r>
          </w:p>
        </w:tc>
      </w:tr>
      <w:tr w:rsidR="00895D0B" w:rsidRPr="00895D0B" w14:paraId="4DC1CA0E" w14:textId="77777777">
        <w:trPr>
          <w:cantSplit/>
        </w:trPr>
        <w:tc>
          <w:tcPr>
            <w:tcW w:w="4815" w:type="dxa"/>
            <w:shd w:val="clear" w:color="auto" w:fill="FFFFFF"/>
            <w:vAlign w:val="center"/>
          </w:tcPr>
          <w:p w14:paraId="0AD7A8FE"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Roadside</w:t>
            </w:r>
          </w:p>
        </w:tc>
        <w:tc>
          <w:tcPr>
            <w:tcW w:w="1843" w:type="dxa"/>
            <w:shd w:val="clear" w:color="auto" w:fill="FFFFFF"/>
            <w:vAlign w:val="center"/>
          </w:tcPr>
          <w:p w14:paraId="0E7ADDF6"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w:t>
            </w:r>
          </w:p>
        </w:tc>
        <w:tc>
          <w:tcPr>
            <w:tcW w:w="1842" w:type="dxa"/>
            <w:shd w:val="clear" w:color="auto" w:fill="FFFFFF"/>
            <w:vAlign w:val="center"/>
          </w:tcPr>
          <w:p w14:paraId="1AA1D70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5.0</w:t>
            </w:r>
          </w:p>
        </w:tc>
      </w:tr>
      <w:tr w:rsidR="00895D0B" w:rsidRPr="00895D0B" w14:paraId="0ACF539B" w14:textId="77777777">
        <w:trPr>
          <w:cantSplit/>
        </w:trPr>
        <w:tc>
          <w:tcPr>
            <w:tcW w:w="4815" w:type="dxa"/>
            <w:shd w:val="clear" w:color="auto" w:fill="FFFFFF"/>
            <w:vAlign w:val="center"/>
          </w:tcPr>
          <w:p w14:paraId="1E7157A0"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Riverside</w:t>
            </w:r>
          </w:p>
        </w:tc>
        <w:tc>
          <w:tcPr>
            <w:tcW w:w="1843" w:type="dxa"/>
            <w:shd w:val="clear" w:color="auto" w:fill="FFFFFF"/>
            <w:vAlign w:val="center"/>
          </w:tcPr>
          <w:p w14:paraId="7D3B551C"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70</w:t>
            </w:r>
          </w:p>
        </w:tc>
        <w:tc>
          <w:tcPr>
            <w:tcW w:w="1842" w:type="dxa"/>
            <w:shd w:val="clear" w:color="auto" w:fill="FFFFFF"/>
            <w:vAlign w:val="center"/>
          </w:tcPr>
          <w:p w14:paraId="683D180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37.0</w:t>
            </w:r>
          </w:p>
        </w:tc>
      </w:tr>
      <w:tr w:rsidR="00895D0B" w:rsidRPr="00895D0B" w14:paraId="52C67072" w14:textId="77777777">
        <w:trPr>
          <w:cantSplit/>
        </w:trPr>
        <w:tc>
          <w:tcPr>
            <w:tcW w:w="4815" w:type="dxa"/>
            <w:shd w:val="clear" w:color="auto" w:fill="FFFFFF"/>
            <w:vAlign w:val="center"/>
          </w:tcPr>
          <w:p w14:paraId="4EC72857"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Public land</w:t>
            </w:r>
          </w:p>
        </w:tc>
        <w:tc>
          <w:tcPr>
            <w:tcW w:w="1843" w:type="dxa"/>
            <w:shd w:val="clear" w:color="auto" w:fill="FFFFFF"/>
            <w:vAlign w:val="center"/>
          </w:tcPr>
          <w:p w14:paraId="496372F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w:t>
            </w:r>
          </w:p>
        </w:tc>
        <w:tc>
          <w:tcPr>
            <w:tcW w:w="1842" w:type="dxa"/>
            <w:shd w:val="clear" w:color="auto" w:fill="FFFFFF"/>
            <w:vAlign w:val="center"/>
          </w:tcPr>
          <w:p w14:paraId="073D392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2.0</w:t>
            </w:r>
          </w:p>
        </w:tc>
      </w:tr>
      <w:tr w:rsidR="00895D0B" w:rsidRPr="00895D0B" w14:paraId="5C2A35F9" w14:textId="77777777">
        <w:trPr>
          <w:cantSplit/>
        </w:trPr>
        <w:tc>
          <w:tcPr>
            <w:tcW w:w="4815" w:type="dxa"/>
            <w:shd w:val="clear" w:color="auto" w:fill="FFFFFF"/>
            <w:vAlign w:val="center"/>
          </w:tcPr>
          <w:p w14:paraId="21D4B91B"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Industrial</w:t>
            </w:r>
          </w:p>
        </w:tc>
        <w:tc>
          <w:tcPr>
            <w:tcW w:w="1843" w:type="dxa"/>
            <w:shd w:val="clear" w:color="auto" w:fill="FFFFFF"/>
            <w:vAlign w:val="center"/>
          </w:tcPr>
          <w:p w14:paraId="78CE05A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w:t>
            </w:r>
          </w:p>
        </w:tc>
        <w:tc>
          <w:tcPr>
            <w:tcW w:w="1842" w:type="dxa"/>
            <w:shd w:val="clear" w:color="auto" w:fill="FFFFFF"/>
            <w:vAlign w:val="center"/>
          </w:tcPr>
          <w:p w14:paraId="12BC4831"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w:t>
            </w:r>
          </w:p>
        </w:tc>
      </w:tr>
      <w:tr w:rsidR="00895D0B" w:rsidRPr="00895D0B" w14:paraId="7C6805F2" w14:textId="77777777">
        <w:trPr>
          <w:cantSplit/>
        </w:trPr>
        <w:tc>
          <w:tcPr>
            <w:tcW w:w="4815" w:type="dxa"/>
            <w:shd w:val="clear" w:color="auto" w:fill="FFFFFF"/>
            <w:vAlign w:val="center"/>
          </w:tcPr>
          <w:p w14:paraId="5A6577CF"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Home</w:t>
            </w:r>
          </w:p>
        </w:tc>
        <w:tc>
          <w:tcPr>
            <w:tcW w:w="1843" w:type="dxa"/>
            <w:shd w:val="clear" w:color="auto" w:fill="FFFFFF"/>
            <w:vAlign w:val="center"/>
          </w:tcPr>
          <w:p w14:paraId="01B21EB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102</w:t>
            </w:r>
          </w:p>
        </w:tc>
        <w:tc>
          <w:tcPr>
            <w:tcW w:w="1842" w:type="dxa"/>
            <w:shd w:val="clear" w:color="auto" w:fill="FFFFFF"/>
            <w:vAlign w:val="center"/>
          </w:tcPr>
          <w:p w14:paraId="294FFB4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53.4</w:t>
            </w:r>
          </w:p>
        </w:tc>
      </w:tr>
      <w:tr w:rsidR="00895D0B" w:rsidRPr="00895D0B" w14:paraId="3C62D4F0" w14:textId="77777777">
        <w:trPr>
          <w:cantSplit/>
        </w:trPr>
        <w:tc>
          <w:tcPr>
            <w:tcW w:w="4815" w:type="dxa"/>
            <w:shd w:val="clear" w:color="auto" w:fill="FFFFFF"/>
            <w:vAlign w:val="center"/>
          </w:tcPr>
          <w:p w14:paraId="3DB9115F"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Uncompleted buildings</w:t>
            </w:r>
          </w:p>
        </w:tc>
        <w:tc>
          <w:tcPr>
            <w:tcW w:w="1843" w:type="dxa"/>
            <w:shd w:val="clear" w:color="auto" w:fill="FFFFFF"/>
            <w:vAlign w:val="center"/>
          </w:tcPr>
          <w:p w14:paraId="7FDC381C"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w:t>
            </w:r>
          </w:p>
        </w:tc>
        <w:tc>
          <w:tcPr>
            <w:tcW w:w="1842" w:type="dxa"/>
            <w:shd w:val="clear" w:color="auto" w:fill="FFFFFF"/>
            <w:vAlign w:val="center"/>
          </w:tcPr>
          <w:p w14:paraId="3E6178C4" w14:textId="77777777" w:rsidR="001B4ED5" w:rsidRPr="00895D0B" w:rsidRDefault="006B41C0">
            <w:pPr>
              <w:autoSpaceDE w:val="0"/>
              <w:autoSpaceDN w:val="0"/>
              <w:adjustRightInd w:val="0"/>
              <w:spacing w:line="240" w:lineRule="auto"/>
              <w:ind w:right="60"/>
              <w:jc w:val="center"/>
              <w:rPr>
                <w:rFonts w:cs="Times New Roman"/>
                <w:color w:val="000000" w:themeColor="text1"/>
                <w:szCs w:val="24"/>
              </w:rPr>
            </w:pPr>
            <w:r w:rsidRPr="00895D0B">
              <w:rPr>
                <w:rFonts w:cs="Times New Roman"/>
                <w:color w:val="000000" w:themeColor="text1"/>
                <w:szCs w:val="24"/>
              </w:rPr>
              <w:t>2.0</w:t>
            </w:r>
          </w:p>
        </w:tc>
      </w:tr>
      <w:tr w:rsidR="00895D0B" w:rsidRPr="00895D0B" w14:paraId="36A824DE" w14:textId="77777777">
        <w:trPr>
          <w:cantSplit/>
        </w:trPr>
        <w:tc>
          <w:tcPr>
            <w:tcW w:w="4815" w:type="dxa"/>
            <w:shd w:val="clear" w:color="auto" w:fill="FFFFFF"/>
            <w:vAlign w:val="center"/>
          </w:tcPr>
          <w:p w14:paraId="368FDDF2"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Total </w:t>
            </w:r>
          </w:p>
        </w:tc>
        <w:tc>
          <w:tcPr>
            <w:tcW w:w="1843" w:type="dxa"/>
            <w:shd w:val="clear" w:color="auto" w:fill="FFFFFF"/>
            <w:vAlign w:val="center"/>
          </w:tcPr>
          <w:p w14:paraId="48424FD3"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191</w:t>
            </w:r>
          </w:p>
        </w:tc>
        <w:tc>
          <w:tcPr>
            <w:tcW w:w="1842" w:type="dxa"/>
            <w:shd w:val="clear" w:color="auto" w:fill="FFFFFF"/>
            <w:vAlign w:val="center"/>
          </w:tcPr>
          <w:p w14:paraId="32FD335C" w14:textId="77777777" w:rsidR="001B4ED5" w:rsidRPr="00895D0B" w:rsidRDefault="006B41C0">
            <w:pPr>
              <w:autoSpaceDE w:val="0"/>
              <w:autoSpaceDN w:val="0"/>
              <w:adjustRightInd w:val="0"/>
              <w:spacing w:line="240" w:lineRule="auto"/>
              <w:ind w:right="60"/>
              <w:jc w:val="center"/>
              <w:rPr>
                <w:rFonts w:cs="Times New Roman"/>
                <w:b/>
                <w:color w:val="000000" w:themeColor="text1"/>
                <w:szCs w:val="24"/>
              </w:rPr>
            </w:pPr>
            <w:r w:rsidRPr="00895D0B">
              <w:rPr>
                <w:rFonts w:cs="Times New Roman"/>
                <w:b/>
                <w:color w:val="000000" w:themeColor="text1"/>
                <w:szCs w:val="24"/>
              </w:rPr>
              <w:t>100.0</w:t>
            </w:r>
          </w:p>
        </w:tc>
      </w:tr>
      <w:tr w:rsidR="00895D0B" w:rsidRPr="00895D0B" w14:paraId="3A406A5A" w14:textId="77777777">
        <w:trPr>
          <w:cantSplit/>
        </w:trPr>
        <w:tc>
          <w:tcPr>
            <w:tcW w:w="8500" w:type="dxa"/>
            <w:gridSpan w:val="3"/>
            <w:shd w:val="clear" w:color="auto" w:fill="FFFFFF"/>
            <w:vAlign w:val="center"/>
          </w:tcPr>
          <w:p w14:paraId="6B9B2752"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b/>
                <w:color w:val="000000" w:themeColor="text1"/>
                <w:szCs w:val="24"/>
              </w:rPr>
              <w:t xml:space="preserve">Urban farmers' land ownership </w:t>
            </w:r>
          </w:p>
        </w:tc>
      </w:tr>
      <w:tr w:rsidR="00895D0B" w:rsidRPr="00895D0B" w14:paraId="62DADDDE" w14:textId="77777777">
        <w:trPr>
          <w:cantSplit/>
        </w:trPr>
        <w:tc>
          <w:tcPr>
            <w:tcW w:w="4815" w:type="dxa"/>
            <w:shd w:val="clear" w:color="auto" w:fill="FFFFFF"/>
            <w:vAlign w:val="center"/>
          </w:tcPr>
          <w:p w14:paraId="543CD862"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Family/relative</w:t>
            </w:r>
          </w:p>
        </w:tc>
        <w:tc>
          <w:tcPr>
            <w:tcW w:w="1843" w:type="dxa"/>
            <w:shd w:val="clear" w:color="auto" w:fill="FFFFFF"/>
            <w:vAlign w:val="center"/>
          </w:tcPr>
          <w:p w14:paraId="3D4611B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61</w:t>
            </w:r>
          </w:p>
        </w:tc>
        <w:tc>
          <w:tcPr>
            <w:tcW w:w="1842" w:type="dxa"/>
            <w:shd w:val="clear" w:color="auto" w:fill="FFFFFF"/>
            <w:vAlign w:val="center"/>
          </w:tcPr>
          <w:p w14:paraId="4421E1A9"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32.0</w:t>
            </w:r>
          </w:p>
        </w:tc>
      </w:tr>
      <w:tr w:rsidR="00895D0B" w:rsidRPr="00895D0B" w14:paraId="2920E96A" w14:textId="77777777">
        <w:trPr>
          <w:cantSplit/>
        </w:trPr>
        <w:tc>
          <w:tcPr>
            <w:tcW w:w="4815" w:type="dxa"/>
            <w:shd w:val="clear" w:color="auto" w:fill="FFFFFF"/>
            <w:vAlign w:val="center"/>
          </w:tcPr>
          <w:p w14:paraId="017E86D0"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Purchased</w:t>
            </w:r>
          </w:p>
        </w:tc>
        <w:tc>
          <w:tcPr>
            <w:tcW w:w="1843" w:type="dxa"/>
            <w:shd w:val="clear" w:color="auto" w:fill="FFFFFF"/>
            <w:vAlign w:val="center"/>
          </w:tcPr>
          <w:p w14:paraId="6E068205" w14:textId="77777777" w:rsidR="001B4ED5" w:rsidRPr="00895D0B" w:rsidRDefault="006B41C0">
            <w:pPr>
              <w:autoSpaceDE w:val="0"/>
              <w:autoSpaceDN w:val="0"/>
              <w:adjustRightInd w:val="0"/>
              <w:spacing w:line="240" w:lineRule="auto"/>
              <w:ind w:right="60"/>
              <w:jc w:val="center"/>
              <w:rPr>
                <w:rFonts w:cs="Times New Roman"/>
                <w:color w:val="000000" w:themeColor="text1"/>
                <w:szCs w:val="24"/>
              </w:rPr>
            </w:pPr>
            <w:r w:rsidRPr="00895D0B">
              <w:rPr>
                <w:rFonts w:cs="Times New Roman"/>
                <w:color w:val="000000" w:themeColor="text1"/>
                <w:szCs w:val="24"/>
              </w:rPr>
              <w:t>102</w:t>
            </w:r>
          </w:p>
        </w:tc>
        <w:tc>
          <w:tcPr>
            <w:tcW w:w="1842" w:type="dxa"/>
            <w:shd w:val="clear" w:color="auto" w:fill="FFFFFF"/>
            <w:vAlign w:val="center"/>
          </w:tcPr>
          <w:p w14:paraId="0AB6FD52"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53.4</w:t>
            </w:r>
          </w:p>
        </w:tc>
      </w:tr>
      <w:tr w:rsidR="00895D0B" w:rsidRPr="00895D0B" w14:paraId="51BBDD95" w14:textId="77777777">
        <w:trPr>
          <w:cantSplit/>
        </w:trPr>
        <w:tc>
          <w:tcPr>
            <w:tcW w:w="4815" w:type="dxa"/>
            <w:shd w:val="clear" w:color="auto" w:fill="FFFFFF"/>
            <w:vAlign w:val="center"/>
          </w:tcPr>
          <w:p w14:paraId="6EA74AF1"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Gift</w:t>
            </w:r>
          </w:p>
        </w:tc>
        <w:tc>
          <w:tcPr>
            <w:tcW w:w="1843" w:type="dxa"/>
            <w:shd w:val="clear" w:color="auto" w:fill="FFFFFF"/>
            <w:vAlign w:val="center"/>
          </w:tcPr>
          <w:p w14:paraId="22F2EBAD"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w:t>
            </w:r>
          </w:p>
        </w:tc>
        <w:tc>
          <w:tcPr>
            <w:tcW w:w="1842" w:type="dxa"/>
            <w:shd w:val="clear" w:color="auto" w:fill="FFFFFF"/>
            <w:vAlign w:val="center"/>
          </w:tcPr>
          <w:p w14:paraId="5C48038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5.2</w:t>
            </w:r>
          </w:p>
        </w:tc>
      </w:tr>
      <w:tr w:rsidR="00895D0B" w:rsidRPr="00895D0B" w14:paraId="1F4CEBAF" w14:textId="77777777">
        <w:trPr>
          <w:cantSplit/>
        </w:trPr>
        <w:tc>
          <w:tcPr>
            <w:tcW w:w="4815" w:type="dxa"/>
            <w:shd w:val="clear" w:color="auto" w:fill="FFFFFF"/>
            <w:vAlign w:val="center"/>
          </w:tcPr>
          <w:p w14:paraId="2F3075EC"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Rented</w:t>
            </w:r>
          </w:p>
        </w:tc>
        <w:tc>
          <w:tcPr>
            <w:tcW w:w="1843" w:type="dxa"/>
            <w:shd w:val="clear" w:color="auto" w:fill="FFFFFF"/>
            <w:vAlign w:val="center"/>
          </w:tcPr>
          <w:p w14:paraId="71289B9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16</w:t>
            </w:r>
          </w:p>
        </w:tc>
        <w:tc>
          <w:tcPr>
            <w:tcW w:w="1842" w:type="dxa"/>
            <w:shd w:val="clear" w:color="auto" w:fill="FFFFFF"/>
            <w:vAlign w:val="center"/>
          </w:tcPr>
          <w:p w14:paraId="3DE5432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8.3</w:t>
            </w:r>
          </w:p>
        </w:tc>
      </w:tr>
      <w:tr w:rsidR="00895D0B" w:rsidRPr="00895D0B" w14:paraId="4D65DA32" w14:textId="77777777">
        <w:trPr>
          <w:cantSplit/>
        </w:trPr>
        <w:tc>
          <w:tcPr>
            <w:tcW w:w="4815" w:type="dxa"/>
            <w:shd w:val="clear" w:color="auto" w:fill="FFFFFF"/>
            <w:vAlign w:val="center"/>
          </w:tcPr>
          <w:p w14:paraId="64FA4FDF"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Others</w:t>
            </w:r>
          </w:p>
        </w:tc>
        <w:tc>
          <w:tcPr>
            <w:tcW w:w="1843" w:type="dxa"/>
            <w:shd w:val="clear" w:color="auto" w:fill="FFFFFF"/>
            <w:vAlign w:val="center"/>
          </w:tcPr>
          <w:p w14:paraId="71D6F9CC"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w:t>
            </w:r>
          </w:p>
        </w:tc>
        <w:tc>
          <w:tcPr>
            <w:tcW w:w="1842" w:type="dxa"/>
            <w:shd w:val="clear" w:color="auto" w:fill="FFFFFF"/>
            <w:vAlign w:val="center"/>
          </w:tcPr>
          <w:p w14:paraId="5F39F481"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1.1</w:t>
            </w:r>
          </w:p>
        </w:tc>
      </w:tr>
      <w:tr w:rsidR="00895D0B" w:rsidRPr="00895D0B" w14:paraId="6F8FE08C" w14:textId="77777777">
        <w:trPr>
          <w:cantSplit/>
        </w:trPr>
        <w:tc>
          <w:tcPr>
            <w:tcW w:w="4815" w:type="dxa"/>
            <w:shd w:val="clear" w:color="auto" w:fill="FFFFFF"/>
            <w:vAlign w:val="center"/>
          </w:tcPr>
          <w:p w14:paraId="57708821"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Total </w:t>
            </w:r>
          </w:p>
        </w:tc>
        <w:tc>
          <w:tcPr>
            <w:tcW w:w="1843" w:type="dxa"/>
            <w:shd w:val="clear" w:color="auto" w:fill="FFFFFF"/>
            <w:vAlign w:val="center"/>
          </w:tcPr>
          <w:p w14:paraId="13233D45"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191</w:t>
            </w:r>
          </w:p>
        </w:tc>
        <w:tc>
          <w:tcPr>
            <w:tcW w:w="1842" w:type="dxa"/>
            <w:shd w:val="clear" w:color="auto" w:fill="FFFFFF"/>
            <w:vAlign w:val="center"/>
          </w:tcPr>
          <w:p w14:paraId="49F24D64"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100.0</w:t>
            </w:r>
          </w:p>
        </w:tc>
      </w:tr>
      <w:tr w:rsidR="00895D0B" w:rsidRPr="00895D0B" w14:paraId="7195EB6B" w14:textId="77777777">
        <w:trPr>
          <w:cantSplit/>
        </w:trPr>
        <w:tc>
          <w:tcPr>
            <w:tcW w:w="8500" w:type="dxa"/>
            <w:gridSpan w:val="3"/>
            <w:shd w:val="clear" w:color="auto" w:fill="FFFFFF"/>
            <w:vAlign w:val="center"/>
          </w:tcPr>
          <w:p w14:paraId="7DA65849"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Fencing </w:t>
            </w:r>
          </w:p>
        </w:tc>
      </w:tr>
      <w:tr w:rsidR="00895D0B" w:rsidRPr="00895D0B" w14:paraId="582AC042" w14:textId="77777777">
        <w:trPr>
          <w:cantSplit/>
        </w:trPr>
        <w:tc>
          <w:tcPr>
            <w:tcW w:w="4815" w:type="dxa"/>
            <w:shd w:val="clear" w:color="auto" w:fill="FFFFFF"/>
            <w:vAlign w:val="center"/>
          </w:tcPr>
          <w:p w14:paraId="1F754E4D"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Yes</w:t>
            </w:r>
          </w:p>
        </w:tc>
        <w:tc>
          <w:tcPr>
            <w:tcW w:w="1843" w:type="dxa"/>
            <w:shd w:val="clear" w:color="auto" w:fill="FFFFFF"/>
            <w:vAlign w:val="center"/>
          </w:tcPr>
          <w:p w14:paraId="72499F22"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184</w:t>
            </w:r>
          </w:p>
        </w:tc>
        <w:tc>
          <w:tcPr>
            <w:tcW w:w="1842" w:type="dxa"/>
            <w:shd w:val="clear" w:color="auto" w:fill="FFFFFF"/>
            <w:vAlign w:val="center"/>
          </w:tcPr>
          <w:p w14:paraId="0D6AE04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96.3</w:t>
            </w:r>
          </w:p>
        </w:tc>
      </w:tr>
      <w:tr w:rsidR="00895D0B" w:rsidRPr="00895D0B" w14:paraId="6978852E" w14:textId="77777777">
        <w:trPr>
          <w:cantSplit/>
        </w:trPr>
        <w:tc>
          <w:tcPr>
            <w:tcW w:w="4815" w:type="dxa"/>
            <w:shd w:val="clear" w:color="auto" w:fill="FFFFFF"/>
            <w:vAlign w:val="center"/>
          </w:tcPr>
          <w:p w14:paraId="7B1E9437"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No</w:t>
            </w:r>
          </w:p>
        </w:tc>
        <w:tc>
          <w:tcPr>
            <w:tcW w:w="1843" w:type="dxa"/>
            <w:shd w:val="clear" w:color="auto" w:fill="FFFFFF"/>
            <w:vAlign w:val="center"/>
          </w:tcPr>
          <w:p w14:paraId="5F2905ED"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w:t>
            </w:r>
          </w:p>
        </w:tc>
        <w:tc>
          <w:tcPr>
            <w:tcW w:w="1842" w:type="dxa"/>
            <w:shd w:val="clear" w:color="auto" w:fill="FFFFFF"/>
            <w:vAlign w:val="center"/>
          </w:tcPr>
          <w:p w14:paraId="43D5505B"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3.7</w:t>
            </w:r>
          </w:p>
        </w:tc>
      </w:tr>
      <w:tr w:rsidR="00895D0B" w:rsidRPr="00895D0B" w14:paraId="31793977" w14:textId="77777777">
        <w:trPr>
          <w:cantSplit/>
        </w:trPr>
        <w:tc>
          <w:tcPr>
            <w:tcW w:w="4815" w:type="dxa"/>
            <w:shd w:val="clear" w:color="auto" w:fill="FFFFFF"/>
            <w:vAlign w:val="center"/>
          </w:tcPr>
          <w:p w14:paraId="4F9A128C"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Total </w:t>
            </w:r>
          </w:p>
        </w:tc>
        <w:tc>
          <w:tcPr>
            <w:tcW w:w="1843" w:type="dxa"/>
            <w:shd w:val="clear" w:color="auto" w:fill="FFFFFF"/>
            <w:vAlign w:val="center"/>
          </w:tcPr>
          <w:p w14:paraId="64C660B8"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191</w:t>
            </w:r>
          </w:p>
        </w:tc>
        <w:tc>
          <w:tcPr>
            <w:tcW w:w="1842" w:type="dxa"/>
            <w:shd w:val="clear" w:color="auto" w:fill="FFFFFF"/>
            <w:vAlign w:val="center"/>
          </w:tcPr>
          <w:p w14:paraId="29796736"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100.0</w:t>
            </w:r>
          </w:p>
        </w:tc>
      </w:tr>
      <w:tr w:rsidR="00895D0B" w:rsidRPr="00895D0B" w14:paraId="61385ACC" w14:textId="77777777">
        <w:trPr>
          <w:cantSplit/>
        </w:trPr>
        <w:tc>
          <w:tcPr>
            <w:tcW w:w="8500" w:type="dxa"/>
            <w:gridSpan w:val="3"/>
            <w:shd w:val="clear" w:color="auto" w:fill="FFFFFF"/>
            <w:vAlign w:val="center"/>
          </w:tcPr>
          <w:p w14:paraId="129E6293"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b/>
                <w:color w:val="000000" w:themeColor="text1"/>
                <w:szCs w:val="24"/>
              </w:rPr>
              <w:t xml:space="preserve">Materials in fencing urban farms for crop production </w:t>
            </w:r>
          </w:p>
        </w:tc>
      </w:tr>
      <w:tr w:rsidR="00895D0B" w:rsidRPr="00895D0B" w14:paraId="59BA978A" w14:textId="77777777">
        <w:trPr>
          <w:cantSplit/>
        </w:trPr>
        <w:tc>
          <w:tcPr>
            <w:tcW w:w="4815" w:type="dxa"/>
            <w:shd w:val="clear" w:color="auto" w:fill="FFFFFF"/>
            <w:vAlign w:val="center"/>
          </w:tcPr>
          <w:p w14:paraId="4A002331"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Block/bricks</w:t>
            </w:r>
          </w:p>
        </w:tc>
        <w:tc>
          <w:tcPr>
            <w:tcW w:w="1843" w:type="dxa"/>
            <w:shd w:val="clear" w:color="auto" w:fill="FFFFFF"/>
            <w:vAlign w:val="center"/>
          </w:tcPr>
          <w:p w14:paraId="0252FBE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26</w:t>
            </w:r>
          </w:p>
        </w:tc>
        <w:tc>
          <w:tcPr>
            <w:tcW w:w="1842" w:type="dxa"/>
            <w:shd w:val="clear" w:color="auto" w:fill="FFFFFF"/>
            <w:vAlign w:val="center"/>
          </w:tcPr>
          <w:p w14:paraId="44966C0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14.0</w:t>
            </w:r>
          </w:p>
        </w:tc>
      </w:tr>
      <w:tr w:rsidR="00895D0B" w:rsidRPr="00895D0B" w14:paraId="547E1634" w14:textId="77777777">
        <w:trPr>
          <w:cantSplit/>
        </w:trPr>
        <w:tc>
          <w:tcPr>
            <w:tcW w:w="4815" w:type="dxa"/>
            <w:shd w:val="clear" w:color="auto" w:fill="FFFFFF"/>
            <w:vAlign w:val="center"/>
          </w:tcPr>
          <w:p w14:paraId="665481EA"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Wire mesh</w:t>
            </w:r>
          </w:p>
        </w:tc>
        <w:tc>
          <w:tcPr>
            <w:tcW w:w="1843" w:type="dxa"/>
            <w:shd w:val="clear" w:color="auto" w:fill="FFFFFF"/>
            <w:vAlign w:val="center"/>
          </w:tcPr>
          <w:p w14:paraId="5308E6B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77</w:t>
            </w:r>
          </w:p>
        </w:tc>
        <w:tc>
          <w:tcPr>
            <w:tcW w:w="1842" w:type="dxa"/>
            <w:shd w:val="clear" w:color="auto" w:fill="FFFFFF"/>
            <w:vAlign w:val="center"/>
          </w:tcPr>
          <w:p w14:paraId="1787EC39"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42.0</w:t>
            </w:r>
          </w:p>
        </w:tc>
      </w:tr>
      <w:tr w:rsidR="00895D0B" w:rsidRPr="00895D0B" w14:paraId="3F311C13" w14:textId="77777777">
        <w:trPr>
          <w:cantSplit/>
        </w:trPr>
        <w:tc>
          <w:tcPr>
            <w:tcW w:w="4815" w:type="dxa"/>
            <w:shd w:val="clear" w:color="auto" w:fill="FFFFFF"/>
            <w:vAlign w:val="center"/>
          </w:tcPr>
          <w:p w14:paraId="0426BE62"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Sticks</w:t>
            </w:r>
          </w:p>
        </w:tc>
        <w:tc>
          <w:tcPr>
            <w:tcW w:w="1843" w:type="dxa"/>
            <w:shd w:val="clear" w:color="auto" w:fill="FFFFFF"/>
            <w:vAlign w:val="center"/>
          </w:tcPr>
          <w:p w14:paraId="5D6261E2"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60</w:t>
            </w:r>
          </w:p>
        </w:tc>
        <w:tc>
          <w:tcPr>
            <w:tcW w:w="1842" w:type="dxa"/>
            <w:shd w:val="clear" w:color="auto" w:fill="FFFFFF"/>
            <w:vAlign w:val="center"/>
          </w:tcPr>
          <w:p w14:paraId="2252025B"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32.6</w:t>
            </w:r>
          </w:p>
        </w:tc>
      </w:tr>
      <w:tr w:rsidR="00895D0B" w:rsidRPr="00895D0B" w14:paraId="1F6B7C60" w14:textId="77777777">
        <w:trPr>
          <w:cantSplit/>
        </w:trPr>
        <w:tc>
          <w:tcPr>
            <w:tcW w:w="4815" w:type="dxa"/>
            <w:shd w:val="clear" w:color="auto" w:fill="FFFFFF"/>
            <w:vAlign w:val="center"/>
          </w:tcPr>
          <w:p w14:paraId="5A0ED586"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Guinea corn stocks</w:t>
            </w:r>
          </w:p>
        </w:tc>
        <w:tc>
          <w:tcPr>
            <w:tcW w:w="1843" w:type="dxa"/>
            <w:shd w:val="clear" w:color="auto" w:fill="FFFFFF"/>
            <w:vAlign w:val="center"/>
          </w:tcPr>
          <w:p w14:paraId="0622609B"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w:t>
            </w:r>
          </w:p>
        </w:tc>
        <w:tc>
          <w:tcPr>
            <w:tcW w:w="1842" w:type="dxa"/>
            <w:shd w:val="clear" w:color="auto" w:fill="FFFFFF"/>
            <w:vAlign w:val="center"/>
          </w:tcPr>
          <w:p w14:paraId="6FE0D58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5.4</w:t>
            </w:r>
          </w:p>
        </w:tc>
      </w:tr>
      <w:tr w:rsidR="00895D0B" w:rsidRPr="00895D0B" w14:paraId="13A94FA9" w14:textId="77777777">
        <w:trPr>
          <w:cantSplit/>
        </w:trPr>
        <w:tc>
          <w:tcPr>
            <w:tcW w:w="4815" w:type="dxa"/>
            <w:shd w:val="clear" w:color="auto" w:fill="FFFFFF"/>
            <w:vAlign w:val="center"/>
          </w:tcPr>
          <w:p w14:paraId="798F1F80"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Others</w:t>
            </w:r>
          </w:p>
        </w:tc>
        <w:tc>
          <w:tcPr>
            <w:tcW w:w="1843" w:type="dxa"/>
            <w:shd w:val="clear" w:color="auto" w:fill="FFFFFF"/>
            <w:vAlign w:val="center"/>
          </w:tcPr>
          <w:p w14:paraId="02B86D49"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11</w:t>
            </w:r>
          </w:p>
        </w:tc>
        <w:tc>
          <w:tcPr>
            <w:tcW w:w="1842" w:type="dxa"/>
            <w:shd w:val="clear" w:color="auto" w:fill="FFFFFF"/>
            <w:vAlign w:val="center"/>
          </w:tcPr>
          <w:p w14:paraId="78453FB1"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6.0</w:t>
            </w:r>
          </w:p>
        </w:tc>
      </w:tr>
      <w:tr w:rsidR="00895D0B" w:rsidRPr="00895D0B" w14:paraId="68C4983C" w14:textId="77777777">
        <w:trPr>
          <w:cantSplit/>
        </w:trPr>
        <w:tc>
          <w:tcPr>
            <w:tcW w:w="4815" w:type="dxa"/>
            <w:shd w:val="clear" w:color="auto" w:fill="FFFFFF"/>
            <w:vAlign w:val="center"/>
          </w:tcPr>
          <w:p w14:paraId="6161AF3B"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Total </w:t>
            </w:r>
          </w:p>
        </w:tc>
        <w:tc>
          <w:tcPr>
            <w:tcW w:w="1843" w:type="dxa"/>
            <w:shd w:val="clear" w:color="auto" w:fill="FFFFFF"/>
            <w:vAlign w:val="center"/>
          </w:tcPr>
          <w:p w14:paraId="7B8C440B"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184</w:t>
            </w:r>
          </w:p>
        </w:tc>
        <w:tc>
          <w:tcPr>
            <w:tcW w:w="1842" w:type="dxa"/>
            <w:shd w:val="clear" w:color="auto" w:fill="FFFFFF"/>
            <w:vAlign w:val="center"/>
          </w:tcPr>
          <w:p w14:paraId="4F1B637D"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100.0</w:t>
            </w:r>
          </w:p>
        </w:tc>
      </w:tr>
      <w:tr w:rsidR="00895D0B" w:rsidRPr="00895D0B" w14:paraId="037419A2" w14:textId="77777777">
        <w:trPr>
          <w:cantSplit/>
        </w:trPr>
        <w:tc>
          <w:tcPr>
            <w:tcW w:w="8500" w:type="dxa"/>
            <w:gridSpan w:val="3"/>
            <w:shd w:val="clear" w:color="auto" w:fill="FFFFFF"/>
            <w:vAlign w:val="center"/>
          </w:tcPr>
          <w:p w14:paraId="5911303A"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The housing of animals in urban farming </w:t>
            </w:r>
          </w:p>
        </w:tc>
      </w:tr>
      <w:tr w:rsidR="00895D0B" w:rsidRPr="00895D0B" w14:paraId="6330D335" w14:textId="77777777">
        <w:trPr>
          <w:cantSplit/>
        </w:trPr>
        <w:tc>
          <w:tcPr>
            <w:tcW w:w="4815" w:type="dxa"/>
            <w:shd w:val="clear" w:color="auto" w:fill="FFFFFF"/>
            <w:vAlign w:val="center"/>
          </w:tcPr>
          <w:p w14:paraId="1808194C"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Yes </w:t>
            </w:r>
          </w:p>
        </w:tc>
        <w:tc>
          <w:tcPr>
            <w:tcW w:w="1843" w:type="dxa"/>
            <w:shd w:val="clear" w:color="auto" w:fill="FFFFFF"/>
            <w:vAlign w:val="center"/>
          </w:tcPr>
          <w:p w14:paraId="09BF29F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181</w:t>
            </w:r>
          </w:p>
        </w:tc>
        <w:tc>
          <w:tcPr>
            <w:tcW w:w="1842" w:type="dxa"/>
            <w:shd w:val="clear" w:color="auto" w:fill="FFFFFF"/>
            <w:vAlign w:val="center"/>
          </w:tcPr>
          <w:p w14:paraId="05BA9D4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94.7</w:t>
            </w:r>
          </w:p>
        </w:tc>
      </w:tr>
      <w:tr w:rsidR="00895D0B" w:rsidRPr="00895D0B" w14:paraId="6C793211" w14:textId="77777777">
        <w:trPr>
          <w:cantSplit/>
        </w:trPr>
        <w:tc>
          <w:tcPr>
            <w:tcW w:w="4815" w:type="dxa"/>
            <w:shd w:val="clear" w:color="auto" w:fill="FFFFFF"/>
            <w:vAlign w:val="center"/>
          </w:tcPr>
          <w:p w14:paraId="6323825A"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No </w:t>
            </w:r>
          </w:p>
        </w:tc>
        <w:tc>
          <w:tcPr>
            <w:tcW w:w="1843" w:type="dxa"/>
            <w:shd w:val="clear" w:color="auto" w:fill="FFFFFF"/>
            <w:vAlign w:val="center"/>
          </w:tcPr>
          <w:p w14:paraId="644C985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w:t>
            </w:r>
          </w:p>
        </w:tc>
        <w:tc>
          <w:tcPr>
            <w:tcW w:w="1842" w:type="dxa"/>
            <w:shd w:val="clear" w:color="auto" w:fill="FFFFFF"/>
            <w:vAlign w:val="center"/>
          </w:tcPr>
          <w:p w14:paraId="697C9BFD"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5.3</w:t>
            </w:r>
          </w:p>
        </w:tc>
      </w:tr>
      <w:tr w:rsidR="00895D0B" w:rsidRPr="00895D0B" w14:paraId="70579130" w14:textId="77777777">
        <w:trPr>
          <w:cantSplit/>
        </w:trPr>
        <w:tc>
          <w:tcPr>
            <w:tcW w:w="4815" w:type="dxa"/>
            <w:shd w:val="clear" w:color="auto" w:fill="FFFFFF"/>
            <w:vAlign w:val="center"/>
          </w:tcPr>
          <w:p w14:paraId="0082AB5E"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Total </w:t>
            </w:r>
          </w:p>
        </w:tc>
        <w:tc>
          <w:tcPr>
            <w:tcW w:w="1843" w:type="dxa"/>
            <w:shd w:val="clear" w:color="auto" w:fill="FFFFFF"/>
            <w:vAlign w:val="center"/>
          </w:tcPr>
          <w:p w14:paraId="2FF4EBEC"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191</w:t>
            </w:r>
          </w:p>
        </w:tc>
        <w:tc>
          <w:tcPr>
            <w:tcW w:w="1842" w:type="dxa"/>
            <w:shd w:val="clear" w:color="auto" w:fill="FFFFFF"/>
            <w:vAlign w:val="center"/>
          </w:tcPr>
          <w:p w14:paraId="620B8E1B"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100.0</w:t>
            </w:r>
          </w:p>
        </w:tc>
      </w:tr>
      <w:tr w:rsidR="00895D0B" w:rsidRPr="00895D0B" w14:paraId="77BD8BB5" w14:textId="77777777">
        <w:trPr>
          <w:cantSplit/>
        </w:trPr>
        <w:tc>
          <w:tcPr>
            <w:tcW w:w="8500" w:type="dxa"/>
            <w:gridSpan w:val="3"/>
            <w:shd w:val="clear" w:color="auto" w:fill="FFFFFF"/>
            <w:vAlign w:val="center"/>
          </w:tcPr>
          <w:p w14:paraId="6A69CBD5"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Housing unit for animals </w:t>
            </w:r>
          </w:p>
        </w:tc>
      </w:tr>
      <w:tr w:rsidR="00895D0B" w:rsidRPr="00895D0B" w14:paraId="78A0BD18" w14:textId="77777777">
        <w:trPr>
          <w:cantSplit/>
        </w:trPr>
        <w:tc>
          <w:tcPr>
            <w:tcW w:w="4815" w:type="dxa"/>
            <w:shd w:val="clear" w:color="auto" w:fill="FFFFFF"/>
            <w:vAlign w:val="center"/>
          </w:tcPr>
          <w:p w14:paraId="3DA59D15"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Bricks/blocks</w:t>
            </w:r>
          </w:p>
        </w:tc>
        <w:tc>
          <w:tcPr>
            <w:tcW w:w="1843" w:type="dxa"/>
            <w:shd w:val="clear" w:color="auto" w:fill="FFFFFF"/>
            <w:vAlign w:val="center"/>
          </w:tcPr>
          <w:p w14:paraId="1588121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 xml:space="preserve"> 76</w:t>
            </w:r>
          </w:p>
        </w:tc>
        <w:tc>
          <w:tcPr>
            <w:tcW w:w="1842" w:type="dxa"/>
            <w:shd w:val="clear" w:color="auto" w:fill="FFFFFF"/>
            <w:vAlign w:val="center"/>
          </w:tcPr>
          <w:p w14:paraId="2029A4B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41.9</w:t>
            </w:r>
          </w:p>
        </w:tc>
      </w:tr>
      <w:tr w:rsidR="00895D0B" w:rsidRPr="00895D0B" w14:paraId="5DB56FBC" w14:textId="77777777">
        <w:trPr>
          <w:cantSplit/>
        </w:trPr>
        <w:tc>
          <w:tcPr>
            <w:tcW w:w="4815" w:type="dxa"/>
            <w:shd w:val="clear" w:color="auto" w:fill="FFFFFF"/>
            <w:vAlign w:val="center"/>
          </w:tcPr>
          <w:p w14:paraId="49833FE6"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Wooden structure</w:t>
            </w:r>
          </w:p>
        </w:tc>
        <w:tc>
          <w:tcPr>
            <w:tcW w:w="1843" w:type="dxa"/>
            <w:shd w:val="clear" w:color="auto" w:fill="FFFFFF"/>
            <w:vAlign w:val="center"/>
          </w:tcPr>
          <w:p w14:paraId="4B372FE6"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 xml:space="preserve"> 89</w:t>
            </w:r>
          </w:p>
        </w:tc>
        <w:tc>
          <w:tcPr>
            <w:tcW w:w="1842" w:type="dxa"/>
            <w:shd w:val="clear" w:color="auto" w:fill="FFFFFF"/>
            <w:vAlign w:val="center"/>
          </w:tcPr>
          <w:p w14:paraId="1F35602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49.1</w:t>
            </w:r>
          </w:p>
        </w:tc>
      </w:tr>
      <w:tr w:rsidR="00895D0B" w:rsidRPr="00895D0B" w14:paraId="3A652CD8" w14:textId="77777777">
        <w:trPr>
          <w:cantSplit/>
        </w:trPr>
        <w:tc>
          <w:tcPr>
            <w:tcW w:w="4815" w:type="dxa"/>
            <w:shd w:val="clear" w:color="auto" w:fill="FFFFFF"/>
            <w:vAlign w:val="center"/>
          </w:tcPr>
          <w:p w14:paraId="148C5D69"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Open space</w:t>
            </w:r>
          </w:p>
        </w:tc>
        <w:tc>
          <w:tcPr>
            <w:tcW w:w="1843" w:type="dxa"/>
            <w:shd w:val="clear" w:color="auto" w:fill="FFFFFF"/>
            <w:vAlign w:val="center"/>
          </w:tcPr>
          <w:p w14:paraId="67E83E0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 xml:space="preserve"> 16</w:t>
            </w:r>
          </w:p>
        </w:tc>
        <w:tc>
          <w:tcPr>
            <w:tcW w:w="1842" w:type="dxa"/>
            <w:shd w:val="clear" w:color="auto" w:fill="FFFFFF"/>
            <w:vAlign w:val="center"/>
          </w:tcPr>
          <w:p w14:paraId="539FF41F"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w:t>
            </w:r>
          </w:p>
        </w:tc>
      </w:tr>
      <w:tr w:rsidR="00895D0B" w:rsidRPr="00895D0B" w14:paraId="3BF2CAE5" w14:textId="77777777">
        <w:trPr>
          <w:cantSplit/>
        </w:trPr>
        <w:tc>
          <w:tcPr>
            <w:tcW w:w="4815" w:type="dxa"/>
            <w:tcBorders>
              <w:bottom w:val="single" w:sz="4" w:space="0" w:color="auto"/>
            </w:tcBorders>
            <w:shd w:val="clear" w:color="auto" w:fill="FFFFFF"/>
            <w:vAlign w:val="center"/>
          </w:tcPr>
          <w:p w14:paraId="56761D4E"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Total </w:t>
            </w:r>
          </w:p>
        </w:tc>
        <w:tc>
          <w:tcPr>
            <w:tcW w:w="1843" w:type="dxa"/>
            <w:tcBorders>
              <w:bottom w:val="single" w:sz="4" w:space="0" w:color="auto"/>
            </w:tcBorders>
            <w:shd w:val="clear" w:color="auto" w:fill="FFFFFF"/>
            <w:vAlign w:val="center"/>
          </w:tcPr>
          <w:p w14:paraId="0C4F1414"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181</w:t>
            </w:r>
          </w:p>
        </w:tc>
        <w:tc>
          <w:tcPr>
            <w:tcW w:w="1842" w:type="dxa"/>
            <w:tcBorders>
              <w:bottom w:val="single" w:sz="4" w:space="0" w:color="auto"/>
            </w:tcBorders>
            <w:shd w:val="clear" w:color="auto" w:fill="FFFFFF"/>
            <w:vAlign w:val="center"/>
          </w:tcPr>
          <w:p w14:paraId="50C1F578"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100.0</w:t>
            </w:r>
          </w:p>
        </w:tc>
      </w:tr>
    </w:tbl>
    <w:p w14:paraId="6C5E85E9"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5214BB0A" w14:textId="77777777" w:rsidR="002D7F3D" w:rsidRDefault="002D7F3D" w:rsidP="006C4360">
      <w:pPr>
        <w:spacing w:line="360" w:lineRule="auto"/>
        <w:rPr>
          <w:rFonts w:eastAsia="Times New Roman" w:cs="Times New Roman"/>
          <w:color w:val="000000" w:themeColor="text1"/>
          <w:szCs w:val="24"/>
          <w:lang w:eastAsia="en-GB"/>
        </w:rPr>
      </w:pPr>
    </w:p>
    <w:p w14:paraId="2B3C47B7" w14:textId="402121A6" w:rsidR="006C4360" w:rsidRDefault="006C4360" w:rsidP="006C4360">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On one hand, these areas are in such a way that they support all-year-round farming. In the dry season, crops such as vegetables are grown under the small-scale irrigation schemes of farmers' initiatives, where wells and dugouts are created to facilitate their work. On the other hand, they are used for the cultivation of early vegetables like okra, pumpkin leaves, tomatoes, and maize before the area is flooded in the major rainy season. Interestingly, the ownership regime of the urban farm plots leased where lands </w:t>
      </w:r>
      <w:r w:rsidRPr="00895D0B">
        <w:rPr>
          <w:rFonts w:eastAsia="Times New Roman" w:cs="Times New Roman"/>
          <w:color w:val="000000" w:themeColor="text1"/>
          <w:szCs w:val="24"/>
          <w:lang w:eastAsia="en-GB"/>
        </w:rPr>
        <w:lastRenderedPageBreak/>
        <w:t xml:space="preserve">are purchased represents about 53.4% of the responses </w:t>
      </w:r>
      <w:r w:rsidRPr="00895D0B">
        <w:rPr>
          <w:rFonts w:eastAsia="Times New Roman" w:cs="Times New Roman"/>
          <w:i/>
          <w:iCs/>
          <w:color w:val="000000" w:themeColor="text1"/>
          <w:szCs w:val="24"/>
          <w:lang w:eastAsia="en-GB"/>
        </w:rPr>
        <w:t>(see Table 4.2)</w:t>
      </w:r>
      <w:r w:rsidRPr="00895D0B">
        <w:rPr>
          <w:rFonts w:eastAsia="Times New Roman" w:cs="Times New Roman"/>
          <w:color w:val="000000" w:themeColor="text1"/>
          <w:szCs w:val="24"/>
          <w:lang w:eastAsia="en-GB"/>
        </w:rPr>
        <w:t>. The primary purpose of land acquisition within urban spaces across the world, and for that matter, Ghana, is to control the development and use of land in the public interest. This is seen in physical infrastructural development purposes. Therefore, the key objective of urban land use planning is to ensure that land is utilized efficiently and in a manner that benefits the broader community, and urban farming is among the numerous benefits. This was supported by field observation of production points where dug out wells are used in the dry season and wet season farming along streams and water bodies within the urban surroundings (</w:t>
      </w:r>
      <w:r w:rsidRPr="00895D0B">
        <w:rPr>
          <w:rFonts w:eastAsia="Times New Roman" w:cs="Times New Roman"/>
          <w:i/>
          <w:iCs/>
          <w:color w:val="000000" w:themeColor="text1"/>
          <w:szCs w:val="24"/>
          <w:lang w:eastAsia="en-GB"/>
        </w:rPr>
        <w:t>see Figure 4.5)</w:t>
      </w:r>
      <w:r w:rsidRPr="00895D0B">
        <w:rPr>
          <w:rFonts w:eastAsia="Times New Roman" w:cs="Times New Roman"/>
          <w:color w:val="000000" w:themeColor="text1"/>
          <w:szCs w:val="24"/>
          <w:lang w:eastAsia="en-GB"/>
        </w:rPr>
        <w:t>.</w:t>
      </w:r>
    </w:p>
    <w:p w14:paraId="73957F0D" w14:textId="77777777" w:rsidR="00895D0B" w:rsidRPr="00895D0B" w:rsidRDefault="00895D0B" w:rsidP="006C4360">
      <w:pPr>
        <w:spacing w:line="360" w:lineRule="auto"/>
        <w:rPr>
          <w:rFonts w:eastAsia="Times New Roman" w:cs="Times New Roman"/>
          <w:color w:val="000000" w:themeColor="text1"/>
          <w:szCs w:val="24"/>
          <w:lang w:eastAsia="en-GB"/>
        </w:rPr>
      </w:pPr>
    </w:p>
    <w:p w14:paraId="62E30D40" w14:textId="0830ED95" w:rsidR="002A680A" w:rsidRPr="00895D0B" w:rsidRDefault="002A680A" w:rsidP="006C4360">
      <w:pPr>
        <w:spacing w:line="360" w:lineRule="auto"/>
        <w:rPr>
          <w:rFonts w:eastAsia="Times New Roman" w:cs="Times New Roman"/>
          <w:color w:val="000000" w:themeColor="text1"/>
          <w:szCs w:val="24"/>
          <w:lang w:eastAsia="en-GB"/>
        </w:rPr>
      </w:pPr>
      <w:r w:rsidRPr="00895D0B">
        <w:rPr>
          <w:rFonts w:eastAsia="Times New Roman" w:cs="Times New Roman"/>
          <w:noProof/>
          <w:color w:val="000000" w:themeColor="text1"/>
          <w:szCs w:val="24"/>
          <w:lang w:eastAsia="en-GB"/>
        </w:rPr>
        <w:drawing>
          <wp:inline distT="0" distB="0" distL="0" distR="0" wp14:anchorId="581722A0" wp14:editId="162937CA">
            <wp:extent cx="5417820" cy="406336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G_20240108_174126_958@1539561049.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17820" cy="4063365"/>
                    </a:xfrm>
                    <a:prstGeom prst="rect">
                      <a:avLst/>
                    </a:prstGeom>
                  </pic:spPr>
                </pic:pic>
              </a:graphicData>
            </a:graphic>
          </wp:inline>
        </w:drawing>
      </w:r>
    </w:p>
    <w:p w14:paraId="367D595E" w14:textId="3EEF6759" w:rsidR="001B4ED5" w:rsidRPr="00895D0B" w:rsidRDefault="006B41C0" w:rsidP="00056D43">
      <w:pPr>
        <w:pStyle w:val="Heading5"/>
      </w:pPr>
      <w:bookmarkStart w:id="101" w:name="_Toc148890769"/>
      <w:bookmarkStart w:id="102" w:name="_Toc167368261"/>
      <w:r w:rsidRPr="00895D0B">
        <w:t>Figure 4.</w:t>
      </w:r>
      <w:r w:rsidR="0026193F" w:rsidRPr="00895D0B">
        <w:t>5</w:t>
      </w:r>
      <w:r w:rsidRPr="00895D0B">
        <w:t>: Dry Season Vegetables Farm along Stream</w:t>
      </w:r>
      <w:bookmarkEnd w:id="101"/>
      <w:r w:rsidR="00195FAE" w:rsidRPr="00895D0B">
        <w:t>, Wa Kpaguri Residential Area</w:t>
      </w:r>
      <w:bookmarkEnd w:id="102"/>
    </w:p>
    <w:p w14:paraId="01DA3392" w14:textId="77777777" w:rsidR="001B4ED5" w:rsidRDefault="006B41C0">
      <w:pPr>
        <w:autoSpaceDE w:val="0"/>
        <w:autoSpaceDN w:val="0"/>
        <w:adjustRightInd w:val="0"/>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Observation, 2022</w:t>
      </w:r>
    </w:p>
    <w:p w14:paraId="41ECB9BB" w14:textId="77777777" w:rsidR="00056D43" w:rsidRPr="00895D0B" w:rsidRDefault="00056D43">
      <w:pPr>
        <w:autoSpaceDE w:val="0"/>
        <w:autoSpaceDN w:val="0"/>
        <w:adjustRightInd w:val="0"/>
        <w:spacing w:line="360" w:lineRule="auto"/>
        <w:rPr>
          <w:rFonts w:cs="Times New Roman"/>
          <w:color w:val="000000" w:themeColor="text1"/>
          <w:szCs w:val="24"/>
        </w:rPr>
      </w:pPr>
    </w:p>
    <w:p w14:paraId="0E181B0D" w14:textId="16F6114A" w:rsidR="006C4360" w:rsidRDefault="006C4360" w:rsidP="006C4360">
      <w:pPr>
        <w:spacing w:line="360" w:lineRule="auto"/>
        <w:rPr>
          <w:rFonts w:eastAsia="Times New Roman" w:cs="Times New Roman"/>
          <w:i/>
          <w:iCs/>
          <w:color w:val="000000" w:themeColor="text1"/>
          <w:szCs w:val="24"/>
          <w:lang w:eastAsia="en-GB"/>
        </w:rPr>
      </w:pPr>
      <w:r w:rsidRPr="00895D0B">
        <w:rPr>
          <w:rFonts w:eastAsia="Times New Roman" w:cs="Times New Roman"/>
          <w:color w:val="000000" w:themeColor="text1"/>
          <w:szCs w:val="24"/>
          <w:lang w:eastAsia="en-GB"/>
        </w:rPr>
        <w:t xml:space="preserve">Of the total number of urban farmers, the majority of their farms are located in a fenced environment, representing about 94.7% of the total responses. This shows that fencing farms in urban places is a major activity for farmers and could perhaps be the first </w:t>
      </w:r>
      <w:r w:rsidRPr="00895D0B">
        <w:rPr>
          <w:rFonts w:eastAsia="Times New Roman" w:cs="Times New Roman"/>
          <w:color w:val="000000" w:themeColor="text1"/>
          <w:szCs w:val="24"/>
          <w:lang w:eastAsia="en-GB"/>
        </w:rPr>
        <w:lastRenderedPageBreak/>
        <w:t xml:space="preserve">practice when the interest is to take up an agriculture production activity. This is done to prevent animals from destroying the crops. During the observation, crop farmers fenced their plots with different materials such as wire mesh, sticks, old zinc, wooden boards, and blocks </w:t>
      </w:r>
      <w:r w:rsidRPr="00895D0B">
        <w:rPr>
          <w:rFonts w:eastAsia="Times New Roman" w:cs="Times New Roman"/>
          <w:i/>
          <w:iCs/>
          <w:color w:val="000000" w:themeColor="text1"/>
          <w:szCs w:val="24"/>
          <w:lang w:eastAsia="en-GB"/>
        </w:rPr>
        <w:t>(see Figure 4.6).</w:t>
      </w:r>
    </w:p>
    <w:p w14:paraId="7901FBC7" w14:textId="3FDE53B7" w:rsidR="00895D0B" w:rsidRPr="00895D0B" w:rsidRDefault="00895D0B" w:rsidP="006C4360">
      <w:pPr>
        <w:spacing w:line="360" w:lineRule="auto"/>
        <w:rPr>
          <w:rFonts w:eastAsia="Times New Roman" w:cs="Times New Roman"/>
          <w:color w:val="000000" w:themeColor="text1"/>
          <w:szCs w:val="24"/>
          <w:lang w:eastAsia="en-GB"/>
        </w:rPr>
      </w:pPr>
    </w:p>
    <w:p w14:paraId="1631B159"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drawing>
          <wp:inline distT="0" distB="0" distL="0" distR="0" wp14:anchorId="351D0439" wp14:editId="1B3A2FA7">
            <wp:extent cx="5353050" cy="35433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5353050" cy="3543300"/>
                    </a:xfrm>
                    <a:prstGeom prst="rect">
                      <a:avLst/>
                    </a:prstGeom>
                  </pic:spPr>
                </pic:pic>
              </a:graphicData>
            </a:graphic>
          </wp:inline>
        </w:drawing>
      </w:r>
    </w:p>
    <w:p w14:paraId="0B6D735C" w14:textId="015C843F" w:rsidR="001B4ED5" w:rsidRPr="00895D0B" w:rsidRDefault="006B41C0" w:rsidP="00056D43">
      <w:pPr>
        <w:pStyle w:val="Heading5"/>
      </w:pPr>
      <w:bookmarkStart w:id="103" w:name="_Toc148890770"/>
      <w:bookmarkStart w:id="104" w:name="_Toc167368262"/>
      <w:r w:rsidRPr="00895D0B">
        <w:t>Figure 4.</w:t>
      </w:r>
      <w:r w:rsidR="0026193F" w:rsidRPr="00895D0B">
        <w:t>6</w:t>
      </w:r>
      <w:r w:rsidRPr="00895D0B">
        <w:t>: An Urban Crop Farm Fenced with Different Types of Materials</w:t>
      </w:r>
      <w:bookmarkEnd w:id="103"/>
      <w:r w:rsidR="00ED2A9C" w:rsidRPr="00895D0B">
        <w:t xml:space="preserve"> at </w:t>
      </w:r>
      <w:r w:rsidR="001C5F93" w:rsidRPr="00895D0B">
        <w:t>Kpaguri Extension</w:t>
      </w:r>
      <w:bookmarkEnd w:id="104"/>
      <w:r w:rsidR="001C5F93" w:rsidRPr="00895D0B">
        <w:t xml:space="preserve"> </w:t>
      </w:r>
    </w:p>
    <w:p w14:paraId="00EF439A" w14:textId="77777777" w:rsidR="001B4ED5" w:rsidRPr="00895D0B"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Observation, 2022</w:t>
      </w:r>
    </w:p>
    <w:p w14:paraId="760120BE" w14:textId="77777777" w:rsidR="001B4ED5" w:rsidRPr="00895D0B" w:rsidRDefault="001B4ED5">
      <w:pPr>
        <w:spacing w:line="360" w:lineRule="auto"/>
        <w:rPr>
          <w:rFonts w:cs="Times New Roman"/>
          <w:color w:val="000000" w:themeColor="text1"/>
          <w:szCs w:val="24"/>
        </w:rPr>
      </w:pPr>
    </w:p>
    <w:p w14:paraId="75BF40D8" w14:textId="7D31AF8F" w:rsidR="00631684" w:rsidRDefault="00631684" w:rsidP="00631684">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However, the use of wire mesh predominated </w:t>
      </w:r>
      <w:r w:rsidRPr="00895D0B">
        <w:rPr>
          <w:rFonts w:eastAsia="Times New Roman" w:cs="Times New Roman"/>
          <w:i/>
          <w:iCs/>
          <w:color w:val="000000" w:themeColor="text1"/>
          <w:szCs w:val="24"/>
          <w:lang w:eastAsia="en-GB"/>
        </w:rPr>
        <w:t>(see Figure 4.7)</w:t>
      </w:r>
      <w:r w:rsidRPr="00895D0B">
        <w:rPr>
          <w:rFonts w:eastAsia="Times New Roman" w:cs="Times New Roman"/>
          <w:color w:val="000000" w:themeColor="text1"/>
          <w:szCs w:val="24"/>
          <w:lang w:eastAsia="en-GB"/>
        </w:rPr>
        <w:t>. The use of wire mesh is common due to its availability and accessibility on the market. Also, the wire mesh material is durable as it can be used many times without being damaged, giving full protection to the crops against animal destruction as compared to sticks. To buttress the above point, findings indicate that urban farmers use different materials in fencing their farms. For instance, 42.0% of respondents indicated using wire mesh in fencing urban farms. This is followed by the use of sticks, representing about 32.67% of the responses, though others use bricks, or just a few, about 14.0% of the responses. Fencing of crop farms is a strategy to ensure all-year cropping when water is available for irrigation and, in a way, a climate change adaptation strategy against unreliable rainfall.</w:t>
      </w:r>
    </w:p>
    <w:p w14:paraId="7628FB74" w14:textId="77777777" w:rsidR="00895D0B" w:rsidRPr="00895D0B" w:rsidRDefault="00895D0B" w:rsidP="00631684">
      <w:pPr>
        <w:spacing w:line="360" w:lineRule="auto"/>
        <w:rPr>
          <w:rFonts w:eastAsia="Times New Roman" w:cs="Times New Roman"/>
          <w:color w:val="000000" w:themeColor="text1"/>
          <w:szCs w:val="24"/>
          <w:lang w:eastAsia="en-GB"/>
        </w:rPr>
      </w:pPr>
    </w:p>
    <w:p w14:paraId="2017CA83"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drawing>
          <wp:inline distT="0" distB="0" distL="0" distR="0" wp14:anchorId="3972D06E" wp14:editId="2DA77E77">
            <wp:extent cx="5418455" cy="359092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422205" cy="3593410"/>
                    </a:xfrm>
                    <a:prstGeom prst="rect">
                      <a:avLst/>
                    </a:prstGeom>
                  </pic:spPr>
                </pic:pic>
              </a:graphicData>
            </a:graphic>
          </wp:inline>
        </w:drawing>
      </w:r>
    </w:p>
    <w:p w14:paraId="4BC0D842" w14:textId="0C756A8A" w:rsidR="001B4ED5" w:rsidRPr="00895D0B" w:rsidRDefault="006B41C0" w:rsidP="00056D43">
      <w:pPr>
        <w:pStyle w:val="Heading5"/>
      </w:pPr>
      <w:bookmarkStart w:id="105" w:name="_Toc148890771"/>
      <w:bookmarkStart w:id="106" w:name="_Toc167368263"/>
      <w:r w:rsidRPr="00895D0B">
        <w:t>Figure 4.</w:t>
      </w:r>
      <w:r w:rsidR="0026193F" w:rsidRPr="00895D0B">
        <w:t>7</w:t>
      </w:r>
      <w:r w:rsidRPr="00895D0B">
        <w:t>: An Urban Crop Farm Fenced with Wire Mesh</w:t>
      </w:r>
      <w:bookmarkEnd w:id="105"/>
      <w:r w:rsidR="002314F7" w:rsidRPr="00895D0B">
        <w:t xml:space="preserve"> at Kpaguri Extension</w:t>
      </w:r>
      <w:bookmarkEnd w:id="106"/>
      <w:r w:rsidR="002314F7" w:rsidRPr="00895D0B">
        <w:t xml:space="preserve"> </w:t>
      </w:r>
    </w:p>
    <w:p w14:paraId="40353F8E" w14:textId="77777777" w:rsidR="001B4ED5" w:rsidRPr="00895D0B"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Observation, 2022</w:t>
      </w:r>
    </w:p>
    <w:p w14:paraId="55D413C9" w14:textId="77777777" w:rsidR="001B4ED5" w:rsidRPr="00895D0B" w:rsidRDefault="001B4ED5">
      <w:pPr>
        <w:spacing w:line="360" w:lineRule="auto"/>
        <w:rPr>
          <w:rFonts w:cs="Times New Roman"/>
          <w:color w:val="000000" w:themeColor="text1"/>
          <w:szCs w:val="24"/>
        </w:rPr>
      </w:pPr>
    </w:p>
    <w:p w14:paraId="0D987246" w14:textId="77777777" w:rsidR="0049774F" w:rsidRPr="00895D0B" w:rsidRDefault="003723B8" w:rsidP="0049774F">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Concerning animal production in the current climatic conditions, farmers keep their animals intensively fenced. Fencing a farm serves some important purposes. For instance, it prevents stock from straying away from the farm and helps to manage stock breeding. This ensures that the animals remain within the desired location, allowing for better control and management of the herd. Additionally, farm fencing helps to protect and divide the property, improving its appearance and providing a clear boundary. Concerning housing of the farm animals, the findings show that urban farmers', under the current climate change, house animals in a confined place within the urban space. The majority of urban farmers, representing about 94.7%, revealed that they house their animals in different types of structures. These animals are housed in wooden structures, representing about 49.1%, while brick or block structures represent about 41.9% of the responses. Just 9.0% of urban farmers practice open space or free-range housing of animals within urban settings.</w:t>
      </w:r>
    </w:p>
    <w:p w14:paraId="7B084AB0" w14:textId="2D00AA77" w:rsidR="003723B8" w:rsidRPr="00895D0B" w:rsidRDefault="003723B8" w:rsidP="0049774F">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w:t>
      </w:r>
    </w:p>
    <w:p w14:paraId="7D71FA32" w14:textId="77777777" w:rsidR="003723B8" w:rsidRPr="00895D0B" w:rsidRDefault="003723B8" w:rsidP="003723B8">
      <w:pPr>
        <w:spacing w:line="360" w:lineRule="auto"/>
        <w:rPr>
          <w:rFonts w:eastAsia="Times New Roman" w:cs="Times New Roman"/>
          <w:color w:val="000000" w:themeColor="text1"/>
          <w:szCs w:val="24"/>
          <w:lang w:eastAsia="en-GB"/>
        </w:rPr>
      </w:pPr>
      <w:bookmarkStart w:id="107" w:name="_Toc148890634"/>
      <w:r w:rsidRPr="00895D0B">
        <w:rPr>
          <w:rFonts w:eastAsia="Times New Roman" w:cs="Times New Roman"/>
          <w:color w:val="000000" w:themeColor="text1"/>
          <w:szCs w:val="24"/>
          <w:lang w:eastAsia="en-GB"/>
        </w:rPr>
        <w:lastRenderedPageBreak/>
        <w:t>From the interviews, institutional-level data portrayed that there are laws regarding spatial planning and zoning. For instance, the Land Use and Spatial Planning Act, 2016 (Act 925) was enacted to replace the Town and Country Planning Act, 1960 (Act 64) to work under the Land Use and Spatial Planning Authority (LUSPA). The results further revealed that, the aim of the Land Use and Spatial Planning Act, 2016 (Act 925) is to promote the sustainable development of lands and the expansion of human settlements through decentralization of the planning system. It was also discovered that there is the Land Act 2020 (ACT 1036), which spells out two categories of land ownership in Ghana: public and private. While the public lands are owned by the government, the private lands are owned by individuals or groups. It was ascertained that the application of the zoning laws is decentralized to the Metropolitan, Municipal, and District Assemblies (MMDAs) to implement. It was clear that the zoning is done based on residential, commercial, industrial, institutional, and special development purposes, even though these are subjected to modifications over time. The result added that, to strengthen the implementation of these zoning, purposes, the policy has been backed by legislation. As such, under the Local Government Act 2016 (Act, 936), any physical development has to undergo a mandatory assessment leading to the issuance of building permits. Within the local government, the planning unit of every MMDA is responsible for issuing the building permit. The permit is granted if such physical development is in line with the zoning that has been done.</w:t>
      </w:r>
    </w:p>
    <w:p w14:paraId="18983A31" w14:textId="77777777" w:rsidR="003723B8" w:rsidRPr="00895D0B" w:rsidRDefault="003723B8" w:rsidP="005573B9">
      <w:pPr>
        <w:pStyle w:val="NoSpacing"/>
        <w:rPr>
          <w:lang w:eastAsia="en-GB"/>
        </w:rPr>
      </w:pPr>
      <w:r w:rsidRPr="00895D0B">
        <w:rPr>
          <w:lang w:eastAsia="en-GB"/>
        </w:rPr>
        <w:t> </w:t>
      </w:r>
    </w:p>
    <w:p w14:paraId="22FD1E2E" w14:textId="77777777" w:rsidR="003723B8" w:rsidRDefault="003723B8" w:rsidP="003723B8">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The study further analysed the relationship between urban farm type and land acquisition by residential class (high, medium, and low) within the urban neighbourhood. The results portrayed that crop cultivation is done across both residential classes, with differences in the number of farmers per class.  Crop production is common in the medium residential class, which represents about 31.9% of the total urban farming households. This is followed closely by the high class residential class, with about 29.3% of the urban household farming population, and that of the low-class, with about 12.6% (</w:t>
      </w:r>
      <w:r w:rsidRPr="00895D0B">
        <w:rPr>
          <w:rFonts w:eastAsia="Times New Roman" w:cs="Times New Roman"/>
          <w:i/>
          <w:iCs/>
          <w:color w:val="000000" w:themeColor="text1"/>
          <w:szCs w:val="24"/>
          <w:lang w:eastAsia="en-GB"/>
        </w:rPr>
        <w:t>see Table 4.3</w:t>
      </w:r>
      <w:r w:rsidRPr="00895D0B">
        <w:rPr>
          <w:rFonts w:eastAsia="Times New Roman" w:cs="Times New Roman"/>
          <w:color w:val="000000" w:themeColor="text1"/>
          <w:szCs w:val="24"/>
          <w:lang w:eastAsia="en-GB"/>
        </w:rPr>
        <w:t>). These results are not statistically significant at alpha 0.05 (p-value = 0.348 &gt; 0.05). Therefore, the results showed a weak relationship between the type of urban farming and the residential class within cities (Cramer’s V = 0.108 &gt; 0.05).</w:t>
      </w:r>
    </w:p>
    <w:p w14:paraId="4CB4BDF5" w14:textId="77777777" w:rsidR="00056D43" w:rsidRPr="00895D0B" w:rsidRDefault="00056D43" w:rsidP="003723B8">
      <w:pPr>
        <w:spacing w:line="360" w:lineRule="auto"/>
        <w:rPr>
          <w:rFonts w:eastAsia="Times New Roman" w:cs="Times New Roman"/>
          <w:color w:val="000000" w:themeColor="text1"/>
          <w:szCs w:val="24"/>
          <w:lang w:eastAsia="en-GB"/>
        </w:rPr>
      </w:pPr>
    </w:p>
    <w:p w14:paraId="77A55071" w14:textId="6475E6B2" w:rsidR="001B4ED5" w:rsidRPr="00895D0B" w:rsidRDefault="006B41C0" w:rsidP="00056D43">
      <w:pPr>
        <w:pStyle w:val="Heading6"/>
      </w:pPr>
      <w:bookmarkStart w:id="108" w:name="_Toc167368591"/>
      <w:r w:rsidRPr="00895D0B">
        <w:lastRenderedPageBreak/>
        <w:t>Table 4.</w:t>
      </w:r>
      <w:r w:rsidR="00895D0B" w:rsidRPr="00895D0B">
        <w:fldChar w:fldCharType="begin"/>
      </w:r>
      <w:r w:rsidR="00895D0B" w:rsidRPr="00895D0B">
        <w:instrText xml:space="preserve"> SEQ Table_4. \* ARABIC </w:instrText>
      </w:r>
      <w:r w:rsidR="00895D0B" w:rsidRPr="00895D0B">
        <w:fldChar w:fldCharType="separate"/>
      </w:r>
      <w:r w:rsidR="0026489B">
        <w:rPr>
          <w:noProof/>
        </w:rPr>
        <w:t>3</w:t>
      </w:r>
      <w:r w:rsidR="00895D0B" w:rsidRPr="00895D0B">
        <w:fldChar w:fldCharType="end"/>
      </w:r>
      <w:r w:rsidRPr="00895D0B">
        <w:t xml:space="preserve">: </w:t>
      </w:r>
      <w:r w:rsidR="00FB2A74" w:rsidRPr="00895D0B">
        <w:t>R</w:t>
      </w:r>
      <w:r w:rsidR="00674A1A" w:rsidRPr="00895D0B">
        <w:t>elationship between</w:t>
      </w:r>
      <w:r w:rsidRPr="00895D0B">
        <w:t xml:space="preserve"> Urban Farming Type and Land Acquisition by Residential Class</w:t>
      </w:r>
      <w:bookmarkEnd w:id="107"/>
      <w:bookmarkEnd w:id="108"/>
    </w:p>
    <w:tbl>
      <w:tblPr>
        <w:tblW w:w="9072" w:type="dxa"/>
        <w:tblLayout w:type="fixed"/>
        <w:tblCellMar>
          <w:left w:w="0" w:type="dxa"/>
          <w:right w:w="0" w:type="dxa"/>
        </w:tblCellMar>
        <w:tblLook w:val="04A0" w:firstRow="1" w:lastRow="0" w:firstColumn="1" w:lastColumn="0" w:noHBand="0" w:noVBand="1"/>
      </w:tblPr>
      <w:tblGrid>
        <w:gridCol w:w="1276"/>
        <w:gridCol w:w="1413"/>
        <w:gridCol w:w="1417"/>
        <w:gridCol w:w="1139"/>
        <w:gridCol w:w="1134"/>
        <w:gridCol w:w="1134"/>
        <w:gridCol w:w="1559"/>
      </w:tblGrid>
      <w:tr w:rsidR="00895D0B" w:rsidRPr="00895D0B" w14:paraId="140C697A" w14:textId="77777777" w:rsidTr="00895D0B">
        <w:trPr>
          <w:cantSplit/>
          <w:trHeight w:val="334"/>
        </w:trPr>
        <w:tc>
          <w:tcPr>
            <w:tcW w:w="1276" w:type="dxa"/>
            <w:vMerge w:val="restart"/>
            <w:tcBorders>
              <w:top w:val="single" w:sz="4" w:space="0" w:color="auto"/>
              <w:bottom w:val="single" w:sz="4" w:space="0" w:color="auto"/>
            </w:tcBorders>
            <w:shd w:val="clear" w:color="auto" w:fill="FFFFFF"/>
          </w:tcPr>
          <w:p w14:paraId="1C0BF6CA"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 xml:space="preserve">Residential </w:t>
            </w:r>
          </w:p>
          <w:p w14:paraId="1207610D"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Class</w:t>
            </w:r>
          </w:p>
        </w:tc>
        <w:tc>
          <w:tcPr>
            <w:tcW w:w="6237" w:type="dxa"/>
            <w:gridSpan w:val="5"/>
            <w:tcBorders>
              <w:top w:val="single" w:sz="4" w:space="0" w:color="auto"/>
              <w:bottom w:val="single" w:sz="4" w:space="0" w:color="auto"/>
            </w:tcBorders>
            <w:shd w:val="clear" w:color="auto" w:fill="FFFFFF"/>
          </w:tcPr>
          <w:p w14:paraId="4022F601"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Type of urban farming</w:t>
            </w:r>
          </w:p>
        </w:tc>
        <w:tc>
          <w:tcPr>
            <w:tcW w:w="1559" w:type="dxa"/>
            <w:vMerge w:val="restart"/>
            <w:tcBorders>
              <w:top w:val="single" w:sz="4" w:space="0" w:color="auto"/>
              <w:bottom w:val="single" w:sz="4" w:space="0" w:color="auto"/>
            </w:tcBorders>
            <w:shd w:val="clear" w:color="auto" w:fill="FFFFFF"/>
          </w:tcPr>
          <w:p w14:paraId="18446CBE"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Total</w:t>
            </w:r>
          </w:p>
        </w:tc>
      </w:tr>
      <w:tr w:rsidR="00895D0B" w:rsidRPr="00895D0B" w14:paraId="407EFEC1" w14:textId="77777777" w:rsidTr="00895D0B">
        <w:trPr>
          <w:cantSplit/>
          <w:trHeight w:val="334"/>
        </w:trPr>
        <w:tc>
          <w:tcPr>
            <w:tcW w:w="1276" w:type="dxa"/>
            <w:vMerge/>
            <w:tcBorders>
              <w:top w:val="single" w:sz="4" w:space="0" w:color="auto"/>
              <w:bottom w:val="single" w:sz="4" w:space="0" w:color="auto"/>
            </w:tcBorders>
            <w:shd w:val="clear" w:color="auto" w:fill="FFFFFF"/>
          </w:tcPr>
          <w:p w14:paraId="3B37267E" w14:textId="77777777" w:rsidR="001B4ED5" w:rsidRPr="00895D0B" w:rsidRDefault="001B4ED5" w:rsidP="00895D0B">
            <w:pPr>
              <w:autoSpaceDE w:val="0"/>
              <w:autoSpaceDN w:val="0"/>
              <w:adjustRightInd w:val="0"/>
              <w:spacing w:line="240" w:lineRule="auto"/>
              <w:rPr>
                <w:rFonts w:cs="Times New Roman"/>
                <w:color w:val="000000" w:themeColor="text1"/>
                <w:szCs w:val="24"/>
              </w:rPr>
            </w:pPr>
          </w:p>
        </w:tc>
        <w:tc>
          <w:tcPr>
            <w:tcW w:w="1413" w:type="dxa"/>
            <w:tcBorders>
              <w:top w:val="single" w:sz="4" w:space="0" w:color="auto"/>
              <w:bottom w:val="single" w:sz="4" w:space="0" w:color="auto"/>
            </w:tcBorders>
            <w:shd w:val="clear" w:color="auto" w:fill="FFFFFF"/>
          </w:tcPr>
          <w:p w14:paraId="4DCC79F4" w14:textId="77777777" w:rsidR="001B4ED5" w:rsidRPr="00895D0B" w:rsidRDefault="006B41C0" w:rsidP="00895D0B">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i/>
                <w:color w:val="000000" w:themeColor="text1"/>
                <w:szCs w:val="24"/>
              </w:rPr>
              <w:t>Crop</w:t>
            </w:r>
          </w:p>
        </w:tc>
        <w:tc>
          <w:tcPr>
            <w:tcW w:w="1417" w:type="dxa"/>
            <w:tcBorders>
              <w:top w:val="single" w:sz="4" w:space="0" w:color="auto"/>
              <w:bottom w:val="single" w:sz="4" w:space="0" w:color="auto"/>
            </w:tcBorders>
            <w:shd w:val="clear" w:color="auto" w:fill="FFFFFF"/>
          </w:tcPr>
          <w:p w14:paraId="386F58BD" w14:textId="77777777" w:rsidR="001B4ED5" w:rsidRPr="00895D0B" w:rsidRDefault="006B41C0" w:rsidP="00895D0B">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i/>
                <w:color w:val="000000" w:themeColor="text1"/>
                <w:szCs w:val="24"/>
              </w:rPr>
              <w:t>Animal</w:t>
            </w:r>
          </w:p>
        </w:tc>
        <w:tc>
          <w:tcPr>
            <w:tcW w:w="3407" w:type="dxa"/>
            <w:gridSpan w:val="3"/>
            <w:tcBorders>
              <w:top w:val="single" w:sz="4" w:space="0" w:color="auto"/>
              <w:bottom w:val="single" w:sz="4" w:space="0" w:color="auto"/>
            </w:tcBorders>
            <w:shd w:val="clear" w:color="auto" w:fill="FFFFFF"/>
          </w:tcPr>
          <w:p w14:paraId="22AC0EFF" w14:textId="77777777" w:rsidR="001B4ED5" w:rsidRPr="00895D0B" w:rsidRDefault="006B41C0" w:rsidP="00895D0B">
            <w:pPr>
              <w:autoSpaceDE w:val="0"/>
              <w:autoSpaceDN w:val="0"/>
              <w:adjustRightInd w:val="0"/>
              <w:spacing w:line="240" w:lineRule="auto"/>
              <w:jc w:val="center"/>
              <w:rPr>
                <w:rFonts w:cs="Times New Roman"/>
                <w:i/>
                <w:color w:val="000000" w:themeColor="text1"/>
                <w:szCs w:val="24"/>
              </w:rPr>
            </w:pPr>
            <w:r w:rsidRPr="00895D0B">
              <w:rPr>
                <w:rFonts w:cs="Times New Roman"/>
                <w:i/>
                <w:color w:val="000000" w:themeColor="text1"/>
                <w:szCs w:val="24"/>
              </w:rPr>
              <w:t>Both crop and animal</w:t>
            </w:r>
          </w:p>
        </w:tc>
        <w:tc>
          <w:tcPr>
            <w:tcW w:w="1559" w:type="dxa"/>
            <w:vMerge/>
            <w:tcBorders>
              <w:top w:val="single" w:sz="4" w:space="0" w:color="auto"/>
              <w:bottom w:val="single" w:sz="4" w:space="0" w:color="auto"/>
            </w:tcBorders>
            <w:shd w:val="clear" w:color="auto" w:fill="FFFFFF"/>
          </w:tcPr>
          <w:p w14:paraId="3DC8194A" w14:textId="77777777" w:rsidR="001B4ED5" w:rsidRPr="00895D0B" w:rsidRDefault="001B4ED5" w:rsidP="00895D0B">
            <w:pPr>
              <w:autoSpaceDE w:val="0"/>
              <w:autoSpaceDN w:val="0"/>
              <w:adjustRightInd w:val="0"/>
              <w:spacing w:line="240" w:lineRule="auto"/>
              <w:jc w:val="center"/>
              <w:rPr>
                <w:rFonts w:cs="Times New Roman"/>
                <w:color w:val="000000" w:themeColor="text1"/>
                <w:szCs w:val="24"/>
              </w:rPr>
            </w:pPr>
          </w:p>
        </w:tc>
      </w:tr>
      <w:tr w:rsidR="00895D0B" w:rsidRPr="00895D0B" w14:paraId="5B7418F2" w14:textId="77777777" w:rsidTr="00895D0B">
        <w:trPr>
          <w:cantSplit/>
          <w:trHeight w:val="334"/>
        </w:trPr>
        <w:tc>
          <w:tcPr>
            <w:tcW w:w="1276" w:type="dxa"/>
            <w:tcBorders>
              <w:top w:val="single" w:sz="4" w:space="0" w:color="auto"/>
            </w:tcBorders>
            <w:shd w:val="clear" w:color="auto" w:fill="FFFFFF"/>
            <w:vAlign w:val="center"/>
          </w:tcPr>
          <w:p w14:paraId="630007E8" w14:textId="77777777" w:rsidR="001B4ED5" w:rsidRPr="00895D0B" w:rsidRDefault="006B41C0" w:rsidP="00895D0B">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High class </w:t>
            </w:r>
          </w:p>
        </w:tc>
        <w:tc>
          <w:tcPr>
            <w:tcW w:w="1413" w:type="dxa"/>
            <w:tcBorders>
              <w:top w:val="single" w:sz="4" w:space="0" w:color="auto"/>
            </w:tcBorders>
            <w:shd w:val="clear" w:color="auto" w:fill="FFFFFF"/>
            <w:vAlign w:val="center"/>
          </w:tcPr>
          <w:p w14:paraId="133C284D"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56(29.3%)</w:t>
            </w:r>
          </w:p>
        </w:tc>
        <w:tc>
          <w:tcPr>
            <w:tcW w:w="1417" w:type="dxa"/>
            <w:tcBorders>
              <w:top w:val="single" w:sz="4" w:space="0" w:color="auto"/>
            </w:tcBorders>
            <w:shd w:val="clear" w:color="auto" w:fill="FFFFFF"/>
            <w:vAlign w:val="center"/>
          </w:tcPr>
          <w:p w14:paraId="05E2BD5C"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13(6.8%)</w:t>
            </w:r>
          </w:p>
        </w:tc>
        <w:tc>
          <w:tcPr>
            <w:tcW w:w="3407" w:type="dxa"/>
            <w:gridSpan w:val="3"/>
            <w:tcBorders>
              <w:top w:val="single" w:sz="4" w:space="0" w:color="auto"/>
            </w:tcBorders>
            <w:shd w:val="clear" w:color="auto" w:fill="FFFFFF"/>
            <w:vAlign w:val="center"/>
          </w:tcPr>
          <w:p w14:paraId="66872C6A"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12(6.3%)</w:t>
            </w:r>
          </w:p>
        </w:tc>
        <w:tc>
          <w:tcPr>
            <w:tcW w:w="1559" w:type="dxa"/>
            <w:tcBorders>
              <w:top w:val="single" w:sz="4" w:space="0" w:color="auto"/>
            </w:tcBorders>
            <w:shd w:val="clear" w:color="auto" w:fill="FFFFFF"/>
            <w:vAlign w:val="center"/>
          </w:tcPr>
          <w:p w14:paraId="6ABFCEF9"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81(42.4%)</w:t>
            </w:r>
          </w:p>
        </w:tc>
      </w:tr>
      <w:tr w:rsidR="00895D0B" w:rsidRPr="00895D0B" w14:paraId="3F8BC27C" w14:textId="77777777" w:rsidTr="00895D0B">
        <w:trPr>
          <w:cantSplit/>
          <w:trHeight w:val="334"/>
        </w:trPr>
        <w:tc>
          <w:tcPr>
            <w:tcW w:w="1276" w:type="dxa"/>
            <w:shd w:val="clear" w:color="auto" w:fill="FFFFFF"/>
            <w:vAlign w:val="center"/>
          </w:tcPr>
          <w:p w14:paraId="0FEDEABC" w14:textId="77777777" w:rsidR="001B4ED5" w:rsidRPr="00895D0B" w:rsidRDefault="006B41C0" w:rsidP="00895D0B">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Medium class</w:t>
            </w:r>
          </w:p>
        </w:tc>
        <w:tc>
          <w:tcPr>
            <w:tcW w:w="1413" w:type="dxa"/>
            <w:shd w:val="clear" w:color="auto" w:fill="FFFFFF"/>
            <w:vAlign w:val="center"/>
          </w:tcPr>
          <w:p w14:paraId="3552FA93"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61(31.9%)</w:t>
            </w:r>
          </w:p>
        </w:tc>
        <w:tc>
          <w:tcPr>
            <w:tcW w:w="1417" w:type="dxa"/>
            <w:shd w:val="clear" w:color="auto" w:fill="FFFFFF"/>
            <w:vAlign w:val="center"/>
          </w:tcPr>
          <w:p w14:paraId="4B63AFCB"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7(3.7%)</w:t>
            </w:r>
          </w:p>
        </w:tc>
        <w:tc>
          <w:tcPr>
            <w:tcW w:w="3407" w:type="dxa"/>
            <w:gridSpan w:val="3"/>
            <w:shd w:val="clear" w:color="auto" w:fill="FFFFFF"/>
            <w:vAlign w:val="center"/>
          </w:tcPr>
          <w:p w14:paraId="4A5BE925"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13(6.8%)</w:t>
            </w:r>
          </w:p>
        </w:tc>
        <w:tc>
          <w:tcPr>
            <w:tcW w:w="1559" w:type="dxa"/>
            <w:shd w:val="clear" w:color="auto" w:fill="FFFFFF"/>
            <w:vAlign w:val="center"/>
          </w:tcPr>
          <w:p w14:paraId="430C0795"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81(42.4%)</w:t>
            </w:r>
          </w:p>
        </w:tc>
      </w:tr>
      <w:tr w:rsidR="00895D0B" w:rsidRPr="00895D0B" w14:paraId="1D2E35D8" w14:textId="77777777" w:rsidTr="00895D0B">
        <w:trPr>
          <w:cantSplit/>
          <w:trHeight w:val="334"/>
        </w:trPr>
        <w:tc>
          <w:tcPr>
            <w:tcW w:w="1276" w:type="dxa"/>
            <w:shd w:val="clear" w:color="auto" w:fill="FFFFFF"/>
            <w:vAlign w:val="center"/>
          </w:tcPr>
          <w:p w14:paraId="6FB0E357" w14:textId="77777777" w:rsidR="001B4ED5" w:rsidRPr="00895D0B" w:rsidRDefault="006B41C0" w:rsidP="00895D0B">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Low class</w:t>
            </w:r>
          </w:p>
        </w:tc>
        <w:tc>
          <w:tcPr>
            <w:tcW w:w="1413" w:type="dxa"/>
            <w:shd w:val="clear" w:color="auto" w:fill="FFFFFF"/>
            <w:vAlign w:val="center"/>
          </w:tcPr>
          <w:p w14:paraId="700E67B4"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24(12.6%)</w:t>
            </w:r>
          </w:p>
        </w:tc>
        <w:tc>
          <w:tcPr>
            <w:tcW w:w="1417" w:type="dxa"/>
            <w:shd w:val="clear" w:color="auto" w:fill="FFFFFF"/>
            <w:vAlign w:val="center"/>
          </w:tcPr>
          <w:p w14:paraId="73AD6231"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1(0.5%)</w:t>
            </w:r>
          </w:p>
        </w:tc>
        <w:tc>
          <w:tcPr>
            <w:tcW w:w="3407" w:type="dxa"/>
            <w:gridSpan w:val="3"/>
            <w:shd w:val="clear" w:color="auto" w:fill="FFFFFF"/>
            <w:vAlign w:val="center"/>
          </w:tcPr>
          <w:p w14:paraId="5D9CF11A"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4(2.1%)</w:t>
            </w:r>
          </w:p>
        </w:tc>
        <w:tc>
          <w:tcPr>
            <w:tcW w:w="1559" w:type="dxa"/>
            <w:shd w:val="clear" w:color="auto" w:fill="FFFFFF"/>
            <w:vAlign w:val="center"/>
          </w:tcPr>
          <w:p w14:paraId="68DA63A9"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29(15.2%)</w:t>
            </w:r>
          </w:p>
        </w:tc>
      </w:tr>
      <w:tr w:rsidR="00895D0B" w:rsidRPr="00895D0B" w14:paraId="21FDB668" w14:textId="77777777" w:rsidTr="00895D0B">
        <w:trPr>
          <w:cantSplit/>
          <w:trHeight w:val="334"/>
        </w:trPr>
        <w:tc>
          <w:tcPr>
            <w:tcW w:w="1276" w:type="dxa"/>
            <w:shd w:val="clear" w:color="auto" w:fill="FFFFFF"/>
            <w:vAlign w:val="center"/>
          </w:tcPr>
          <w:p w14:paraId="10D46515" w14:textId="77777777" w:rsidR="001B4ED5" w:rsidRPr="00895D0B" w:rsidRDefault="006B41C0" w:rsidP="00895D0B">
            <w:pPr>
              <w:autoSpaceDE w:val="0"/>
              <w:autoSpaceDN w:val="0"/>
              <w:adjustRightInd w:val="0"/>
              <w:spacing w:line="240" w:lineRule="auto"/>
              <w:ind w:right="60"/>
              <w:rPr>
                <w:rFonts w:cs="Times New Roman"/>
                <w:b/>
                <w:color w:val="000000" w:themeColor="text1"/>
                <w:szCs w:val="24"/>
              </w:rPr>
            </w:pPr>
            <w:r w:rsidRPr="00895D0B">
              <w:rPr>
                <w:rFonts w:cs="Times New Roman"/>
                <w:b/>
                <w:color w:val="000000" w:themeColor="text1"/>
                <w:szCs w:val="24"/>
              </w:rPr>
              <w:t xml:space="preserve">Total </w:t>
            </w:r>
          </w:p>
        </w:tc>
        <w:tc>
          <w:tcPr>
            <w:tcW w:w="1413" w:type="dxa"/>
            <w:shd w:val="clear" w:color="auto" w:fill="FFFFFF"/>
            <w:vAlign w:val="center"/>
          </w:tcPr>
          <w:p w14:paraId="3F36804A"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141(73.8%)</w:t>
            </w:r>
          </w:p>
        </w:tc>
        <w:tc>
          <w:tcPr>
            <w:tcW w:w="1417" w:type="dxa"/>
            <w:shd w:val="clear" w:color="auto" w:fill="FFFFFF"/>
            <w:vAlign w:val="center"/>
          </w:tcPr>
          <w:p w14:paraId="28E4706D"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21(11.0%)</w:t>
            </w:r>
          </w:p>
        </w:tc>
        <w:tc>
          <w:tcPr>
            <w:tcW w:w="3407" w:type="dxa"/>
            <w:gridSpan w:val="3"/>
            <w:shd w:val="clear" w:color="auto" w:fill="FFFFFF"/>
            <w:vAlign w:val="center"/>
          </w:tcPr>
          <w:p w14:paraId="5EB9BB65"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29(15.2%)</w:t>
            </w:r>
          </w:p>
        </w:tc>
        <w:tc>
          <w:tcPr>
            <w:tcW w:w="1559" w:type="dxa"/>
            <w:shd w:val="clear" w:color="auto" w:fill="FFFFFF"/>
            <w:vAlign w:val="center"/>
          </w:tcPr>
          <w:p w14:paraId="1656FB91"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191(100.)</w:t>
            </w:r>
          </w:p>
        </w:tc>
      </w:tr>
      <w:tr w:rsidR="00895D0B" w:rsidRPr="00895D0B" w14:paraId="70C520A5" w14:textId="77777777" w:rsidTr="00895D0B">
        <w:trPr>
          <w:cantSplit/>
          <w:trHeight w:val="334"/>
        </w:trPr>
        <w:tc>
          <w:tcPr>
            <w:tcW w:w="9072" w:type="dxa"/>
            <w:gridSpan w:val="7"/>
            <w:tcBorders>
              <w:bottom w:val="single" w:sz="4" w:space="0" w:color="auto"/>
            </w:tcBorders>
            <w:shd w:val="clear" w:color="auto" w:fill="FFFFFF"/>
          </w:tcPr>
          <w:p w14:paraId="1D4B6742" w14:textId="77777777" w:rsidR="001B4ED5" w:rsidRPr="00895D0B" w:rsidRDefault="006B41C0" w:rsidP="00895D0B">
            <w:pPr>
              <w:autoSpaceDE w:val="0"/>
              <w:autoSpaceDN w:val="0"/>
              <w:adjustRightInd w:val="0"/>
              <w:spacing w:line="240" w:lineRule="auto"/>
              <w:ind w:left="60" w:right="60"/>
              <w:jc w:val="right"/>
              <w:rPr>
                <w:rFonts w:cs="Times New Roman"/>
                <w:color w:val="000000" w:themeColor="text1"/>
                <w:szCs w:val="24"/>
              </w:rPr>
            </w:pPr>
            <m:oMathPara>
              <m:oMathParaPr>
                <m:jc m:val="left"/>
              </m:oMathParaPr>
              <m:oMath>
                <m:r>
                  <w:rPr>
                    <w:rFonts w:ascii="Cambria Math" w:hAnsi="Cambria Math" w:cs="Times New Roman"/>
                    <w:color w:val="000000" w:themeColor="text1"/>
                    <w:szCs w:val="24"/>
                    <w:lang w:bidi="en-US"/>
                  </w:rPr>
                  <m:t xml:space="preserve">N=191,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4.455, df=4, p= 0.348 and </m:t>
                </m:r>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V=0.108</m:t>
                </m:r>
              </m:oMath>
            </m:oMathPara>
          </w:p>
        </w:tc>
      </w:tr>
      <w:tr w:rsidR="00895D0B" w:rsidRPr="00895D0B" w14:paraId="0CAC0DE6" w14:textId="77777777" w:rsidTr="00895D0B">
        <w:trPr>
          <w:cantSplit/>
          <w:trHeight w:val="334"/>
        </w:trPr>
        <w:tc>
          <w:tcPr>
            <w:tcW w:w="1276" w:type="dxa"/>
            <w:vMerge w:val="restart"/>
            <w:tcBorders>
              <w:top w:val="single" w:sz="4" w:space="0" w:color="auto"/>
              <w:bottom w:val="single" w:sz="4" w:space="0" w:color="auto"/>
            </w:tcBorders>
            <w:shd w:val="clear" w:color="auto" w:fill="FFFFFF"/>
            <w:vAlign w:val="center"/>
          </w:tcPr>
          <w:p w14:paraId="558259B1" w14:textId="77777777" w:rsidR="001B4ED5" w:rsidRPr="00895D0B" w:rsidRDefault="006B41C0" w:rsidP="00895D0B">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Residential </w:t>
            </w:r>
          </w:p>
          <w:p w14:paraId="04B7CFF8" w14:textId="77777777" w:rsidR="001B4ED5" w:rsidRPr="00895D0B" w:rsidRDefault="006B41C0" w:rsidP="00895D0B">
            <w:pPr>
              <w:autoSpaceDE w:val="0"/>
              <w:autoSpaceDN w:val="0"/>
              <w:adjustRightInd w:val="0"/>
              <w:spacing w:line="240" w:lineRule="auto"/>
              <w:ind w:left="60" w:right="60"/>
              <w:rPr>
                <w:rFonts w:cs="Times New Roman"/>
                <w:color w:val="000000" w:themeColor="text1"/>
                <w:szCs w:val="24"/>
              </w:rPr>
            </w:pPr>
            <w:r w:rsidRPr="00895D0B">
              <w:rPr>
                <w:rFonts w:cs="Times New Roman"/>
                <w:b/>
                <w:color w:val="000000" w:themeColor="text1"/>
                <w:szCs w:val="24"/>
              </w:rPr>
              <w:t>Class</w:t>
            </w:r>
          </w:p>
        </w:tc>
        <w:tc>
          <w:tcPr>
            <w:tcW w:w="6237" w:type="dxa"/>
            <w:gridSpan w:val="5"/>
            <w:tcBorders>
              <w:top w:val="single" w:sz="4" w:space="0" w:color="auto"/>
            </w:tcBorders>
            <w:shd w:val="clear" w:color="auto" w:fill="FFFFFF"/>
            <w:vAlign w:val="center"/>
          </w:tcPr>
          <w:p w14:paraId="1AB20974" w14:textId="6B94AB55" w:rsidR="001B4ED5" w:rsidRPr="00895D0B" w:rsidRDefault="00F974B1"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 xml:space="preserve">Sources of </w:t>
            </w:r>
            <w:r w:rsidR="006B41C0" w:rsidRPr="00895D0B">
              <w:rPr>
                <w:rFonts w:cs="Times New Roman"/>
                <w:b/>
                <w:color w:val="000000" w:themeColor="text1"/>
                <w:szCs w:val="24"/>
              </w:rPr>
              <w:t xml:space="preserve">Land </w:t>
            </w:r>
          </w:p>
        </w:tc>
        <w:tc>
          <w:tcPr>
            <w:tcW w:w="1559" w:type="dxa"/>
            <w:vMerge w:val="restart"/>
            <w:tcBorders>
              <w:top w:val="single" w:sz="4" w:space="0" w:color="auto"/>
            </w:tcBorders>
            <w:shd w:val="clear" w:color="auto" w:fill="FFFFFF"/>
            <w:vAlign w:val="center"/>
          </w:tcPr>
          <w:p w14:paraId="3B216EFF" w14:textId="77777777" w:rsidR="001B4ED5" w:rsidRPr="00895D0B" w:rsidRDefault="006B41C0" w:rsidP="00895D0B">
            <w:pPr>
              <w:autoSpaceDE w:val="0"/>
              <w:autoSpaceDN w:val="0"/>
              <w:adjustRightInd w:val="0"/>
              <w:spacing w:line="240" w:lineRule="auto"/>
              <w:ind w:right="60"/>
              <w:jc w:val="center"/>
              <w:rPr>
                <w:rFonts w:cs="Times New Roman"/>
                <w:b/>
                <w:color w:val="000000" w:themeColor="text1"/>
                <w:szCs w:val="24"/>
              </w:rPr>
            </w:pPr>
            <w:r w:rsidRPr="00895D0B">
              <w:rPr>
                <w:rFonts w:cs="Times New Roman"/>
                <w:b/>
                <w:color w:val="000000" w:themeColor="text1"/>
                <w:szCs w:val="24"/>
              </w:rPr>
              <w:t>Total</w:t>
            </w:r>
          </w:p>
        </w:tc>
      </w:tr>
      <w:tr w:rsidR="00895D0B" w:rsidRPr="00895D0B" w14:paraId="2CB40150" w14:textId="77777777" w:rsidTr="00895D0B">
        <w:trPr>
          <w:cantSplit/>
          <w:trHeight w:val="334"/>
        </w:trPr>
        <w:tc>
          <w:tcPr>
            <w:tcW w:w="1276" w:type="dxa"/>
            <w:vMerge/>
            <w:tcBorders>
              <w:bottom w:val="single" w:sz="4" w:space="0" w:color="auto"/>
            </w:tcBorders>
            <w:shd w:val="clear" w:color="auto" w:fill="FFFFFF"/>
            <w:vAlign w:val="center"/>
          </w:tcPr>
          <w:p w14:paraId="3F9DDB30" w14:textId="77777777" w:rsidR="001B4ED5" w:rsidRPr="00895D0B" w:rsidRDefault="001B4ED5" w:rsidP="00895D0B">
            <w:pPr>
              <w:autoSpaceDE w:val="0"/>
              <w:autoSpaceDN w:val="0"/>
              <w:adjustRightInd w:val="0"/>
              <w:spacing w:line="240" w:lineRule="auto"/>
              <w:ind w:right="60"/>
              <w:rPr>
                <w:rFonts w:cs="Times New Roman"/>
                <w:color w:val="000000" w:themeColor="text1"/>
                <w:szCs w:val="24"/>
              </w:rPr>
            </w:pPr>
          </w:p>
        </w:tc>
        <w:tc>
          <w:tcPr>
            <w:tcW w:w="1413" w:type="dxa"/>
            <w:tcBorders>
              <w:bottom w:val="single" w:sz="4" w:space="0" w:color="auto"/>
            </w:tcBorders>
            <w:shd w:val="clear" w:color="auto" w:fill="FFFFFF"/>
          </w:tcPr>
          <w:p w14:paraId="25EEA7D7" w14:textId="77777777" w:rsidR="001B4ED5" w:rsidRPr="00895D0B" w:rsidRDefault="006B41C0" w:rsidP="00895D0B">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i/>
                <w:color w:val="000000" w:themeColor="text1"/>
                <w:szCs w:val="24"/>
              </w:rPr>
              <w:t>Family/</w:t>
            </w:r>
          </w:p>
          <w:p w14:paraId="4FA9B00E" w14:textId="77777777" w:rsidR="001B4ED5" w:rsidRPr="00895D0B" w:rsidRDefault="006B41C0" w:rsidP="00895D0B">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i/>
                <w:color w:val="000000" w:themeColor="text1"/>
                <w:szCs w:val="24"/>
              </w:rPr>
              <w:t>Relatives</w:t>
            </w:r>
          </w:p>
        </w:tc>
        <w:tc>
          <w:tcPr>
            <w:tcW w:w="1417" w:type="dxa"/>
            <w:tcBorders>
              <w:bottom w:val="single" w:sz="4" w:space="0" w:color="auto"/>
            </w:tcBorders>
            <w:shd w:val="clear" w:color="auto" w:fill="FFFFFF"/>
          </w:tcPr>
          <w:p w14:paraId="3BD3F7D5" w14:textId="77777777" w:rsidR="001B4ED5" w:rsidRPr="00895D0B" w:rsidRDefault="006B41C0" w:rsidP="00895D0B">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i/>
                <w:color w:val="000000" w:themeColor="text1"/>
                <w:szCs w:val="24"/>
              </w:rPr>
              <w:t>Purchased</w:t>
            </w:r>
          </w:p>
        </w:tc>
        <w:tc>
          <w:tcPr>
            <w:tcW w:w="1139" w:type="dxa"/>
            <w:tcBorders>
              <w:bottom w:val="single" w:sz="4" w:space="0" w:color="auto"/>
            </w:tcBorders>
            <w:shd w:val="clear" w:color="auto" w:fill="FFFFFF"/>
          </w:tcPr>
          <w:p w14:paraId="4DD76BB0" w14:textId="77777777" w:rsidR="001B4ED5" w:rsidRPr="00895D0B" w:rsidRDefault="006B41C0" w:rsidP="00895D0B">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i/>
                <w:color w:val="000000" w:themeColor="text1"/>
                <w:szCs w:val="24"/>
              </w:rPr>
              <w:t>Gift</w:t>
            </w:r>
          </w:p>
        </w:tc>
        <w:tc>
          <w:tcPr>
            <w:tcW w:w="1134" w:type="dxa"/>
            <w:tcBorders>
              <w:bottom w:val="single" w:sz="4" w:space="0" w:color="auto"/>
            </w:tcBorders>
            <w:shd w:val="clear" w:color="auto" w:fill="FFFFFF"/>
          </w:tcPr>
          <w:p w14:paraId="5C4B1973" w14:textId="77777777" w:rsidR="001B4ED5" w:rsidRPr="00895D0B" w:rsidRDefault="006B41C0" w:rsidP="00895D0B">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i/>
                <w:color w:val="000000" w:themeColor="text1"/>
                <w:szCs w:val="24"/>
              </w:rPr>
              <w:t>Rented</w:t>
            </w:r>
          </w:p>
        </w:tc>
        <w:tc>
          <w:tcPr>
            <w:tcW w:w="1134" w:type="dxa"/>
            <w:tcBorders>
              <w:bottom w:val="single" w:sz="4" w:space="0" w:color="auto"/>
            </w:tcBorders>
            <w:shd w:val="clear" w:color="auto" w:fill="FFFFFF"/>
          </w:tcPr>
          <w:p w14:paraId="481C3ACD" w14:textId="77777777" w:rsidR="001B4ED5" w:rsidRPr="00895D0B" w:rsidRDefault="006B41C0" w:rsidP="00895D0B">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i/>
                <w:color w:val="000000" w:themeColor="text1"/>
                <w:szCs w:val="24"/>
              </w:rPr>
              <w:t>Others</w:t>
            </w:r>
          </w:p>
        </w:tc>
        <w:tc>
          <w:tcPr>
            <w:tcW w:w="1559" w:type="dxa"/>
            <w:vMerge/>
            <w:tcBorders>
              <w:bottom w:val="single" w:sz="4" w:space="0" w:color="auto"/>
            </w:tcBorders>
            <w:shd w:val="clear" w:color="auto" w:fill="FFFFFF"/>
          </w:tcPr>
          <w:p w14:paraId="7E08A522" w14:textId="77777777" w:rsidR="001B4ED5" w:rsidRPr="00895D0B" w:rsidRDefault="001B4ED5" w:rsidP="00895D0B">
            <w:pPr>
              <w:autoSpaceDE w:val="0"/>
              <w:autoSpaceDN w:val="0"/>
              <w:adjustRightInd w:val="0"/>
              <w:spacing w:line="240" w:lineRule="auto"/>
              <w:ind w:left="60" w:right="60"/>
              <w:jc w:val="center"/>
              <w:rPr>
                <w:rFonts w:cs="Times New Roman"/>
                <w:i/>
                <w:color w:val="000000" w:themeColor="text1"/>
                <w:szCs w:val="24"/>
              </w:rPr>
            </w:pPr>
          </w:p>
        </w:tc>
      </w:tr>
      <w:tr w:rsidR="00895D0B" w:rsidRPr="00895D0B" w14:paraId="4E4CDE0F" w14:textId="77777777" w:rsidTr="00895D0B">
        <w:trPr>
          <w:cantSplit/>
          <w:trHeight w:val="334"/>
        </w:trPr>
        <w:tc>
          <w:tcPr>
            <w:tcW w:w="1276" w:type="dxa"/>
            <w:tcBorders>
              <w:top w:val="single" w:sz="4" w:space="0" w:color="auto"/>
            </w:tcBorders>
            <w:shd w:val="clear" w:color="auto" w:fill="FFFFFF"/>
            <w:vAlign w:val="center"/>
          </w:tcPr>
          <w:p w14:paraId="10A32C90" w14:textId="77777777" w:rsidR="001B4ED5" w:rsidRPr="00895D0B" w:rsidRDefault="006B41C0" w:rsidP="00895D0B">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High class </w:t>
            </w:r>
          </w:p>
        </w:tc>
        <w:tc>
          <w:tcPr>
            <w:tcW w:w="1413" w:type="dxa"/>
            <w:tcBorders>
              <w:top w:val="single" w:sz="4" w:space="0" w:color="auto"/>
            </w:tcBorders>
            <w:shd w:val="clear" w:color="auto" w:fill="FFFFFF"/>
            <w:vAlign w:val="center"/>
          </w:tcPr>
          <w:p w14:paraId="5EF14343"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30(15.7%)</w:t>
            </w:r>
          </w:p>
        </w:tc>
        <w:tc>
          <w:tcPr>
            <w:tcW w:w="1417" w:type="dxa"/>
            <w:tcBorders>
              <w:top w:val="single" w:sz="4" w:space="0" w:color="auto"/>
            </w:tcBorders>
            <w:shd w:val="clear" w:color="auto" w:fill="FFFFFF"/>
            <w:vAlign w:val="center"/>
          </w:tcPr>
          <w:p w14:paraId="68AE4EF5"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45(23.6%)</w:t>
            </w:r>
          </w:p>
        </w:tc>
        <w:tc>
          <w:tcPr>
            <w:tcW w:w="1139" w:type="dxa"/>
            <w:tcBorders>
              <w:top w:val="single" w:sz="4" w:space="0" w:color="auto"/>
            </w:tcBorders>
            <w:shd w:val="clear" w:color="auto" w:fill="FFFFFF"/>
            <w:vAlign w:val="center"/>
          </w:tcPr>
          <w:p w14:paraId="0218033F"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4(2.1%)</w:t>
            </w:r>
          </w:p>
        </w:tc>
        <w:tc>
          <w:tcPr>
            <w:tcW w:w="1134" w:type="dxa"/>
            <w:tcBorders>
              <w:top w:val="single" w:sz="4" w:space="0" w:color="auto"/>
            </w:tcBorders>
            <w:shd w:val="clear" w:color="auto" w:fill="FFFFFF"/>
            <w:vAlign w:val="center"/>
          </w:tcPr>
          <w:p w14:paraId="6E412D20"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2(1.0%)</w:t>
            </w:r>
          </w:p>
        </w:tc>
        <w:tc>
          <w:tcPr>
            <w:tcW w:w="1134" w:type="dxa"/>
            <w:tcBorders>
              <w:top w:val="single" w:sz="4" w:space="0" w:color="auto"/>
            </w:tcBorders>
            <w:shd w:val="clear" w:color="auto" w:fill="FFFFFF"/>
            <w:vAlign w:val="center"/>
          </w:tcPr>
          <w:p w14:paraId="556D0908"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0(0.0%)</w:t>
            </w:r>
          </w:p>
        </w:tc>
        <w:tc>
          <w:tcPr>
            <w:tcW w:w="1559" w:type="dxa"/>
            <w:tcBorders>
              <w:top w:val="single" w:sz="4" w:space="0" w:color="auto"/>
            </w:tcBorders>
            <w:shd w:val="clear" w:color="auto" w:fill="FFFFFF"/>
            <w:vAlign w:val="center"/>
          </w:tcPr>
          <w:p w14:paraId="530051BF"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81(42.4%)</w:t>
            </w:r>
          </w:p>
        </w:tc>
      </w:tr>
      <w:tr w:rsidR="00895D0B" w:rsidRPr="00895D0B" w14:paraId="2D8B10D4" w14:textId="77777777" w:rsidTr="00895D0B">
        <w:trPr>
          <w:cantSplit/>
          <w:trHeight w:val="334"/>
        </w:trPr>
        <w:tc>
          <w:tcPr>
            <w:tcW w:w="1276" w:type="dxa"/>
            <w:shd w:val="clear" w:color="auto" w:fill="FFFFFF"/>
            <w:vAlign w:val="center"/>
          </w:tcPr>
          <w:p w14:paraId="75EFBED6" w14:textId="77777777" w:rsidR="001B4ED5" w:rsidRPr="00895D0B" w:rsidRDefault="006B41C0" w:rsidP="00895D0B">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Medium class </w:t>
            </w:r>
          </w:p>
        </w:tc>
        <w:tc>
          <w:tcPr>
            <w:tcW w:w="1413" w:type="dxa"/>
            <w:shd w:val="clear" w:color="auto" w:fill="FFFFFF"/>
            <w:vAlign w:val="center"/>
          </w:tcPr>
          <w:p w14:paraId="09790C56"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22(11.5%)</w:t>
            </w:r>
          </w:p>
        </w:tc>
        <w:tc>
          <w:tcPr>
            <w:tcW w:w="1417" w:type="dxa"/>
            <w:shd w:val="clear" w:color="auto" w:fill="FFFFFF"/>
            <w:vAlign w:val="center"/>
          </w:tcPr>
          <w:p w14:paraId="03DAE4A3"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48(25.1%)</w:t>
            </w:r>
          </w:p>
        </w:tc>
        <w:tc>
          <w:tcPr>
            <w:tcW w:w="1139" w:type="dxa"/>
            <w:shd w:val="clear" w:color="auto" w:fill="FFFFFF"/>
            <w:vAlign w:val="center"/>
          </w:tcPr>
          <w:p w14:paraId="7F81E6D3"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5(2.6%)</w:t>
            </w:r>
          </w:p>
        </w:tc>
        <w:tc>
          <w:tcPr>
            <w:tcW w:w="1134" w:type="dxa"/>
            <w:shd w:val="clear" w:color="auto" w:fill="FFFFFF"/>
            <w:vAlign w:val="center"/>
          </w:tcPr>
          <w:p w14:paraId="358133E6"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6(3.1%)</w:t>
            </w:r>
          </w:p>
        </w:tc>
        <w:tc>
          <w:tcPr>
            <w:tcW w:w="1134" w:type="dxa"/>
            <w:shd w:val="clear" w:color="auto" w:fill="FFFFFF"/>
            <w:vAlign w:val="center"/>
          </w:tcPr>
          <w:p w14:paraId="38B0D326"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0(0.0%)</w:t>
            </w:r>
          </w:p>
        </w:tc>
        <w:tc>
          <w:tcPr>
            <w:tcW w:w="1559" w:type="dxa"/>
            <w:shd w:val="clear" w:color="auto" w:fill="FFFFFF"/>
            <w:vAlign w:val="center"/>
          </w:tcPr>
          <w:p w14:paraId="72A1356A"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81(42.4%)</w:t>
            </w:r>
          </w:p>
        </w:tc>
      </w:tr>
      <w:tr w:rsidR="00895D0B" w:rsidRPr="00895D0B" w14:paraId="4334F8FF" w14:textId="77777777" w:rsidTr="00895D0B">
        <w:trPr>
          <w:cantSplit/>
          <w:trHeight w:val="70"/>
        </w:trPr>
        <w:tc>
          <w:tcPr>
            <w:tcW w:w="1276" w:type="dxa"/>
            <w:shd w:val="clear" w:color="auto" w:fill="FFFFFF"/>
            <w:vAlign w:val="center"/>
          </w:tcPr>
          <w:p w14:paraId="4B116F74" w14:textId="77777777" w:rsidR="001B4ED5" w:rsidRPr="00895D0B" w:rsidRDefault="006B41C0" w:rsidP="00895D0B">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Low class </w:t>
            </w:r>
          </w:p>
        </w:tc>
        <w:tc>
          <w:tcPr>
            <w:tcW w:w="1413" w:type="dxa"/>
            <w:shd w:val="clear" w:color="auto" w:fill="FFFFFF"/>
            <w:vAlign w:val="center"/>
          </w:tcPr>
          <w:p w14:paraId="76ED9831"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9(4.7%)</w:t>
            </w:r>
          </w:p>
        </w:tc>
        <w:tc>
          <w:tcPr>
            <w:tcW w:w="1417" w:type="dxa"/>
            <w:shd w:val="clear" w:color="auto" w:fill="FFFFFF"/>
            <w:vAlign w:val="center"/>
          </w:tcPr>
          <w:p w14:paraId="13F494F4"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9(4.7%)</w:t>
            </w:r>
          </w:p>
        </w:tc>
        <w:tc>
          <w:tcPr>
            <w:tcW w:w="1139" w:type="dxa"/>
            <w:shd w:val="clear" w:color="auto" w:fill="FFFFFF"/>
            <w:vAlign w:val="center"/>
          </w:tcPr>
          <w:p w14:paraId="2902FF94"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1(0.5%)</w:t>
            </w:r>
          </w:p>
        </w:tc>
        <w:tc>
          <w:tcPr>
            <w:tcW w:w="1134" w:type="dxa"/>
            <w:shd w:val="clear" w:color="auto" w:fill="FFFFFF"/>
            <w:vAlign w:val="center"/>
          </w:tcPr>
          <w:p w14:paraId="73138750"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8(4.2%)</w:t>
            </w:r>
          </w:p>
        </w:tc>
        <w:tc>
          <w:tcPr>
            <w:tcW w:w="1134" w:type="dxa"/>
            <w:shd w:val="clear" w:color="auto" w:fill="FFFFFF"/>
            <w:vAlign w:val="center"/>
          </w:tcPr>
          <w:p w14:paraId="4F3AEAE4"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2(1.0%)</w:t>
            </w:r>
          </w:p>
        </w:tc>
        <w:tc>
          <w:tcPr>
            <w:tcW w:w="1559" w:type="dxa"/>
            <w:shd w:val="clear" w:color="auto" w:fill="FFFFFF"/>
            <w:vAlign w:val="center"/>
          </w:tcPr>
          <w:p w14:paraId="22521D26" w14:textId="77777777" w:rsidR="001B4ED5" w:rsidRPr="00895D0B" w:rsidRDefault="006B41C0" w:rsidP="00895D0B">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29(15.2%)</w:t>
            </w:r>
          </w:p>
        </w:tc>
      </w:tr>
      <w:tr w:rsidR="00895D0B" w:rsidRPr="00895D0B" w14:paraId="0CEE942B" w14:textId="77777777" w:rsidTr="00895D0B">
        <w:trPr>
          <w:cantSplit/>
          <w:trHeight w:val="334"/>
        </w:trPr>
        <w:tc>
          <w:tcPr>
            <w:tcW w:w="1276" w:type="dxa"/>
            <w:shd w:val="clear" w:color="auto" w:fill="FFFFFF"/>
            <w:vAlign w:val="center"/>
          </w:tcPr>
          <w:p w14:paraId="62411F55" w14:textId="77777777" w:rsidR="001B4ED5" w:rsidRPr="00895D0B" w:rsidRDefault="006B41C0" w:rsidP="00895D0B">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Total </w:t>
            </w:r>
          </w:p>
        </w:tc>
        <w:tc>
          <w:tcPr>
            <w:tcW w:w="1413" w:type="dxa"/>
            <w:shd w:val="clear" w:color="auto" w:fill="FFFFFF"/>
            <w:vAlign w:val="center"/>
          </w:tcPr>
          <w:p w14:paraId="775BF1C4"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102(53.4%)</w:t>
            </w:r>
          </w:p>
        </w:tc>
        <w:tc>
          <w:tcPr>
            <w:tcW w:w="1417" w:type="dxa"/>
            <w:shd w:val="clear" w:color="auto" w:fill="FFFFFF"/>
            <w:vAlign w:val="center"/>
          </w:tcPr>
          <w:p w14:paraId="1D56F001"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61(31.9%)</w:t>
            </w:r>
          </w:p>
        </w:tc>
        <w:tc>
          <w:tcPr>
            <w:tcW w:w="1139" w:type="dxa"/>
            <w:shd w:val="clear" w:color="auto" w:fill="FFFFFF"/>
            <w:vAlign w:val="center"/>
          </w:tcPr>
          <w:p w14:paraId="2B421D52"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10(5.2%)</w:t>
            </w:r>
          </w:p>
        </w:tc>
        <w:tc>
          <w:tcPr>
            <w:tcW w:w="1134" w:type="dxa"/>
            <w:shd w:val="clear" w:color="auto" w:fill="FFFFFF"/>
            <w:vAlign w:val="center"/>
          </w:tcPr>
          <w:p w14:paraId="226BAD28"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16(8.4%)</w:t>
            </w:r>
          </w:p>
        </w:tc>
        <w:tc>
          <w:tcPr>
            <w:tcW w:w="1134" w:type="dxa"/>
            <w:shd w:val="clear" w:color="auto" w:fill="FFFFFF"/>
            <w:vAlign w:val="center"/>
          </w:tcPr>
          <w:p w14:paraId="17DE8D42"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2(1.0%)</w:t>
            </w:r>
          </w:p>
        </w:tc>
        <w:tc>
          <w:tcPr>
            <w:tcW w:w="1559" w:type="dxa"/>
            <w:shd w:val="clear" w:color="auto" w:fill="FFFFFF"/>
            <w:vAlign w:val="center"/>
          </w:tcPr>
          <w:p w14:paraId="4FDDD985" w14:textId="77777777" w:rsidR="001B4ED5" w:rsidRPr="00895D0B" w:rsidRDefault="006B41C0" w:rsidP="00895D0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191(100.0%)</w:t>
            </w:r>
          </w:p>
        </w:tc>
      </w:tr>
      <w:tr w:rsidR="00895D0B" w:rsidRPr="00895D0B" w14:paraId="7F0AD666" w14:textId="77777777" w:rsidTr="00895D0B">
        <w:trPr>
          <w:cantSplit/>
          <w:trHeight w:val="334"/>
        </w:trPr>
        <w:tc>
          <w:tcPr>
            <w:tcW w:w="9072" w:type="dxa"/>
            <w:gridSpan w:val="7"/>
            <w:tcBorders>
              <w:bottom w:val="single" w:sz="4" w:space="0" w:color="auto"/>
            </w:tcBorders>
            <w:shd w:val="clear" w:color="auto" w:fill="FFFFFF"/>
          </w:tcPr>
          <w:p w14:paraId="37B6E8B9" w14:textId="77777777" w:rsidR="001B4ED5" w:rsidRPr="00895D0B" w:rsidRDefault="006B41C0" w:rsidP="00895D0B">
            <w:pPr>
              <w:autoSpaceDE w:val="0"/>
              <w:autoSpaceDN w:val="0"/>
              <w:adjustRightInd w:val="0"/>
              <w:spacing w:line="240" w:lineRule="auto"/>
              <w:ind w:left="60" w:right="60"/>
              <w:jc w:val="right"/>
              <w:rPr>
                <w:rFonts w:cs="Times New Roman"/>
                <w:color w:val="000000" w:themeColor="text1"/>
                <w:szCs w:val="24"/>
              </w:rPr>
            </w:pPr>
            <m:oMathPara>
              <m:oMathParaPr>
                <m:jc m:val="left"/>
              </m:oMathParaPr>
              <m:oMath>
                <m:r>
                  <w:rPr>
                    <w:rFonts w:ascii="Cambria Math" w:hAnsi="Cambria Math" w:cs="Times New Roman"/>
                    <w:color w:val="000000" w:themeColor="text1"/>
                    <w:szCs w:val="24"/>
                    <w:lang w:bidi="en-US"/>
                  </w:rPr>
                  <m:t xml:space="preserve">N=191,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32.292, df=8, p= 0.001 and </m:t>
                </m:r>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V=0.291</m:t>
                </m:r>
              </m:oMath>
            </m:oMathPara>
          </w:p>
        </w:tc>
      </w:tr>
      <w:tr w:rsidR="00895D0B" w:rsidRPr="00895D0B" w14:paraId="1AED7644" w14:textId="77777777" w:rsidTr="00895D0B">
        <w:trPr>
          <w:cantSplit/>
          <w:trHeight w:val="334"/>
        </w:trPr>
        <w:tc>
          <w:tcPr>
            <w:tcW w:w="9072" w:type="dxa"/>
            <w:gridSpan w:val="7"/>
            <w:tcBorders>
              <w:top w:val="single" w:sz="4" w:space="0" w:color="auto"/>
            </w:tcBorders>
            <w:shd w:val="clear" w:color="auto" w:fill="FFFFFF"/>
          </w:tcPr>
          <w:p w14:paraId="5DCFF50C" w14:textId="5421A1B9" w:rsidR="001B4ED5" w:rsidRPr="00895D0B" w:rsidRDefault="006B41C0" w:rsidP="00895D0B">
            <w:pPr>
              <w:spacing w:line="240" w:lineRule="auto"/>
              <w:rPr>
                <w:rFonts w:eastAsia="Calibri" w:cs="Times New Roman"/>
                <w:color w:val="000000" w:themeColor="text1"/>
                <w:szCs w:val="24"/>
                <w:lang w:bidi="en-US"/>
              </w:rPr>
            </w:pPr>
            <w:r w:rsidRPr="00895D0B">
              <w:rPr>
                <w:rFonts w:eastAsia="Calibri" w:cs="Times New Roman"/>
                <w:color w:val="000000" w:themeColor="text1"/>
                <w:szCs w:val="24"/>
                <w:lang w:bidi="en-US"/>
              </w:rPr>
              <w:t xml:space="preserve">***Cramer’s V &gt; 0.25, strong relationship; Cramer’s V &gt; 0.10, moderate relationship; Cramer’s V &gt; 0.05, weak relationship and Cramer’s V &gt; 0, no or very weak relationship </w:t>
            </w:r>
          </w:p>
          <w:p w14:paraId="0DF8C014" w14:textId="77777777" w:rsidR="001B4ED5" w:rsidRPr="00895D0B" w:rsidRDefault="006B41C0" w:rsidP="00895D0B">
            <w:pPr>
              <w:spacing w:line="240" w:lineRule="auto"/>
              <w:rPr>
                <w:rFonts w:eastAsia="Calibri" w:cs="Times New Roman"/>
                <w:color w:val="000000" w:themeColor="text1"/>
                <w:szCs w:val="24"/>
                <w:lang w:bidi="en-US"/>
              </w:rPr>
            </w:pPr>
            <w:r w:rsidRPr="00895D0B">
              <w:rPr>
                <w:rFonts w:eastAsia="Calibri" w:cs="Times New Roman"/>
                <w:color w:val="000000" w:themeColor="text1"/>
                <w:szCs w:val="24"/>
                <w:lang w:bidi="en-US"/>
              </w:rPr>
              <w:t>*** p-value &lt; 0.05, statistically significant; p-value &gt; 0.05, statistically insignificant</w:t>
            </w:r>
          </w:p>
        </w:tc>
      </w:tr>
    </w:tbl>
    <w:p w14:paraId="22DECE9E" w14:textId="676B8371"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229E6968" w14:textId="77777777" w:rsidR="003723B8" w:rsidRPr="00895D0B" w:rsidRDefault="003723B8">
      <w:pPr>
        <w:autoSpaceDE w:val="0"/>
        <w:autoSpaceDN w:val="0"/>
        <w:adjustRightInd w:val="0"/>
        <w:spacing w:line="360" w:lineRule="auto"/>
        <w:rPr>
          <w:rFonts w:cs="Times New Roman"/>
          <w:color w:val="000000" w:themeColor="text1"/>
          <w:szCs w:val="24"/>
        </w:rPr>
      </w:pPr>
    </w:p>
    <w:p w14:paraId="63A0F828" w14:textId="35A9B5F7" w:rsidR="001B4ED5" w:rsidRDefault="003723B8" w:rsidP="003723B8">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Land acquisition is critical to urban farming. Therefore, the study again measured the statistical association between the residential classes and the mode of land acquisition. Although, urban farming takes place in all residential classes, the mode of land acquisition is through purchase. </w:t>
      </w:r>
    </w:p>
    <w:p w14:paraId="13F41350" w14:textId="77777777" w:rsidR="00056D43" w:rsidRDefault="00056D43" w:rsidP="003723B8">
      <w:pPr>
        <w:spacing w:line="360" w:lineRule="auto"/>
        <w:rPr>
          <w:rFonts w:eastAsia="Times New Roman" w:cs="Times New Roman"/>
          <w:color w:val="000000" w:themeColor="text1"/>
          <w:szCs w:val="24"/>
          <w:lang w:eastAsia="en-GB"/>
        </w:rPr>
      </w:pPr>
    </w:p>
    <w:p w14:paraId="271FB817" w14:textId="77777777" w:rsidR="00056D43" w:rsidRDefault="00056D43" w:rsidP="003723B8">
      <w:pPr>
        <w:spacing w:line="360" w:lineRule="auto"/>
        <w:rPr>
          <w:rFonts w:eastAsia="Times New Roman" w:cs="Times New Roman"/>
          <w:color w:val="000000" w:themeColor="text1"/>
          <w:szCs w:val="24"/>
          <w:lang w:eastAsia="en-GB"/>
        </w:rPr>
      </w:pPr>
    </w:p>
    <w:p w14:paraId="447D958E" w14:textId="77777777" w:rsidR="00056D43" w:rsidRDefault="00056D43" w:rsidP="003723B8">
      <w:pPr>
        <w:spacing w:line="360" w:lineRule="auto"/>
        <w:rPr>
          <w:rFonts w:eastAsia="Times New Roman" w:cs="Times New Roman"/>
          <w:color w:val="000000" w:themeColor="text1"/>
          <w:szCs w:val="24"/>
          <w:lang w:eastAsia="en-GB"/>
        </w:rPr>
      </w:pPr>
    </w:p>
    <w:p w14:paraId="2E5214CD" w14:textId="77777777" w:rsidR="00056D43" w:rsidRDefault="00056D43" w:rsidP="003723B8">
      <w:pPr>
        <w:spacing w:line="360" w:lineRule="auto"/>
        <w:rPr>
          <w:rFonts w:eastAsia="Times New Roman" w:cs="Times New Roman"/>
          <w:color w:val="000000" w:themeColor="text1"/>
          <w:szCs w:val="24"/>
          <w:lang w:eastAsia="en-GB"/>
        </w:rPr>
      </w:pPr>
    </w:p>
    <w:p w14:paraId="5042611C" w14:textId="77777777" w:rsidR="00056D43" w:rsidRDefault="00056D43" w:rsidP="003723B8">
      <w:pPr>
        <w:spacing w:line="360" w:lineRule="auto"/>
        <w:rPr>
          <w:rFonts w:eastAsia="Times New Roman" w:cs="Times New Roman"/>
          <w:color w:val="000000" w:themeColor="text1"/>
          <w:szCs w:val="24"/>
          <w:lang w:eastAsia="en-GB"/>
        </w:rPr>
      </w:pPr>
    </w:p>
    <w:p w14:paraId="5F99090A" w14:textId="77777777" w:rsidR="00056D43" w:rsidRDefault="00056D43" w:rsidP="003723B8">
      <w:pPr>
        <w:spacing w:line="360" w:lineRule="auto"/>
        <w:rPr>
          <w:rFonts w:eastAsia="Times New Roman" w:cs="Times New Roman"/>
          <w:color w:val="000000" w:themeColor="text1"/>
          <w:szCs w:val="24"/>
          <w:lang w:eastAsia="en-GB"/>
        </w:rPr>
      </w:pPr>
    </w:p>
    <w:p w14:paraId="570143F5" w14:textId="77777777" w:rsidR="00056D43" w:rsidRDefault="00056D43" w:rsidP="003723B8">
      <w:pPr>
        <w:spacing w:line="360" w:lineRule="auto"/>
        <w:rPr>
          <w:rFonts w:eastAsia="Times New Roman" w:cs="Times New Roman"/>
          <w:color w:val="000000" w:themeColor="text1"/>
          <w:szCs w:val="24"/>
          <w:lang w:eastAsia="en-GB"/>
        </w:rPr>
      </w:pPr>
    </w:p>
    <w:p w14:paraId="155BE01D" w14:textId="77777777" w:rsidR="00056D43" w:rsidRDefault="00056D43" w:rsidP="003723B8">
      <w:pPr>
        <w:spacing w:line="360" w:lineRule="auto"/>
        <w:rPr>
          <w:rFonts w:eastAsia="Times New Roman" w:cs="Times New Roman"/>
          <w:color w:val="000000" w:themeColor="text1"/>
          <w:szCs w:val="24"/>
          <w:lang w:eastAsia="en-GB"/>
        </w:rPr>
      </w:pPr>
    </w:p>
    <w:p w14:paraId="4AB6A6A9" w14:textId="77777777" w:rsidR="00895D0B" w:rsidRPr="00895D0B" w:rsidRDefault="00895D0B" w:rsidP="003723B8">
      <w:pPr>
        <w:spacing w:line="360" w:lineRule="auto"/>
        <w:rPr>
          <w:rFonts w:eastAsia="Times New Roman" w:cs="Times New Roman"/>
          <w:color w:val="000000" w:themeColor="text1"/>
          <w:szCs w:val="24"/>
          <w:lang w:eastAsia="en-GB"/>
        </w:rPr>
      </w:pPr>
    </w:p>
    <w:p w14:paraId="315CFFA8" w14:textId="52227334" w:rsidR="001B4ED5" w:rsidRPr="00895D0B" w:rsidRDefault="006B41C0" w:rsidP="00056D43">
      <w:pPr>
        <w:pStyle w:val="Heading6"/>
      </w:pPr>
      <w:bookmarkStart w:id="109" w:name="_Toc148890635"/>
      <w:bookmarkStart w:id="110" w:name="_Toc167368592"/>
      <w:r w:rsidRPr="00895D0B">
        <w:lastRenderedPageBreak/>
        <w:t>Table 4.</w:t>
      </w:r>
      <w:r w:rsidR="00895D0B" w:rsidRPr="00895D0B">
        <w:fldChar w:fldCharType="begin"/>
      </w:r>
      <w:r w:rsidR="00895D0B" w:rsidRPr="00895D0B">
        <w:instrText xml:space="preserve"> SEQ Table_4. \* ARABIC </w:instrText>
      </w:r>
      <w:r w:rsidR="00895D0B" w:rsidRPr="00895D0B">
        <w:fldChar w:fldCharType="separate"/>
      </w:r>
      <w:r w:rsidR="0026489B">
        <w:rPr>
          <w:noProof/>
        </w:rPr>
        <w:t>4</w:t>
      </w:r>
      <w:r w:rsidR="00895D0B" w:rsidRPr="00895D0B">
        <w:fldChar w:fldCharType="end"/>
      </w:r>
      <w:r w:rsidRPr="00895D0B">
        <w:t xml:space="preserve">: </w:t>
      </w:r>
      <w:r w:rsidR="00FB2A74" w:rsidRPr="00895D0B">
        <w:t>Relationship between</w:t>
      </w:r>
      <w:r w:rsidRPr="00895D0B">
        <w:t xml:space="preserve"> Crop and Animals Types</w:t>
      </w:r>
      <w:r w:rsidR="00FB2A74" w:rsidRPr="00895D0B">
        <w:t xml:space="preserve"> by Residential </w:t>
      </w:r>
      <w:r w:rsidRPr="00895D0B">
        <w:t>Class</w:t>
      </w:r>
      <w:bookmarkEnd w:id="109"/>
      <w:bookmarkEnd w:id="110"/>
    </w:p>
    <w:tbl>
      <w:tblPr>
        <w:tblW w:w="0" w:type="auto"/>
        <w:tblLook w:val="04A0" w:firstRow="1" w:lastRow="0" w:firstColumn="1" w:lastColumn="0" w:noHBand="0" w:noVBand="1"/>
      </w:tblPr>
      <w:tblGrid>
        <w:gridCol w:w="1056"/>
        <w:gridCol w:w="898"/>
        <w:gridCol w:w="1276"/>
        <w:gridCol w:w="1396"/>
        <w:gridCol w:w="1276"/>
        <w:gridCol w:w="2237"/>
      </w:tblGrid>
      <w:tr w:rsidR="00895D0B" w:rsidRPr="00895D0B" w14:paraId="1BE50ED3" w14:textId="77777777">
        <w:tc>
          <w:tcPr>
            <w:tcW w:w="1954" w:type="dxa"/>
            <w:gridSpan w:val="2"/>
            <w:tcBorders>
              <w:top w:val="single" w:sz="4" w:space="0" w:color="auto"/>
              <w:bottom w:val="single" w:sz="4" w:space="0" w:color="auto"/>
            </w:tcBorders>
          </w:tcPr>
          <w:p w14:paraId="57C8A3CD" w14:textId="77777777" w:rsidR="001B4ED5" w:rsidRPr="00895D0B" w:rsidRDefault="006B41C0" w:rsidP="00466F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Type of crop cultivated</w:t>
            </w:r>
          </w:p>
        </w:tc>
        <w:tc>
          <w:tcPr>
            <w:tcW w:w="5478" w:type="dxa"/>
            <w:gridSpan w:val="4"/>
            <w:tcBorders>
              <w:top w:val="single" w:sz="4" w:space="0" w:color="auto"/>
              <w:bottom w:val="single" w:sz="4" w:space="0" w:color="auto"/>
            </w:tcBorders>
          </w:tcPr>
          <w:p w14:paraId="4740CC29" w14:textId="7678DED2" w:rsidR="001B4ED5" w:rsidRPr="00895D0B" w:rsidRDefault="00FB2A74"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 xml:space="preserve">Urban </w:t>
            </w:r>
            <w:r w:rsidR="006B41C0" w:rsidRPr="00895D0B">
              <w:rPr>
                <w:rFonts w:cs="Times New Roman"/>
                <w:b/>
                <w:color w:val="000000" w:themeColor="text1"/>
                <w:szCs w:val="24"/>
              </w:rPr>
              <w:t>Residential class</w:t>
            </w:r>
          </w:p>
        </w:tc>
      </w:tr>
      <w:tr w:rsidR="00895D0B" w:rsidRPr="00895D0B" w14:paraId="70AFF87C" w14:textId="77777777">
        <w:tc>
          <w:tcPr>
            <w:tcW w:w="1056" w:type="dxa"/>
            <w:vMerge w:val="restart"/>
            <w:tcBorders>
              <w:top w:val="single" w:sz="4" w:space="0" w:color="auto"/>
            </w:tcBorders>
          </w:tcPr>
          <w:p w14:paraId="3D766488"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Beans </w:t>
            </w:r>
          </w:p>
        </w:tc>
        <w:tc>
          <w:tcPr>
            <w:tcW w:w="898" w:type="dxa"/>
            <w:tcBorders>
              <w:top w:val="single" w:sz="4" w:space="0" w:color="auto"/>
            </w:tcBorders>
          </w:tcPr>
          <w:p w14:paraId="01FB91DF"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1047" w:type="dxa"/>
            <w:tcBorders>
              <w:top w:val="single" w:sz="4" w:space="0" w:color="auto"/>
              <w:bottom w:val="single" w:sz="4" w:space="0" w:color="auto"/>
            </w:tcBorders>
          </w:tcPr>
          <w:p w14:paraId="2B17D109" w14:textId="77777777" w:rsidR="001B4ED5" w:rsidRPr="00895D0B" w:rsidRDefault="006B41C0" w:rsidP="00466FC0">
            <w:pPr>
              <w:autoSpaceDE w:val="0"/>
              <w:autoSpaceDN w:val="0"/>
              <w:adjustRightInd w:val="0"/>
              <w:spacing w:line="240" w:lineRule="auto"/>
              <w:jc w:val="center"/>
              <w:rPr>
                <w:rFonts w:cs="Times New Roman"/>
                <w:i/>
                <w:color w:val="000000" w:themeColor="text1"/>
                <w:szCs w:val="24"/>
              </w:rPr>
            </w:pPr>
            <w:r w:rsidRPr="00895D0B">
              <w:rPr>
                <w:rFonts w:cs="Times New Roman"/>
                <w:i/>
                <w:color w:val="000000" w:themeColor="text1"/>
                <w:szCs w:val="24"/>
              </w:rPr>
              <w:t>High</w:t>
            </w:r>
          </w:p>
        </w:tc>
        <w:tc>
          <w:tcPr>
            <w:tcW w:w="1147" w:type="dxa"/>
            <w:tcBorders>
              <w:top w:val="single" w:sz="4" w:space="0" w:color="auto"/>
              <w:bottom w:val="single" w:sz="4" w:space="0" w:color="auto"/>
            </w:tcBorders>
          </w:tcPr>
          <w:p w14:paraId="4BBB0284" w14:textId="77777777" w:rsidR="001B4ED5" w:rsidRPr="00895D0B" w:rsidRDefault="006B41C0" w:rsidP="00466FC0">
            <w:pPr>
              <w:autoSpaceDE w:val="0"/>
              <w:autoSpaceDN w:val="0"/>
              <w:adjustRightInd w:val="0"/>
              <w:spacing w:line="240" w:lineRule="auto"/>
              <w:jc w:val="center"/>
              <w:rPr>
                <w:rFonts w:cs="Times New Roman"/>
                <w:i/>
                <w:color w:val="000000" w:themeColor="text1"/>
                <w:szCs w:val="24"/>
              </w:rPr>
            </w:pPr>
            <w:r w:rsidRPr="00895D0B">
              <w:rPr>
                <w:rFonts w:cs="Times New Roman"/>
                <w:i/>
                <w:color w:val="000000" w:themeColor="text1"/>
                <w:szCs w:val="24"/>
              </w:rPr>
              <w:t>Medium</w:t>
            </w:r>
          </w:p>
        </w:tc>
        <w:tc>
          <w:tcPr>
            <w:tcW w:w="1047" w:type="dxa"/>
            <w:tcBorders>
              <w:top w:val="single" w:sz="4" w:space="0" w:color="auto"/>
              <w:bottom w:val="single" w:sz="4" w:space="0" w:color="auto"/>
            </w:tcBorders>
          </w:tcPr>
          <w:p w14:paraId="605C4DEE" w14:textId="77777777" w:rsidR="001B4ED5" w:rsidRPr="00895D0B" w:rsidRDefault="006B41C0" w:rsidP="00466FC0">
            <w:pPr>
              <w:autoSpaceDE w:val="0"/>
              <w:autoSpaceDN w:val="0"/>
              <w:adjustRightInd w:val="0"/>
              <w:spacing w:line="240" w:lineRule="auto"/>
              <w:jc w:val="center"/>
              <w:rPr>
                <w:rFonts w:cs="Times New Roman"/>
                <w:i/>
                <w:color w:val="000000" w:themeColor="text1"/>
                <w:szCs w:val="24"/>
              </w:rPr>
            </w:pPr>
            <w:r w:rsidRPr="00895D0B">
              <w:rPr>
                <w:rFonts w:cs="Times New Roman"/>
                <w:i/>
                <w:color w:val="000000" w:themeColor="text1"/>
                <w:szCs w:val="24"/>
              </w:rPr>
              <w:t>Low</w:t>
            </w:r>
          </w:p>
        </w:tc>
        <w:tc>
          <w:tcPr>
            <w:tcW w:w="2237" w:type="dxa"/>
            <w:tcBorders>
              <w:top w:val="single" w:sz="4" w:space="0" w:color="auto"/>
              <w:bottom w:val="single" w:sz="4" w:space="0" w:color="auto"/>
            </w:tcBorders>
          </w:tcPr>
          <w:p w14:paraId="50268458" w14:textId="77777777" w:rsidR="001B4ED5" w:rsidRPr="00895D0B" w:rsidRDefault="006B41C0" w:rsidP="00466FC0">
            <w:pPr>
              <w:autoSpaceDE w:val="0"/>
              <w:autoSpaceDN w:val="0"/>
              <w:adjustRightInd w:val="0"/>
              <w:spacing w:line="240" w:lineRule="auto"/>
              <w:jc w:val="center"/>
              <w:rPr>
                <w:rFonts w:cs="Times New Roman"/>
                <w:i/>
                <w:color w:val="000000" w:themeColor="text1"/>
                <w:szCs w:val="24"/>
              </w:rPr>
            </w:pPr>
            <w:r w:rsidRPr="00895D0B">
              <w:rPr>
                <w:rFonts w:cs="Times New Roman"/>
                <w:i/>
                <w:color w:val="000000" w:themeColor="text1"/>
                <w:szCs w:val="24"/>
              </w:rPr>
              <w:t>Total</w:t>
            </w:r>
          </w:p>
        </w:tc>
      </w:tr>
      <w:tr w:rsidR="00895D0B" w:rsidRPr="00895D0B" w14:paraId="6D402DD3" w14:textId="77777777">
        <w:tc>
          <w:tcPr>
            <w:tcW w:w="1056" w:type="dxa"/>
            <w:vMerge/>
          </w:tcPr>
          <w:p w14:paraId="29DCA90E"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898" w:type="dxa"/>
            <w:tcBorders>
              <w:top w:val="single" w:sz="4" w:space="0" w:color="auto"/>
            </w:tcBorders>
          </w:tcPr>
          <w:p w14:paraId="114E493E"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Yes </w:t>
            </w:r>
          </w:p>
        </w:tc>
        <w:tc>
          <w:tcPr>
            <w:tcW w:w="1047" w:type="dxa"/>
            <w:tcBorders>
              <w:top w:val="single" w:sz="4" w:space="0" w:color="auto"/>
            </w:tcBorders>
          </w:tcPr>
          <w:p w14:paraId="035C8A1F"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58(38.9%)</w:t>
            </w:r>
          </w:p>
        </w:tc>
        <w:tc>
          <w:tcPr>
            <w:tcW w:w="1147" w:type="dxa"/>
            <w:tcBorders>
              <w:top w:val="single" w:sz="4" w:space="0" w:color="auto"/>
            </w:tcBorders>
          </w:tcPr>
          <w:p w14:paraId="102B7C64"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64(17.7%)</w:t>
            </w:r>
          </w:p>
        </w:tc>
        <w:tc>
          <w:tcPr>
            <w:tcW w:w="1047" w:type="dxa"/>
            <w:tcBorders>
              <w:top w:val="single" w:sz="4" w:space="0" w:color="auto"/>
            </w:tcBorders>
          </w:tcPr>
          <w:p w14:paraId="6F4FB37C"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27(7.5%)</w:t>
            </w:r>
          </w:p>
        </w:tc>
        <w:tc>
          <w:tcPr>
            <w:tcW w:w="2237" w:type="dxa"/>
            <w:tcBorders>
              <w:top w:val="single" w:sz="4" w:space="0" w:color="auto"/>
            </w:tcBorders>
          </w:tcPr>
          <w:p w14:paraId="5FA58DDD"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149(87.6%)</w:t>
            </w:r>
          </w:p>
        </w:tc>
      </w:tr>
      <w:tr w:rsidR="00895D0B" w:rsidRPr="00895D0B" w14:paraId="7977E239" w14:textId="77777777">
        <w:tc>
          <w:tcPr>
            <w:tcW w:w="1056" w:type="dxa"/>
            <w:vMerge/>
          </w:tcPr>
          <w:p w14:paraId="522AEFFD"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898" w:type="dxa"/>
          </w:tcPr>
          <w:p w14:paraId="54458BF5"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No </w:t>
            </w:r>
          </w:p>
        </w:tc>
        <w:tc>
          <w:tcPr>
            <w:tcW w:w="1047" w:type="dxa"/>
          </w:tcPr>
          <w:p w14:paraId="0B17280C"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10(47.6)</w:t>
            </w:r>
          </w:p>
        </w:tc>
        <w:tc>
          <w:tcPr>
            <w:tcW w:w="1147" w:type="dxa"/>
          </w:tcPr>
          <w:p w14:paraId="1268195F"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10(2.8%)</w:t>
            </w:r>
          </w:p>
        </w:tc>
        <w:tc>
          <w:tcPr>
            <w:tcW w:w="1047" w:type="dxa"/>
          </w:tcPr>
          <w:p w14:paraId="3EA21027"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1(0.3%)</w:t>
            </w:r>
          </w:p>
        </w:tc>
        <w:tc>
          <w:tcPr>
            <w:tcW w:w="2237" w:type="dxa"/>
          </w:tcPr>
          <w:p w14:paraId="6A527C4F"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21(12.4%)</w:t>
            </w:r>
          </w:p>
        </w:tc>
      </w:tr>
      <w:tr w:rsidR="00895D0B" w:rsidRPr="00895D0B" w14:paraId="672441F4" w14:textId="77777777">
        <w:tc>
          <w:tcPr>
            <w:tcW w:w="1056" w:type="dxa"/>
            <w:vMerge/>
          </w:tcPr>
          <w:p w14:paraId="072EAAC2"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898" w:type="dxa"/>
          </w:tcPr>
          <w:p w14:paraId="2459864E" w14:textId="77777777" w:rsidR="001B4ED5" w:rsidRPr="00895D0B" w:rsidRDefault="006B41C0" w:rsidP="00466F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Total</w:t>
            </w:r>
          </w:p>
        </w:tc>
        <w:tc>
          <w:tcPr>
            <w:tcW w:w="1047" w:type="dxa"/>
          </w:tcPr>
          <w:p w14:paraId="19823029"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68(20.1%)</w:t>
            </w:r>
          </w:p>
        </w:tc>
        <w:tc>
          <w:tcPr>
            <w:tcW w:w="1147" w:type="dxa"/>
          </w:tcPr>
          <w:p w14:paraId="327E55DC"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74(20.5%)</w:t>
            </w:r>
          </w:p>
        </w:tc>
        <w:tc>
          <w:tcPr>
            <w:tcW w:w="1047" w:type="dxa"/>
          </w:tcPr>
          <w:p w14:paraId="33B09EE8"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28(7.8%)</w:t>
            </w:r>
          </w:p>
        </w:tc>
        <w:tc>
          <w:tcPr>
            <w:tcW w:w="2237" w:type="dxa"/>
          </w:tcPr>
          <w:p w14:paraId="19CCF6C9"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170 (100.0%)</w:t>
            </w:r>
          </w:p>
        </w:tc>
      </w:tr>
      <w:tr w:rsidR="00895D0B" w:rsidRPr="00895D0B" w14:paraId="10E3C41E" w14:textId="77777777">
        <w:tc>
          <w:tcPr>
            <w:tcW w:w="7432" w:type="dxa"/>
            <w:gridSpan w:val="6"/>
            <w:tcBorders>
              <w:bottom w:val="single" w:sz="4" w:space="0" w:color="auto"/>
            </w:tcBorders>
          </w:tcPr>
          <w:p w14:paraId="75030BAC" w14:textId="77777777" w:rsidR="001B4ED5" w:rsidRPr="00895D0B" w:rsidRDefault="006B41C0" w:rsidP="00466FC0">
            <w:pPr>
              <w:autoSpaceDE w:val="0"/>
              <w:autoSpaceDN w:val="0"/>
              <w:adjustRightInd w:val="0"/>
              <w:spacing w:line="240" w:lineRule="auto"/>
              <w:rPr>
                <w:rFonts w:cs="Times New Roman"/>
                <w:color w:val="000000" w:themeColor="text1"/>
                <w:szCs w:val="24"/>
              </w:rPr>
            </w:pPr>
            <m:oMathPara>
              <m:oMathParaPr>
                <m:jc m:val="left"/>
              </m:oMathParaPr>
              <m:oMath>
                <m:r>
                  <w:rPr>
                    <w:rFonts w:ascii="Cambria Math" w:hAnsi="Cambria Math" w:cs="Times New Roman"/>
                    <w:color w:val="000000" w:themeColor="text1"/>
                    <w:szCs w:val="24"/>
                    <w:lang w:bidi="en-US"/>
                  </w:rPr>
                  <m:t xml:space="preserve">N=170,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20.034, df=4, p= 0.001 and </m:t>
                </m:r>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V=0.166</m:t>
                </m:r>
              </m:oMath>
            </m:oMathPara>
          </w:p>
        </w:tc>
      </w:tr>
      <w:tr w:rsidR="00895D0B" w:rsidRPr="00895D0B" w14:paraId="5C8105EA" w14:textId="77777777">
        <w:tc>
          <w:tcPr>
            <w:tcW w:w="1056" w:type="dxa"/>
            <w:vMerge w:val="restart"/>
            <w:tcBorders>
              <w:top w:val="single" w:sz="4" w:space="0" w:color="auto"/>
            </w:tcBorders>
          </w:tcPr>
          <w:p w14:paraId="0CE7657A"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Maize </w:t>
            </w:r>
          </w:p>
        </w:tc>
        <w:tc>
          <w:tcPr>
            <w:tcW w:w="898" w:type="dxa"/>
            <w:tcBorders>
              <w:top w:val="single" w:sz="4" w:space="0" w:color="auto"/>
            </w:tcBorders>
          </w:tcPr>
          <w:p w14:paraId="242CC41A"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Yes </w:t>
            </w:r>
          </w:p>
        </w:tc>
        <w:tc>
          <w:tcPr>
            <w:tcW w:w="1047" w:type="dxa"/>
            <w:tcBorders>
              <w:top w:val="single" w:sz="4" w:space="0" w:color="auto"/>
            </w:tcBorders>
          </w:tcPr>
          <w:p w14:paraId="646BD78F"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5(3.0%)</w:t>
            </w:r>
          </w:p>
        </w:tc>
        <w:tc>
          <w:tcPr>
            <w:tcW w:w="1147" w:type="dxa"/>
            <w:tcBorders>
              <w:top w:val="single" w:sz="4" w:space="0" w:color="auto"/>
            </w:tcBorders>
          </w:tcPr>
          <w:p w14:paraId="1839790B"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6(3.6%)</w:t>
            </w:r>
          </w:p>
        </w:tc>
        <w:tc>
          <w:tcPr>
            <w:tcW w:w="1047" w:type="dxa"/>
            <w:tcBorders>
              <w:top w:val="single" w:sz="4" w:space="0" w:color="auto"/>
            </w:tcBorders>
          </w:tcPr>
          <w:p w14:paraId="6FE56AA4"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6(3.6%)</w:t>
            </w:r>
          </w:p>
        </w:tc>
        <w:tc>
          <w:tcPr>
            <w:tcW w:w="2237" w:type="dxa"/>
            <w:tcBorders>
              <w:top w:val="single" w:sz="4" w:space="0" w:color="auto"/>
            </w:tcBorders>
          </w:tcPr>
          <w:p w14:paraId="4F391900"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17(10.2%)</w:t>
            </w:r>
          </w:p>
        </w:tc>
      </w:tr>
      <w:tr w:rsidR="00895D0B" w:rsidRPr="00895D0B" w14:paraId="6399EA19" w14:textId="77777777">
        <w:tc>
          <w:tcPr>
            <w:tcW w:w="1056" w:type="dxa"/>
            <w:vMerge/>
          </w:tcPr>
          <w:p w14:paraId="5CCCD7F2"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898" w:type="dxa"/>
          </w:tcPr>
          <w:p w14:paraId="39853502"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No </w:t>
            </w:r>
          </w:p>
        </w:tc>
        <w:tc>
          <w:tcPr>
            <w:tcW w:w="1047" w:type="dxa"/>
          </w:tcPr>
          <w:p w14:paraId="464F5C40"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63(37.0%)</w:t>
            </w:r>
          </w:p>
        </w:tc>
        <w:tc>
          <w:tcPr>
            <w:tcW w:w="1147" w:type="dxa"/>
          </w:tcPr>
          <w:p w14:paraId="6D92EAE0"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68(39.9%)</w:t>
            </w:r>
          </w:p>
        </w:tc>
        <w:tc>
          <w:tcPr>
            <w:tcW w:w="1047" w:type="dxa"/>
          </w:tcPr>
          <w:p w14:paraId="3849753B"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22(12.8%)</w:t>
            </w:r>
          </w:p>
        </w:tc>
        <w:tc>
          <w:tcPr>
            <w:tcW w:w="2237" w:type="dxa"/>
          </w:tcPr>
          <w:p w14:paraId="75233AF6"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153(89.7%)</w:t>
            </w:r>
          </w:p>
        </w:tc>
      </w:tr>
      <w:tr w:rsidR="00895D0B" w:rsidRPr="00895D0B" w14:paraId="4032F340" w14:textId="77777777">
        <w:tc>
          <w:tcPr>
            <w:tcW w:w="1056" w:type="dxa"/>
            <w:vMerge/>
          </w:tcPr>
          <w:p w14:paraId="22B6AF4E"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898" w:type="dxa"/>
          </w:tcPr>
          <w:p w14:paraId="556FFE3B" w14:textId="77777777" w:rsidR="001B4ED5" w:rsidRPr="00895D0B" w:rsidRDefault="006B41C0" w:rsidP="00466F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Total</w:t>
            </w:r>
          </w:p>
        </w:tc>
        <w:tc>
          <w:tcPr>
            <w:tcW w:w="1047" w:type="dxa"/>
          </w:tcPr>
          <w:p w14:paraId="4478EE6E"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68(40.0%)</w:t>
            </w:r>
          </w:p>
        </w:tc>
        <w:tc>
          <w:tcPr>
            <w:tcW w:w="1147" w:type="dxa"/>
          </w:tcPr>
          <w:p w14:paraId="6E5FD95C"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74(43.5%)</w:t>
            </w:r>
          </w:p>
        </w:tc>
        <w:tc>
          <w:tcPr>
            <w:tcW w:w="1047" w:type="dxa"/>
          </w:tcPr>
          <w:p w14:paraId="6E2291BC"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28(16.4%)</w:t>
            </w:r>
          </w:p>
        </w:tc>
        <w:tc>
          <w:tcPr>
            <w:tcW w:w="2237" w:type="dxa"/>
          </w:tcPr>
          <w:p w14:paraId="3F3DC81E"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170(100.0%)</w:t>
            </w:r>
          </w:p>
        </w:tc>
      </w:tr>
      <w:tr w:rsidR="00895D0B" w:rsidRPr="00895D0B" w14:paraId="19EC35F4" w14:textId="77777777">
        <w:tc>
          <w:tcPr>
            <w:tcW w:w="7432" w:type="dxa"/>
            <w:gridSpan w:val="6"/>
            <w:tcBorders>
              <w:bottom w:val="single" w:sz="4" w:space="0" w:color="auto"/>
            </w:tcBorders>
          </w:tcPr>
          <w:p w14:paraId="7DAABB9B" w14:textId="77777777" w:rsidR="001B4ED5" w:rsidRPr="00895D0B" w:rsidRDefault="006B41C0" w:rsidP="00466FC0">
            <w:pPr>
              <w:autoSpaceDE w:val="0"/>
              <w:autoSpaceDN w:val="0"/>
              <w:adjustRightInd w:val="0"/>
              <w:spacing w:line="240" w:lineRule="auto"/>
              <w:rPr>
                <w:rFonts w:cs="Times New Roman"/>
                <w:color w:val="000000" w:themeColor="text1"/>
                <w:szCs w:val="24"/>
              </w:rPr>
            </w:pPr>
            <m:oMathPara>
              <m:oMathParaPr>
                <m:jc m:val="left"/>
              </m:oMathParaPr>
              <m:oMath>
                <m:r>
                  <w:rPr>
                    <w:rFonts w:ascii="Cambria Math" w:hAnsi="Cambria Math" w:cs="Times New Roman"/>
                    <w:color w:val="000000" w:themeColor="text1"/>
                    <w:szCs w:val="24"/>
                    <w:lang w:bidi="en-US"/>
                  </w:rPr>
                  <m:t xml:space="preserve">N=170,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22.216, df=4, p= 0.001 and </m:t>
                </m:r>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V=0.175</m:t>
                </m:r>
              </m:oMath>
            </m:oMathPara>
          </w:p>
        </w:tc>
      </w:tr>
      <w:tr w:rsidR="00895D0B" w:rsidRPr="00895D0B" w14:paraId="3EDDE38B" w14:textId="77777777">
        <w:tc>
          <w:tcPr>
            <w:tcW w:w="1056" w:type="dxa"/>
            <w:vMerge w:val="restart"/>
            <w:tcBorders>
              <w:top w:val="single" w:sz="4" w:space="0" w:color="auto"/>
            </w:tcBorders>
          </w:tcPr>
          <w:p w14:paraId="15DE82DF"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Cabbage </w:t>
            </w:r>
          </w:p>
        </w:tc>
        <w:tc>
          <w:tcPr>
            <w:tcW w:w="898" w:type="dxa"/>
            <w:tcBorders>
              <w:top w:val="single" w:sz="4" w:space="0" w:color="auto"/>
            </w:tcBorders>
          </w:tcPr>
          <w:p w14:paraId="144F6574"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Yes </w:t>
            </w:r>
          </w:p>
        </w:tc>
        <w:tc>
          <w:tcPr>
            <w:tcW w:w="1047" w:type="dxa"/>
            <w:tcBorders>
              <w:top w:val="single" w:sz="4" w:space="0" w:color="auto"/>
            </w:tcBorders>
          </w:tcPr>
          <w:p w14:paraId="44F3CEB5"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67(28.2%)</w:t>
            </w:r>
          </w:p>
        </w:tc>
        <w:tc>
          <w:tcPr>
            <w:tcW w:w="1147" w:type="dxa"/>
            <w:tcBorders>
              <w:top w:val="single" w:sz="4" w:space="0" w:color="auto"/>
            </w:tcBorders>
          </w:tcPr>
          <w:p w14:paraId="584DDF1A"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71(29.9%)</w:t>
            </w:r>
          </w:p>
        </w:tc>
        <w:tc>
          <w:tcPr>
            <w:tcW w:w="1047" w:type="dxa"/>
            <w:tcBorders>
              <w:top w:val="single" w:sz="4" w:space="0" w:color="auto"/>
            </w:tcBorders>
          </w:tcPr>
          <w:p w14:paraId="3E74D11F"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27(11.3%)</w:t>
            </w:r>
          </w:p>
        </w:tc>
        <w:tc>
          <w:tcPr>
            <w:tcW w:w="2237" w:type="dxa"/>
            <w:tcBorders>
              <w:top w:val="single" w:sz="4" w:space="0" w:color="auto"/>
            </w:tcBorders>
          </w:tcPr>
          <w:p w14:paraId="22876296"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165(69.4%)</w:t>
            </w:r>
          </w:p>
        </w:tc>
      </w:tr>
      <w:tr w:rsidR="00895D0B" w:rsidRPr="00895D0B" w14:paraId="0D657032" w14:textId="77777777">
        <w:tc>
          <w:tcPr>
            <w:tcW w:w="1056" w:type="dxa"/>
            <w:vMerge/>
          </w:tcPr>
          <w:p w14:paraId="616F172C"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898" w:type="dxa"/>
          </w:tcPr>
          <w:p w14:paraId="7DD8DE5A"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No </w:t>
            </w:r>
          </w:p>
        </w:tc>
        <w:tc>
          <w:tcPr>
            <w:tcW w:w="1047" w:type="dxa"/>
          </w:tcPr>
          <w:p w14:paraId="03D72E11"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1(6.12%)</w:t>
            </w:r>
          </w:p>
        </w:tc>
        <w:tc>
          <w:tcPr>
            <w:tcW w:w="1147" w:type="dxa"/>
          </w:tcPr>
          <w:p w14:paraId="710EEFF4"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3(18.3)</w:t>
            </w:r>
          </w:p>
        </w:tc>
        <w:tc>
          <w:tcPr>
            <w:tcW w:w="1047" w:type="dxa"/>
          </w:tcPr>
          <w:p w14:paraId="6518632B"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1(6.12%)</w:t>
            </w:r>
          </w:p>
        </w:tc>
        <w:tc>
          <w:tcPr>
            <w:tcW w:w="2237" w:type="dxa"/>
          </w:tcPr>
          <w:p w14:paraId="73A14874"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5(30.6%)</w:t>
            </w:r>
          </w:p>
        </w:tc>
      </w:tr>
      <w:tr w:rsidR="00895D0B" w:rsidRPr="00895D0B" w14:paraId="20532ADE" w14:textId="77777777">
        <w:tc>
          <w:tcPr>
            <w:tcW w:w="1056" w:type="dxa"/>
            <w:vMerge/>
          </w:tcPr>
          <w:p w14:paraId="078DF0EE"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898" w:type="dxa"/>
          </w:tcPr>
          <w:p w14:paraId="6B6087DD" w14:textId="77777777" w:rsidR="001B4ED5" w:rsidRPr="00895D0B" w:rsidRDefault="006B41C0" w:rsidP="00466F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Total</w:t>
            </w:r>
          </w:p>
        </w:tc>
        <w:tc>
          <w:tcPr>
            <w:tcW w:w="1047" w:type="dxa"/>
          </w:tcPr>
          <w:p w14:paraId="71492C55"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68(34.3%)</w:t>
            </w:r>
          </w:p>
        </w:tc>
        <w:tc>
          <w:tcPr>
            <w:tcW w:w="1147" w:type="dxa"/>
          </w:tcPr>
          <w:p w14:paraId="1F36AD3F"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186(48.2%)</w:t>
            </w:r>
          </w:p>
        </w:tc>
        <w:tc>
          <w:tcPr>
            <w:tcW w:w="1047" w:type="dxa"/>
          </w:tcPr>
          <w:p w14:paraId="0FA100D0"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70(17.5%)</w:t>
            </w:r>
          </w:p>
        </w:tc>
        <w:tc>
          <w:tcPr>
            <w:tcW w:w="2237" w:type="dxa"/>
          </w:tcPr>
          <w:p w14:paraId="2EA8E482"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170(100.0%)</w:t>
            </w:r>
          </w:p>
        </w:tc>
      </w:tr>
      <w:tr w:rsidR="00895D0B" w:rsidRPr="00895D0B" w14:paraId="6BBA4598" w14:textId="77777777">
        <w:tc>
          <w:tcPr>
            <w:tcW w:w="7432" w:type="dxa"/>
            <w:gridSpan w:val="6"/>
            <w:tcBorders>
              <w:bottom w:val="single" w:sz="4" w:space="0" w:color="auto"/>
            </w:tcBorders>
          </w:tcPr>
          <w:p w14:paraId="31A03FBF" w14:textId="77777777" w:rsidR="001B4ED5" w:rsidRPr="00895D0B" w:rsidRDefault="006B41C0" w:rsidP="00466FC0">
            <w:pPr>
              <w:autoSpaceDE w:val="0"/>
              <w:autoSpaceDN w:val="0"/>
              <w:adjustRightInd w:val="0"/>
              <w:spacing w:line="240" w:lineRule="auto"/>
              <w:rPr>
                <w:rFonts w:cs="Times New Roman"/>
                <w:color w:val="000000" w:themeColor="text1"/>
                <w:szCs w:val="24"/>
              </w:rPr>
            </w:pPr>
            <m:oMathPara>
              <m:oMathParaPr>
                <m:jc m:val="left"/>
              </m:oMathParaPr>
              <m:oMath>
                <m:r>
                  <w:rPr>
                    <w:rFonts w:ascii="Cambria Math" w:hAnsi="Cambria Math" w:cs="Times New Roman"/>
                    <w:color w:val="000000" w:themeColor="text1"/>
                    <w:szCs w:val="24"/>
                    <w:lang w:bidi="en-US"/>
                  </w:rPr>
                  <m:t xml:space="preserve">N=170,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=18.792, df=4, p= 0.001 and </m:t>
                </m:r>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V=0.161</m:t>
                </m:r>
              </m:oMath>
            </m:oMathPara>
          </w:p>
        </w:tc>
      </w:tr>
      <w:tr w:rsidR="00895D0B" w:rsidRPr="00895D0B" w14:paraId="0B9C7B44" w14:textId="77777777">
        <w:tc>
          <w:tcPr>
            <w:tcW w:w="1954" w:type="dxa"/>
            <w:gridSpan w:val="2"/>
            <w:tcBorders>
              <w:top w:val="single" w:sz="4" w:space="0" w:color="auto"/>
            </w:tcBorders>
          </w:tcPr>
          <w:p w14:paraId="640CD5CC" w14:textId="77777777" w:rsidR="001B4ED5" w:rsidRPr="00895D0B" w:rsidRDefault="006B41C0" w:rsidP="00466F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Type of animals</w:t>
            </w:r>
          </w:p>
        </w:tc>
        <w:tc>
          <w:tcPr>
            <w:tcW w:w="1047" w:type="dxa"/>
            <w:tcBorders>
              <w:top w:val="single" w:sz="4" w:space="0" w:color="auto"/>
            </w:tcBorders>
          </w:tcPr>
          <w:p w14:paraId="5B72DD6E"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1147" w:type="dxa"/>
            <w:tcBorders>
              <w:top w:val="single" w:sz="4" w:space="0" w:color="auto"/>
            </w:tcBorders>
          </w:tcPr>
          <w:p w14:paraId="60A5BB7F"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1047" w:type="dxa"/>
            <w:tcBorders>
              <w:top w:val="single" w:sz="4" w:space="0" w:color="auto"/>
            </w:tcBorders>
          </w:tcPr>
          <w:p w14:paraId="5116DE9D"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2237" w:type="dxa"/>
            <w:tcBorders>
              <w:top w:val="single" w:sz="4" w:space="0" w:color="auto"/>
            </w:tcBorders>
          </w:tcPr>
          <w:p w14:paraId="756700F4"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r>
      <w:tr w:rsidR="00895D0B" w:rsidRPr="00895D0B" w14:paraId="2BEFCD5F" w14:textId="77777777">
        <w:tc>
          <w:tcPr>
            <w:tcW w:w="1056" w:type="dxa"/>
            <w:vMerge w:val="restart"/>
          </w:tcPr>
          <w:p w14:paraId="0D31A577"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Chicken </w:t>
            </w:r>
          </w:p>
        </w:tc>
        <w:tc>
          <w:tcPr>
            <w:tcW w:w="898" w:type="dxa"/>
          </w:tcPr>
          <w:p w14:paraId="44A57DD4"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Yes</w:t>
            </w:r>
          </w:p>
        </w:tc>
        <w:tc>
          <w:tcPr>
            <w:tcW w:w="1047" w:type="dxa"/>
          </w:tcPr>
          <w:p w14:paraId="1BD8FF51"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18(35.3%)</w:t>
            </w:r>
          </w:p>
        </w:tc>
        <w:tc>
          <w:tcPr>
            <w:tcW w:w="1147" w:type="dxa"/>
          </w:tcPr>
          <w:p w14:paraId="6EC77CF9"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17(33.3%)</w:t>
            </w:r>
          </w:p>
        </w:tc>
        <w:tc>
          <w:tcPr>
            <w:tcW w:w="1047" w:type="dxa"/>
          </w:tcPr>
          <w:p w14:paraId="76123F49"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5(9.9%)</w:t>
            </w:r>
          </w:p>
        </w:tc>
        <w:tc>
          <w:tcPr>
            <w:tcW w:w="2237" w:type="dxa"/>
          </w:tcPr>
          <w:p w14:paraId="3512C3D7"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14(27.4%)</w:t>
            </w:r>
          </w:p>
        </w:tc>
      </w:tr>
      <w:tr w:rsidR="00895D0B" w:rsidRPr="00895D0B" w14:paraId="51F863A1" w14:textId="77777777">
        <w:tc>
          <w:tcPr>
            <w:tcW w:w="1056" w:type="dxa"/>
            <w:vMerge/>
          </w:tcPr>
          <w:p w14:paraId="29A68D2E"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898" w:type="dxa"/>
          </w:tcPr>
          <w:p w14:paraId="7582E51D"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No </w:t>
            </w:r>
          </w:p>
        </w:tc>
        <w:tc>
          <w:tcPr>
            <w:tcW w:w="1047" w:type="dxa"/>
          </w:tcPr>
          <w:p w14:paraId="399C8DB6"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6(11.7%)</w:t>
            </w:r>
          </w:p>
        </w:tc>
        <w:tc>
          <w:tcPr>
            <w:tcW w:w="1147" w:type="dxa"/>
          </w:tcPr>
          <w:p w14:paraId="45F5427A"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3(5.8%)</w:t>
            </w:r>
          </w:p>
        </w:tc>
        <w:tc>
          <w:tcPr>
            <w:tcW w:w="1047" w:type="dxa"/>
          </w:tcPr>
          <w:p w14:paraId="6D042779"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2(3.9%)</w:t>
            </w:r>
          </w:p>
        </w:tc>
        <w:tc>
          <w:tcPr>
            <w:tcW w:w="2237" w:type="dxa"/>
          </w:tcPr>
          <w:p w14:paraId="536B2F0A"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37(72.6%)</w:t>
            </w:r>
          </w:p>
        </w:tc>
      </w:tr>
      <w:tr w:rsidR="00895D0B" w:rsidRPr="00895D0B" w14:paraId="4110B568" w14:textId="77777777">
        <w:tc>
          <w:tcPr>
            <w:tcW w:w="1056" w:type="dxa"/>
            <w:vMerge/>
          </w:tcPr>
          <w:p w14:paraId="4112FEE4"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898" w:type="dxa"/>
          </w:tcPr>
          <w:p w14:paraId="10C93DC8" w14:textId="77777777" w:rsidR="001B4ED5" w:rsidRPr="00895D0B" w:rsidRDefault="006B41C0" w:rsidP="00466F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Total</w:t>
            </w:r>
          </w:p>
        </w:tc>
        <w:tc>
          <w:tcPr>
            <w:tcW w:w="1047" w:type="dxa"/>
          </w:tcPr>
          <w:p w14:paraId="1353EA0A"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24(49.0%)</w:t>
            </w:r>
          </w:p>
        </w:tc>
        <w:tc>
          <w:tcPr>
            <w:tcW w:w="1147" w:type="dxa"/>
          </w:tcPr>
          <w:p w14:paraId="154646F2"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20(39.1%)</w:t>
            </w:r>
          </w:p>
        </w:tc>
        <w:tc>
          <w:tcPr>
            <w:tcW w:w="1047" w:type="dxa"/>
          </w:tcPr>
          <w:p w14:paraId="441C6610"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7(13.8%)</w:t>
            </w:r>
          </w:p>
        </w:tc>
        <w:tc>
          <w:tcPr>
            <w:tcW w:w="2237" w:type="dxa"/>
          </w:tcPr>
          <w:p w14:paraId="10845DD7"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51(100.0%)</w:t>
            </w:r>
          </w:p>
        </w:tc>
      </w:tr>
      <w:tr w:rsidR="00895D0B" w:rsidRPr="00895D0B" w14:paraId="2275E3A9" w14:textId="77777777">
        <w:tc>
          <w:tcPr>
            <w:tcW w:w="7432" w:type="dxa"/>
            <w:gridSpan w:val="6"/>
            <w:tcBorders>
              <w:bottom w:val="single" w:sz="4" w:space="0" w:color="auto"/>
            </w:tcBorders>
          </w:tcPr>
          <w:p w14:paraId="390C2861"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m:oMathPara>
              <m:oMathParaPr>
                <m:jc m:val="left"/>
              </m:oMathParaPr>
              <m:oMath>
                <m:r>
                  <w:rPr>
                    <w:rFonts w:ascii="Cambria Math" w:hAnsi="Cambria Math" w:cs="Times New Roman"/>
                    <w:color w:val="000000" w:themeColor="text1"/>
                    <w:szCs w:val="24"/>
                    <w:lang w:bidi="en-US"/>
                  </w:rPr>
                  <m:t xml:space="preserve">N=51,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=15.213, df=4, p= 0.004 and </m:t>
                </m:r>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V=0.145</m:t>
                </m:r>
              </m:oMath>
            </m:oMathPara>
          </w:p>
        </w:tc>
      </w:tr>
      <w:tr w:rsidR="00895D0B" w:rsidRPr="00895D0B" w14:paraId="481AA288" w14:textId="77777777">
        <w:tc>
          <w:tcPr>
            <w:tcW w:w="1056" w:type="dxa"/>
            <w:vMerge w:val="restart"/>
            <w:tcBorders>
              <w:top w:val="single" w:sz="4" w:space="0" w:color="auto"/>
            </w:tcBorders>
          </w:tcPr>
          <w:p w14:paraId="1FAB9CBE"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Sheep </w:t>
            </w:r>
          </w:p>
        </w:tc>
        <w:tc>
          <w:tcPr>
            <w:tcW w:w="898" w:type="dxa"/>
            <w:tcBorders>
              <w:top w:val="single" w:sz="4" w:space="0" w:color="auto"/>
            </w:tcBorders>
          </w:tcPr>
          <w:p w14:paraId="15A8F067"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Yes</w:t>
            </w:r>
          </w:p>
        </w:tc>
        <w:tc>
          <w:tcPr>
            <w:tcW w:w="1047" w:type="dxa"/>
            <w:tcBorders>
              <w:top w:val="single" w:sz="4" w:space="0" w:color="auto"/>
            </w:tcBorders>
          </w:tcPr>
          <w:p w14:paraId="0D1B6EEC"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17(33.2%)</w:t>
            </w:r>
          </w:p>
        </w:tc>
        <w:tc>
          <w:tcPr>
            <w:tcW w:w="1147" w:type="dxa"/>
            <w:tcBorders>
              <w:top w:val="single" w:sz="4" w:space="0" w:color="auto"/>
            </w:tcBorders>
          </w:tcPr>
          <w:p w14:paraId="707AFC7E"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8(15.6%)</w:t>
            </w:r>
          </w:p>
        </w:tc>
        <w:tc>
          <w:tcPr>
            <w:tcW w:w="1047" w:type="dxa"/>
            <w:tcBorders>
              <w:top w:val="single" w:sz="4" w:space="0" w:color="auto"/>
            </w:tcBorders>
          </w:tcPr>
          <w:p w14:paraId="393566C9"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4(7.8%)</w:t>
            </w:r>
          </w:p>
        </w:tc>
        <w:tc>
          <w:tcPr>
            <w:tcW w:w="2237" w:type="dxa"/>
            <w:tcBorders>
              <w:top w:val="single" w:sz="4" w:space="0" w:color="auto"/>
            </w:tcBorders>
          </w:tcPr>
          <w:p w14:paraId="50B4EDFB"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29(56.8%)</w:t>
            </w:r>
          </w:p>
        </w:tc>
      </w:tr>
      <w:tr w:rsidR="00895D0B" w:rsidRPr="00895D0B" w14:paraId="5BAFAFE7" w14:textId="77777777">
        <w:tc>
          <w:tcPr>
            <w:tcW w:w="1056" w:type="dxa"/>
            <w:vMerge/>
          </w:tcPr>
          <w:p w14:paraId="40DA07E9"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898" w:type="dxa"/>
          </w:tcPr>
          <w:p w14:paraId="076E3A95"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No </w:t>
            </w:r>
          </w:p>
        </w:tc>
        <w:tc>
          <w:tcPr>
            <w:tcW w:w="1047" w:type="dxa"/>
          </w:tcPr>
          <w:p w14:paraId="2ACA1DCD"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7(13.9%)</w:t>
            </w:r>
          </w:p>
        </w:tc>
        <w:tc>
          <w:tcPr>
            <w:tcW w:w="1147" w:type="dxa"/>
          </w:tcPr>
          <w:p w14:paraId="26E619BD"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12(23.5%)</w:t>
            </w:r>
          </w:p>
        </w:tc>
        <w:tc>
          <w:tcPr>
            <w:tcW w:w="1047" w:type="dxa"/>
          </w:tcPr>
          <w:p w14:paraId="64764073"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3(0.8%)</w:t>
            </w:r>
          </w:p>
        </w:tc>
        <w:tc>
          <w:tcPr>
            <w:tcW w:w="2237" w:type="dxa"/>
          </w:tcPr>
          <w:p w14:paraId="27935EFC" w14:textId="77777777" w:rsidR="001B4ED5" w:rsidRPr="00895D0B" w:rsidRDefault="006B41C0" w:rsidP="00466FC0">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22(43.2%)</w:t>
            </w:r>
          </w:p>
        </w:tc>
      </w:tr>
      <w:tr w:rsidR="00895D0B" w:rsidRPr="00895D0B" w14:paraId="73DBF8E3" w14:textId="77777777">
        <w:tc>
          <w:tcPr>
            <w:tcW w:w="1056" w:type="dxa"/>
            <w:vMerge/>
          </w:tcPr>
          <w:p w14:paraId="7DFC2042" w14:textId="77777777" w:rsidR="001B4ED5" w:rsidRPr="00895D0B" w:rsidRDefault="001B4ED5" w:rsidP="00466FC0">
            <w:pPr>
              <w:autoSpaceDE w:val="0"/>
              <w:autoSpaceDN w:val="0"/>
              <w:adjustRightInd w:val="0"/>
              <w:spacing w:line="240" w:lineRule="auto"/>
              <w:rPr>
                <w:rFonts w:cs="Times New Roman"/>
                <w:color w:val="000000" w:themeColor="text1"/>
                <w:szCs w:val="24"/>
              </w:rPr>
            </w:pPr>
          </w:p>
        </w:tc>
        <w:tc>
          <w:tcPr>
            <w:tcW w:w="898" w:type="dxa"/>
          </w:tcPr>
          <w:p w14:paraId="4C6E8108" w14:textId="77777777" w:rsidR="001B4ED5" w:rsidRPr="00895D0B" w:rsidRDefault="006B41C0" w:rsidP="00466F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Total</w:t>
            </w:r>
          </w:p>
        </w:tc>
        <w:tc>
          <w:tcPr>
            <w:tcW w:w="1047" w:type="dxa"/>
          </w:tcPr>
          <w:p w14:paraId="4658EFE4"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24(47.1%)</w:t>
            </w:r>
          </w:p>
        </w:tc>
        <w:tc>
          <w:tcPr>
            <w:tcW w:w="1147" w:type="dxa"/>
          </w:tcPr>
          <w:p w14:paraId="5CF7CB74"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20(39.1%)</w:t>
            </w:r>
          </w:p>
        </w:tc>
        <w:tc>
          <w:tcPr>
            <w:tcW w:w="1047" w:type="dxa"/>
          </w:tcPr>
          <w:p w14:paraId="294501E0"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7(8.6%)</w:t>
            </w:r>
          </w:p>
        </w:tc>
        <w:tc>
          <w:tcPr>
            <w:tcW w:w="2237" w:type="dxa"/>
          </w:tcPr>
          <w:p w14:paraId="5765B4F5" w14:textId="77777777" w:rsidR="001B4ED5" w:rsidRPr="00895D0B" w:rsidRDefault="006B41C0" w:rsidP="00466F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51(100.0%)</w:t>
            </w:r>
          </w:p>
        </w:tc>
      </w:tr>
      <w:tr w:rsidR="00895D0B" w:rsidRPr="00895D0B" w14:paraId="594D9890" w14:textId="77777777">
        <w:tc>
          <w:tcPr>
            <w:tcW w:w="7432" w:type="dxa"/>
            <w:gridSpan w:val="6"/>
            <w:tcBorders>
              <w:bottom w:val="single" w:sz="4" w:space="0" w:color="auto"/>
            </w:tcBorders>
          </w:tcPr>
          <w:p w14:paraId="58E80D28" w14:textId="77777777" w:rsidR="001B4ED5" w:rsidRPr="00895D0B" w:rsidRDefault="006B41C0" w:rsidP="00466FC0">
            <w:pPr>
              <w:autoSpaceDE w:val="0"/>
              <w:autoSpaceDN w:val="0"/>
              <w:adjustRightInd w:val="0"/>
              <w:spacing w:line="240" w:lineRule="auto"/>
              <w:rPr>
                <w:rFonts w:cs="Times New Roman"/>
                <w:color w:val="000000" w:themeColor="text1"/>
                <w:szCs w:val="24"/>
              </w:rPr>
            </w:pPr>
            <m:oMathPara>
              <m:oMathParaPr>
                <m:jc m:val="left"/>
              </m:oMathParaPr>
              <m:oMath>
                <m:r>
                  <w:rPr>
                    <w:rFonts w:ascii="Cambria Math" w:hAnsi="Cambria Math" w:cs="Times New Roman"/>
                    <w:color w:val="000000" w:themeColor="text1"/>
                    <w:szCs w:val="24"/>
                    <w:lang w:bidi="en-US"/>
                  </w:rPr>
                  <m:t xml:space="preserve">N=51,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=13.922, df=4, p= 0.008 and </m:t>
                </m:r>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V=0.139</m:t>
                </m:r>
              </m:oMath>
            </m:oMathPara>
          </w:p>
        </w:tc>
      </w:tr>
      <w:tr w:rsidR="00895D0B" w:rsidRPr="00895D0B" w14:paraId="302E5DEC" w14:textId="77777777">
        <w:tc>
          <w:tcPr>
            <w:tcW w:w="7432" w:type="dxa"/>
            <w:gridSpan w:val="6"/>
            <w:tcBorders>
              <w:top w:val="single" w:sz="4" w:space="0" w:color="auto"/>
            </w:tcBorders>
          </w:tcPr>
          <w:p w14:paraId="10E2AEC5" w14:textId="6B6FB510" w:rsidR="001B4ED5" w:rsidRPr="00895D0B" w:rsidRDefault="006B41C0" w:rsidP="00466FC0">
            <w:pPr>
              <w:spacing w:line="240" w:lineRule="auto"/>
              <w:rPr>
                <w:rFonts w:eastAsia="Calibri" w:cs="Times New Roman"/>
                <w:color w:val="000000" w:themeColor="text1"/>
                <w:szCs w:val="24"/>
                <w:lang w:bidi="en-US"/>
              </w:rPr>
            </w:pPr>
            <w:r w:rsidRPr="00895D0B">
              <w:rPr>
                <w:rFonts w:eastAsia="Calibri" w:cs="Times New Roman"/>
                <w:color w:val="000000" w:themeColor="text1"/>
                <w:szCs w:val="24"/>
                <w:lang w:bidi="en-US"/>
              </w:rPr>
              <w:t xml:space="preserve">***Cramer’s V &gt; 0.25, strong relationship; Cramer’s V &gt; 0.10, moderate relationship; Cramer’s V &gt; 0.05, weak relationship and Cramer’s V &gt; 0, no or very weak relationship </w:t>
            </w:r>
          </w:p>
          <w:p w14:paraId="635788F7" w14:textId="77777777" w:rsidR="001B4ED5" w:rsidRPr="00895D0B" w:rsidRDefault="006B41C0" w:rsidP="00466FC0">
            <w:pPr>
              <w:autoSpaceDE w:val="0"/>
              <w:autoSpaceDN w:val="0"/>
              <w:adjustRightInd w:val="0"/>
              <w:spacing w:line="240" w:lineRule="auto"/>
              <w:rPr>
                <w:rFonts w:cs="Times New Roman"/>
                <w:color w:val="000000" w:themeColor="text1"/>
                <w:szCs w:val="24"/>
              </w:rPr>
            </w:pPr>
            <w:r w:rsidRPr="00895D0B">
              <w:rPr>
                <w:rFonts w:eastAsia="Calibri" w:cs="Times New Roman"/>
                <w:color w:val="000000" w:themeColor="text1"/>
                <w:szCs w:val="24"/>
                <w:lang w:bidi="en-US"/>
              </w:rPr>
              <w:t>*** p-value &lt; 0.05, statistically significant; p-value &gt; 0.05, statistically insignificant</w:t>
            </w:r>
          </w:p>
        </w:tc>
      </w:tr>
    </w:tbl>
    <w:p w14:paraId="7DD5F9AD" w14:textId="77777777" w:rsidR="001B4ED5" w:rsidRDefault="006B41C0">
      <w:pPr>
        <w:autoSpaceDE w:val="0"/>
        <w:autoSpaceDN w:val="0"/>
        <w:adjustRightInd w:val="0"/>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7E622ED1" w14:textId="77777777" w:rsidR="00056D43" w:rsidRPr="00895D0B" w:rsidRDefault="00056D43">
      <w:pPr>
        <w:autoSpaceDE w:val="0"/>
        <w:autoSpaceDN w:val="0"/>
        <w:adjustRightInd w:val="0"/>
        <w:spacing w:line="360" w:lineRule="auto"/>
        <w:rPr>
          <w:rFonts w:cs="Times New Roman"/>
          <w:color w:val="000000" w:themeColor="text1"/>
          <w:szCs w:val="24"/>
        </w:rPr>
      </w:pPr>
    </w:p>
    <w:p w14:paraId="5C89DD51" w14:textId="6219F639" w:rsidR="004B5C04" w:rsidRPr="00895D0B" w:rsidRDefault="00BD4919" w:rsidP="004B5C04">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This is represented by about 25.1% in the medium class and about 23.6% in the high class areas. However, in low-class areas, the mode of acquisition is either through the family or relatives. This represents about 4.7% (</w:t>
      </w:r>
      <w:r w:rsidRPr="00895D0B">
        <w:rPr>
          <w:rFonts w:eastAsia="Times New Roman" w:cs="Times New Roman"/>
          <w:i/>
          <w:iCs/>
          <w:color w:val="000000" w:themeColor="text1"/>
          <w:szCs w:val="24"/>
          <w:lang w:eastAsia="en-GB"/>
        </w:rPr>
        <w:t>see Table 4.3</w:t>
      </w:r>
      <w:r w:rsidRPr="00895D0B">
        <w:rPr>
          <w:rFonts w:eastAsia="Times New Roman" w:cs="Times New Roman"/>
          <w:color w:val="000000" w:themeColor="text1"/>
          <w:szCs w:val="24"/>
          <w:lang w:eastAsia="en-GB"/>
        </w:rPr>
        <w:t xml:space="preserve">). The mode of land acquisition defines the types of crops and animals farmers produce. </w:t>
      </w:r>
      <w:r w:rsidR="004B5C04" w:rsidRPr="00895D0B">
        <w:rPr>
          <w:rFonts w:eastAsia="Times New Roman" w:cs="Times New Roman"/>
          <w:color w:val="000000" w:themeColor="text1"/>
          <w:szCs w:val="24"/>
          <w:lang w:eastAsia="en-GB"/>
        </w:rPr>
        <w:t>The cultivation of different types of crops is associated with the residential class a farmer resides in. It was ascertained that about 38.9% cultivate beans in high class areas, while 39% and 37% do not cultivate maize in medium- and high class areas. Again, in terms of vegetable production, like cabbage, about 29.9% and 28.2% of urban farmers cultivate this crop in medium- and high-class residential areas (</w:t>
      </w:r>
      <w:r w:rsidR="004B5C04" w:rsidRPr="00895D0B">
        <w:rPr>
          <w:rFonts w:eastAsia="Times New Roman" w:cs="Times New Roman"/>
          <w:i/>
          <w:iCs/>
          <w:color w:val="000000" w:themeColor="text1"/>
          <w:szCs w:val="24"/>
          <w:lang w:eastAsia="en-GB"/>
        </w:rPr>
        <w:t>see Table 4.4</w:t>
      </w:r>
      <w:r w:rsidR="004B5C04" w:rsidRPr="00895D0B">
        <w:rPr>
          <w:rFonts w:eastAsia="Times New Roman" w:cs="Times New Roman"/>
          <w:color w:val="000000" w:themeColor="text1"/>
          <w:szCs w:val="24"/>
          <w:lang w:eastAsia="en-GB"/>
        </w:rPr>
        <w:t xml:space="preserve">). The results were explicit on crop types such as legumes (beans), cereals (maize), and vegetables (cabbage) to be statistically significant at alpha 0.05 (p-values = 0.001, 0.001, and 0.001 </w:t>
      </w:r>
      <w:r w:rsidR="004B5C04" w:rsidRPr="00895D0B">
        <w:rPr>
          <w:rFonts w:eastAsia="Times New Roman" w:cs="Times New Roman"/>
          <w:color w:val="000000" w:themeColor="text1"/>
          <w:szCs w:val="24"/>
          <w:lang w:eastAsia="en-GB"/>
        </w:rPr>
        <w:lastRenderedPageBreak/>
        <w:t>&lt; 0.05), respectively. Hence, there is a relationship between the type of crop an urban farmer cultivates and the residential class the farmer lives in. The study shows that beans, maize, and cabbage have a strong relationship with the type of residential class (Cramer’s V = 0.161, 0.166, and 0.175 &lt; 0.10), respectively. Interestingly, the results showed that about 35.3% and 33.3% of urban farmers produce chicken in the high and medium classes, respectively. Sheep production is said to be in some high-class areas, representing about 33.2% of the urban farmers who are into chicken production. This result indicates a statistically significant difference (p-value = 0.004 and 0.008 &lt; 0.05) in that order. </w:t>
      </w:r>
    </w:p>
    <w:p w14:paraId="4CA67980" w14:textId="77777777" w:rsidR="001B4ED5" w:rsidRPr="005573B9" w:rsidRDefault="001B4ED5">
      <w:pPr>
        <w:pStyle w:val="NoSpacing"/>
        <w:spacing w:line="360" w:lineRule="auto"/>
        <w:rPr>
          <w:rFonts w:ascii="Times New Roman" w:hAnsi="Times New Roman" w:cs="Times New Roman"/>
          <w:color w:val="000000" w:themeColor="text1"/>
          <w:sz w:val="20"/>
          <w:szCs w:val="20"/>
          <w:lang w:eastAsia="en-GB"/>
        </w:rPr>
      </w:pPr>
    </w:p>
    <w:p w14:paraId="2990038F" w14:textId="77777777" w:rsidR="001B4ED5" w:rsidRPr="00895D0B" w:rsidRDefault="006B41C0">
      <w:pPr>
        <w:pStyle w:val="Heading2"/>
      </w:pPr>
      <w:bookmarkStart w:id="111" w:name="_Toc167379916"/>
      <w:r w:rsidRPr="00895D0B">
        <w:t>4.6 Discussions of Major Findings</w:t>
      </w:r>
      <w:bookmarkEnd w:id="111"/>
      <w:r w:rsidRPr="00895D0B">
        <w:t xml:space="preserve"> </w:t>
      </w:r>
    </w:p>
    <w:p w14:paraId="14E5598C" w14:textId="77777777" w:rsidR="001B4ED5" w:rsidRPr="00895D0B" w:rsidRDefault="006B41C0" w:rsidP="009864E3">
      <w:pPr>
        <w:pStyle w:val="Heading3"/>
      </w:pPr>
      <w:bookmarkStart w:id="112" w:name="_Toc167379917"/>
      <w:r w:rsidRPr="00895D0B">
        <w:t>4.6.1 Type of urban agriculture and mode of land acquisition</w:t>
      </w:r>
      <w:bookmarkEnd w:id="112"/>
      <w:r w:rsidRPr="00895D0B">
        <w:t xml:space="preserve"> </w:t>
      </w:r>
    </w:p>
    <w:p w14:paraId="3DA9061C"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color w:val="000000" w:themeColor="text1"/>
          <w:szCs w:val="24"/>
        </w:rPr>
        <w:t xml:space="preserve">There are urban production activities taking place in the urban area. These urban agricultural producers are in three categories; crop producers, animal producers, and those who are into both crops and animal production. This trend revealed that it is easier to produce crops within the urban space than animals in the era of climate change. This means that despite the increasing climate change effects on agriculture, urban residents are interested in producing within any available space. This does not support the findings of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{"citationItems":[{"id":"ITEM-1","itemData":{"author":[{"dropping-particle":"","family":"Alimba","given":"J. O.","non-dropping-particle":"","parse-names":false,"suffix":""},{"dropping-particle":"","family":"Olumba","given":"C. C.","non-dropping-particle":"","parse-names":false,"suffix":""},{"dropping-particle":"","family":"Onunka","given":"C. N.","non-dropping-particle":"","parse-names":false,"suffix":""}],"id":"ITEM-1","issue":"February","issued":{"date-parts":[["2020"]]},"title":"Assessing How Food Production in Urban Areas Contribute To Household Food Security in Southeast Nigeria Assessing How Food Production in Urban Areas Contribute To Household Food Security in Southeast Nigeria","type":"article-journal"},"uris":["http://www.mendeley.com/documents/?uuid=9033b718-e667-45c7-82d1-cbd25ba88927"]}],"mendeley":{"formattedCitation":"(Alimba et al., 2020)","manualFormatting":"Alimba et al. (2020)","plainTextFormattedCitation":"(Alimba et al., 2020)","previouslyFormattedCitation":"(Alimba et al., 2020)"},"properties":{"noteIndex":0},"schema":"https://github.com/citation-style-language/schema/raw/master/csl-citation.json"}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Alimba et al. (2020)</w:t>
      </w:r>
      <w:r w:rsidRPr="00895D0B">
        <w:rPr>
          <w:rFonts w:cs="Times New Roman"/>
          <w:color w:val="000000" w:themeColor="text1"/>
          <w:szCs w:val="24"/>
          <w:shd w:val="clear" w:color="auto" w:fill="FFFFFF"/>
        </w:rPr>
        <w:fldChar w:fldCharType="end"/>
      </w:r>
      <w:r w:rsidRPr="00895D0B">
        <w:rPr>
          <w:rFonts w:cs="Times New Roman"/>
          <w:color w:val="000000" w:themeColor="text1"/>
          <w:szCs w:val="24"/>
        </w:rPr>
        <w:t xml:space="preserve"> that in improving urban food systems, the focus should be higher on the processing and supply value chain than the direct production. This is associated with the fact that the prevailing climatic conditions do not favour animal production within the urban space because they are vulnerable to bad weather. For instance, poultry production is not effective under excessive heat and rain, however, most crops are vulnerable under excessive heat and rain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{"citationItems":[{"id":"ITEM-1","itemData":{"DOI":"10.1016/j.jtherbio.2021.102867","ISSN":"18790992","PMID":"33863431","abstract":"Heat stress is an important environmental determinant which adversely affects the performance of poultry worldwide. The present communication reviews the impact of heat stress on production, reproduction and growth performance of poultry, and its alleviation using genetic strategies. The adverse effects of high environmental temperature on poultry include decrease in growth rate, body weight, egg production, egg weight, egg quality, meat quality, semen quality, fertility and hatchability, which cause vast financial losses to the poultry industry. High ambient temperature has an antagonistic effect on performance traits of the poultry. Thus, selection of birds for high performance has increased their susceptibility to heat stress. Additionally, heat burden during transportation of birds from one place to another leads to reduced meat quality, increased mortality and welfare issues. Molecular markers are being explored nowadays to recognize the potential candidate genes related to production, reproduction and growth traits for selecting poultry birds to enhance thermo-tolerance and resistance against diseases. In conclusion, there is a critical need of formulating selection strategies based on genetic markers and exploring more genes in addition to HSP25, 70, 90, H1, RB1CC, BAG3, PDK, ID1, Na, F, dw and K responsible for thermoregulation, to improve the overall performance of poultry along with their ability to tolerate heat stress conditions.","author":[{"dropping-particle":"","family":"Kumar","given":"M.","non-dropping-particle":"","parse-names":false,"suffix":""},{"dropping-particle":"","family":"Ratwan","given":"P.","non-dropping-particle":"","parse-names":false,"suffix":""},{"dropping-particle":"","family":"Dahiya","given":"S. P.","non-dropping-particle":"","parse-names":false,"suffix":""},{"dropping-particle":"","family":"Nehra","given":"A. K.","non-dropping-particle":"","parse-names":false,"suffix":""}],"container-title":"Journal of Thermal Biology","id":"ITEM-1","issue":"January","issued":{"date-parts":[["2021"]]},"page":"102867","publisher":"Elsevier Ltd","title":"Climate change and heat stress: Impact on production, reproduction and growth performance of poultry and its mitigation using genetic strategies","type":"article-journal","volume":"97"},"uris":["http://www.mendeley.com/documents/?uuid=f6b5eae9-4588-487a-8426-ba50b0b91030"]}],"mendeley":{"formattedCitation":"(M. Kumar et al., 2021)","manualFormatting":"(Kumar et al., 2021)","plainTextFormattedCitation":"(M. Kumar et al., 2021)","previouslyFormattedCitation":"(M. Kumar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(Kumar et al., 2021)</w:t>
      </w:r>
      <w:r w:rsidRPr="00895D0B">
        <w:rPr>
          <w:rFonts w:cs="Times New Roman"/>
          <w:color w:val="000000" w:themeColor="text1"/>
          <w:szCs w:val="24"/>
        </w:rPr>
        <w:fldChar w:fldCharType="end"/>
      </w:r>
      <w:r w:rsidRPr="00895D0B">
        <w:rPr>
          <w:rFonts w:cs="Times New Roman"/>
          <w:color w:val="000000" w:themeColor="text1"/>
          <w:szCs w:val="24"/>
        </w:rPr>
        <w:t xml:space="preserve">. Animal production is expensive in urban settings due to costs relating to feeding and veterinary services coupled with climatic effects resulting in low production in the end. Even though animal rearing in the city meets socio-economic significance the act causes sanitation issues as it makes the surroundings untidy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{"citationItems":[{"id":"ITEM-1","itemData":{"author":[{"dropping-particle":"","family":"Abdulai","given":"I. A.","non-dropping-particle":"","parse-names":false,"suffix":""},{"dropping-particle":"","family":"Dongzagla","given":"A.","non-dropping-particle":"","parse-names":false,"suffix":""},{"dropping-particle":"","family":"Ahmed","given":"A.","non-dropping-particle":"","parse-names":false,"suffix":""}],"id":"ITEM-1","issue":"xxxx","issued":{"date-parts":[["2020"]]},"page":"1-11","title":"Urban livestock rearing and the paradox of sustainable cities and urban governance in West Africa: Empirical evidence from Wa, Ghana","type":"article-journal"},"uris":["http://www.mendeley.com/documents/?uuid=8fa11c90-c056-4122-8daf-7504d2c6ad46"]}],"mendeley":{"formattedCitation":"(Abdulai et al., 2020)","plainTextFormattedCitation":"(Abdulai et al., 2020)","previouslyFormattedCitation":"(Abdulai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(Abdulai et al., 2020)</w:t>
      </w:r>
      <w:r w:rsidRPr="00895D0B">
        <w:rPr>
          <w:rFonts w:cs="Times New Roman"/>
          <w:color w:val="000000" w:themeColor="text1"/>
          <w:szCs w:val="24"/>
        </w:rPr>
        <w:fldChar w:fldCharType="end"/>
      </w:r>
      <w:r w:rsidRPr="00895D0B">
        <w:rPr>
          <w:rFonts w:cs="Times New Roman"/>
          <w:color w:val="000000" w:themeColor="text1"/>
          <w:szCs w:val="24"/>
        </w:rPr>
        <w:t xml:space="preserve"> apart from challenges emanating from thefts. Similarly,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{"citationItems":[{"id":"ITEM-1","itemData":{"DOI":"10.1515/ats-2017-0007","abstract":"This study examined the economics and determinants of pig production in Ogun State, Nigeria using Obafemi Owode and Odeda Local Government in Ogun State, Nigeria where the enterprise is most prominent. The data used for the study were obtained from 60 respondents as there are very few farmers into this business in the state compared to other livestock production. Pig farmers were sampled through snowball sampling technique. The data collected were analyzed with descriptive statistics, budgetary, and Ordinary Least Square regression model. Results from the study revealed that the mean age of the respondents was 36.6 years and they were predominantly (81.7 %) male. Most (68.3 %) of the farmers had no access to credit with half of them married. On the cost and returns, returns on investment were positively associated with herd size, breed, and type of management system in the study area. When controlling for years of production experience and herd size, with every 1 naira increase in variable costs, the return on investment decreased by ₦0.879 ≈ $0.0044 (P &lt; 0.01). Similarly, when controlling for herd size and variable costs, with every 1 year of increase in production experience, the return on investment increased by ₦1.85 ≈ $0.0092 (P &lt; 0.01). When controlling for number of years of production experience and variable costs, with every 1 naira increase in cost of stock, the return on investment increased by ₦1,652.74 ≈ $8.22 (P &lt; 0.05). Lastly, when controlling for number of years of production experience and variable costs, every increase of herd size of 1 pig resulted in a return on investment of ₦1, 502.14 ≈ $7.47 (P &lt; 0.01). Level of pig production experience, herd size, variable costs items, cost of stock, and access to credit had significant influence on the production of pig in the study area. The study therefore recommends subsidization of input costs, the need for extension officers or experts to educate less experienced farmers on pig production and effective extension services targeted at raising technical knowledge of pig farmers towards effective productivity and profitability.","author":[{"dropping-particle":"","family":"Obayelu","given":"A. E.","non-dropping-particle":"","parse-names":false,"suffix":""},{"dropping-particle":"","family":"Ogunmola","given":"O. O.","non-dropping-particle":"","parse-names":false,"suffix":""},{"dropping-particle":"","family":"Sowande","given":"O. K.","non-dropping-particle":"","parse-names":false,"suffix":""}],"container-title":"Agricultura Tropica et Subtropica","id":"ITEM-1","issue":"2","issued":{"date-parts":[["2017"]]},"page":"61-70","title":"Economic Analysis and the Determinants of Pig Production in Ogun State, Nigeria","type":"article-journal","volume":"50"},"uris":["http://www.mendeley.com/documents/?uuid=7ec27ce2-0ef5-47a7-809a-ed8a91e31d22"]}],"mendeley":{"formattedCitation":"(Obayelu et al., 2017)","manualFormatting":"Obayelu et al. (2017)","plainTextFormattedCitation":"(Obayelu et al., 2017)","previouslyFormattedCitation":"(Obayelu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Obayelu et al. (2017)</w:t>
      </w:r>
      <w:r w:rsidRPr="00895D0B">
        <w:rPr>
          <w:rFonts w:cs="Times New Roman"/>
          <w:color w:val="000000" w:themeColor="text1"/>
          <w:szCs w:val="24"/>
        </w:rPr>
        <w:fldChar w:fldCharType="end"/>
      </w:r>
      <w:r w:rsidRPr="00895D0B">
        <w:rPr>
          <w:rFonts w:cs="Times New Roman"/>
          <w:color w:val="000000" w:themeColor="text1"/>
          <w:szCs w:val="24"/>
        </w:rPr>
        <w:t xml:space="preserve"> argued that pig production in particular is not common in urban surroundings due to the cost involved in feeding and housing as the urban environment is characterised by no or limited space aside from grazing fields. It can also be argued that crop production does not interfere much with other neighbours living within the neighbourhood as compared to raising </w:t>
      </w:r>
      <w:r w:rsidRPr="00895D0B">
        <w:rPr>
          <w:rFonts w:cs="Times New Roman"/>
          <w:color w:val="000000" w:themeColor="text1"/>
          <w:szCs w:val="24"/>
        </w:rPr>
        <w:lastRenderedPageBreak/>
        <w:t xml:space="preserve">animals in the city. Animal rearing is quite difficult since they destroy other people's property. In some situations, categories of animals are religiously unacceptable aside from the cost of production. Few households (about 15.2%) are into both crop and animal production. This can be attributed to the limited space to be used for both crops and animal production within cities, unlike the rural settings with vast land. This finding confirms the claim of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{"citationItems":[{"id":"ITEM-1","itemData":{"DOI":"10.1016/j.landusepol.2020.104681","ISSN":"02648377","abstract":"Urban agriculture literature regarding the Global South reveals important knowledge gaps concerning spatial variations of food gardens across cityscapes, gardener motivations, and tensions with urban planning regulations, especially in locales beyond sub-Saharan Africa. In Vietnam, urban agriculture is growing in popularity and gaining media attention but there is little research as to why urban agriculture is practiced in smaller Vietnamese cities, especially those close to rural hinterlands. In this paper we investigate small-scale urban agriculture – or food gardens – in Lào Cai, a small upland city located on the Sino-Vietnamese border. We find a complex diversity of garden sizes and land management arrangements where gardens are built, including on state institutional land, thanks to informal arrangements. Gardener motivations focus predominantly on food safety concerns, contrasting with key motivations found elsewhere in the Global South. Throughout the city, albeit more so in newly urbanising sectors, this urban practice remains precarious due to irregular land access and confusing city authority regulations. We thus examine how urban residents are working to access safe food and contribute to their city's urban food system while state officials tend to focus their priorities elsewhere.","author":[{"dropping-particle":"","family":"Pham","given":"T.","non-dropping-particle":"","parse-names":false,"suffix":""},{"dropping-particle":"","family":"Turner","given":"S.","non-dropping-particle":"","parse-names":false,"suffix":""}],"container-title":"Land Use Policy","id":"ITEM-1","issue":"March","issued":{"date-parts":[["2020"]]},"publisher":"Elsevier","title":"‘If I want safe food I have to grow it myself’: Patterns and motivations of urban agriculture in a small city in Vietnam's northern borderlands","type":"article-journal","volume":"96"},"uris":["http://www.mendeley.com/documents/?uuid=97ae1a88-97d7-4b1c-8313-5f31dc3b0192"]}],"mendeley":{"formattedCitation":"(Pham &amp; Turner, 2020)","manualFormatting":"Pham and Turner (2020)","plainTextFormattedCitation":"(Pham &amp; Turner, 2020)","previouslyFormattedCitation":"(Pham &amp; Turner, 2020)"},"properties":{"noteIndex":0},"schema":"https://github.com/citation-style-language/schema/raw/master/csl-citation.json"}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Pham and Turner (2020)</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and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{"citationItems":[{"id":"ITEM-1","itemData":{"author":[{"dropping-particle":"","family":"FAO","given":"","non-dropping-particle":"","parse-names":false,"suffix":""}],"id":"ITEM-1","issued":{"date-parts":[["2020"]]},"publisher-place":"Rome","title":"Cities and Local Government at the Forefront in Building Inclusive and Resilient Food Systems","type":"report"},"uris":["http://www.mendeley.com/documents/?uuid=5fbbe77e-bde9-4595-97e7-b2380769f930"]}],"mendeley":{"formattedCitation":"(FAO, 2020)","manualFormatting":"FAO (2020)","plainTextFormattedCitation":"(FAO, 2020)","previouslyFormattedCitation":"(FAO, 2020)"},"properties":{"noteIndex":0},"schema":"https://github.com/citation-style-language/schema/raw/master/csl-citation.json"}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FAO (2020)</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who asserted that urban farming is aligned with the production of either crops, animals, or both in an urban neighbourhood. </w:t>
      </w:r>
      <w:r w:rsidRPr="00895D0B">
        <w:rPr>
          <w:rFonts w:cs="Times New Roman"/>
          <w:color w:val="000000" w:themeColor="text1"/>
          <w:szCs w:val="24"/>
        </w:rPr>
        <w:t xml:space="preserve">Farmers in the urban area who are into the production of both crops and animals are better off adapting to climate change than those who are not. This is because urban farmers can secure themselves from the produce of one type of farming if one fails due to climatic changes. This means that diversification of agriculture is a way urban farmers adapt their activities to climatic changes. This corroborates the findings that agricultural diversification is a way of tackling the negative consequences of weather </w:t>
      </w:r>
      <w:r w:rsidRPr="00895D0B">
        <w:rPr>
          <w:rFonts w:cs="Times New Roman"/>
          <w:color w:val="000000" w:themeColor="text1"/>
          <w:szCs w:val="24"/>
          <w:lang w:eastAsia="en-GB"/>
        </w:rPr>
        <w:fldChar w:fldCharType="begin" w:fldLock="1"/>
      </w:r>
      <w:r w:rsidRPr="00895D0B">
        <w:rPr>
          <w:rFonts w:cs="Times New Roman"/>
          <w:color w:val="000000" w:themeColor="text1"/>
          <w:szCs w:val="24"/>
          <w:lang w:eastAsia="en-GB"/>
        </w:rPr>
        <w:instrText>ADDIN CSL_CITATION {"citationItems":[{"id":"ITEM-1","itemData":{"ISBN":"9780760768587","abstract":"The following topics are dealt with: cloud data governance-driven decision making; lung nodule detection; pattern clustering; image super-resolution; database management system; frequent pattern mining; traffic volume count; facial expression recognition; video classification; qualitative data analysis; intrusion detection; data privacy; MR images; neural networks; and image classification.","author":[{"dropping-particle":"","family":"IPCC","given":"","non-dropping-particle":"","parse-names":false,"suffix":""}],"container-title":"European University Institute","id":"ITEM-1","issue":"2","issued":{"date-parts":[["2018"]]},"number-of-pages":"2-5","title":"Synthesis Report of the IPCC Sixth Assessment Report (AR6)","type":"report"},"uris":["http://www.mendeley.com/documents/?uuid=93ad9e05-b460-49e8-9ad6-ce2a53ff969a"]}],"mendeley":{"formattedCitation":"(IPCC, 2018b)","manualFormatting":"(IPCC, 2018a)","plainTextFormattedCitation":"(IPCC, 2018b)","previouslyFormattedCitation":"(IPCC, 2018b)"},"properties":{"noteIndex":0},"schema":"https://github.com/citation-style-language/schema/raw/master/csl-citation.json"}</w:instrText>
      </w:r>
      <w:r w:rsidRPr="00895D0B">
        <w:rPr>
          <w:rFonts w:cs="Times New Roman"/>
          <w:color w:val="000000" w:themeColor="text1"/>
          <w:szCs w:val="24"/>
          <w:lang w:eastAsia="en-GB"/>
        </w:rPr>
        <w:fldChar w:fldCharType="separate"/>
      </w:r>
      <w:r w:rsidRPr="00895D0B">
        <w:rPr>
          <w:rFonts w:cs="Times New Roman"/>
          <w:noProof/>
          <w:color w:val="000000" w:themeColor="text1"/>
          <w:szCs w:val="24"/>
          <w:lang w:eastAsia="en-GB"/>
        </w:rPr>
        <w:t>(IPCC, 2018a)</w:t>
      </w:r>
      <w:r w:rsidRPr="00895D0B">
        <w:rPr>
          <w:rFonts w:cs="Times New Roman"/>
          <w:color w:val="000000" w:themeColor="text1"/>
          <w:szCs w:val="24"/>
          <w:lang w:eastAsia="en-GB"/>
        </w:rPr>
        <w:fldChar w:fldCharType="end"/>
      </w:r>
      <w:r w:rsidRPr="00895D0B">
        <w:rPr>
          <w:rFonts w:cs="Times New Roman"/>
          <w:color w:val="000000" w:themeColor="text1"/>
          <w:szCs w:val="24"/>
          <w:lang w:eastAsia="en-GB"/>
        </w:rPr>
        <w:t>.</w:t>
      </w:r>
    </w:p>
    <w:p w14:paraId="185C2722" w14:textId="77777777" w:rsidR="001B4ED5" w:rsidRPr="00895D0B" w:rsidRDefault="001B4ED5" w:rsidP="00360960">
      <w:pPr>
        <w:pStyle w:val="NoSpacing"/>
        <w:rPr>
          <w:lang w:eastAsia="en-GB"/>
        </w:rPr>
      </w:pPr>
    </w:p>
    <w:p w14:paraId="2255F75B" w14:textId="77777777" w:rsidR="001B4ED5" w:rsidRPr="00895D0B" w:rsidRDefault="006B41C0" w:rsidP="00360960">
      <w:pPr>
        <w:autoSpaceDE w:val="0"/>
        <w:autoSpaceDN w:val="0"/>
        <w:adjustRightInd w:val="0"/>
        <w:spacing w:after="240" w:line="360" w:lineRule="auto"/>
        <w:rPr>
          <w:rFonts w:cs="Times New Roman"/>
          <w:color w:val="000000" w:themeColor="text1"/>
          <w:szCs w:val="24"/>
        </w:rPr>
      </w:pPr>
      <w:r w:rsidRPr="00895D0B">
        <w:rPr>
          <w:rFonts w:cs="Times New Roman"/>
          <w:color w:val="000000" w:themeColor="text1"/>
          <w:szCs w:val="24"/>
          <w:lang w:eastAsia="en-GB"/>
        </w:rPr>
        <w:t xml:space="preserve">Urban farming remains illegal according to the study and agriculture producers within the urban space are liable to punishment under the </w:t>
      </w:r>
      <w:r w:rsidRPr="00895D0B">
        <w:rPr>
          <w:rFonts w:cs="Times New Roman"/>
          <w:color w:val="000000" w:themeColor="text1"/>
          <w:szCs w:val="24"/>
          <w:shd w:val="clear" w:color="auto" w:fill="FFFFFF"/>
        </w:rPr>
        <w:t xml:space="preserve">Criminal Procedure Code (Act 80). </w:t>
      </w:r>
      <w:r w:rsidRPr="00895D0B">
        <w:rPr>
          <w:rFonts w:cs="Times New Roman"/>
          <w:color w:val="000000" w:themeColor="text1"/>
          <w:szCs w:val="24"/>
          <w:lang w:eastAsia="en-GB"/>
        </w:rPr>
        <w:t xml:space="preserve"> This punishment is in the form of fines. This confirms the claim that </w:t>
      </w:r>
      <w:r w:rsidRPr="00895D0B">
        <w:rPr>
          <w:rFonts w:cs="Times New Roman"/>
          <w:color w:val="000000" w:themeColor="text1"/>
          <w:szCs w:val="24"/>
          <w:shd w:val="clear" w:color="auto" w:fill="FFFFFF"/>
        </w:rPr>
        <w:t xml:space="preserve">animals found in selected urban centres in Ghana shall be confiscated and a fine of GHS 2,00.00 per head shall be paid to the Accountant-General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{"citationItems":[{"id":"ITEM-1","itemData":{"author":[{"dropping-particle":"","family":"Ghana","given":"Constitution","non-dropping-particle":"","parse-names":false,"suffix":""}],"id":"ITEM-1","issue":"Act 29","issued":{"date-parts":[["2003"]]},"publisher-place":"Ghana","title":"ACTS OF GHANA","type":"legislation","volume":"1960"},"uris":["http://www.mendeley.com/documents/?uuid=6dd7c595-f9f6-4446-931b-6717e427b1be"]}],"mendeley":{"formattedCitation":"(ACTS OF GHANA, 2003)","manualFormatting":"(The Act of Ghana, 2003)","plainTextFormattedCitation":"(ACTS OF GHANA, 2003)","previouslyFormattedCitation":"(ACTS OF GHANA, 2003)"},"properties":{"noteIndex":0},"schema":"https://github.com/citation-style-language/schema/raw/master/csl-citation.json"}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(The Act of Ghana, 2003)</w:t>
      </w:r>
      <w:r w:rsidRPr="00895D0B">
        <w:rPr>
          <w:rFonts w:cs="Times New Roman"/>
          <w:color w:val="000000" w:themeColor="text1"/>
          <w:szCs w:val="24"/>
        </w:rPr>
        <w:fldChar w:fldCharType="end"/>
      </w:r>
      <w:r w:rsidRPr="00895D0B">
        <w:rPr>
          <w:rFonts w:cs="Times New Roman"/>
          <w:color w:val="000000" w:themeColor="text1"/>
          <w:szCs w:val="24"/>
          <w:shd w:val="clear" w:color="auto" w:fill="FFFFFF"/>
        </w:rPr>
        <w:t xml:space="preserve">. </w:t>
      </w:r>
      <w:r w:rsidRPr="00895D0B">
        <w:rPr>
          <w:rFonts w:cs="Times New Roman"/>
          <w:color w:val="000000" w:themeColor="text1"/>
          <w:szCs w:val="24"/>
        </w:rPr>
        <w:t xml:space="preserve">The owners either pay a fine or forfeit the animals when they come after the ten (10) days of confiscation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{"citationItems":[{"id":"ITEM-1","itemData":{"author":[{"dropping-particle":"","family":"Ghana","given":"Constitution","non-dropping-particle":"","parse-names":false,"suffix":""}],"id":"ITEM-1","issue":"Act 29","issued":{"date-parts":[["2003"]]},"publisher-place":"Ghana","title":"ACTS OF GHANA","type":"legislation","volume":"1960"},"uris":["http://www.mendeley.com/documents/?uuid=6dd7c595-f9f6-4446-931b-6717e427b1be"]}],"mendeley":{"formattedCitation":"(ACTS OF GHANA, 2003)","manualFormatting":"(The Act of Ghana, 2003)","plainTextFormattedCitation":"(ACTS OF GHANA, 2003)","previouslyFormattedCitation":"(ACTS OF GHANA, 2003)"},"properties":{"noteIndex":0},"schema":"https://github.com/citation-style-language/schema/raw/master/csl-citation.json"}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(The Act of Ghana, 2003)</w:t>
      </w:r>
      <w:r w:rsidRPr="00895D0B">
        <w:rPr>
          <w:rFonts w:cs="Times New Roman"/>
          <w:color w:val="000000" w:themeColor="text1"/>
          <w:szCs w:val="24"/>
        </w:rPr>
        <w:fldChar w:fldCharType="end"/>
      </w:r>
      <w:r w:rsidRPr="00895D0B">
        <w:rPr>
          <w:rFonts w:cs="Times New Roman"/>
          <w:color w:val="000000" w:themeColor="text1"/>
          <w:szCs w:val="24"/>
        </w:rPr>
        <w:t xml:space="preserve">. Again, there are bye-laws that are formulated and implemented by the Municipal Assembly. This confirms that city authorities in Africa formulate and implement bye-laws that ban urban farming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{"citationItems":[{"id":"ITEM-1","itemData":{"DOI":"10.1080/01944363.2017.1369359","ISSN":"01944363","abstract":"Problem, research strategy, and findings: Municipalities across the United States are gradually recognizing urban agriculture as an integral part of planning, land use, and zoning ordinances. We review the literature on the regulation of urban agriculture at a moment when policy and regulatory vacuums exist and the acceptance and integration of urban agriculture is uneven. We review the current regulatory practices of 40 metropolitan and 40 micropolitan municipalities in the 4 U.S. Census regions. We find that municipalities are filling policy vacuums by adopting enabling ordinances (zoning ordinances, land use designations, resolutions), regulations on urban agriculture production (backyard animals, built structures, practitioner responsibility), and fiscal policy instruments (restrictions on sales of agricultural products, tax abatement, urban agriculture fees). Our findings support local planning practitioners in filling regulatory gaps, practitioners of urban agriculture in seeking how it’s done elsewhere, and researchers in discerning new applied and basic research projects. We identify 3 principal knowledge gaps: Planners need a complete typology of regulatory possibilities; a better understanding of how local, state, and federal legislations constrain or enable urban agriculture; and empirical evidence of the economic, social, and environmental impacts of urban agriculture. Takeaway for practice: Planners should assess existing urban agricultural practices and consider which regulatory frameworks best support multiple local goals, incorporating a concern with urban agriculture into ongoing activities, deploying existing or innovative land use tools, facilitating institutional cooperation, and promoting inclusive decision making and community engagement.","author":[{"dropping-particle":"","family":"Meenar","given":"M.","non-dropping-particle":"","parse-names":false,"suffix":""},{"dropping-particle":"","family":"Morales","given":"A.","non-dropping-particle":"","parse-names":false,"suffix":""},{"dropping-particle":"","family":"Bonarek","given":"L.","non-dropping-particle":"","parse-names":false,"suffix":""}],"container-title":"Journal of the American Planning Association","id":"ITEM-1","issue":"4","issued":{"date-parts":[["2017"]]},"page":"389-403","title":"Regulatory Practices of Urban Agriculture: A Connection to Planning and Policy","type":"article-journal","volume":"83"},"uris":["http://www.mendeley.com/documents/?uuid=09c7304e-f3e5-4ff7-8219-35e1416aaf38"]}],"mendeley":{"formattedCitation":"(M. Meenar et al., 2017)","manualFormatting":"(Meenar et al., 2017)","plainTextFormattedCitation":"(M. Meenar et al., 2017)","previouslyFormattedCitation":"(M. Meenar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(Meenar et al., 2017)</w:t>
      </w:r>
      <w:r w:rsidRPr="00895D0B">
        <w:rPr>
          <w:rFonts w:cs="Times New Roman"/>
          <w:color w:val="000000" w:themeColor="text1"/>
          <w:szCs w:val="24"/>
        </w:rPr>
        <w:fldChar w:fldCharType="end"/>
      </w:r>
      <w:r w:rsidRPr="00895D0B">
        <w:rPr>
          <w:rFonts w:cs="Times New Roman"/>
          <w:color w:val="000000" w:themeColor="text1"/>
          <w:szCs w:val="24"/>
        </w:rPr>
        <w:t xml:space="preserve"> particularly animal rearing which has moved from extensive grazing to semi-intensive zero grazing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{"citationItems":[{"id":"ITEM-1","itemData":{"DOI":"10.1177/0956247819866124","ISSN":"17460301","abstract":"Rapid urbanization in the global South is adding epidemiological and nutritional challenges and increasing disease and health burdens for citizens. Greater movement of people, animals, food and trade often provides favourable grounds for the emergence of infectious diseases, including zoonoses. We conduct a rapid evidence scan to explore what is known and hypothesized about the links between urbanization and zoonosis emergence. This points to rapid demographic growth, migration and density, increased movement of people and animals, and changes in land uses as the main processes linked to the prevalence of zoonosis in the urban global South. We argue that this emerging global health challenge is also deeply connected with the urbanization of poverty and inequalities within cities. Tackling the micro-level causal relationships between urbanization and zoonosis requires urgent attention to living conditions, as well as the wider socioenvironmental transitions and structural drivers that produce and reproduce risk accumulation in urban settings.","author":[{"dropping-particle":"","family":"Ahmed","given":"S.","non-dropping-particle":"","parse-names":false,"suffix":""},{"dropping-particle":"","family":"Dávila","given":"J. D.","non-dropping-particle":"","parse-names":false,"suffix":""},{"dropping-particle":"","family":"Allen","given":"A.","non-dropping-particle":"","parse-names":false,"suffix":""},{"dropping-particle":"","family":"Haklay","given":"M.","non-dropping-particle":"","parse-names":false,"suffix":""},{"dropping-particle":"","family":"Tacoli","given":"C.","non-dropping-particle":"","parse-names":false,"suffix":""},{"dropping-particle":"","family":"Fèvre","given":"E. M.","non-dropping-particle":"","parse-names":false,"suffix":""}],"container-title":"Environment and Urbanization","id":"ITEM-1","issue":"2","issued":{"date-parts":[["2019"]]},"page":"443-460","title":"Does urbanization make emergence of zoonosis more likely? Evidence, myths and gaps","type":"article-journal","volume":"31"},"uris":["http://www.mendeley.com/documents/?uuid=04e27032-10fd-4640-b93d-8df62cbfefac"]}],"mendeley":{"formattedCitation":"(S. Ahmed et al., 2019)","plainTextFormattedCitation":"(S. Ahmed et al., 2019)","previouslyFormattedCitation":"(S. Ahmed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 Ahmed et al., 2019)</w:t>
      </w:r>
      <w:r w:rsidRPr="00895D0B">
        <w:rPr>
          <w:rFonts w:cs="Times New Roman"/>
          <w:color w:val="000000" w:themeColor="text1"/>
          <w:szCs w:val="24"/>
        </w:rPr>
        <w:fldChar w:fldCharType="end"/>
      </w:r>
      <w:r w:rsidRPr="00895D0B">
        <w:rPr>
          <w:rFonts w:cs="Times New Roman"/>
          <w:color w:val="000000" w:themeColor="text1"/>
          <w:szCs w:val="24"/>
        </w:rPr>
        <w:t>. Drawing from the above findings, it is clear that urban crop and animal production are not strengthening stakeholders to increase farmers' capacity and willingness to participate in producing any type of crops and animals of their choice.</w:t>
      </w:r>
      <w:r w:rsidRPr="00895D0B">
        <w:rPr>
          <w:rFonts w:cs="Times New Roman"/>
          <w:color w:val="000000" w:themeColor="text1"/>
          <w:szCs w:val="24"/>
          <w:u w:val="thick"/>
        </w:rPr>
        <w:t xml:space="preserve"> </w:t>
      </w:r>
      <w:r w:rsidRPr="00895D0B">
        <w:rPr>
          <w:rFonts w:cs="Times New Roman"/>
          <w:color w:val="000000" w:themeColor="text1"/>
          <w:szCs w:val="24"/>
        </w:rPr>
        <w:t xml:space="preserve">This suggests that urban farming is not on the developmental agenda of city authorities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{"citationItems":[{"id":"ITEM-1","itemData":{"DOI":"10.1080/13549839.2017.1357686","ISSN":"14696711","abstract":"Urban farming–a type of urban agriculture focused on entrepreneurial food production–serves multiple functions in neighbourhoods; yet these are not well delineated. Expectations for urban farming often centre on traditional measures of economic development, potentially overlooking other benefits. Through a qualitative case study conducted in Baltimore, Maryland, we sought to understand community perceptions regarding the ways in which urban farms can benefit cities. Interviews with residents, neighbourhood leaders, and urban farmers in three residential neighbourhoods with urban farms revealed the pathways by which community members view farms as improving neighbourhoods. Benefits stemmed from four primary changes urban farms made to study neighbourhoods: creation of public projects welcoming involvement, physical improvement of degraded space, production of local food, and creation of new businesses. These changes led to multiple perceived benefits including increased social connectedness, a transformed physical landscape, improved neighbourhood reputation, increased access to fresh produce, and educational, youth development, and employment opportunities. Our findings demonstrate the importance of a multifunctional paradigm that accounts for social and educational functions in assessing the value of urban farming and bring empirical evidence to the concept of multifunctional agriculture. Urban farms with strong social aims may appear to contribute little to economic development if measured using traditional indicators of success such as job creation or fiscal impacts, but provide numerous other benefits for community development.","author":[{"dropping-particle":"","family":"Poulsen","given":"M. N.","non-dropping-particle":"","parse-names":false,"suffix":""},{"dropping-particle":"","family":"Neff","given":"R. A.","non-dropping-particle":"","parse-names":false,"suffix":""},{"dropping-particle":"","family":"Winch","given":"P. J.","non-dropping-particle":"","parse-names":false,"suffix":""}],"container-title":"Local Environment","id":"ITEM-1","issue":"11","issued":{"date-parts":[["2017"]]},"page":"1411-1427","publisher":"Taylor &amp; Francis","title":"The multifunctionality of urban farming: perceived benefits for neighbourhood improvement","type":"article-journal","volume":"22"},"uris":["http://www.mendeley.com/documents/?uuid=104106da-fb78-4ab8-817e-8a3710d492c6"]}],"mendeley":{"formattedCitation":"(Poulsen et al., 2017)","plainTextFormattedCitation":"(Poulsen et al., 2017)","previouslyFormattedCitation":"(Poulsen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(Poulsen et al., 2017)</w:t>
      </w:r>
      <w:r w:rsidRPr="00895D0B">
        <w:rPr>
          <w:rFonts w:cs="Times New Roman"/>
          <w:color w:val="000000" w:themeColor="text1"/>
          <w:szCs w:val="24"/>
        </w:rPr>
        <w:fldChar w:fldCharType="end"/>
      </w:r>
      <w:r w:rsidRPr="00895D0B">
        <w:rPr>
          <w:rFonts w:cs="Times New Roman"/>
          <w:color w:val="000000" w:themeColor="text1"/>
          <w:szCs w:val="24"/>
        </w:rPr>
        <w:t xml:space="preserve">. Farmers are restricted by the type of crops and animals to produce because it is illegal. The fear of appearing before authorities to answer questions serves as a disincentive for urban crop and animal production. Crops such as vegetables and legumes and animals like sheep, goats, poultry, and pigs are allowed to be produced within urban neighbourhood because these </w:t>
      </w:r>
      <w:r w:rsidRPr="00895D0B">
        <w:rPr>
          <w:rFonts w:cs="Times New Roman"/>
          <w:color w:val="000000" w:themeColor="text1"/>
          <w:szCs w:val="24"/>
        </w:rPr>
        <w:lastRenderedPageBreak/>
        <w:t xml:space="preserve">crops complement the food needs of the urban population. However, animal production under the intensive system is encouraged because sanitation related challenges resulting from farm animals will be reduced. </w:t>
      </w:r>
    </w:p>
    <w:p w14:paraId="12A6C291" w14:textId="77777777" w:rsidR="001B4ED5" w:rsidRPr="00895D0B" w:rsidRDefault="006B41C0" w:rsidP="009864E3">
      <w:pPr>
        <w:pStyle w:val="Heading3"/>
      </w:pPr>
      <w:bookmarkStart w:id="113" w:name="_Toc167379918"/>
      <w:r w:rsidRPr="00895D0B">
        <w:t>4.6.2 Types of crops and animals produced</w:t>
      </w:r>
      <w:bookmarkEnd w:id="113"/>
      <w:r w:rsidRPr="00895D0B">
        <w:t xml:space="preserve"> </w:t>
      </w:r>
    </w:p>
    <w:p w14:paraId="2282DF2A"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color w:val="000000" w:themeColor="text1"/>
          <w:szCs w:val="24"/>
        </w:rPr>
        <w:t xml:space="preserve">Production of ruminants is common in the urban area. These findings show that it is easier to cater for ruminants under the prevailing climatic conditions in urban settings than the non-ruminants like the pigs. This is as a result of ruminants' resilience to weather changes. Aside from this, the evidence portrayed could be due to the inability of urban farmers to keep non-ruminants under the current climatic situations, and also due to the problem of feeding and space for housing pigs. This confirms the argument that it is costly to raise pigs in terms of feeding and meeting veterinary needs including housing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{"citationItems":[{"id":"ITEM-1","itemData":{"DOI":"10.1016/j.prevetmed.2014.10.012","ISSN":"01675877","PMID":"25458705","abstract":"While animal health constraints have been identified as a major limiting factor in smallholder pig production in Uganda, researchers and policy makers lack information on the relative incidence of diseases and their impacts on pig production. This study aimed to assess animal health and management practices, constraints and opportunities for intervention in smallholder pig value chains in three high poverty districts of Uganda. Semi-qualitative interview checklists through Focus Group Discussions (FGDs) were administered to 340 pig farmers in 35 villages in Masaka, Kamuli and Mukono districts. Quantitative data was obtained during the exercise through group consensus. Results of FGDs were further triangulated with secondary data and information obtained from key informant interviews. Findings show that pig keeping systems are dominated by tethering and scavenging in rural areas. In peri-urban and urban areas, intensive production systems are more practiced, with pigs confined in pens. The main constraints identified by farmers include high disease burden such as African swine fever (ASF) and parasites, poor housing and feeding practices, poor veterinary services, ineffective drugs and a general lack of knowledge on piggery management. According to farmers, ASF is the primary cause of pig mortality with epidemics occurring mainly during the dry season. Worms and ectoparasites namely; mange, lice and flies are endemic leading to stunted growth which reduces the market value of pigs. Diarrhoea and malnutrition are common in piglets. Ninety-three percent of farmers say they practice deworming, 37% practice ectoparasite spraying and 77% castrate their boars. Indigenous curative treatments include the application of human urine and concoctions of local herbs for ASF control and use of old engine oil or tobacco extracts to control ectoparasites. There is a need for better technical services to assist farmers with these problems.","author":[{"dropping-particle":"","family":"Dione","given":"M. M..","non-dropping-particle":"","parse-names":false,"suffix":""},{"dropping-particle":"","family":"Ouma","given":"E. A.","non-dropping-particle":"","parse-names":false,"suffix":""},{"dropping-particle":"","family":"Roesel","given":"K.","non-dropping-particle":"","parse-names":false,"suffix":""},{"dropping-particle":"","family":"Kungu","given":"J.","non-dropping-particle":"","parse-names":false,"suffix":""},{"dropping-particle":"","family":"Lule","given":"P.","non-dropping-particle":"","parse-names":false,"suffix":""},{"dropping-particle":"","family":"Pezo","given":"D.","non-dropping-particle":"","parse-names":false,"suffix":""}],"container-title":"Preventive Veterinary Medicine","id":"ITEM-1","issue":"3-4","issued":{"date-parts":[["2014"]]},"page":"565-576","publisher":"Elsevier B.V.","title":"Participatory assessment of animal health and husbandry practices in smallholder pig production systems in three high poverty districts in Uganda","type":"article-journal","volume":"117"},"uris":["http://www.mendeley.com/documents/?uuid=7a169316-3009-4572-9cef-02891c18b8d2"]},{"id":"ITEM-2","itemData":{"author":[{"dropping-particle":"","family":"Agmas","given":"B.","non-dropping-particle":"","parse-names":false,"suffix":""}],"id":"ITEM-2","issue":"October","issued":{"date-parts":[["2021"]]},"page":"19-22","title":"Client ' s Satisfaction and its Predictors with Delivery of Veterinary Services in Peri-Urban Area in North Western Ethiopia","type":"article-journal"},"uris":["http://www.mendeley.com/documents/?uuid=f114eaa6-8299-40b2-b0be-8bf84561341f"]}],"mendeley":{"formattedCitation":"(Agmas, 2021; Dione et al., 2014)","manualFormatting":"(Dione et al., 2014; Agmas, 2021)","plainTextFormattedCitation":"(Agmas, 2021; Dione et al., 2014)","previouslyFormattedCitation":"(Agmas, 2021; Dione et al., 2014)"},"properties":{"noteIndex":0},"schema":"https://github.com/citation-style-language/schema/raw/master/csl-citation.json"}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(Dione et al., 2014; Agmas, 2021)</w:t>
      </w:r>
      <w:r w:rsidRPr="00895D0B">
        <w:rPr>
          <w:rFonts w:cs="Times New Roman"/>
          <w:color w:val="000000" w:themeColor="text1"/>
          <w:szCs w:val="24"/>
        </w:rPr>
        <w:fldChar w:fldCharType="end"/>
      </w:r>
      <w:r w:rsidRPr="00895D0B">
        <w:rPr>
          <w:rFonts w:cs="Times New Roman"/>
          <w:color w:val="000000" w:themeColor="text1"/>
          <w:szCs w:val="24"/>
        </w:rPr>
        <w:t xml:space="preserve">. Some ruminants such as goats and cattle not reared because of the difficulties in housing and feeding within the urban environment resulting from the unavailability of space. Similarly, the challenge urban farmers face in the type of feeding given to livestock is the potency of nutrient imbalance thus reducing the growth and reproduction of the animals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{"citationItems":[{"id":"ITEM-1","itemData":{"DOI":"10.1007/s10705-019-09996-x","ISBN":"1070501909996","ISSN":"15730867","abstract":"Urban livestock farming responds to increasing consumer demand for fresh meat, milk and eggs and contributes to farm households’ food security. The current study investigated inputs and outputs of nutrients in peri-urban livestock systems of Ouagadougou, Burkina Faso, by quantifying, during 16 months, homestead feeding of small ruminants, beef and dairy cattle, and pigs, along with the animals’ feed intake on pasture, body weight changes, milk yields and faecal excretion. Eighteen farms considered representative of the major livestock systems in the city were selected to this end, and 1342 valid feeding records constituted the database. Across animal species, homestead feeding entailed an annual influx of 100–1600 kg dry matter (DM), 17–51 kg nitrogen (N) and 7–15 kg phosphorus (P) per tropical livestock unit (TLU) of 250 kg body weight; the subsequent excretion of faeces resulted in an accumulation of 210–860 kg DM, 5–6 kg N and 1–3 kg P per TLU and year in the peri-urban space. With a city population of about 190,000 TLU, nutrient depletion of the feed-supplying rural hinterland is expected. Despite highly variable feedstuff quality and availability, farmers’ feed offer supplied more nitrogen than animals required in 68% of all cases, and in 81% of all cases dietary imbalances between protein and energy supply contributed to suboptimal feed utilisation at the individual animal level, reducing biological and economic performance. To address these problems, farmers must receive appropriate information about feed quality, ration formulation, and group-specific feeding strategies.","author":[{"dropping-particle":"","family":"Schlecht","given":"E.","non-dropping-particle":"","parse-names":false,"suffix":""},{"dropping-particle":"","family":"Plagemann","given":"J.","non-dropping-particle":"","parse-names":false,"suffix":""},{"dropping-particle":"","family":"Mpouam","given":"S. E.","non-dropping-particle":"","parse-names":false,"suffix":""},{"dropping-particle":"","family":"Sanon","given":"H. O.","non-dropping-particle":"","parse-names":false,"suffix":""},{"dropping-particle":"","family":"Sangaré","given":"M.","non-dropping-particle":"","parse-names":false,"suffix":""},{"dropping-particle":"","family":"Roessler","given":"R.","non-dropping-particle":"","parse-names":false,"suffix":""}],"container-title":"Nutrient Cycling in Agroecosystems","id":"ITEM-1","issue":"2","issued":{"date-parts":[["2019"]]},"page":"201-230","title":"Input and output of nutrients and energy in urban and peri-urban livestock holdings of Ouagadougou, Burkina Faso","type":"article-journal","volume":"115"},"uris":["http://www.mendeley.com/documents/?uuid=03b4fa8a-2382-4f3b-9094-767609c94ae2"]}],"mendeley":{"formattedCitation":"(Schlecht et al., 2019)","plainTextFormattedCitation":"(Schlecht et al., 2019)","previouslyFormattedCitation":"(Schlecht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(Schlecht et al., 2019)</w:t>
      </w:r>
      <w:r w:rsidRPr="00895D0B">
        <w:rPr>
          <w:rFonts w:cs="Times New Roman"/>
          <w:color w:val="000000" w:themeColor="text1"/>
          <w:szCs w:val="24"/>
        </w:rPr>
        <w:fldChar w:fldCharType="end"/>
      </w:r>
      <w:r w:rsidRPr="00895D0B">
        <w:rPr>
          <w:rFonts w:cs="Times New Roman"/>
          <w:color w:val="000000" w:themeColor="text1"/>
          <w:szCs w:val="24"/>
        </w:rPr>
        <w:t xml:space="preserve">. The narratives revealed that in the attempt to adapt their animal production to climate change urban farmers resort to raising more than one type of animal within cities. This supports the extant literature pointing to the growth of animal production in urban Africa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{"citationItems":[{"id":"ITEM-1","itemData":{"DOI":"10.2174/2352631901804010001","ISBN":"2352631901804","ISSN":"2352-6319","abstract":"… Yet, the potential of urban agriculture, which comprises many … Household waste and crop residues such as citrus peel, … wastes and crop residues in small ruminant feeding in …","author":[{"dropping-particle":"","family":"Wilson","given":"R. T.","non-dropping-particle":"","parse-names":false,"suffix":""}],"container-title":"Open Urban Studies and Demography Journal","id":"ITEM-1","issue":"1","issued":{"date-parts":[["2018"]]},"page":"1-14","title":"Domestic Livestock in African Cities: Production, Problems and Prospects","type":"article-journal","volume":"4"},"uris":["http://www.mendeley.com/documents/?uuid=c6bb9ff6-0fc5-461e-82fb-ee6d3da44f71"]}],"mendeley":{"formattedCitation":"(Wilson, 2018)","plainTextFormattedCitation":"(Wilson, 2018)","previouslyFormattedCitation":"(Wilson,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(Wilson, 2018)</w:t>
      </w:r>
      <w:r w:rsidRPr="00895D0B">
        <w:rPr>
          <w:rFonts w:cs="Times New Roman"/>
          <w:color w:val="000000" w:themeColor="text1"/>
          <w:szCs w:val="24"/>
        </w:rPr>
        <w:fldChar w:fldCharType="end"/>
      </w:r>
      <w:r w:rsidRPr="00895D0B">
        <w:rPr>
          <w:rFonts w:cs="Times New Roman"/>
          <w:color w:val="000000" w:themeColor="text1"/>
          <w:szCs w:val="24"/>
        </w:rPr>
        <w:t xml:space="preserve">. In this sense, different types of animals are vulnerable to climatic effects differently and urban farmers stand a higher chance of not losing completely in a period of negative climatic effects. For instance, in seasons of excessive rain, sheep are less vulnerable as compared to goats and poultry. In other ways, urban farmers' choices of animals to produce are influenced by religiosity. For instance, many urban farmers do not rear pigs on religious grounds. In the study settings, Islamic religious practitioners are more and they forbid pigs entirely and this has reduced the interest of residents to raise and live with them. To have a peaceful co-existence, many people abstained from the rearing of pigs in some Muslims dominated neighbourhoods. Also, urban farmers' interest in raising animals such as cattle is high due to some religious and social purposes they serve. For instance, cattle and sheep are mostly used for sacrifices during festivities for Muslims and Christians. Also, within the Islam fraternity, sheep are used basically in outdooring and funeral rites performances and this increases farmers' interest in rearing them to meet the demand and also because of </w:t>
      </w:r>
      <w:r w:rsidRPr="00895D0B">
        <w:rPr>
          <w:rFonts w:cs="Times New Roman"/>
          <w:color w:val="000000" w:themeColor="text1"/>
          <w:szCs w:val="24"/>
        </w:rPr>
        <w:lastRenderedPageBreak/>
        <w:t xml:space="preserve">these animals' resiliency to adverse weather. This explains the fact that farmers keep animals for socio-cultural reasons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{"citationItems":[{"id":"ITEM-1","itemData":{"DOI":"10.1016/j.heliyon.2022.e09347","ISSN":"24058440","abstract":"Rapid urbanization exerts pressure on urban fringe resources in most cities in the global south. The resultant effect of this pressure is the rapid conversion of natural reserves and farmlands into residential and non-residential developments that affects crucial rural livelihoods including the production of small ruminants. However, scientific studies on the production of small ruminants on the fringes of cities in Ghana are limited. This study draws evidence from seven communities in Wa, Ghana to examine how urban fringe development influences the production of small ruminants, the challenges the farmers encounter, and the coping strategies adopted. The study adopted a mixed-methods research design involving 329 respondents to compare small ruminant production in 2009 and 2019. Data were also elicited from community and institutional level participants. A questionnaire-based survey, in-depth interviews, focused group discussions and observation were used to gather both quantitative and qualitative data. The findings revealed that the effects of weedicide use, frequent theft and vehicular downing adversely affected production resulting in a decrease in the number of small ruminants over the study period. Those who adopted the semi-intensive system of rearing were confronted with feeding, housing and security challenges. The study concludes that urban fringe development is detrimental to the production of small ruminants. To sustain production, it is recommended that the city's Livestock Division of the Department of Agriculture support local farmers in constructing low-cost housing using local materials such as thatch, mud bricks and cow-dung and the preparation of low-cost feed using crop residues.","author":[{"dropping-particle":"","family":"Abdulai","given":"I. A.","non-dropping-particle":"","parse-names":false,"suffix":""}],"container-title":"Heliyon","id":"ITEM-1","issue":"4","issued":{"date-parts":[["2022"]]},"page":"e09347","publisher":"The Author(s)","title":"Rearing livestock on the edge of secondary cities: examining small ruminant production on the fringes of Wa, Ghana","type":"article-journal","volume":"8"},"uris":["http://www.mendeley.com/documents/?uuid=932621d1-2a22-448a-ab82-252612d34b4d"]}],"mendeley":{"formattedCitation":"(Abdulai, 2022)","plainTextFormattedCitation":"(Abdulai, 2022)","previouslyFormattedCitation":"(Abdulai,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(Abdulai, 2022)</w:t>
      </w:r>
      <w:r w:rsidRPr="00895D0B">
        <w:rPr>
          <w:rFonts w:cs="Times New Roman"/>
          <w:color w:val="000000" w:themeColor="text1"/>
          <w:szCs w:val="24"/>
        </w:rPr>
        <w:fldChar w:fldCharType="end"/>
      </w:r>
      <w:r w:rsidRPr="00895D0B">
        <w:rPr>
          <w:rFonts w:cs="Times New Roman"/>
          <w:color w:val="000000" w:themeColor="text1"/>
          <w:szCs w:val="24"/>
        </w:rPr>
        <w:t xml:space="preserve">. Climatic stressors such as the outbreak of tropical animal diseases, flooding, and drought affect agricultural production and cannot be precluded in climate change and agriculture discourse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{"citationItems":[{"id":"ITEM-1","itemData":{"DOI":"10.1111/jwas.12514","ISSN":"17497345","abstract":"Technology adoption has played a key role in the global development and increase in agricultural productivity. However, the decision to adopt a new technology on farms is complex. While the factors that drive the adoption of new technologies have been well studied in agriculture, less attention has been paid to drivers of technology adoption in aquaculture. Aquacultural technologies have developed and advanced rapidly in recent decades, but not all technologies have been adopted readily by farmers. This review paper summarizes some of the critical factors that influence aquaculture technology adoption decisions such as: (1) method of information transfer, (2) characteristics of the technology, (3) farm characteristics, (4) economic factors, and (5) sociodemographic and institutional factors. Fish farmers have tended to adopt technologies that are perceived to be more advantageous than others in terms of productivity, cost efficiency, and ease of management. Price of aquaculture products and profit expectations from business ventures were key economic factors influencing adoption decisions. Given the wide array of species, production practices, and global nature of aquaculture, the intensity and the extent of adoption of technologies depend on the nature of the industry in which they are adopted and their economic, social, political, and regulatory environments.","author":[{"dropping-particle":"","family":"Kumar","given":"G.","non-dropping-particle":"","parse-names":false,"suffix":""},{"dropping-particle":"","family":"Engle","given":"C.","non-dropping-particle":"","parse-names":false,"suffix":""},{"dropping-particle":"","family":"Tucker","given":"C.","non-dropping-particle":"","parse-names":false,"suffix":""}],"container-title":"Journal of the World Aquaculture Society","id":"ITEM-1","issue":"3","issued":{"date-parts":[["2018"]]},"page":"447-476","title":"Factors Driving Aquaculture Technology Adoption","type":"article-journal","volume":"49"},"uris":["http://www.mendeley.com/documents/?uuid=ba04745a-d901-4e07-8ba5-c1f34772a40a"]},{"id":"ITEM-2","itemData":{"DOI":"10.1371/journal.pone.0248576","ISBN":"1111111111","ISSN":"19326203","PMID":"33793590","abstract":"Market participation among beef cattle farmers is key to ensuring better income, food security, and sustainable beef supply. Farmers in the traditional beef cattle sector, nevertheless, are well known for their low market participation. This study, thus, sought to examine factors that influenced market participation among beef cattle farmers in the Meatu district of Simiyu region, Tanzania. The study randomly selected a sample size of 393 farmers. The cross-sectional data collected through interviews and questionnaires were analyzed using descriptive statistics and ordinary least squares (OLS) regression models. The descriptive analyses showed that the average age of the interviewees was 53.73 years with a family size of 13.11. On average, the respondents had about 24.14 years of farming experience. Most of the respondents (67.9%) had primary education. Among the respondents, about 61.3%, 4.6%, and 32.6% had access to market information, farm credits, and veterinary services, respectively. The average cattle herd size was 53.46 heads. About 90.1% of farmers had participated in the markets by selling an average of 5 heads each, per year. This study has revealed low volume of sales, low education levels, and poor access to credits and veterinary services as the major factors that limit market participation. Furthermore, econometric results show that the key factors that significantly influenced farmers to increase the volume of beef cattle sales in the market at P &lt; 0.05 included price, herd size, off-farm income, distance to market, age of the farmer, and cattle fattening. Moreover, membership in cooperatives, access to market information, and farming experience also had significant influence at P &lt; 0.05. This study recommends establishment of strategic cooperatives to function not only as a communication channel for farm credits, price, market information, and training on commercial farming, but also to assist farmers in selection of profitable markets.","author":[{"dropping-particle":"","family":"Kibona","given":"C. A.","non-dropping-particle":"","parse-names":false,"suffix":""},{"dropping-particle":"","family":"Yuejie","given":"Z.","non-dropping-particle":"","parse-names":false,"suffix":""}],"container-title":"PLoS ONE","id":"ITEM-2","issue":"4 April","issued":{"date-parts":[["2021"]]},"page":"1-14","title":"Factors that influence market participation among traditional beef cattle farmers in the Meatu District of Simiyu Region, Tanzania","type":"article-journal","volume":"16"},"uris":["http://www.mendeley.com/documents/?uuid=e8f375d2-8b2d-495c-8dfe-d5e7eb723710"]},{"id":"ITEM-3","itemData":{"DOI":"10.19080/JOJPH.2019.05.555651","ISSN":"0031-9384","PMID":"4832450","abstract":"This review studies the beef cattle production systems, marketing and constraints with the aim of delivering summarized and the most important information for the producers. The agricultural sector plays an important role in the overall development of the economy of Ethiopia. The sector plays a major role in the national economy and it is the source of income and employment for the rural population. The annual contribution of ruminants to meat production in Ethiopia is estimated at over 3.2 million tones, representing over 72% of the total meat production. Cattle meat accounts for over 70% of the total red meat production and over 50% of the total meat output in Sub-Saharan Africa. Currently in Ethiopia there are 409,869 beef cattle and last year 69,830 beef cattle were slaughtered for consumption and export purpose. There are different beef cattle production systems in Ethiopia. The most common ones are traditional, by-product based fatting and Hararghe fattening system. In Ethiopia, Farmers that live in rural area sell livestock and livestock products to cover household cash expenses and to purchase crop inputs to their families. Live animals are marketed through traditional marketing routes developed over the years which were based on visual assumption on body condition of animals. Livestock pass from primary markets (collection centers) to secondary and tertiary markets to reach the consumer. Cross-border exports are also common in the southeastern, southern and northwestern parts of the country. Marketing of livestock products such as milk, meat, butter, egg, hide and skin is also important to households. In Ethiopia the existing livestock and their products marketing system are generally under developed. The low level of facilities is not conducive to efficient marketing. Transportation is on-hoof, which leads to considerable weight loss of animals as well as physical injuries and health. Trucking is very limited and used only during holidays and festivals to move finished cattle and small stock to city centers and exportable animals to ports. The major bottleneck for beef cattle production in Ethiopian farmers was feed shortage, diseases and parasites, drought, shortage of grazing land, market access, veterinary services, extension services and other infrastructure. Depending on this review; producers improve beef production system through improved feeding and health management systems, producer connect their production system with market orienta…","author":[{"dropping-particle":"","family":"Alemneh","given":"T.","non-dropping-particle":"","parse-names":false,"suffix":""},{"dropping-particle":"","family":"Getabalem","given":"M.","non-dropping-particle":"","parse-names":false,"suffix":""}],"container-title":"Journal of Marketing and Consumer Research","id":"ITEM-3","issue":"1","issued":{"date-parts":[["2017"]]},"page":"1-7","title":"Beef Cattle Production Systems, Marketing and Constraints in Ethiopia","type":"article-journal","volume":"32"},"uris":["http://www.mendeley.com/documents/?uuid=73b3eb2b-a520-4067-99be-4e701e9b3b80"]}],"mendeley":{"formattedCitation":"(Alemneh &amp; Getabalem, 2017; Kibona &amp; Yuejie, 2021; G. Kumar et al., 2018)","manualFormatting":"(Alemneh &amp; Getabalem, 2017; Kumar et al., 2018; Kibona &amp; Yuejie, 2021)","plainTextFormattedCitation":"(Alemneh &amp; Getabalem, 2017; Kibona &amp; Yuejie, 2021; G. Kumar et al., 2018)","previouslyFormattedCitation":"(Alemneh &amp; Getabalem, 2017; Kibona &amp; Yuejie, 2021; G. Kumar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w:t>
      </w:r>
      <w:r w:rsidRPr="00895D0B">
        <w:rPr>
          <w:rFonts w:cs="Times New Roman"/>
          <w:noProof/>
          <w:color w:val="000000" w:themeColor="text1"/>
          <w:szCs w:val="24"/>
        </w:rPr>
        <w:fldChar w:fldCharType="begin" w:fldLock="1"/>
      </w:r>
      <w:r w:rsidRPr="00895D0B">
        <w:rPr>
          <w:rFonts w:cs="Times New Roman"/>
          <w:noProof/>
          <w:color w:val="000000" w:themeColor="text1"/>
          <w:szCs w:val="24"/>
        </w:rPr>
        <w:instrText>ADDIN CSL_CITATION {"citationItems":[{"id":"ITEM-1","itemData":{"DOI":"10.19080/JOJPH.2019.05.555651","ISSN":"0031-9384","PMID":"4832450","abstract":"This review studies the beef cattle production systems, marketing and constraints with the aim of delivering summarized and the most important information for the producers. The agricultural sector plays an important role in the overall development of the economy of Ethiopia. The sector plays a major role in the national economy and it is the source of income and employment for the rural population. The annual contribution of ruminants to meat production in Ethiopia is estimated at over 3.2 million tones, representing over 72% of the total meat production. Cattle meat accounts for over 70% of the total red meat production and over 50% of the total meat output in Sub-Saharan Africa. Currently in Ethiopia there are 409,869 beef cattle and last year 69,830 beef cattle were slaughtered for consumption and export purpose. There are different beef cattle production systems in Ethiopia. The most common ones are traditional, by-product based fatting and Hararghe fattening system. In Ethiopia, Farmers that live in rural area sell livestock and livestock products to cover household cash expenses and to purchase crop inputs to their families. Live animals are marketed through traditional marketing routes developed over the years which were based on visual assumption on body condition of animals. Livestock pass from primary markets (collection centers) to secondary and tertiary markets to reach the consumer. Cross-border exports are also common in the southeastern, southern and northwestern parts of the country. Marketing of livestock products such as milk, meat, butter, egg, hide and skin is also important to households. In Ethiopia the existing livestock and their products marketing system are generally under developed. The low level of facilities is not conducive to efficient marketing. Transportation is on-hoof, which leads to considerable weight loss of animals as well as physical injuries and health. Trucking is very limited and used only during holidays and festivals to move finished cattle and small stock to city centers and exportable animals to ports. The major bottleneck for beef cattle production in Ethiopian farmers was feed shortage, diseases and parasites, drought, shortage of grazing land, market access, veterinary services, extension services and other infrastructure. Depending on this review; producers improve beef production system through improved feeding and health management systems, producer connect their production system with market orienta…","author":[{"dropping-particle":"","family":"Alemneh","given":"T.","non-dropping-particle":"","parse-names":false,"suffix":""},{"dropping-particle":"","family":"Getabalem","given":"M.","non-dropping-particle":"","parse-names":false,"suffix":""}],"container-title":"Journal of Marketing and Consumer Research","id":"ITEM-1","issue":"1","issued":{"date-parts":[["2017"]]},"page":"1-7","title":"Beef Cattle Production Systems, Marketing and Constraints in Ethiopia","type":"article-journal","volume":"32"},"uris":["http://www.mendeley.com/documents/?uuid=73b3eb2b-a520-4067-99be-4e701e9b3b80"]}],"mendeley":{"formattedCitation":"(Alemneh &amp; Getabalem, 2017)","manualFormatting":"Alemneh &amp; Getabalem, 2017","plainTextFormattedCitation":"(Alemneh &amp; Getabalem, 2017)","previouslyFormattedCitation":"(Alemneh &amp; Getabalem, 2017)"},"properties":{"noteIndex":0},"schema":"https://github.com/citation-style-language/schema/raw/master/csl-citation.json"}</w:instrText>
      </w:r>
      <w:r w:rsidRPr="00895D0B">
        <w:rPr>
          <w:rFonts w:cs="Times New Roman"/>
          <w:noProof/>
          <w:color w:val="000000" w:themeColor="text1"/>
          <w:szCs w:val="24"/>
        </w:rPr>
        <w:fldChar w:fldCharType="separate"/>
      </w:r>
      <w:r w:rsidRPr="00895D0B">
        <w:rPr>
          <w:rFonts w:cs="Times New Roman"/>
          <w:noProof/>
          <w:color w:val="000000" w:themeColor="text1"/>
          <w:szCs w:val="24"/>
        </w:rPr>
        <w:t>Alemneh &amp; Getabalem, 2017</w:t>
      </w:r>
      <w:r w:rsidRPr="00895D0B">
        <w:rPr>
          <w:rFonts w:cs="Times New Roman"/>
          <w:noProof/>
          <w:color w:val="000000" w:themeColor="text1"/>
          <w:szCs w:val="24"/>
        </w:rPr>
        <w:fldChar w:fldCharType="end"/>
      </w:r>
      <w:r w:rsidRPr="00895D0B">
        <w:rPr>
          <w:rFonts w:cs="Times New Roman"/>
          <w:noProof/>
          <w:color w:val="000000" w:themeColor="text1"/>
          <w:szCs w:val="24"/>
        </w:rPr>
        <w:t>; Kumar et al., 2018; Kibona &amp; Yuejie, 2021)</w:t>
      </w:r>
      <w:r w:rsidRPr="00895D0B">
        <w:rPr>
          <w:rFonts w:cs="Times New Roman"/>
          <w:color w:val="000000" w:themeColor="text1"/>
          <w:szCs w:val="24"/>
        </w:rPr>
        <w:fldChar w:fldCharType="end"/>
      </w:r>
      <w:r w:rsidRPr="00895D0B">
        <w:rPr>
          <w:rFonts w:cs="Times New Roman"/>
          <w:color w:val="000000" w:themeColor="text1"/>
          <w:szCs w:val="24"/>
        </w:rPr>
        <w:t xml:space="preserve">. </w:t>
      </w:r>
    </w:p>
    <w:p w14:paraId="11B8015D" w14:textId="77777777" w:rsidR="001B4ED5" w:rsidRPr="00895D0B" w:rsidRDefault="001B4ED5" w:rsidP="00166F50">
      <w:pPr>
        <w:pStyle w:val="NoSpacing"/>
      </w:pPr>
    </w:p>
    <w:p w14:paraId="5B18FB9D"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color w:val="000000" w:themeColor="text1"/>
          <w:szCs w:val="24"/>
        </w:rPr>
        <w:t xml:space="preserve">This evidence portrayed that urban farmers are interested in rearing poultry more than any other farm animals even though climate change is a serious issue of late. Considering the effects of climate change such as adverse weather on poultry production, urban farmers can produce more fowls and guinea fowls. This is also associated with the fact that poultry is easy to raise and feed compared to non-poultry farm animals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{"citationItems":[{"id":"ITEM-1","itemData":{"DOI":"10.1093/jac/dkt443","ISSN":"03057453","PMID":"24216767","abstract":"Objectives: To evaluate correlations between antimicrobial use and the prevalence of resistance in commensal Escherichia coli isolates from pigs, poultry and cattle, using data from publicly available national or international reports from seven European countries. Methods: The link between the quantities of different classes of antimicrobials administered to food-producing animals per country (expressed in mg/population correction unit) and the prevalence of resistance to the different antimicrobial classes (interpreted by EUCAST epidemiological cut-off values) in E. coli isolates (4831 isolates in total) was assessed by means of polynomial regression analysis and determination of Spearman's rank correlation coefficient. Results: A quadratic regression best fitted the antimicrobial use and antimicrobial resistance data. The coefficient of determination was, in decreasing order, 0.99 for fluoroquinolones and amphenicols, 0.94 for third-generation cephalosporins and sulphonamides, 0.93 for aminopenicillins, 0.86 for fluoroquinolones, 0.81 for streptomycin and 0.80 for gentamicin and tetracycline. Spearman's rank correlation coefficient was 1 for amphenicols, 0.96 for sulphonamides, 0.93 for streptomycin and tetracycline, 0.89 for aminopenicillins, 0.71 for gentamicin and 0.70 for third-generation cephalosporins. Conclusions: These remarkably high coefficients indicate that, at a national level, the level of use of specific antimicrobials strongly correlates to the level of resistance towards these agents in commensal E. coli isolates in pigs, poultry and cattle. However, data restraints reveal the need for further detail in collection and harmonization of antimicrobial resistance and use data in Europe. © The Author 2013. Published by Oxford University Press on behalf of the British Society for Antimicrobial Chemotherapy. All rights reserved.","author":[{"dropping-particle":"","family":"Chantziaras","given":"I.","non-dropping-particle":"","parse-names":false,"suffix":""},{"dropping-particle":"","family":"Boyen","given":"F.","non-dropping-particle":"","parse-names":false,"suffix":""},{"dropping-particle":"","family":"Callens","given":"B.","non-dropping-particle":"","parse-names":false,"suffix":""},{"dropping-particle":"","family":"Dewulf","given":"J.","non-dropping-particle":"","parse-names":false,"suffix":""}],"container-title":"Journal of Antimicrobial Chemotherapy","id":"ITEM-1","issue":"3","issued":{"date-parts":[["2014"]]},"page":"827-834","title":"Correlation between veterinary antimicrobial use and antimicrobial resistance in food-producing animals: A report on seven countries","type":"article-journal","volume":"69"},"uris":["http://www.mendeley.com/documents/?uuid=0e55d159-b544-44c0-95f9-1db300980306"]}],"mendeley":{"formattedCitation":"(Chantziaras et al., 2014)","plainTextFormattedCitation":"(Chantziaras et al., 2014)","previouslyFormattedCitation":"(Chantziaras et al., 2014)"},"properties":{"noteIndex":0},"schema":"https://github.com/citation-style-language/schema/raw/master/csl-citation.json"}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(Chantziaras et al., 2014)</w:t>
      </w:r>
      <w:r w:rsidRPr="00895D0B">
        <w:rPr>
          <w:rFonts w:cs="Times New Roman"/>
          <w:color w:val="000000" w:themeColor="text1"/>
          <w:szCs w:val="24"/>
        </w:rPr>
        <w:fldChar w:fldCharType="end"/>
      </w:r>
      <w:r w:rsidRPr="00895D0B">
        <w:rPr>
          <w:rFonts w:cs="Times New Roman"/>
          <w:color w:val="000000" w:themeColor="text1"/>
          <w:szCs w:val="24"/>
        </w:rPr>
        <w:t xml:space="preserve">. Household food waste serves as a good source of feed for poultry within homes. Aside from this, the demand for poultry products such as eggs is higher within urban areas as many households derive their nutritional needs from backyard poultry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{"citationItems":[{"id":"ITEM-1","itemData":{"DOI":"10.1111/tbed.12536","ISSN":"18651682","PMID":"27311406","abstract":"Poultry is commonly raised by households in rural Bangladesh. In 2007, the Government of Bangladesh began a mass media campaign to disseminate 10 recommended precautions to prevent transmission of H5N1 from poultry to humans. This longitudinal study explored the contribution of backyard poultry on household economy and nutrition and compared poultry-raising practices to government recommendations. From 2009 to 2012, we enrolled a nationally representative sample of 2489 primary backyard poultry raisers from 115 rural villages selected by probability proportional to population size. Researchers interviewed the raisers to collect data on poultry-raising practices. They followed the raisers for 2–12 months to collect data on household income and nutrition from poultry. Income from backyard poultry flocks accounted for 2.8% of monthly household income. Return on annual investment (ROI) per flock was 480%. Yearly, median family consumption of eggs was one-fifth of the total produced eggs and three poultry from their own flock. Respondents’ reported practices conflicted with government recommendations. Sixty per cent of raisers had never heard of avian influenza or ‘bird flu’. Among the respondents, 85% handled sick poultry or poultry that died due to illness, and 49% slaughtered or defeathered sick poultry. In 37% of households, children touched poultry. Fifty-eight per cent never washed their hands with soap after handling poultry, while &lt;1% covered their nose and mouth with a cloth when handling poultry. Only 3% reported poultry illness and deaths to local authorities. These reported practices did not improve during the study period. Raising backyard poultry in rural Bangladesh provides important income and nutrition with an excellent ROI. Government recommendations to reduce the risk of avian influenza transmission did not impact the behaviour of poultry producers. Further research should prioritize developing interventions that simultaneously reduce the risk of avian influenza transmission and increase productivity of backyard poultry.","author":[{"dropping-particle":"","family":"Shanta","given":"I. S.","non-dropping-particle":"","parse-names":false,"suffix":""},{"dropping-particle":"","family":"Hasnat","given":"Md A.","non-dropping-particle":"","parse-names":false,"suffix":""},{"dropping-particle":"","family":"Zeidner","given":"N.","non-dropping-particle":"","parse-names":false,"suffix":""},{"dropping-particle":"","family":"Gurley","given":"E. S.","non-dropping-particle":"","parse-names":false,"suffix":""},{"dropping-particle":"","family":"Azziz-Baumgartner","given":"E.","non-dropping-particle":"","parse-names":false,"suffix":""},{"dropping-particle":"","family":"Sharker","given":"M. A.Y.","non-dropping-particle":"","parse-names":false,"suffix":""},{"dropping-particle":"","family":"Hossain","given":"K.","non-dropping-particle":"","parse-names":false,"suffix":""},{"dropping-particle":"","family":"Khan","given":"S. U.","non-dropping-particle":"","parse-names":false,"suffix":""},{"dropping-particle":"","family":"Haider","given":"N.","non-dropping-particle":"","parse-names":false,"suffix":""},{"dropping-particle":"","family":"Bhuyan","given":"A. A.","non-dropping-particle":"","parse-names":false,"suffix":""},{"dropping-particle":"","family":"Hossain","given":"Md A.","non-dropping-particle":"","parse-names":false,"suffix":""},{"dropping-particle":"","family":"Luby","given":"S. P.","non-dropping-particle":"","parse-names":false,"suffix":""}],"container-title":"Transboundary and Emerging Diseases","id":"ITEM-1","issue":"5","issued":{"date-parts":[["2017"]]},"page":"1454-1464","title":"Raising Backyard Poultry in Rural Bangladesh: Financial and Nutritional Benefits, but Persistent Risky Practices","type":"article-journal","volume":"64"},"uris":["http://www.mendeley.com/documents/?uuid=0999dcaa-7b35-4daa-a3bc-579a8618e059"]}],"mendeley":{"formattedCitation":"(Shanta et al., 2017)","plainTextFormattedCitation":"(Shanta et al., 2017)","previouslyFormattedCitation":"(Shanta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(Shanta et al., 2017)</w:t>
      </w:r>
      <w:r w:rsidRPr="00895D0B">
        <w:rPr>
          <w:rFonts w:cs="Times New Roman"/>
          <w:color w:val="000000" w:themeColor="text1"/>
          <w:szCs w:val="24"/>
        </w:rPr>
        <w:fldChar w:fldCharType="end"/>
      </w:r>
      <w:r w:rsidRPr="00895D0B">
        <w:rPr>
          <w:rFonts w:cs="Times New Roman"/>
          <w:color w:val="000000" w:themeColor="text1"/>
          <w:szCs w:val="24"/>
        </w:rPr>
        <w:t xml:space="preserve">. In addition, poultry such as chicken and guinea fowl products are crucial in meeting religious needs such as sacrifices by many people across almost all the religious denominations in Africa. Overall, the findings suggest that there is a strong link between the various uses urban farmers put their animals they rear into and the choice of animals to produce under climate change. This shows that the choice of animals to rear is subject to the belief and faith of the urban farmers. This corroborates the findings that the use of animals for religious purposes varies across different religions and cultures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{"citationItems":[{"id":"ITEM-1","itemData":{"DOI":"10.3390/conservation1020010","abstract":"The Kumasi Central Market is the largest urban open market in Ghana and animals used for medicinal purposes are among the items that are typically displayed for sale. However, no study has been undertaken on the animal species sold for traditional medicine purposes. This study took inventory of animal species traded for medicinal purposes in the Kumasi Central Market and examined their conservation implications. The species recorded to be traded comprised 5 taxonomic classes, belonging to 20 families. Chameleons were found to be the most traded animal species. Seven (23%) of the species traded were found to be threatened under IUCN Red List, with four (13%) species listed on Appendix I of CITES, and eight (26%) species on Schedule I of Wildlife Conservation Regulations of Ghana. Wildlife regulations are not serving as a deterrent to the trade in threatened animal species. There is a need to sensitize traders about the threats faced by these animal species and provide explanations as to why these species should be protected.","author":[{"dropping-particle":"","family":"Boakye","given":"M. K.","non-dropping-particle":"","parse-names":false,"suffix":""},{"dropping-particle":"","family":"Agyemang","given":"A. O.","non-dropping-particle":"","parse-names":false,"suffix":""},{"dropping-particle":"","family":"Wiafe","given":"E. D.","non-dropping-particle":"","parse-names":false,"suffix":""},{"dropping-particle":"","family":"Dossou-Yovo","given":"H. O.","non-dropping-particle":"","parse-names":false,"suffix":""},{"dropping-particle":"","family":"Ziekah","given":"M.","non-dropping-particle":"","parse-names":false,"suffix":""}],"container-title":"Conservation","id":"ITEM-1","issue":"2","issued":{"date-parts":[["2021"]]},"page":"113-120","title":"Animals Traded for Traditional Medicine Purposes in the Kumasi Central Market, Ghana: Conservation Implications","type":"article-journal","volume":"1"},"uris":["http://www.mendeley.com/documents/?uuid=d6367cd5-2df1-4505-b502-36274097be33"]}],"mendeley":{"formattedCitation":"(Boakye et al., 2021)","plainTextFormattedCitation":"(Boakye et al., 2021)","previouslyFormattedCitation":"(Boakye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(Boakye et al., 2021)</w:t>
      </w:r>
      <w:r w:rsidRPr="00895D0B">
        <w:rPr>
          <w:rFonts w:cs="Times New Roman"/>
          <w:color w:val="000000" w:themeColor="text1"/>
          <w:szCs w:val="24"/>
        </w:rPr>
        <w:fldChar w:fldCharType="end"/>
      </w:r>
      <w:r w:rsidRPr="00895D0B">
        <w:rPr>
          <w:rFonts w:cs="Times New Roman"/>
          <w:color w:val="000000" w:themeColor="text1"/>
          <w:szCs w:val="24"/>
        </w:rPr>
        <w:t xml:space="preserve">. While some religions advocate for the compassionate treatment of animals, others incorporate animal sacrifice as part of their religious rituals. In both Christian, Islamic, and African Traditional religions, animal sacrifice is a key practice that connects people with deities and seeks their blessings. Interestingly, despite the fact that Islamic teaching recognizes humans as powerful over animals, and mistreating animals is considered disobedience of Allah's will, believers rely on them for spiritual gains. It is important to note that while religious beliefs may influence the treatment of animals, there are ethical considerations that should be taken into account to ensure the well-being and welfare of the animals involved. This signifies the connection between animal raising and religious significance which affects farmer participation in rearing animals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{"citationItems":[{"id":"ITEM-1","itemData":{"DOI":"10.1080/00438241003672856","ISSN":"14701375","abstract":"The sacrifice of animals in various types of shrines is a major component of Talensi ritual practice and religious belief. The scale of sacrifice would suggest significant faunal remains might be expected archaeologically. In reality they are infrequent in comparison to other categories of material and almost wholly absent from shrine contexts. The potential reasoning behind this absence is explored in relation to the mechanics of sacrifice and the division of sacrificial animals in particular. This would suggest that sacrifice could have been as important in the past as it is in the present, even if as a practice it is archaeologically negative. © 2010 Taylor &amp; Francis.","author":[{"dropping-particle":"","family":"Insoll","given":"T.","non-dropping-particle":"","parse-names":false,"suffix":""}],"container-title":"World Archaeology","id":"ITEM-1","issue":"2","issued":{"date-parts":[["2010"]]},"page":"231-244","title":"Talensi animal sacrifice and its archaeological implications","type":"article-journal","volume":"42"},"uris":["http://www.mendeley.com/documents/?uuid=6494db90-0692-411a-9c5e-3647b72fb8a1"]}],"mendeley":{"formattedCitation":"(Insoll, 2010)","manualFormatting":"(Insoll, 2010","plainTextFormattedCitation":"(Insoll, 2010)","previouslyFormattedCitation":"(Insoll, 2010)"},"properties":{"noteIndex":0},"schema":"https://github.com/citation-style-language/schema/raw/master/csl-citation.json"}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(Insoll, 2010</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{"citationItems":[{"id":"ITEM-1","itemData":{"DOI":"10.1007/s10708-020-10272-7","ISBN":"0123456789","ISSN":"15729893","abstract":"Climate change is one of the multiple challenges facing all categories of farmers globally. However, African farmers are the most sensitive in respect of climate variability and change. Climate change impacted negatively on crop production and the livelihoods of the local farmers. In black township South Africa, agricultural activities are highly dominated by small-scale farmers, whose farming system is highly vulnerable to changes in climate. This paper presents the analysis of how small-scale farmers employed adaptation strategies in response to climate change and determinants of small-scale households’ choices of coping and adaptation approach to climate variability and change in Vhembe District, South Africa. Multi nominal logit model was used on a surveyed of 224 local farmers. Farmers’ socio-economic attributes, was used in response to climate changes and further, households have adaptation strategies both on-farm and off-farm approach. Such approaches were; drought-tolerant seeds, shorter cycle crops, diversification of crops, changing planting dates, small-scale irrigation, migrating to urban areas and involvement in petty business. The results of the findings reveals that the significant drivers affecting choice of adaptation approach include climate information, gender, farm size, education level, farmer experience, decreasing rainfall and increases in temperature as farmers’ determinant choices of adaptation to climate change. While, on the other hand, off-farm resources, headed households and age had no significant impact on the choice of coping and adaptation approach to climate change. Therefore, policy makers in the local municipality should play a significant role by enhancing adaptation strategies appropriate for particular climatic shock on the study area.","author":[{"dropping-particle":"","family":"Kom","given":"Z.","non-dropping-particle":"","parse-names":false,"suffix":""},{"dropping-particle":"","family":"Nethengwe","given":"N. S.","non-dropping-particle":"","parse-names":false,"suffix":""},{"dropping-particle":"","family":"Mpandeli","given":"N. S.","non-dropping-particle":"","parse-names":false,"suffix":""},{"dropping-particle":"","family":"Chikoore","given":"H.","non-dropping-particle":"","parse-names":false,"suffix":""}],"container-title":"GeoJournal","id":"ITEM-1","issue":"2","issued":{"date-parts":[["2022"]]},"page":"677-700","publisher":"Springer Netherlands","title":"Determinants of small-scale farmers’ choice and adaptive strategies in response to climatic shocks in Vhembe District, South Africa","type":"article-journal","volume":"87"},"uris":["http://www.mendeley.com/documents/?uuid=2d34ccc2-23a3-409b-b1cd-01182c62cc20"]}],"mendeley":{"formattedCitation":"(Kom et al., 2022)","manualFormatting":"Kom et al., 2022)","plainTextFormattedCitation":"(Kom et al., 2022)","previouslyFormattedCitation":"(Kom et al.,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Kom et al., 2022)</w:t>
      </w:r>
      <w:r w:rsidRPr="00895D0B">
        <w:rPr>
          <w:rFonts w:cs="Times New Roman"/>
          <w:color w:val="000000" w:themeColor="text1"/>
          <w:szCs w:val="24"/>
        </w:rPr>
        <w:fldChar w:fldCharType="end"/>
      </w:r>
      <w:r w:rsidRPr="00895D0B">
        <w:rPr>
          <w:rFonts w:cs="Times New Roman"/>
          <w:color w:val="000000" w:themeColor="text1"/>
          <w:szCs w:val="24"/>
        </w:rPr>
        <w:t xml:space="preserve">, particularly in urban areas. This supports the idea that farmers produce animals they value, not just for rearing sake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{"citationItems":[{"id":"ITEM-1","itemData":{"DOI":"10.3390/agriculture9010010","ISSN":"20770472","abstract":"Farmers around the world face and manage a wide range of enterprise-related risks. These risks are increasing due to a range of factors including globalisation, increased trade in agricultural products, and climate change, jeopardising agricultural enterprises and forcing farmers to adjust their production and management strategies. Here we present results of a systematic literature review, following PRISMA protocol, of farmers’ perceptions of, and responses to, agricultural risks. Using data reduction method (factor analysis) and descriptive statistics, we analysed 197 studies and found that weather-related risk (55%), biosecurity threats (48%), and human risk (35%) are the significant risks perceived by farmers for their agricultural enterprises. Diversification of crop and animal production (28%) and pests and diseases monitoring and prevention (20%) were the preferred agricultural risk management strategies employed by farmers. Few studies have investigated socio-economic factors that explain risk perceptions (18%) or factors that influence how farmers manage agricultural risks (11%). The main barriers to successfully managing agricultural risks were limited access to information and formal low-interest loan systems, especially in developing countries. We identified a mismatch between perceived risk sources and risk management strategies, highlighting a need to improve understanding of why particular management responses are employed to address the various risks. This review suggests areas for future research to improve understanding of the perceptions of risks held by farmers, and to support efforts to manage and reduce these risks.","author":[{"dropping-particle":"","family":"Duong","given":"T. T.","non-dropping-particle":"","parse-names":false,"suffix":""},{"dropping-particle":"","family":"Brewer","given":"T.","non-dropping-particle":"","parse-names":false,"suffix":""},{"dropping-particle":"","family":"Luck","given":"J.","non-dropping-particle":"","parse-names":false,"suffix":""},{"dropping-particle":"","family":"Zander","given":"K.","non-dropping-particle":"","parse-names":false,"suffix":""}],"container-title":"Agriculture (Switzerland)","id":"ITEM-1","issue":"1","issued":{"date-parts":[["2019"]]},"title":"A global review of farmers’ perceptions of agricultural risks and risk management strategies","type":"article-journal","volume":"9"},"uris":["http://www.mendeley.com/documents/?uuid=de88be9f-f80f-41e3-a987-6d9cfd5f9643"]}],"mendeley":{"formattedCitation":"(Duong et al., 2019)","plainTextFormattedCitation":"(Duong et al., 2019)","previouslyFormattedCitation":"(Duong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(Duong et al., 2019)</w:t>
      </w:r>
      <w:r w:rsidRPr="00895D0B">
        <w:rPr>
          <w:rFonts w:cs="Times New Roman"/>
          <w:color w:val="000000" w:themeColor="text1"/>
          <w:szCs w:val="24"/>
        </w:rPr>
        <w:fldChar w:fldCharType="end"/>
      </w:r>
      <w:r w:rsidRPr="00895D0B">
        <w:rPr>
          <w:rFonts w:cs="Times New Roman"/>
          <w:color w:val="000000" w:themeColor="text1"/>
          <w:szCs w:val="24"/>
        </w:rPr>
        <w:t xml:space="preserve">. As such, </w:t>
      </w:r>
      <w:r w:rsidRPr="00895D0B">
        <w:rPr>
          <w:rFonts w:cs="Times New Roman"/>
          <w:color w:val="000000" w:themeColor="text1"/>
          <w:szCs w:val="24"/>
        </w:rPr>
        <w:lastRenderedPageBreak/>
        <w:t xml:space="preserve">understanding farmers' perspectives and addressing the factors that influence their thinking is crucial for the successful implementation of improved urban livestock production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{"citationItems":[{"id":"ITEM-1","itemData":{"DOI":"10.3390/ani10091524","ISSN":"20762615","abstract":"Farm animal welfare (FAW) is a growing societal concern, reflected by over 30 years of research to inform policy and practice. Despite the wealth of evidence to improve FAW, implementation of good practice continues to be an issue. The role of the stakeholder, particularly farmers, is pivotal to FAW improvement. This semi-systematic review synthesizes the evidence published in the last 30 years, worldwide, to address two main questions “what do farmers think (farmer’s general view) about farm animal welfare?” and “what are the factors that influence their thinking?”. A thematic analysis was conducted to identify factors that influenced the implementation of FAW innovation. The main outcomes extracted from 96 peer-reviewed publications on a range of livestock species identified 11 internal factors including farmer knowledge, empathy, personality, values, and human-animal bond; 15 external factors including economic advantages, communication, time and labor influenced the perception of FAW. Farmers’ knowledge and cost implications of FAW were the most frequently reported factors. The review further highlights the need for promoting interdisciplinary collaboration and stakeholder participation. This study suggests strategies to improve FAW, including tools to support behavioral changes amongst farmers.","author":[{"dropping-particle":"","family":"Balzani","given":"A.","non-dropping-particle":"","parse-names":false,"suffix":""},{"dropping-particle":"","family":"Hanlon","given":"A.","non-dropping-particle":"","parse-names":false,"suffix":""}],"container-title":"Animals","id":"ITEM-1","issue":"9","issued":{"date-parts":[["2020"]]},"page":"1-25","title":"Factors that influence farmers’ views on farm animal welfare: A semi-systematic review and thematic analysis","type":"article-journal","volume":"10"},"uris":["http://www.mendeley.com/documents/?uuid=80a80596-2290-4835-af69-1f1207290ef9"]}],"mendeley":{"formattedCitation":"(Balzani &amp; Hanlon, 2020)","plainTextFormattedCitation":"(Balzani &amp; Hanlon, 2020)","previouslyFormattedCitation":"(Balzani &amp; Hanlon,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(Balzani &amp; Hanlon, 2020)</w:t>
      </w:r>
      <w:r w:rsidRPr="00895D0B">
        <w:rPr>
          <w:rFonts w:cs="Times New Roman"/>
          <w:color w:val="000000" w:themeColor="text1"/>
          <w:szCs w:val="24"/>
        </w:rPr>
        <w:fldChar w:fldCharType="end"/>
      </w:r>
      <w:r w:rsidRPr="00895D0B">
        <w:rPr>
          <w:rFonts w:cs="Times New Roman"/>
          <w:color w:val="000000" w:themeColor="text1"/>
          <w:szCs w:val="24"/>
        </w:rPr>
        <w:t xml:space="preserve"> under the prevailing climatic situations. In addition, farmers' choice in the type of animals to produce is perceptually inclined to the use that they are put into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{"citationItems":[{"id":"ITEM-1","itemData":{"ISSN":"08554307","abstract":"Farmers in Northern Ghana adapt to the adverse effects of climate change using traditional practices. However, farmers’ awareness of these practices is a spring-board to their choices of available indigenous climate related adaptation strategies. This study examined farmers’ awareness and usage of indigenous adaptation strategies using the Heckman Two-Stage Sample Selection Model. Questionnaire was administered to 285 randomly selected households to determine the factors influencing farmers’ awareness and choice of indigenous adaptation strategies. The empirical results showed that majority of farmers are aware of and employed soil related indigenous adaptation strategies. Education, membership of farmer-based organisation, farmer-farmer extension contacts and farming experience significantly determine farmers’ awareness of indigenous adaptation strategies. Farmers’ level of education, farming experience, farmer-farmer extension contacts, membership of farmer group, labour hours and age significantly influenced farmers’ choice of indigenous climate related adaptation strategies. Based on these findings, it is recommended that farmers should endeavour to form groups to serve as a platform to share knowledge on indigenous farming practices for effective climate change adaptation.","author":[{"dropping-particle":"","family":"Alhassan","given":"S. I.","non-dropping-particle":"","parse-names":false,"suffix":""},{"dropping-particle":"","family":"Shaibu","given":"M. T.","non-dropping-particle":"","parse-names":false,"suffix":""},{"dropping-particle":"","family":"Kuwornu","given":"J. K.M.","non-dropping-particle":"","parse-names":false,"suffix":""},{"dropping-particle":"","family":"Damba","given":"O. T.","non-dropping-particle":"","parse-names":false,"suffix":""}],"container-title":"West African Journal of Applied Ecology","id":"ITEM-1","issue":"Special Issue","issued":{"date-parts":[["2018"]]},"page":"1-13","title":"Factors influencing farmers’ awareness and choice of indigenous practices in adapting to climate change and variability in Northern Ghana","type":"article-journal","volume":"26"},"uris":["http://www.mendeley.com/documents/?uuid=e41a217e-4fb0-4f73-af38-655e6cea25c9"]}],"mendeley":{"formattedCitation":"(Alhassan et al., 2018)","plainTextFormattedCitation":"(Alhassan et al., 2018)","previouslyFormattedCitation":"(Alhassan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(Alhassan et al., 2018)</w:t>
      </w:r>
      <w:r w:rsidRPr="00895D0B">
        <w:rPr>
          <w:rFonts w:cs="Times New Roman"/>
          <w:color w:val="000000" w:themeColor="text1"/>
          <w:szCs w:val="24"/>
        </w:rPr>
        <w:fldChar w:fldCharType="end"/>
      </w:r>
      <w:r w:rsidRPr="00895D0B">
        <w:rPr>
          <w:rFonts w:cs="Times New Roman"/>
          <w:color w:val="000000" w:themeColor="text1"/>
          <w:szCs w:val="24"/>
        </w:rPr>
        <w:t>.</w:t>
      </w:r>
    </w:p>
    <w:p w14:paraId="6879A407" w14:textId="77777777" w:rsidR="001B4ED5" w:rsidRPr="00895D0B" w:rsidRDefault="001B4ED5" w:rsidP="00056D43">
      <w:pPr>
        <w:pStyle w:val="NoSpacing"/>
      </w:pPr>
    </w:p>
    <w:p w14:paraId="1D969343" w14:textId="3472CA8A"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color w:val="000000" w:themeColor="text1"/>
          <w:szCs w:val="24"/>
        </w:rPr>
        <w:t xml:space="preserve">Vegetable cultivation is predominant in the urban environment because farmers do not need large plots for it. The cultivation of vegetables is mostly on a subsistence basis even though some could be for sale. The consumption of vegetables such as pumpkin leaves is high among the people within the northern sector of Ghana particularly in the North-western zone. The cultivation of many types of crops points to the diversification of crop production to survive even under the negative effects of climate change as crop resiliency is increased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978-3-031-28251-5_10","author":[{"dropping-particle":"","family":"Rukhsana","given":"L.","non-dropping-particle":"","parse-names":false,"suffix":""},{"dropping-particle":"","family":"Kumar","given":"S.","non-dropping-particle":"","parse-names":false,"suffix":""}],"container-title":"Climate Change, Agriculture and Society","id":"ITEM-1","issue":"January","issued":{"date-parts":[["2017"]]},"page":"175-193","title":"Crop Diversification: An Adaptive Option for Climate Change Resilience in West Bengal","type":"article-journal"},"uris":["http://www.mendeley.com/documents/?uuid=215b6c02-6070-4d3a-bfd1-c4ef22a729ba"]}],"mendeley":{"formattedCitation":"(Rukhsana &amp; Kumar, 2017)","plainTextFormattedCitation":"(Rukhsana &amp; Kumar, 2017)","previouslyFormattedCitation":"(Rukhsana &amp; Kumar,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(Rukhsana &amp; Kumar, 2017)</w:t>
      </w:r>
      <w:r w:rsidRPr="00895D0B">
        <w:rPr>
          <w:rFonts w:cs="Times New Roman"/>
          <w:color w:val="000000" w:themeColor="text1"/>
          <w:szCs w:val="24"/>
        </w:rPr>
        <w:fldChar w:fldCharType="end"/>
      </w:r>
      <w:r w:rsidRPr="00895D0B">
        <w:rPr>
          <w:rFonts w:cs="Times New Roman"/>
          <w:color w:val="000000" w:themeColor="text1"/>
          <w:szCs w:val="24"/>
        </w:rPr>
        <w:t xml:space="preserve">. The interest in the growth of vegetables is also necessitated by urban farmers' readiness to meet their nutritional values from vegetables despite the negative consequences of climate change. To buttress the above point, the subsistence nature of urban vegetable production means that urban households could rely on minor irrigation in the absence of rainfall due to climate change. This can be done using water from the households. However, those urban farmers whose target is to meet larger urban vegetable markets use irrigation from available water in streams and wells during the dry season. This in a way supports the claim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{"citationItems":[{"id":"ITEM-1","itemData":{"DOI":"10.1016/j.landusepol.2017.10.031","ISSN":"02648377","abstract":"Extending beyond previous research biases towards large cities or analyses based largely on one type of urban agriculture (UA) (such as market gardening, or home gardening), this research aimed to investigate all forms of UA within two intermediate-sized Ghanaian cities (Techiman and Tamale). Where was being farmed? For whom, and why? The paper considers how findings compare to Ghana's larger cities, and possible implications for theory and for planning. Methods included remote sensing, field mapping, interviews and a 1000-household per city questionnaire. The most common reason for farming was food supplementation. This was often via staple foods, particularly maize, rather than the leafy vegetables common in larger cities’ market gardening. Farming was predominantly via home gardening, particularly for the better off. The larger city of Tamale also sustained organised irrigated-vegetable market gardens. Findings suggest a picture not dissimilar to Ghana's larger cities but with greater prevalence of home gardening, and a dominance of staple foods rather than perishable or high value crops. A compelling finding, which has received less attention in the literature, is the extent of, and roles played by, what this study refers to as ‘institutional land. Both Ghanaian Ministry of Food and Agriculture's policy framing, and market crisis theorising, of the drivers and role of UA were not found to be an accurate reflection of Techiman and Tamale's UA. Rather than being a localised survival activity of the poor or marginalised, of recent migrants, or of predominantly women, these cities contained a large scale and diverse spatiality of UA mainly for non-poor and non-migrants’ supplementation of their staple food larder. Results emphasise the context-specific nature of a city's urban agriculture, and underline the need for researchers and UA advocates to be specific about the form of UA under the microscope when making claims for ‘an urban agriculture’.","author":[{"dropping-particle":"","family":"Mackay","given":"H.","non-dropping-particle":"","parse-names":false,"suffix":""}],"container-title":"Land Use Policy","id":"ITEM-1","issue":"October 2017","issued":{"date-parts":[["2018"]]},"page":"182-197","publisher":"Elsevier","title":"Mapping and characterising the urban agricultural landscape of two intermediate-sized Ghanaian cities","type":"article-journal","volume":"70"},"uris":["http://www.mendeley.com/documents/?uuid=db4df694-c6b9-4c30-8d0e-77c510eebe8b"]}],"mendeley":{"formattedCitation":"(Mackay, 2018)","manualFormatting":"Mackay (2018)","plainTextFormattedCitation":"(Mackay, 2018)","previouslyFormattedCitation":"(Mackay,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Mackay (2018)</w:t>
      </w:r>
      <w:r w:rsidRPr="00895D0B">
        <w:rPr>
          <w:rFonts w:cs="Times New Roman"/>
          <w:color w:val="000000" w:themeColor="text1"/>
          <w:szCs w:val="24"/>
        </w:rPr>
        <w:fldChar w:fldCharType="end"/>
      </w:r>
      <w:r w:rsidRPr="00895D0B">
        <w:rPr>
          <w:rFonts w:cs="Times New Roman"/>
          <w:color w:val="000000" w:themeColor="text1"/>
          <w:szCs w:val="24"/>
        </w:rPr>
        <w:t xml:space="preserve"> that urban vegetable producers basically target the urban market but this study partly disagreed in that most of the urban vegetable production is for household consumption with minor sales. </w:t>
      </w:r>
      <w:r w:rsidRPr="00895D0B">
        <w:rPr>
          <w:rFonts w:eastAsia="Times New Roman" w:cs="Times New Roman"/>
          <w:color w:val="000000" w:themeColor="text1"/>
          <w:szCs w:val="24"/>
          <w:lang w:eastAsia="en-GB"/>
        </w:rPr>
        <w:t xml:space="preserve">In northern Ghana, farmers' choices and preferences in livestock farming are influenced by factors such as species, lifespan, housing system, stocking density, and production system. Factors such as farming experience, farm size, soil fertility, temperature, off-farm income, and access to resources can impact farmers' decision-making and practices on the type of crops to cultivate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{"citationItems":[{"id":"ITEM-1","itemData":{"ISSN":"08554307","abstract":"Farmers in Northern Ghana adapt to the adverse effects of climate change using traditional practices. However, farmers’ awareness of these practices is a spring-board to their choices of available indigenous climate related adaptation strategies. This study examined farmers’ awareness and usage of indigenous adaptation strategies using the Heckman Two-Stage Sample Selection Model. Questionnaire was administered to 285 randomly selected households to determine the factors influencing farmers’ awareness and choice of indigenous adaptation strategies. The empirical results showed that majority of farmers are aware of and employed soil related indigenous adaptation strategies. Education, membership of farmer-based organisation, farmer-farmer extension contacts and farming experience significantly determine farmers’ awareness of indigenous adaptation strategies. Farmers’ level of education, farming experience, farmer-farmer extension contacts, membership of farmer group, labour hours and age significantly influenced farmers’ choice of indigenous climate related adaptation strategies. Based on these findings, it is recommended that farmers should endeavour to form groups to serve as a platform to share knowledge on indigenous farming practices for effective climate change adaptation.","author":[{"dropping-particle":"","family":"Alhassan","given":"S. I.","non-dropping-particle":"","parse-names":false,"suffix":""},{"dropping-particle":"","family":"Shaibu","given":"M. T.","non-dropping-particle":"","parse-names":false,"suffix":""},{"dropping-particle":"","family":"Kuwornu","given":"J. K.M.","non-dropping-particle":"","parse-names":false,"suffix":""},{"dropping-particle":"","family":"Damba","given":"O. T.","non-dropping-particle":"","parse-names":false,"suffix":""}],"container-title":"West African Journal of Applied Ecology","id":"ITEM-1","issue":"Special Issue","issued":{"date-parts":[["2018"]]},"page":"1-13","title":"Factors influencing farmers’ awareness and choice of indigenous practices in adapting to climate change and variability in Northern Ghana","type":"article-journal","volume":"26"},"uris":["http://www.mendeley.com/documents/?uuid=e41a217e-4fb0-4f73-af38-655e6cea25c9"]}],"mendeley":{"formattedCitation":"(Alhassan et al., 2018)","plainTextFormattedCitation":"(Alhassan et al., 2018)","previouslyFormattedCitation":"(Alhassan et al., 2018)"},"properties":{"noteIndex":0},"schema":"https://github.com/citation-style-language/schema/raw/master/csl-citation.json"}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(Alhassan et al., 2018)</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w:t>
      </w:r>
      <w:r w:rsidRPr="00895D0B">
        <w:rPr>
          <w:rFonts w:cs="Times New Roman"/>
          <w:color w:val="000000" w:themeColor="text1"/>
          <w:szCs w:val="24"/>
        </w:rPr>
        <w:t xml:space="preserve">This confirms the argument that most urban dwellers' choice of crop is more on the cultivation of vegetables to meet the nutritional needs of the population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{"citationItems":[{"id":"ITEM-1","itemData":{"DOI":"10.1016/j.landusepol.2017.10.031","ISSN":"02648377","abstract":"Extending beyond previous research biases towards large cities or analyses based largely on one type of urban agriculture (UA) (such as market gardening, or home gardening), this research aimed to investigate all forms of UA within two intermediate-sized Ghanaian cities (Techiman and Tamale). Where was being farmed? For whom, and why? The paper considers how findings compare to Ghana's larger cities, and possible implications for theory and for planning. Methods included remote sensing, field mapping, interviews and a 1000-household per city questionnaire. The most common reason for farming was food supplementation. This was often via staple foods, particularly maize, rather than the leafy vegetables common in larger cities’ market gardening. Farming was predominantly via home gardening, particularly for the better off. The larger city of Tamale also sustained organised irrigated-vegetable market gardens. Findings suggest a picture not dissimilar to Ghana's larger cities but with greater prevalence of home gardening, and a dominance of staple foods rather than perishable or high value crops. A compelling finding, which has received less attention in the literature, is the extent of, and roles played by, what this study refers to as ‘institutional land. Both Ghanaian Ministry of Food and Agriculture's policy framing, and market crisis theorising, of the drivers and role of UA were not found to be an accurate reflection of Techiman and Tamale's UA. Rather than being a localised survival activity of the poor or marginalised, of recent migrants, or of predominantly women, these cities contained a large scale and diverse spatiality of UA mainly for non-poor and non-migrants’ supplementation of their staple food larder. Results emphasise the context-specific nature of a city's urban agriculture, and underline the need for researchers and UA advocates to be specific about the form of UA under the microscope when making claims for ‘an urban agriculture’.","author":[{"dropping-particle":"","family":"Mackay","given":"H.","non-dropping-particle":"","parse-names":false,"suffix":""}],"container-title":"Land Use Policy","id":"ITEM-1","issue":"October 2017","issued":{"date-parts":[["2018"]]},"page":"182-197","publisher":"Elsevier","title":"Mapping and characterising the urban agricultural landscape of two intermediate-sized Ghanaian cities","type":"article-journal","volume":"70"},"uris":["http://www.mendeley.com/documents/?uuid=db4df694-c6b9-4c30-8d0e-77c510eebe8b"]}],"mendeley":{"formattedCitation":"(Mackay, 2018)","plainTextFormattedCitation":"(Mackay, 2018)","previouslyFormattedCitation":"(Mackay,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(Mackay, 2018)</w:t>
      </w:r>
      <w:r w:rsidRPr="00895D0B">
        <w:rPr>
          <w:rFonts w:cs="Times New Roman"/>
          <w:color w:val="000000" w:themeColor="text1"/>
          <w:szCs w:val="24"/>
        </w:rPr>
        <w:fldChar w:fldCharType="end"/>
      </w:r>
      <w:r w:rsidRPr="00895D0B">
        <w:rPr>
          <w:rFonts w:cs="Times New Roman"/>
          <w:color w:val="000000" w:themeColor="text1"/>
          <w:szCs w:val="24"/>
        </w:rPr>
        <w:t xml:space="preserve">. However,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{"citationItems":[{"id":"ITEM-1","itemData":{"DOI":"10.1016/j.landusepol.2017.10.031","ISSN":"02648377","abstract":"Extending beyond previous research biases towards large cities or analyses based largely on one type of urban agriculture (UA) (such as market gardening, or home gardening), this research aimed to investigate all forms of UA within two intermediate-sized Ghanaian cities (Techiman and Tamale). Where was being farmed? For whom, and why? The paper considers how findings compare to Ghana's larger cities, and possible implications for theory and for planning. Methods included remote sensing, field mapping, interviews and a 1000-household per city questionnaire. The most common reason for farming was food supplementation. This was often via staple foods, particularly maize, rather than the leafy vegetables common in larger cities’ market gardening. Farming was predominantly via home gardening, particularly for the better off. The larger city of Tamale also sustained organised irrigated-vegetable market gardens. Findings suggest a picture not dissimilar to Ghana's larger cities but with greater prevalence of home gardening, and a dominance of staple foods rather than perishable or high value crops. A compelling finding, which has received less attention in the literature, is the extent of, and roles played by, what this study refers to as ‘institutional land. Both Ghanaian Ministry of Food and Agriculture's policy framing, and market crisis theorising, of the drivers and role of UA were not found to be an accurate reflection of Techiman and Tamale's UA. Rather than being a localised survival activity of the poor or marginalised, of recent migrants, or of predominantly women, these cities contained a large scale and diverse spatiality of UA mainly for non-poor and non-migrants’ supplementation of their staple food larder. Results emphasise the context-specific nature of a city's urban agriculture, and underline the need for researchers and UA advocates to be specific about the form of UA under the microscope when making claims for ‘an urban agriculture’.","author":[{"dropping-particle":"","family":"Mackay","given":"H.","non-dropping-particle":"","parse-names":false,"suffix":""}],"container-title":"Land Use Policy","id":"ITEM-1","issue":"October 2017","issued":{"date-parts":[["2018"]]},"page":"182-197","publisher":"Elsevier","title":"Mapping and characterising the urban agricultural landscape of two intermediate-sized Ghanaian cities","type":"article-journal","volume":"70"},"uris":["http://www.mendeley.com/documents/?uuid=db4df694-c6b9-4c30-8d0e-77c510eebe8b"]}],"mendeley":{"formattedCitation":"(Mackay, 2018)","manualFormatting":"Mackay's (2018)","plainTextFormattedCitation":"(Mackay, 2018)","previouslyFormattedCitation":"(Mackay,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Mackay's (2018)</w:t>
      </w:r>
      <w:r w:rsidRPr="00895D0B">
        <w:rPr>
          <w:rFonts w:cs="Times New Roman"/>
          <w:color w:val="000000" w:themeColor="text1"/>
          <w:szCs w:val="24"/>
        </w:rPr>
        <w:fldChar w:fldCharType="end"/>
      </w:r>
      <w:r w:rsidRPr="00895D0B">
        <w:rPr>
          <w:rFonts w:cs="Times New Roman"/>
          <w:color w:val="000000" w:themeColor="text1"/>
          <w:szCs w:val="24"/>
        </w:rPr>
        <w:t xml:space="preserve"> findings do not corroborate with the emphasis that urban vegetable producers are targeting the urban market. Urban farmers' focus is tailored towards yams cultivation because almost every household in Africa consumes yam meals on a daily basis. Even though excessive rain causes erosion on yam farms heavy rainfall is good for its production which does not support the work </w:t>
      </w:r>
      <w:r w:rsidRPr="00895D0B">
        <w:rPr>
          <w:rFonts w:cs="Times New Roman"/>
          <w:color w:val="000000" w:themeColor="text1"/>
          <w:szCs w:val="24"/>
        </w:rPr>
        <w:lastRenderedPageBreak/>
        <w:t xml:space="preserve">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{"citationItems":[{"id":"ITEM-1","itemData":{"DOI":"10.1155/2021/5019481","ISSN":"16877675","abstract":"Yam is an important food and cash crop in West Africa (the yam belt) whose production is traditionally nonsedentary due to its substantial nutrient demand. Population growth, urbanization, and existing soil degradation have made nonsedentary farming virtually impossible. Despite the numerous research invested in yam production within and outside the yam belt, some gaps remain to be filled owing to changing climate events and global developments. Alarmingly, the yam belt is facing sharp yield declines despite increasing production areas. The key edaphic and ecological drivers of yam production in the global yam belt were reviewed. The implications for yam production were discussed along with prospects for future research, sustainable production, and soil management. The main findings are that (1) agroecological zone, postplanting cultural practices, and climate change and variability ecological drivers, while (2) tillage, soil type, texture, and fertility were the edaphic factors. The most critical among the drivers, principally, soil fertility, entails the biological and chemical through which nutrients are released lude, and physical soil fertility which enhances low bulk density, porosity, and water retention for free yam tuber expansion. Soil fertility was the most cited driver, which explains why yam is often the first crop in the cropland cultivation cycle in the yam belt. Data show that yam yields decline with time under native fertility and mineral fertilizer application due to the voracious nutrient extraction by tubers. Conversely, yields increase chronologically under organic fertilizer application due to the additive effects of the latter on soil properties. Thus, a yam fertilizer program to develop specific yam fertilizer formulations and the adoption of the Terra Preta Model are proposed to sustain future yam production.","author":[{"dropping-particle":"","family":"Neina","given":"D.","non-dropping-particle":"","parse-names":false,"suffix":""}],"container-title":"Applied and Environmental Soil Science","id":"ITEM-1","issued":{"date-parts":[["2021"]]},"title":"Ecological and Edaphic Drivers of Yam Production in West Africa","type":"article-journal","volume":"2021"},"uris":["http://www.mendeley.com/documents/?uuid=3025855e-704b-4a95-8c9e-61dcaab3e5be"]}],"mendeley":{"formattedCitation":"(Neina, 2021)","manualFormatting":"Neina (2021)","plainTextFormattedCitation":"(Neina, 2021)","previouslyFormattedCitation":"(Neina,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Neina (2021)</w:t>
      </w:r>
      <w:r w:rsidRPr="00895D0B">
        <w:rPr>
          <w:rFonts w:cs="Times New Roman"/>
          <w:color w:val="000000" w:themeColor="text1"/>
          <w:szCs w:val="24"/>
        </w:rPr>
        <w:fldChar w:fldCharType="end"/>
      </w:r>
      <w:r w:rsidRPr="00895D0B">
        <w:rPr>
          <w:rFonts w:cs="Times New Roman"/>
          <w:color w:val="000000" w:themeColor="text1"/>
          <w:szCs w:val="24"/>
        </w:rPr>
        <w:t xml:space="preserve"> that excessive rain affects yam growth and production. Within the context of Ghana especially, the northern part of the country at least every household on average eats a yam meal every five days</w:t>
      </w:r>
      <w:r w:rsidR="00041E4E" w:rsidRPr="00895D0B">
        <w:rPr>
          <w:rFonts w:cs="Times New Roman"/>
          <w:color w:val="000000" w:themeColor="text1"/>
          <w:szCs w:val="24"/>
        </w:rPr>
        <w:t xml:space="preserve"> </w:t>
      </w:r>
      <w:r w:rsidR="00041E4E" w:rsidRPr="00895D0B">
        <w:rPr>
          <w:rFonts w:cs="Times New Roman"/>
          <w:color w:val="000000" w:themeColor="text1"/>
          <w:szCs w:val="24"/>
        </w:rPr>
        <w:fldChar w:fldCharType="begin" w:fldLock="1"/>
      </w:r>
      <w:r w:rsidR="00530E82" w:rsidRPr="00895D0B">
        <w:rPr>
          <w:rFonts w:cs="Times New Roman"/>
          <w:color w:val="000000" w:themeColor="text1"/>
          <w:szCs w:val="24"/>
        </w:rPr>
        <w:instrText>ADDIN CSL_CITATION {"citationItems":[{"id":"ITEM-1","itemData":{"abstract":"Executive Summary In West Africa, yam consumption runs on three critical fuels among others: population; market; and cultural rites practiced in major producing and consuming centres. Yam consumption is hampered by Stone Age technologies at each link in the yam value chain and by certain physiological properties of the yam tuber. This sketch is developed in this report as a contribution towards unravelling the dilemma which the crop presents to agricultural R and D (research and development) practitioners in West Africa. The dilemma is that farmers continue to invest resources on yam production when they can generate more cash return from cassava and consumers pay premium price for yam when they can get the same food value from cassava at lower cost. Why Consumption Pattern Analyses for Yam in West Africa In West Africa, R and D (research and development) effort on yam is low in comparison to other major starchy staples such as cassava and musa. Yam production, harvesting and post harvesting handling technologies are rudimentary. Information on the importance of yam in terms of its various values is scanty; documentation of such information is essential for advocacy among researchers, African policy makers and political leaders and donor organizations who are uncertain about the future of yam. In West Africa, yam has multiple values including the standard food and cash income generation values. Yam consumption is high in Nigeria where it is the fourth most important calorie source after sorghum, millet and cassava and in Ghana where it ranks number five as a calorie source after cassava, plantains, rice and maize. National averages often haze important regional differences and therefore do not, in many cases, reflect real situations. Yam is a major source of cash income for millions of producing households because it has high market demand and it is easily exchanged for cash in rural and urban markets. In West Africa, yam is a source of foreign exchange because its consumption is more widely dispersed than its production. Agriculture R and D literature in West Africa is liberal with mention of yam as a ritual article in the culture of producing communities although few elaborated. A section is devoted to the subject of cultural rites practiced in producing areas in order to give it the prominence it deserves in the use of yam. Objectives The objectives of this report are to: -analyse current patterns of yam consumption such as what population groups eat…","author":[{"dropping-particle":"","family":"Nweke","given":"F. I.","non-dropping-particle":"","parse-names":false,"suffix":""},{"dropping-particle":"","family":"Aidoo","given":"R.","non-dropping-particle":"","parse-names":false,"suffix":""},{"dropping-particle":"","family":"Okoye","given":"B.","non-dropping-particle":"","parse-names":false,"suffix":""}],"container-title":"Gates Open Res (Draft Report for BMGF)","id":"ITEM-1","issue":"3","issued":{"date-parts":[["2019"]]},"page":"637","title":"Yam Consumption Patterns in West Africa","type":"article-journal"},"uris":["http://www.mendeley.com/documents/?uuid=dabdb974-ab7d-4c6d-8315-c66053197e45"]}],"mendeley":{"formattedCitation":"(Nweke et al., 2019)","plainTextFormattedCitation":"(Nweke et al., 2019)","previouslyFormattedCitation":"(Nweke et al., 2019)"},"properties":{"noteIndex":0},"schema":"https://github.com/citation-style-language/schema/raw/master/csl-citation.json"}</w:instrText>
      </w:r>
      <w:r w:rsidR="00041E4E" w:rsidRPr="00895D0B">
        <w:rPr>
          <w:rFonts w:cs="Times New Roman"/>
          <w:color w:val="000000" w:themeColor="text1"/>
          <w:szCs w:val="24"/>
        </w:rPr>
        <w:fldChar w:fldCharType="separate"/>
      </w:r>
      <w:r w:rsidR="00041E4E" w:rsidRPr="00895D0B">
        <w:rPr>
          <w:rFonts w:cs="Times New Roman"/>
          <w:noProof/>
          <w:color w:val="000000" w:themeColor="text1"/>
          <w:szCs w:val="24"/>
        </w:rPr>
        <w:t>(Nweke et al., 2019)</w:t>
      </w:r>
      <w:r w:rsidR="00041E4E" w:rsidRPr="00895D0B">
        <w:rPr>
          <w:rFonts w:cs="Times New Roman"/>
          <w:color w:val="000000" w:themeColor="text1"/>
          <w:szCs w:val="24"/>
        </w:rPr>
        <w:fldChar w:fldCharType="end"/>
      </w:r>
      <w:r w:rsidRPr="00895D0B">
        <w:rPr>
          <w:rFonts w:cs="Times New Roman"/>
          <w:color w:val="000000" w:themeColor="text1"/>
          <w:szCs w:val="24"/>
        </w:rPr>
        <w:t xml:space="preserve">. Therefore, growing yam is a way to cut down the consumption cost of yams for farming households. Even though the urban space is small for the cultivation of more yams, the urban environment does not have enough trees to be used in staking which is a key agronomic practice in yams cultivation. This supports the findings that farmers stake yams to increase yields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{"citationItems":[{"id":"ITEM-1","itemData":{"DOI":"10.5897/ajar2014.8487","abstract":"An on-station study at Fumesua and Ejura in Ghana with two yam varieties (Pona and Dente), seedbed option (ridge and mound) and NPK fertilizer rates (0, 45-45-60, 60-60-60 and 60-60-80 kg ha-1N-P205-K20) revealed significant (p&lt;0.05) increases in soil carbon and phosphorus with fertilizer application to yam. Fertilized yam had acceptable culinary qualities. Another study on staking options using a promising non-staked yam line TDR95/19177 showed that non-staked yam resulted in a high (32.5%) yield reduction, suggesting the need for further plant breeding work. On-farm studies showed significant (P&lt;=0.05) interaction between fertilizer rate and seedbed preparation method on continuously cropped lands, with mechanised and manual ridging having significantly (p&lt;0.05) higher yam plant population (5,503-7,483 plants ha-1) than farmers' mounding (4,219-4,579 plants ha-1), and a greater yield response to fertilizer. Benefit Cost Ratio (BCR) was highest (2.7:1) when 45-45-60 kg ha-1N-P205-K20 was applied to yam on ridges. On newly cleared fields, yam planted on ridges with trellis/minimum staking gave highest tuber yields and BCR of 3.8:1. Mechanised ridging for yam seedbed preparation fertilizer application and the significant reduction in the use of stakes will reduce drudgery and the contribution of yam production to deforestation and climate change.","author":[{"dropping-particle":"","family":"Ennin","given":"O. D.","non-dropping-particle":"","parse-names":false,"suffix":""},{"dropping-particle":"","family":"Issaka","given":"R. N.","non-dropping-particle":"","parse-names":false,"suffix":""},{"dropping-particle":"","family":"Acheampong","given":"P. P.","non-dropping-particle":"","parse-names":false,"suffix":""},{"dropping-particle":"","family":"Numafo","given":"M.","non-dropping-particle":"","parse-names":false,"suffix":""}],"container-title":"African Journal of Agricultural Research","id":"ITEM-1","issue":"29","issued":{"date-parts":[["2014"]]},"page":"2222-2230","title":"Mechanization, fertilization and staking options for environmentally sound yam production","type":"article-journal","volume":"9"},"uris":["http://www.mendeley.com/documents/?uuid=df6fec28-7c8e-46bb-9aa8-8ba8a69c8825"]}],"mendeley":{"formattedCitation":"(Ennin et al., 2014)","plainTextFormattedCitation":"(Ennin et al., 2014)","previouslyFormattedCitation":"(Ennin et al., 2014)"},"properties":{"noteIndex":0},"schema":"https://github.com/citation-style-language/schema/raw/master/csl-citation.json"}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(Ennin et al., 2014)</w:t>
      </w:r>
      <w:r w:rsidRPr="00895D0B">
        <w:rPr>
          <w:rFonts w:cs="Times New Roman"/>
          <w:color w:val="000000" w:themeColor="text1"/>
          <w:szCs w:val="24"/>
        </w:rPr>
        <w:fldChar w:fldCharType="end"/>
      </w:r>
      <w:r w:rsidRPr="00895D0B">
        <w:rPr>
          <w:rFonts w:cs="Times New Roman"/>
          <w:color w:val="000000" w:themeColor="text1"/>
          <w:szCs w:val="24"/>
        </w:rPr>
        <w:t xml:space="preserve">. This is in line with the assertion that urban farmers cultivate crop like maize instead of vegetables and cash crops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{"citationItems":[{"id":"ITEM-1","itemData":{"DOI":"10.1016/j.landusepol.2017.10.031","ISSN":"02648377","abstract":"Extending beyond previous research biases towards large cities or analyses based largely on one type of urban agriculture (UA) (such as market gardening, or home gardening), this research aimed to investigate all forms of UA within two intermediate-sized Ghanaian cities (Techiman and Tamale). Where was being farmed? For whom, and why? The paper considers how findings compare to Ghana's larger cities, and possible implications for theory and for planning. Methods included remote sensing, field mapping, interviews and a 1000-household per city questionnaire. The most common reason for farming was food supplementation. This was often via staple foods, particularly maize, rather than the leafy vegetables common in larger cities’ market gardening. Farming was predominantly via home gardening, particularly for the better off. The larger city of Tamale also sustained organised irrigated-vegetable market gardens. Findings suggest a picture not dissimilar to Ghana's larger cities but with greater prevalence of home gardening, and a dominance of staple foods rather than perishable or high value crops. A compelling finding, which has received less attention in the literature, is the extent of, and roles played by, what this study refers to as ‘institutional land. Both Ghanaian Ministry of Food and Agriculture's policy framing, and market crisis theorising, of the drivers and role of UA were not found to be an accurate reflection of Techiman and Tamale's UA. Rather than being a localised survival activity of the poor or marginalised, of recent migrants, or of predominantly women, these cities contained a large scale and diverse spatiality of UA mainly for non-poor and non-migrants’ supplementation of their staple food larder. Results emphasise the context-specific nature of a city's urban agriculture, and underline the need for researchers and UA advocates to be specific about the form of UA under the microscope when making claims for ‘an urban agriculture’.","author":[{"dropping-particle":"","family":"Mackay","given":"H.","non-dropping-particle":"","parse-names":false,"suffix":""}],"container-title":"Land Use Policy","id":"ITEM-1","issue":"October 2017","issued":{"date-parts":[["2018"]]},"page":"182-197","publisher":"Elsevier","title":"Mapping and characterising the urban agricultural landscape of two intermediate-sized Ghanaian cities","type":"article-journal","volume":"70"},"uris":["http://www.mendeley.com/documents/?uuid=db4df694-c6b9-4c30-8d0e-77c510eebe8b"]}],"mendeley":{"formattedCitation":"(Mackay, 2018)","plainTextFormattedCitation":"(Mackay, 2018)","previouslyFormattedCitation":"(Mackay,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(Mackay, 2018)</w:t>
      </w:r>
      <w:r w:rsidRPr="00895D0B">
        <w:rPr>
          <w:rFonts w:cs="Times New Roman"/>
          <w:color w:val="000000" w:themeColor="text1"/>
          <w:szCs w:val="24"/>
        </w:rPr>
        <w:fldChar w:fldCharType="end"/>
      </w:r>
      <w:r w:rsidRPr="00895D0B">
        <w:rPr>
          <w:rFonts w:cs="Times New Roman"/>
          <w:color w:val="000000" w:themeColor="text1"/>
          <w:szCs w:val="24"/>
        </w:rPr>
        <w:t>. Bean cultivation had a centre stage in urban crop production because of the nutritional values attached to this crop. Within the settings of northern Ghana, beans serve multiple purposes within households and the urban areas are not an exception. Beans are a good source of protein for many households as they are used in the preparation of dishes and the leaves are equally useful vegetables. Therefore, many urban farmers choose to cultivate more beans than any other leguminous crops.</w:t>
      </w:r>
    </w:p>
    <w:p w14:paraId="32D0ED7F" w14:textId="77777777" w:rsidR="00AF581A" w:rsidRPr="00895D0B" w:rsidRDefault="00AF581A" w:rsidP="00056D43">
      <w:pPr>
        <w:pStyle w:val="NoSpacing"/>
      </w:pPr>
    </w:p>
    <w:p w14:paraId="349C2857" w14:textId="77777777" w:rsidR="001B4ED5" w:rsidRPr="00895D0B" w:rsidRDefault="006B41C0" w:rsidP="009864E3">
      <w:pPr>
        <w:pStyle w:val="Heading3"/>
      </w:pPr>
      <w:bookmarkStart w:id="114" w:name="_Toc167379919"/>
      <w:r w:rsidRPr="00895D0B">
        <w:t>4.6.3 Locations, land ownership and physical characteristics of urban farms</w:t>
      </w:r>
      <w:bookmarkEnd w:id="114"/>
      <w:r w:rsidRPr="00895D0B">
        <w:t xml:space="preserve"> </w:t>
      </w:r>
    </w:p>
    <w:p w14:paraId="65C45184" w14:textId="4C11D48C" w:rsidR="001B4ED5" w:rsidRPr="00895D0B" w:rsidRDefault="006B41C0">
      <w:pPr>
        <w:autoSpaceDE w:val="0"/>
        <w:autoSpaceDN w:val="0"/>
        <w:adjustRightInd w:val="0"/>
        <w:spacing w:line="360" w:lineRule="auto"/>
        <w:rPr>
          <w:rFonts w:cs="Times New Roman"/>
          <w:color w:val="000000" w:themeColor="text1"/>
          <w:szCs w:val="24"/>
          <w:shd w:val="clear" w:color="auto" w:fill="FFFFFF"/>
        </w:rPr>
      </w:pPr>
      <w:r w:rsidRPr="00895D0B">
        <w:rPr>
          <w:rFonts w:cs="Times New Roman"/>
          <w:color w:val="000000" w:themeColor="text1"/>
          <w:szCs w:val="24"/>
          <w:shd w:val="clear" w:color="auto" w:fill="FFFFFF"/>
        </w:rPr>
        <w:t xml:space="preserve">The location of urban farms and land acquisition mode is done by stakeholders. The government may acquire land through a process of compulsory acquisition, which can have consequences on urban land delivery for the poor; however, the results show that land ownership is largely at the individual and family levels. The land tenure system in Ghana allows the government to expropriate farmland in urban areas to meet the growing demand for land. This allows land owners to put their lands into multiple uses including urban farming despite the main purpose being for building. </w:t>
      </w:r>
      <w:r w:rsidRPr="00895D0B">
        <w:rPr>
          <w:rFonts w:eastAsia="Times New Roman" w:cs="Times New Roman"/>
          <w:color w:val="000000" w:themeColor="text1"/>
          <w:szCs w:val="24"/>
          <w:lang w:eastAsia="en-GB"/>
        </w:rPr>
        <w:t xml:space="preserve">Land tenure security plays a crucial role in attracting investments to urban agriculture within African cities as insecure land tenure hinders the development of urban agriculture and limits the potential for investment and growth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{"citationItems":[{"id":"ITEM-1","itemData":{"DOI":"10.1016/j.jrurstud.2017.10.007","ISSN":"07430167","abstract":"Peri-urban agriculture has preserved around central cities a land-use mosaic and contributes to the sustainable growth of metropolitan regions constituting green infrastructures, supplying urban markets, and improving social inclusion. The present study provides a quali-quantitative overview of peri-urban agriculture vis à vis urban expansion investigating the recent evolution of peri-urban farms (1988–2010) in Toulouse, the fourth largest metropolitan region in France. Socioeconomic dynamics in the study area, are representative of latent spatial and functional relationships between urban growth and peri-urban agriculture in contemporary European cities. Two complementary approaches were developed (i) identifying and analysing socioeconomic and environmental indicators that characterize changes over time in peri-urban agriculture by linking urban expansion with the evolution of fringe land-use; and (ii) carrying out a qualitative survey on a sample of farmers with the aim to relate farms' evolution strategies and land-use dynamics. Results of the present study indicate that urban expansion affects the characteristics of peri-urban farms, altering economic size, crop productions and social characteristics of farmers, and widening the spatial divide between large enterprises located in the peri-urban periphery and smaller farms in the immediate surroundings of urban areas. The qualitative survey investigates farmers' strategies to maintain their business in peri-urban areas. By recognizing that structural and functional characteristics of urban growth are interpretative keys to identify sustainable land management strategies, the role of peri-urban agriculture is finally outlined according to the empirical evidence from different socioeconomic contexts in the study area.","author":[{"dropping-particle":"","family":"Duvernoy","given":"I.","non-dropping-particle":"","parse-names":false,"suffix":""},{"dropping-particle":"","family":"Zambon","given":"I.","non-dropping-particle":"","parse-names":false,"suffix":""},{"dropping-particle":"","family":"Sateriano","given":"A.","non-dropping-particle":"","parse-names":false,"suffix":""},{"dropping-particle":"","family":"Salvati","given":"L.","non-dropping-particle":"","parse-names":false,"suffix":""}],"container-title":"Journal of Rural Studies","id":"ITEM-1","issue":"June 2017","issued":{"date-parts":[["2018"]]},"page":"25-35","title":"Pictures from the other side of the fringe: Urban growth and peri-urban agriculture in a post-industrial city (Toulouse, France)","type":"article-journal","volume":"57"},"uris":["http://www.mendeley.com/documents/?uuid=fb828f96-4313-420a-a169-8f94883c0b85"]}],"mendeley":{"formattedCitation":"(Duvernoy et al., 2018)","plainTextFormattedCitation":"(Duvernoy et al., 2018)","previouslyFormattedCitation":"(Duvernoy et al., 2018)"},"properties":{"noteIndex":0},"schema":"https://github.com/citation-style-language/schema/raw/master/csl-citation.json"}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(Duvernoy et al., 2018)</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w:t>
      </w:r>
      <w:r w:rsidRPr="00895D0B">
        <w:rPr>
          <w:rFonts w:cs="Times New Roman"/>
          <w:color w:val="000000" w:themeColor="text1"/>
          <w:szCs w:val="24"/>
          <w:shd w:val="clear" w:color="auto" w:fill="FFFFFF"/>
        </w:rPr>
        <w:t xml:space="preserve"> As a result, i</w:t>
      </w:r>
      <w:r w:rsidRPr="00895D0B">
        <w:rPr>
          <w:rFonts w:eastAsia="Times New Roman" w:cs="Times New Roman"/>
          <w:color w:val="000000" w:themeColor="text1"/>
          <w:szCs w:val="24"/>
          <w:lang w:eastAsia="en-GB"/>
        </w:rPr>
        <w:t>mproving land tenure security is essential for promoting sustainable urban agriculture and fostering economic development within the African continent</w:t>
      </w:r>
      <w:r w:rsidRPr="00895D0B">
        <w:rPr>
          <w:rFonts w:cs="Times New Roman"/>
          <w:color w:val="000000" w:themeColor="text1"/>
          <w:szCs w:val="24"/>
          <w:shd w:val="clear" w:color="auto" w:fill="FFFFFF"/>
        </w:rPr>
        <w:t>. Overall, the goal of land acquisition in urban spaces in Ghana is to promote orderly and sustainable development while balancing the needs of the public and private sectors.</w:t>
      </w:r>
      <w:r w:rsidRPr="00895D0B">
        <w:rPr>
          <w:rFonts w:cs="Times New Roman"/>
          <w:color w:val="000000" w:themeColor="text1"/>
          <w:szCs w:val="24"/>
        </w:rPr>
        <w:t xml:space="preserve"> Animals are housed in urban farming. This means that urban farmers use intensive farming systems in raising animals within urban settings. This has some climate change implications. Firstly, animals are not exposed to disease-infested environments due to the changing climatic </w:t>
      </w:r>
      <w:r w:rsidRPr="00895D0B">
        <w:rPr>
          <w:rFonts w:cs="Times New Roman"/>
          <w:color w:val="000000" w:themeColor="text1"/>
          <w:szCs w:val="24"/>
        </w:rPr>
        <w:lastRenderedPageBreak/>
        <w:t xml:space="preserve">effects. It is also reasonable to note that, the housing of animals helps in the spread of infectious diseases to animals from the environment resulting from climate change. This is obvious because animals are not allowed to have contact with other infectious animals elsewhere on one hand. On the other hand, the incidence of disease could be high among animals confined in one place when one is infested and proper treatments are not given. The intensive system of keeping animals increases the risk of heat stress on animals especially poultry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{"citationItems":[{"id":"ITEM-1","itemData":{"ISBN":"9786021018187","ISSN":"2252-3405","abstract":"Buku ini disusun sebagai upaya untuk memberikan wawasan kepada para pendidik serta calon pendidik dalam melakukan kegiatan pembelajaran yang menitik- beratkan pada metode-metode yang digunakan. Para pendidik yang memiliki bekal banyak metode pembelajaran diharapkan nantinya dapat menumbuhkan semangat belajar para peserta didik. Pada","author":[{"dropping-particle":"","family":"Mukrimaa","given":"S. S.N.","non-dropping-particle":"","parse-names":false,"suffix":""},{"dropping-particle":"","family":"Fahyuni","given":"E. F.","non-dropping-particle":"","parse-names":false,"suffix":""},{"dropping-particle":"","family":"YULIA CITRA","given":"A.","non-dropping-particle":"","parse-names":false,"suffix":""},{"dropping-particle":"","family":"Schulz, N.</w:instrText>
      </w:r>
      <w:r w:rsidRPr="00895D0B">
        <w:rPr>
          <w:rFonts w:cs="Times New Roman"/>
          <w:color w:val="000000" w:themeColor="text1"/>
          <w:szCs w:val="24"/>
          <w:rtl/>
        </w:rPr>
        <w:instrText>غ</w:instrText>
      </w:r>
      <w:r w:rsidRPr="00895D0B">
        <w:rPr>
          <w:rFonts w:cs="Times New Roman"/>
          <w:color w:val="000000" w:themeColor="text1"/>
          <w:szCs w:val="24"/>
        </w:rPr>
        <w:instrText>.</w:instrText>
      </w:r>
      <w:r w:rsidRPr="00895D0B">
        <w:rPr>
          <w:rFonts w:cs="Times New Roman"/>
          <w:color w:val="000000" w:themeColor="text1"/>
          <w:szCs w:val="24"/>
          <w:rtl/>
        </w:rPr>
        <w:instrText>سان</w:instrText>
      </w:r>
      <w:r w:rsidRPr="00895D0B">
        <w:rPr>
          <w:rFonts w:cs="Times New Roman"/>
          <w:color w:val="000000" w:themeColor="text1"/>
          <w:szCs w:val="24"/>
        </w:rPr>
        <w:instrText xml:space="preserve">, </w:instrText>
      </w:r>
      <w:r w:rsidRPr="00895D0B">
        <w:rPr>
          <w:rFonts w:cs="Times New Roman"/>
          <w:color w:val="000000" w:themeColor="text1"/>
          <w:szCs w:val="24"/>
          <w:rtl/>
        </w:rPr>
        <w:instrText>د</w:instrText>
      </w:r>
      <w:r w:rsidRPr="00895D0B">
        <w:rPr>
          <w:rFonts w:cs="Times New Roman"/>
          <w:color w:val="000000" w:themeColor="text1"/>
          <w:szCs w:val="24"/>
        </w:rPr>
        <w:instrText>aniredja","given":"T.","non-dropping-particle":"","parse-names":false,"suffix":""},{"dropping-particle":"","family":"Faridli","given":"E. M.","non-dropping-particle":"","parse-names":false,"suffix":""},{"dropping-particle":"","family":"Harmianto","given":"S.","non-dropping-particle":"","parse-names":false,"suffix":""}],"container-title":"Jurnal Penelitian Pendidikan Guru Sekolah Dasar","id":"ITEM-1","issue":"August","issued":{"date-parts":[["2016"]]},"number-of-pages":"128","title":"Building resilience for adaptation to climate change in the agriculture sector","type":"report","volume":"6"},"uris":["http://www.mendeley.com/documents/?uuid=1ec7789d-7175-416f-a727-918d67caeaa0"]}],"mendeley":{"formattedCitation":"(Mukrimaa et al., 2016)","plainTextFormattedCitation":"(Mukrimaa et al., 2016)","previouslyFormattedCitation":"(Mukrimaa et al., 2016)"},"properties":{"noteIndex":0},"schema":"https://github.com/citation-style-language/schema/raw/master/csl-citation.json"}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(Mukrimaa et al., 2016)</w:t>
      </w:r>
      <w:r w:rsidRPr="00895D0B">
        <w:rPr>
          <w:rFonts w:cs="Times New Roman"/>
          <w:color w:val="000000" w:themeColor="text1"/>
          <w:szCs w:val="24"/>
        </w:rPr>
        <w:fldChar w:fldCharType="end"/>
      </w:r>
      <w:r w:rsidRPr="00895D0B">
        <w:rPr>
          <w:rFonts w:cs="Times New Roman"/>
          <w:color w:val="000000" w:themeColor="text1"/>
          <w:szCs w:val="24"/>
        </w:rPr>
        <w:t xml:space="preserve">. This means that the associated high temperatures resulting from climate change affect animal production when only an intensive system is practiced by urban farmers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{"citationItems":[{"id":"ITEM-1","itemData":{"DOI":"10.1016/j.jtherbio.2021.102867","ISSN":"18790992","PMID":"33863431","abstract":"Heat stress is an important environmental determinant which adversely affects the performance of poultry worldwide. The present communication reviews the impact of heat stress on production, reproduction and growth performance of poultry, and its alleviation using genetic strategies. The adverse effects of high environmental temperature on poultry include decrease in growth rate, body weight, egg production, egg weight, egg quality, meat quality, semen quality, fertility and hatchability, which cause vast financial losses to the poultry industry. High ambient temperature has an antagonistic effect on performance traits of the poultry. Thus, selection of birds for high performance has increased their susceptibility to heat stress. Additionally, heat burden during transportation of birds from one place to another leads to reduced meat quality, increased mortality and welfare issues. Molecular markers are being explored nowadays to recognize the potential candidate genes related to production, reproduction and growth traits for selecting poultry birds to enhance thermo-tolerance and resistance against diseases. In conclusion, there is a critical need of formulating selection strategies based on genetic markers and exploring more genes in addition to HSP25, 70, 90, H1, RB1CC, BAG3, PDK, ID1, Na, F, dw and K responsible for thermoregulation, to improve the overall performance of poultry along with their ability to tolerate heat stress conditions.","author":[{"dropping-particle":"","family":"Kumar","given":"M.","non-dropping-particle":"","parse-names":false,"suffix":""},{"dropping-particle":"","family":"Ratwan","given":"P.","non-dropping-particle":"","parse-names":false,"suffix":""},{"dropping-particle":"","family":"Dahiya","given":"S. P.","non-dropping-particle":"","parse-names":false,"suffix":""},{"dropping-particle":"","family":"Nehra","given":"A. K.","non-dropping-particle":"","parse-names":false,"suffix":""}],"container-title":"Journal of Thermal Biology","id":"ITEM-1","issue":"January","issued":{"date-parts":[["2021"]]},"page":"102867","publisher":"Elsevier Ltd","title":"Climate change and heat stress: Impact on production, reproduction and growth performance of poultry and its mitigation using genetic strategies","type":"article-journal","volume":"97"},"uris":["http://www.mendeley.com/documents/?uuid=f6b5eae9-4588-487a-8426-ba50b0b91030"]},{"id":"ITEM-2","itemData":{"ISBN":"9788409200412","author":[{"dropping-particle":"","family":"Oteros-Rozas, Elisa","given":"et al.”","non-dropping-particle":"","parse-names":false,"suffix":""}],"id":"ITEM-2","issue":"April","issued":{"date-parts":[["2020"]]},"title":"Extensive Farming","type":"book"},"uris":["http://www.mendeley.com/documents/?uuid=23e4ba70-bc79-40be-a5ed-af6a4cd04599"]}],"mendeley":{"formattedCitation":"(M. Kumar et al., 2021; Oteros-Rozas, Elisa, 2020)","manualFormatting":"(Oteros-Rozas, Elisa, 2020; Kumar et al., 2021)","plainTextFormattedCitation":"(M. Kumar et al., 2021; Oteros-Rozas, Elisa, 2020)","previouslyFormattedCitation":"(M. Kumar et al., 2021; Oteros-Rozas, Elisa,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(Oteros-Rozas, Elisa, 2020; Kumar et al., 2021)</w:t>
      </w:r>
      <w:r w:rsidRPr="00895D0B">
        <w:rPr>
          <w:rFonts w:cs="Times New Roman"/>
          <w:color w:val="000000" w:themeColor="text1"/>
          <w:szCs w:val="24"/>
        </w:rPr>
        <w:fldChar w:fldCharType="end"/>
      </w:r>
      <w:r w:rsidRPr="00895D0B">
        <w:rPr>
          <w:rFonts w:cs="Times New Roman"/>
          <w:color w:val="000000" w:themeColor="text1"/>
          <w:szCs w:val="24"/>
        </w:rPr>
        <w:t xml:space="preserve">. However, this does not support the findings of the work of </w:t>
      </w:r>
      <w:r w:rsidRPr="00895D0B">
        <w:rPr>
          <w:rFonts w:cs="Times New Roman"/>
          <w:color w:val="000000" w:themeColor="text1"/>
          <w:szCs w:val="24"/>
        </w:rPr>
        <w:fldChar w:fldCharType="begin" w:fldLock="1"/>
      </w:r>
      <w:r w:rsidR="007D58FF" w:rsidRPr="00895D0B">
        <w:rPr>
          <w:rFonts w:cs="Times New Roman"/>
          <w:color w:val="000000" w:themeColor="text1"/>
          <w:szCs w:val="24"/>
        </w:rPr>
        <w:instrText>ADDIN CSL_CITATION {"citationItems":[{"id":"ITEM-1","itemData":{"DOI":"10.1016/j.coesh.2018.06.004","ISSN":"24685844","abstract":"Urban agriculture is seen as having the potential to contribute to more sustainable and resilient urban communities, for its pivotal role in the implementation of circular economy strategies at the city level, closing energy and mass loops, while contributing to restore natural cycles and ecosystems’ environmental services. In addition, Urban agriculture can contribute to higher food sovereignty levels, and can be used as leitmotif to implement new education, participatory and citizenship strategies. There are nevertheless some problems in deploying urban agriculture, that has to do with the high level of pollutants in urban areas that may cause health problems if the pollutants enter the food chain. This paper discusses the risks and addresses the potential of urban agriculture for more sustainable and resilient cities.","author":[{"dropping-particle":"","family":"Ferreira","given":"A. J. D.","non-dropping-particle":"","parse-names":false,"suffix":""},{"dropping-particle":"","family":"Guilherme","given":"R. I.","non-dropping-particle":"","parse-names":false,"suffix":""},{"dropping-particle":"","family":"Mendes","given":"M.","non-dropping-particle":"","parse-names":false,"suffix":""},{"dropping-particle":"","family":"Ferreira","given":"C. S. S.","non-dropping-particle":"","parse-names":false,"suffix":""},{"dropping-particle":"","family":"Oliveira","given":"M. F. M. L.","non-dropping-particle":"","parse-names":false,"suffix":""}],"container-title":"Current Opinion in Environmental Science and Health","id":"ITEM-1","issued":{"date-parts":[["2018"]]},"page":"93-97","publisher":"Elsevier B.V.","title":"Urban agriculture, a tool towards more resilient urban communities?","type":"article-journal","volume":"5"},"uris":["http://www.mendeley.com/documents/?uuid=d6e7d407-2949-410e-95be-503c41faa826"]}],"mendeley":{"formattedCitation":"(Ferreira, Guilherme, Mendes, et al., 2018)","manualFormatting":"Ferreira et al. (2018)","plainTextFormattedCitation":"(Ferreira, Guilherme, Mendes, et al., 2018)","previouslyFormattedCitation":"(Ferreira, Guilherme, Mendes,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Ferreira et al. (2018)</w:t>
      </w:r>
      <w:r w:rsidRPr="00895D0B">
        <w:rPr>
          <w:rFonts w:cs="Times New Roman"/>
          <w:color w:val="000000" w:themeColor="text1"/>
          <w:szCs w:val="24"/>
        </w:rPr>
        <w:fldChar w:fldCharType="end"/>
      </w:r>
      <w:r w:rsidRPr="00895D0B">
        <w:rPr>
          <w:rFonts w:cs="Times New Roman"/>
          <w:color w:val="000000" w:themeColor="text1"/>
          <w:szCs w:val="24"/>
        </w:rPr>
        <w:t xml:space="preserve"> that an intensive farming system is ideal for animal production.</w:t>
      </w:r>
    </w:p>
    <w:p w14:paraId="377832D5" w14:textId="77777777" w:rsidR="001B4ED5" w:rsidRPr="00895D0B" w:rsidRDefault="001B4ED5" w:rsidP="00056D43">
      <w:pPr>
        <w:pStyle w:val="NoSpacing"/>
      </w:pPr>
    </w:p>
    <w:p w14:paraId="1942F537" w14:textId="3FD9D0E8"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One significant reason for fencing a farm is to promote the successful growth of vegetation in the rangeland. By using fencing, one camp can be used at a time, which allows for rotational grazing and prevents overgrazing in specific areas of animal production. This helps to maintain a healthy ecosystem and to preserve the quality of the vegetation and is linked to climate change mitigations </w:t>
      </w:r>
      <w:r w:rsidRPr="00895D0B">
        <w:rPr>
          <w:rFonts w:cs="Times New Roman"/>
          <w:color w:val="000000" w:themeColor="text1"/>
          <w:szCs w:val="24"/>
        </w:rPr>
        <w:fldChar w:fldCharType="begin" w:fldLock="1"/>
      </w:r>
      <w:r w:rsidR="007D58FF" w:rsidRPr="00895D0B">
        <w:rPr>
          <w:rFonts w:cs="Times New Roman"/>
          <w:color w:val="000000" w:themeColor="text1"/>
          <w:szCs w:val="24"/>
        </w:rPr>
        <w:instrText>ADDIN CSL_CITATION {"citationItems":[{"id":"ITEM-1","itemData":{"DOI":"10.1016/j.coesh.2018.06.004","ISSN":"24685844","abstract":"Urban agriculture is seen as having the potential to contribute to more sustainable and resilient urban communities, for its pivotal role in the implementation of circular economy strategies at the city level, closing energy and mass loops, while contributing to restore natural cycles and ecosystems’ environmental services. In addition, Urban agriculture can contribute to higher food sovereignty levels, and can be used as leitmotif to implement new education, participatory and citizenship strategies. There are nevertheless some problems in deploying urban agriculture, that has to do with the high level of pollutants in urban areas that may cause health problems if the pollutants enter the food chain. This paper discusses the risks and addresses the potential of urban agriculture for more sustainable and resilient cities.","author":[{"dropping-particle":"","family":"Ferreira","given":"A. J. D.","non-dropping-particle":"","parse-names":false,"suffix":""},{"dropping-particle":"","family":"Guilherme","given":"R. I.","non-dropping-particle":"","parse-names":false,"suffix":""},{"dropping-particle":"","family":"Mendes","given":"M.","non-dropping-particle":"","parse-names":false,"suffix":""},{"dropping-particle":"","family":"Ferreira","given":"C. S. S.","non-dropping-particle":"","parse-names":false,"suffix":""},{"dropping-particle":"","family":"Oliveira","given":"M. F. M. L.","non-dropping-particle":"","parse-names":false,"suffix":""}],"container-title":"Current Opinion in Environmental Science and Health","id":"ITEM-1","issued":{"date-parts":[["2018"]]},"page":"93-97","publisher":"Elsevier B.V.","title":"Urban agriculture, a tool towards more resilient urban communities?","type":"article-journal","volume":"5"},"uris":["http://www.mendeley.com/documents/?uuid=d6e7d407-2949-410e-95be-503c41faa826"]},{"id":"ITEM-2","itemData":{"DOI":"10.1016/j.ufug.2021.127059","ISSN":"16108167","abstract":"Australia is currently grappling with a range of social and environmental challenges, many of which impact the way our public health system, and society more broadly, function. In this short communication paper we explore urban agriculture in Australia as a Nature-Based Solution (NBS) to address some of the ecological, social, economic and health challenges facing the continent. We argue that urban agriculture has the potential to mitigate the effects of climate change extremes while simultaneously providing multiple benefits such as improving wellbeing, people-nature connections, and food security. We present three exemplar case studies diverse in geography, context and governance from Queensland, Tasmania, and New South Wales exploring verge gardening, market gardening, and a community greening program respectively to highlight the benefits of urban agriculture as a NBS. We advocate that various forms of urban agriculture need to be researched and considered for their potential impacts and multiple benefits to be fully supported, governed, and understood in light of the social-ecological challenges Australian cities face.","author":[{"dropping-particle":"","family":"Kingsley","given":"J.","non-dropping-particle":"","parse-names":false,"suffix":""},{"dropping-particle":"","family":"Egerer","given":"M.","non-dropping-particle":"","parse-names":false,"suffix":""},{"dropping-particle":"","family":"Nuttman","given":"S.","non-dropping-particle":"","parse-names":false,"suffix":""},{"dropping-particle":"","family":"Keniger","given":"L.","non-dropping-particle":"","parse-names":false,"suffix":""},{"dropping-particle":"","family":"Pettitt","given":"P","non-dropping-particle":"","parse-names":false,"suffix":""},{"dropping-particle":"","family":"Frantzeskaki","given":"N.","non-dropping-particle":"","parse-names":false,"suffix":""},{"dropping-particle":"","family":"Gray","given":"T.","non-dropping-particle":"","parse-names":false,"suffix":""},{"dropping-particle":"","family":"Ossola","given":"A.","non-dropping-particle":"","parse-names":false,"suffix":""},{"dropping-particle":"","family":"Lin","given":"B.","non-dropping-particle":"","parse-names":false,"suffix":""},{"dropping-particle":"","family":"Bailey","given":"A.","non-dropping-particle":"","parse-names":false,"suffix":""},{"dropping-particle":"","family":"Tracey","given":"D.","non-dropping-particle":"","parse-names":false,"suffix":""},{"dropping-particle":"","family":"Barron","given":"S.","non-dropping-particle":"","parse-names":false,"suffix":""},{"dropping-particle":"","family":"Marsh","given":"P.","non-dropping-particle":"","parse-names":false,"suffix":""}],"container-title":"Urban Forestry and Urban Greening","id":"ITEM-2","issue":"November 2020","issued":{"date-parts":[["2021"]]},"page":"127059","publisher":"Elsevier GmbH","title":"Urban agriculture as a nature-based solution to address socio-ecological challenges in Australian cities","type":"article-journal","volume":"60"},"uris":["http://www.mendeley.com/documents/?uuid=04ac322a-a588-423e-80fa-a7c975179bf2"]}],"mendeley":{"formattedCitation":"(Ferreira, Guilherme, Mendes, et al., 2018; Kingsley et al., 2021)","plainTextFormattedCitation":"(Ferreira, Guilherme, Mendes, et al., 2018; Kingsley et al., 2021)","previouslyFormattedCitation":"(Ferreira, Guilherme, Mendes, et al., 2018; Kingsley et al., 2021)"},"properties":{"noteIndex":0},"schema":"https://github.com/citation-style-language/schema/raw/master/csl-citation.json"}</w:instrText>
      </w:r>
      <w:r w:rsidRPr="00895D0B">
        <w:rPr>
          <w:rFonts w:cs="Times New Roman"/>
          <w:color w:val="000000" w:themeColor="text1"/>
          <w:szCs w:val="24"/>
        </w:rPr>
        <w:fldChar w:fldCharType="separate"/>
      </w:r>
      <w:r w:rsidR="00235EBD" w:rsidRPr="00895D0B">
        <w:rPr>
          <w:rFonts w:cs="Times New Roman"/>
          <w:noProof/>
          <w:color w:val="000000" w:themeColor="text1"/>
          <w:szCs w:val="24"/>
        </w:rPr>
        <w:t>(Ferreira, Guilherme, Mendes, et al., 2018; Kingsley et al., 2021)</w:t>
      </w:r>
      <w:r w:rsidRPr="00895D0B">
        <w:rPr>
          <w:rFonts w:cs="Times New Roman"/>
          <w:color w:val="000000" w:themeColor="text1"/>
          <w:szCs w:val="24"/>
        </w:rPr>
        <w:fldChar w:fldCharType="end"/>
      </w:r>
      <w:r w:rsidRPr="00895D0B">
        <w:rPr>
          <w:rFonts w:cs="Times New Roman"/>
          <w:color w:val="000000" w:themeColor="text1"/>
          <w:szCs w:val="24"/>
        </w:rPr>
        <w:t xml:space="preserve">. Furthermore, farm fencing plays a crucial role in disease control. Having stable and secure fences helps to prevent the spread of diseases among livestock. By keeping the animals confined to specific areas, farmers can minimize the risk of disease outbreaks and effectively manage the health of their animals. The reasons for fencing a farm include managing stock breeding, preventing stock from straying, improving property appearance, promoting successful vegetation growth, and controlling disease outbreaks among livestock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{"citationItems":[{"id":"ITEM-1","itemData":{"ISBN":"9780760768587","author":[{"dropping-particle":"","family":"Worley","given":"J. W","non-dropping-particle":"","parse-names":false,"suffix":""}],"container-title":"774","id":"ITEM-1","issued":{"date-parts":[["2015"]]},"title":"Fences for the Farm","type":"article-journal"},"uris":["http://www.mendeley.com/documents/?uuid=b6d1ca87-ad43-48d8-b89d-4e9f1b981fc8"]},{"id":"ITEM-2","itemData":{"DOI":"10.32388/991925","author":[{"dropping-particle":"","family":"Buddle","given":"E. A.","non-dropping-particle":"","parse-names":false,"suffix":""},{"dropping-particle":"","family":"Bray","given":"H. J.","non-dropping-particle":"","parse-names":false,"suffix":""},{"dropping-particle":"","family":"Pitchford","given":"W. S.","non-dropping-particle":"","parse-names":false,"suffix":""}],"container-title":"Definitions","id":"ITEM-2","issue":"June","issued":{"date-parts":[["2018"]]},"page":"435-444","title":"Green Open Access","type":"article-journal","volume":"58"},"uris":["http://www.mendeley.com/documents/?uuid=88bff86f-314b-4280-b9a6-2d323c0bdc96"]}],"mendeley":{"formattedCitation":"(Buddle et al., 2018; Worley, 2015)","manualFormatting":"(See Worley, 2015; Buddle et al., 2018)","plainTextFormattedCitation":"(Buddle et al., 2018; Worley, 2015)","previouslyFormattedCitation":"(Buddle et al., 2018; Worley, 2015)"},"properties":{"noteIndex":0},"schema":"https://github.com/citation-style-language/schema/raw/master/csl-citation.json"}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(See Worley, 2015; Buddle et al., 2018)</w:t>
      </w:r>
      <w:r w:rsidRPr="00895D0B">
        <w:rPr>
          <w:rFonts w:cs="Times New Roman"/>
          <w:color w:val="000000" w:themeColor="text1"/>
          <w:szCs w:val="24"/>
        </w:rPr>
        <w:fldChar w:fldCharType="end"/>
      </w:r>
      <w:r w:rsidRPr="00895D0B">
        <w:rPr>
          <w:rFonts w:cs="Times New Roman"/>
          <w:color w:val="000000" w:themeColor="text1"/>
          <w:szCs w:val="24"/>
        </w:rPr>
        <w:t xml:space="preserve">. The study does not support the finding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Osman","given":"A.","non-dropping-particle":"","parse-names":false,"suffix":""},{"dropping-particle":"","family":"Karikari","given":"P.K.","non-dropping-particle":"","parse-names":false,"suffix":""},{"dropping-particle":"","family":"Osafo","given":"E.L.K.","non-dropping-particle":"","parse-names":false,"suffix":""},{"dropping-particle":"","family":"Attoh-Kotoku","given":"V.","non-dropping-particle":"","parse-names":false,"suffix":""}],"container-title":"Journal of Animal Science and Biotechnology","id":"ITEM-1","issue":"January","issued":{"date-parts":[["2018"]]},"page":"98–110","title":"Smallholder Urban Cattle Production : Prospects and Challenges in the Kumasi Metropolis and Asokore Mampong Municipality of the Ashanti Region of Ghana","type":"article-journal","volume":"9"},"uris":["http://www.mendeley.com/documents/?uuid=c62525d4-fc6e-4e78-ac3a-74831cd2b6f9"]}],"mendeley":{"formattedCitation":"(Osman et al., 2018)","manualFormatting":"Osman et al. (2018)","plainTextFormattedCitation":"(Osman et al., 2018)","previouslyFormattedCitation":"(Osman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Osman et al. (2018)</w:t>
      </w:r>
      <w:r w:rsidRPr="00895D0B">
        <w:rPr>
          <w:rFonts w:cs="Times New Roman"/>
          <w:color w:val="000000" w:themeColor="text1"/>
          <w:szCs w:val="24"/>
        </w:rPr>
        <w:fldChar w:fldCharType="end"/>
      </w:r>
      <w:r w:rsidRPr="00895D0B">
        <w:rPr>
          <w:rFonts w:cs="Times New Roman"/>
          <w:color w:val="000000" w:themeColor="text1"/>
          <w:szCs w:val="24"/>
        </w:rPr>
        <w:t xml:space="preserve"> that the rearing of small ruminants such as goats and sheep is not regulated by the urban farmers. There are laws on urban zoning and planning in Ghana, but these laws do not integrate urban agriculture in land use planning and zoning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{"citationItems":[{"id":"ITEM-1","itemData":{"DOI":"10.1007/s12134-017-0535-z","ISSN":"18746365","abstract":"Immigrant entrepreneurship comes in two forms: domestic and transnational entrepreneurship. Domestic immigrant entrepreneurs depend on the host society for business success while transnational immigrant entrepreneurs depend on the contacts and partners in their countries of origin and other countries. In recent years, immigrants’ entrepreneurial activity has moved from the domestic to the transnational level because of the simultaneous business activities that such entrepreneurs conduct between their home and host countries. Transnational entrepreneurship has become one of the pathways that immigrants use to settle and integrate into the host society’s labor market, and at the same time contribute to their countries of origin. From this perspective, this paper explores the causes, nature, and practices of transnational entrepreneurial activities of Ghanaian immigrants in Canada. Using in-depth interviews and focus groups, the study finds that transnational entrepreneurship has become an essential strategy among Ghanaian immigrant entrepreneurs due to the large and growing number of immigrant communities and demand for ethnic products and services that are not produced in Canada. The study also finds that transnational entrepreneurship has become an avenue for immigrants to connect and create ties with Ghana and contribute to its economic development.","author":[{"dropping-particle":"","family":"Nkrumah","given":"A.","non-dropping-particle":"","parse-names":false,"suffix":""}],"container-title":"Journal of International Migration and Integration","id":"ITEM-1","issue":"1","issued":{"date-parts":[["2018"]]},"page":"195-211","title":"Immigrants’ Transnational Entrepreneurial Activities: the Case of Ghanaian Immigrants in Canada","type":"article-journal","volume":"19"},"uris":["http://www.mendeley.com/documents/?uuid=351b027b-4f53-40df-a07b-5510eee63612"]},{"id":"ITEM-2","itemData":{"DOI":"10.13140/RG.2.2.21061.50407","abstract":"In order to eradicate extreme poverty and hunger and promote sustainable development through Millennium Development Goals (MDGs), the United Nations Millennium Declaration was adopted in September 2000 at the largest ever gathering, committing countries both rich and poor to do all they can to eradicate poverty and hunger, promote human dignity and equality and achieve peace, democracy and environmental stability, achieve universal primary education, promoting gender equality and empower women, reduce child mortality, improve maternal health, combat HIV/AIDS, malaria and other diseases, ensure environmental sustainability and develop a global partnership for development. It is because of these and more especially goal one, to \"eradicate extreme poverty and hunger\", that prompted this study. It focused on assessing the contribution of urban agriculture as a tool for sustainable livelihood in Kwale, Delta State. Emphases were laid on the characteristics of the urban farmers, major urban agricultural activities, its impact on household income and food security, and finally the challenges facing urban agriculture in the study area. Twenty (20) urban farmers were randomly selected from each of the four zones that encompass Kwale giving a sample size of eighty (80) respondents used for the study. Information obtained were analysed using simple descriptive statistics such as frequency distribution tables, percentages and bar charts. Two hypotheses were postulated and tested in the course of this study using Spearman's correlation coefficient (rho). The findings from the study indicate that urban agriculture is an important source of supply in urban food system, income options for households, and creates full time employment. The challenges for urban farmer are land, inadequate capital, and high cost of labour. Since current employment situations in the urban areas do not generate adequate income for the poor urban population, it is therefore recommended that urban agriculture should be integrated into urban land use planning in the state as a source of urban income, employment and food security. Government as the principal land owner should liaise with individuals and group land owners to devise appropriate mechanisms to release undeveloped plots of land within and around the city for agricultural purposes. If some of these recommendations are properly addressed, urban agriculture would help to reduce urban poverty and achieve livelihood sustainability.","author":[{"dropping-particle":"","family":"Ezeomedo","given":"I. C.","non-dropping-particle":"","parse-names":false,"suffix":""},{"dropping-particle":"","family":"Egware","given":"A. R.","non-dropping-particle":"","parse-names":false,"suffix":""}],"container-title":"African Journal of Environmental Research","id":"ITEM-2","issue":"1","issued":{"date-parts":[["2018"]]},"page":"78-97","title":"Eradication of Extreme Poverty and Hunger Using Urban Agriculture As a Tool for Sustainable Livelihood","type":"article-journal","volume":"1"},"uris":["http://www.mendeley.com/documents/?uuid=0b39324b-1fcd-4501-8e17-003e2f2bd37e"]},{"id":"ITEM-3","itemData":{"DOI":"10.1016/j.landusepol.2022.106312","ISSN":"02648377","abstract":"Vegetable cultivation is a survival strategy for the urban population, especially with the increasing population, urbanization, and high unemployment rate. For decades, men have practiced vegetable cultivation in Tamale's metropolitan city, with women being involved at the last node of the value chain – marketing. Women are known as market queens, and culturally, sell foodstuff in the market, unlike men who can't do the same. These market queens buy vegetables from farm gates and sell them at wholesale prices to other market women who retail them in the market. An ethnographic study was carried out to understand how farmers carry out their farming activities and marketing in the face of changing market trends and urbanization and how urbanization and markets shape and regulate farmers’ agricultural practices with implications for urban agricultural policy and town planning. Results show that urbanization has influenced urban and peri-urban land prices resulting in the leasing of prime agricultural lands by chiefs for industrial and residential purposes. As such, farmers cope by negotiating farmland with government and private institutions, with more success. Farmers also practice mixed cropping to buffer climatic shocks and address market gluts to meet household needs and income. Even though urbanization poses a risk for farmers, it also creates spaces where farmers’ practices are reshaped as they network with agro-dealers, buyers, and researchers in their everyday activities, contributing to urban gardening policies and Sustainable Development Goal (SDG) 11.","author":[{"dropping-particle":"","family":"Nchanji","given":"E. B.","non-dropping-particle":"","parse-names":false,"suffix":""},{"dropping-particle":"","family":"Nchanji","given":"Y. K.","non-dropping-particle":"","parse-names":false,"suffix":""}],"container-title":"Land Use Policy","id":"ITEM-3","issue":"June 2020","issued":{"date-parts":[["2022"]]},"page":"106312","publisher":"Elsevier Ltd","title":"Urban farmers coping strategies in the wake of urbanization and changing market in Tamale, Northern Ghana","type":"article-journal","volume":"121"},"uris":["http://www.mendeley.com/documents/?uuid=d90ff5c8-84c9-424e-bae2-a97508e7e99c"]}],"mendeley":{"formattedCitation":"(Ezeomedo &amp; Egware, 2018; Nchanji &amp; Nchanji, 2022; Nkrumah, 2018)","manualFormatting":"(Ezeomedo &amp; Egware, 2018; Nkrumah, 2018; Nchanji &amp; Nchanji, 2022)","plainTextFormattedCitation":"(Ezeomedo &amp; Egware, 2018; Nchanji &amp; Nchanji, 2022; Nkrumah, 2018)","previouslyFormattedCitation":"(Ezeomedo &amp; Egware, 2018; Nchanji &amp; Nchanji, 2022; Nkrumah,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(Ezeomedo &amp; Egware, 2018; Nkrumah, 2018; Nchanji &amp; Nchanji, 2022)</w:t>
      </w:r>
      <w:r w:rsidRPr="00895D0B">
        <w:rPr>
          <w:rFonts w:cs="Times New Roman"/>
          <w:color w:val="000000" w:themeColor="text1"/>
          <w:szCs w:val="24"/>
        </w:rPr>
        <w:fldChar w:fldCharType="end"/>
      </w:r>
      <w:r w:rsidRPr="00895D0B">
        <w:rPr>
          <w:rFonts w:cs="Times New Roman"/>
          <w:color w:val="000000" w:themeColor="text1"/>
          <w:szCs w:val="24"/>
        </w:rPr>
        <w:t xml:space="preserve">. This affects accessing space for urban agricultural production. The implication is that although urban farming has no place in zoning in Ghana, there is the opportunity to place urban planning under the special development component of the zoning regulations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{"citationItems":[{"id":"ITEM-1","itemData":{"DOI":"10.1016/j.landusepol.2017.10.031","ISSN":"02648377","abstract":"Extending beyond previous research biases towards large cities or analyses based largely on one type of urban agriculture (UA) (such as market gardening, or home gardening), this research aimed to investigate all forms of UA within two intermediate-sized Ghanaian cities (Techiman and Tamale). Where was being farmed? For whom, and why? The paper considers how findings compare to Ghana's larger cities, and possible implications for theory and for planning. Methods included remote sensing, field mapping, interviews and a 1000-household per city questionnaire. The most common reason for farming was food supplementation. This was often via staple foods, particularly maize, rather than the leafy vegetables common in larger cities’ market gardening. Farming was predominantly via home gardening, particularly for the better off. The larger city of Tamale also sustained organised irrigated-vegetable market gardens. Findings suggest a picture not dissimilar to Ghana's larger cities but with greater prevalence of home gardening, and a dominance of staple foods rather than perishable or high value crops. A compelling finding, which has received less attention in the literature, is the extent of, and roles played by, what this study refers to as ‘institutional land. Both Ghanaian Ministry of Food and Agriculture's policy framing, and market crisis theorising, of the drivers and role of UA were not found to be an accurate reflection of Techiman and Tamale's UA. Rather than being a localised survival activity of the poor or marginalised, of recent migrants, or of predominantly women, these cities contained a large scale and diverse spatiality of UA mainly for non-poor and non-migrants’ supplementation of their staple food larder. Results emphasise the context-specific nature of a city's urban agriculture, and underline the need for researchers and UA advocates to be specific about the form of UA under the microscope when making claims for ‘an urban agriculture’.","author":[{"dropping-particle":"","family":"Mackay","given":"H.","non-dropping-particle":"","parse-names":false,"suffix":""}],"container-title":"Land Use Policy","id":"ITEM-1","issue":"October 2017","issued":{"date-parts":[["2018"]]},"page":"182-197","publisher":"Elsevier","title":"Mapping and characterising the urban agricultural landscape of two intermediate-sized Ghanaian cities","type":"article-journal","volume":"70"},"uris":["http://www.mendeley.com/documents/?uuid=db4df694-c6b9-4c30-8d0e-77c510eebe8b"]},{"id":"ITEM-2","itemData":{"DOI":"10.3390/challe10010006","abstract":"Renewed interest in the nexus between sustainability and food security has led to growing discussions on the use of food sovereignty principles in agricultural practice. As a result of the transfiguration of the urban and socioeconomic landscape in the global South, urban and peri-urban agriculture has been touted as a potential response to increasing food insecurity in cities. Yet, both urban and peri-urban agriculture and food sovereignty have attracted cursory scholarship and programming in Zimbabwe due to fixation on more dominant rural and conventional agriculture. Beyond the rudimentary idea that the urban landscape is unfit for food production, literature has demonstrated that urban households have ingrained urban and peri-urban agriculture into their livelihoods. Regardless, institutional arrangements governing the practice remain ambivalent towards the practice, bringing to question the ability of households to fully exploit the benefits of the practice. This review underscores that failure to involve of all stakeholders undermines urban and peri-urban agriculture, consequently leading to heightened food insecurity and use of unsustainable practices. By delving into the political economy of food, we hope to stimulate discussion centered on food sovereignty within and urban spaces and beyond.","author":[{"dropping-particle":"","family":"Chihambakwe","given":"M.","non-dropping-particle":"","parse-names":false,"suffix":""},{"dropping-particle":"","family":"Mafongoya","given":"P.","non-dropping-particle":"","parse-names":false,"suffix":""},{"dropping-particle":"","family":"Jiri","given":"O.","non-dropping-particle":"","parse-names":false,"suffix":""}],"container-title":"Challenges","id":"ITEM-2","issue":"1","issued":{"date-parts":[["2018"]]},"page":"6","title":"Urban and Peri-Urban Agriculture as A Pathway to Food Security: A Review Mapping the Use of Food Sovereignty","type":"article-journal","volume":"10"},"uris":["http://www.mendeley.com/documents/?uuid=d7745eec-d15d-43a8-8fc4-67941ea921c1"]},{"id":"ITEM-3","itemData":{"DOI":"10.1016/j.landusepol.2022.106312","ISSN":"02648377","abstract":"Vegetable cultivation is a survival strategy for the urban population, especially with the increasing population, urbanization, and high unemployment rate. For decades, men have practiced vegetable cultivation in Tamale's metropolitan city, with women being involved at the last node of the value chain – marketing. Women are known as market queens, and culturally, sell foodstuff in the market, unlike men who can't do the same. These market queens buy vegetables from farm gates and sell them at wholesale prices to other market women who retail them in the market. An ethnographic study was carried out to understand how farmers carry out their farming activities and marketing in the face of changing market trends and urbanization and how urbanization and markets shape and regulate farmers’ agricultural practices with implications for urban agricultural policy and town planning. Results show that urbanization has influenced urban and peri-urban land prices resulting in the leasing of prime agricultural lands by chiefs for industrial and residential purposes. As such, farmers cope by negotiating farmland with government and private institutions, with more success. Farmers also practice mixed cropping to buffer climatic shocks and address market gluts to meet household needs and income. Even though urbanization poses a risk for farmers, it also creates spaces where farmers’ practices are reshaped as they network with agro-dealers, buyers, and researchers in their everyday activities, contributing to urban gardening policies and Sustainable Development Goal (SDG) 11.","author":[{"dropping-particle":"","family":"Nchanji","given":"E. B.","non-dropping-particle":"","parse-names":false,"suffix":""},{"dropping-particle":"","family":"Nchanji","given":"Y. K.","non-dropping-particle":"","parse-names":false,"suffix":""}],"container-title":"Land Use Policy","id":"ITEM-3","issue":"June 2020","issued":{"date-parts":[["2022"]]},"page":"106312","publisher":"Elsevier Ltd","title":"Urban farmers coping strategies in the wake of urbanization and changing market in Tamale, Northern Ghana","type":"article-journal","volume":"121"},"uris":["http://www.mendeley.com/documents/?uuid=d90ff5c8-84c9-424e-bae2-a97508e7e99c"]}],"mendeley":{"formattedCitation":"(Chihambakwe et al., 2018; Mackay, 2018; Nchanji &amp; Nchanji, 2022)","plainTextFormattedCitation":"(Chihambakwe et al., 2018; Mackay, 2018; Nchanji &amp; Nchanji, 2022)","previouslyFormattedCitation":"(Chihambakwe et al., 2018; Mackay, 2018; Nchanji &amp; Nchanji,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(Chihambakwe et al., 2018; Mackay, 2018; Nchanji &amp; Nchanji, 2022)</w:t>
      </w:r>
      <w:r w:rsidRPr="00895D0B">
        <w:rPr>
          <w:rFonts w:cs="Times New Roman"/>
          <w:color w:val="000000" w:themeColor="text1"/>
          <w:szCs w:val="24"/>
        </w:rPr>
        <w:fldChar w:fldCharType="end"/>
      </w:r>
      <w:r w:rsidRPr="00895D0B">
        <w:rPr>
          <w:rFonts w:cs="Times New Roman"/>
          <w:color w:val="000000" w:themeColor="text1"/>
          <w:szCs w:val="24"/>
        </w:rPr>
        <w:t xml:space="preserve">. This will pave the way for land allocations to urban agriculture be it private or government land. This can be initiated by using undeveloped </w:t>
      </w:r>
      <w:r w:rsidRPr="00895D0B">
        <w:rPr>
          <w:rFonts w:cs="Times New Roman"/>
          <w:color w:val="000000" w:themeColor="text1"/>
          <w:szCs w:val="24"/>
        </w:rPr>
        <w:lastRenderedPageBreak/>
        <w:t xml:space="preserve">government lands that could support urban food production within the urban neighbourhoods. </w:t>
      </w:r>
    </w:p>
    <w:p w14:paraId="38C5FEAC" w14:textId="77777777" w:rsidR="001B4ED5" w:rsidRPr="00166F50" w:rsidRDefault="001B4ED5" w:rsidP="00056D43">
      <w:pPr>
        <w:pStyle w:val="NoSpacing"/>
        <w:rPr>
          <w:sz w:val="16"/>
          <w:szCs w:val="16"/>
        </w:rPr>
      </w:pPr>
    </w:p>
    <w:p w14:paraId="1EC7CF19" w14:textId="77777777" w:rsidR="001B4ED5" w:rsidRPr="00895D0B" w:rsidRDefault="006B41C0" w:rsidP="009864E3">
      <w:pPr>
        <w:pStyle w:val="Heading3"/>
      </w:pPr>
      <w:bookmarkStart w:id="115" w:name="_Toc167379920"/>
      <w:r w:rsidRPr="00895D0B">
        <w:t>4.6.4 Theoretical reflection</w:t>
      </w:r>
      <w:bookmarkEnd w:id="115"/>
      <w:r w:rsidRPr="00895D0B">
        <w:t xml:space="preserve"> </w:t>
      </w:r>
    </w:p>
    <w:p w14:paraId="7260B7EA" w14:textId="07E2725E"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Theoretically, the findings reflect the </w:t>
      </w:r>
      <w:r w:rsidR="00592A2E" w:rsidRPr="00895D0B">
        <w:rPr>
          <w:rFonts w:cs="Times New Roman"/>
          <w:color w:val="000000" w:themeColor="text1"/>
          <w:szCs w:val="24"/>
        </w:rPr>
        <w:t xml:space="preserve">Social Practice Theory </w:t>
      </w:r>
      <w:r w:rsidR="00925012" w:rsidRPr="00895D0B">
        <w:rPr>
          <w:rFonts w:cs="Times New Roman"/>
          <w:color w:val="000000" w:themeColor="text1"/>
          <w:szCs w:val="24"/>
        </w:rPr>
        <w:t>in</w:t>
      </w:r>
      <w:r w:rsidRPr="00895D0B">
        <w:rPr>
          <w:rFonts w:cs="Times New Roman"/>
          <w:color w:val="000000" w:themeColor="text1"/>
          <w:szCs w:val="24"/>
        </w:rPr>
        <w:t xml:space="preserve"> terms of urban households’ choices </w:t>
      </w:r>
      <w:r w:rsidR="00592A2E" w:rsidRPr="00895D0B">
        <w:rPr>
          <w:rFonts w:cs="Times New Roman"/>
          <w:color w:val="000000" w:themeColor="text1"/>
          <w:szCs w:val="24"/>
        </w:rPr>
        <w:t>of</w:t>
      </w:r>
      <w:r w:rsidRPr="00895D0B">
        <w:rPr>
          <w:rFonts w:cs="Times New Roman"/>
          <w:color w:val="000000" w:themeColor="text1"/>
          <w:szCs w:val="24"/>
        </w:rPr>
        <w:t xml:space="preserve"> the type of urban farming influenced by the image and understanding attached to urban farming what type of urban agriculture meets the prevailing social norms</w:t>
      </w:r>
      <w:r w:rsidR="007C7EB3" w:rsidRPr="00895D0B">
        <w:rPr>
          <w:rFonts w:cs="Times New Roman"/>
          <w:color w:val="000000" w:themeColor="text1"/>
          <w:szCs w:val="24"/>
        </w:rPr>
        <w:t xml:space="preserve"> </w:t>
      </w:r>
      <w:r w:rsidR="007C7EB3" w:rsidRPr="00895D0B">
        <w:rPr>
          <w:rFonts w:cs="Times New Roman"/>
          <w:color w:val="000000" w:themeColor="text1"/>
          <w:szCs w:val="24"/>
        </w:rPr>
        <w:fldChar w:fldCharType="begin" w:fldLock="1"/>
      </w:r>
      <w:r w:rsidR="00EC20CA" w:rsidRPr="00895D0B">
        <w:rPr>
          <w:rFonts w:cs="Times New Roman"/>
          <w:color w:val="000000" w:themeColor="text1"/>
          <w:szCs w:val="24"/>
        </w:rPr>
        <w:instrText>ADDIN CSL_CITATION {"citationItems":[{"id":"ITEM-1","itemData":{"DOI":"10.3390/cli9010007","ISSN":"22251154","abstract":"Society is at an important intersection in dealing with the challenges of climate change, and this paper is presented at a critical juncture in light of growing recognition that the natural sciences are insufficient to deal with these challenges. Critical aspects of sociological perspectives related to climate change research are brought together in this review in the hope of fostering greater interdisciplinary collaboration between the natural and social sciences. We fervently argue for the need to inculcate interdisciplinary approaches that can provide innovative perspectives and solutions to the challenges we face from the impacts of climate change. As such, some critical sociological perspectives are addressed, with two objectives: (a) to provide a foundational opening for readers seeking an introductory perspective and potential core contributions of sociological insights on climate change; and (b) to explore opportunities and obstacles that may occur with increased interdisciplinary cooperation and collaboration. We lay out fundamental ideas by assembling a loosely connected body of sociological research, hoping to develop and advance the collaborative research agenda between sociology and other disciplines for the near future.","author":[{"dropping-particle":"","family":"Islam","given":"S.","non-dropping-particle":"","parse-names":false,"suffix":""},{"dropping-particle":"","family":"Kieu","given":"E.","non-dropping-particle":"","parse-names":false,"suffix":""}],"container-title":"Climate","id":"ITEM-1","issue":"1","issued":{"date-parts":[["2021"]]},"page":"1-14","title":"Sociological perspectives on climate change and society: A review","type":"article-journal","volume":"9"},"uris":["http://www.mendeley.com/documents/?uuid=1411c5e3-1a17-4456-b51f-9d267b954eec"]}],"mendeley":{"formattedCitation":"(Islam &amp; Kieu, 2021)","plainTextFormattedCitation":"(Islam &amp; Kieu, 2021)","previouslyFormattedCitation":"(Islam &amp; Kieu, 2021)"},"properties":{"noteIndex":0},"schema":"https://github.com/citation-style-language/schema/raw/master/csl-citation.json"}</w:instrText>
      </w:r>
      <w:r w:rsidR="007C7EB3" w:rsidRPr="00895D0B">
        <w:rPr>
          <w:rFonts w:cs="Times New Roman"/>
          <w:color w:val="000000" w:themeColor="text1"/>
          <w:szCs w:val="24"/>
        </w:rPr>
        <w:fldChar w:fldCharType="separate"/>
      </w:r>
      <w:r w:rsidR="007C7EB3" w:rsidRPr="00895D0B">
        <w:rPr>
          <w:rFonts w:cs="Times New Roman"/>
          <w:noProof/>
          <w:color w:val="000000" w:themeColor="text1"/>
          <w:szCs w:val="24"/>
        </w:rPr>
        <w:t>(Islam &amp; Kieu, 2021)</w:t>
      </w:r>
      <w:r w:rsidR="007C7EB3" w:rsidRPr="00895D0B">
        <w:rPr>
          <w:rFonts w:cs="Times New Roman"/>
          <w:color w:val="000000" w:themeColor="text1"/>
          <w:szCs w:val="24"/>
        </w:rPr>
        <w:fldChar w:fldCharType="end"/>
      </w:r>
      <w:r w:rsidRPr="00895D0B">
        <w:rPr>
          <w:rFonts w:cs="Times New Roman"/>
          <w:color w:val="000000" w:themeColor="text1"/>
          <w:szCs w:val="24"/>
        </w:rPr>
        <w:t>. This implies that urban residents’ engagement in urban agriculture and the type of agriculture most suitable for the current climatic environment is directly linked to the social needs of the people around. The production of crops within the urban space is socially appraised by common understanding that there will be good yield despite the climatic stressor. Again, it is presumed that urban farmers have more skills and competencies to produce crops than animals even though the effects of climate change are glairing</w:t>
      </w:r>
      <w:r w:rsidR="00EC20CA" w:rsidRPr="00895D0B">
        <w:rPr>
          <w:rFonts w:cs="Times New Roman"/>
          <w:color w:val="000000" w:themeColor="text1"/>
          <w:szCs w:val="24"/>
        </w:rPr>
        <w:t xml:space="preserve"> </w:t>
      </w:r>
      <w:r w:rsidR="00EC20CA" w:rsidRPr="00895D0B">
        <w:rPr>
          <w:rFonts w:cs="Times New Roman"/>
          <w:color w:val="000000" w:themeColor="text1"/>
          <w:szCs w:val="24"/>
        </w:rPr>
        <w:fldChar w:fldCharType="begin" w:fldLock="1"/>
      </w:r>
      <w:r w:rsidR="00EC20CA" w:rsidRPr="00895D0B">
        <w:rPr>
          <w:rFonts w:cs="Times New Roman"/>
          <w:color w:val="000000" w:themeColor="text1"/>
          <w:szCs w:val="24"/>
        </w:rPr>
        <w:instrText>ADDIN CSL_CITATION {"citationItems":[{"id":"ITEM-1","itemData":{"DOI":"10.3390/su15118997","ISSN":"20711050","abstract":"Smallholder farmers who rely on home garden agroforestry are experiencing significant impacts from climate change. To mitigate these effects, it is crucial for farmers to have access to various adaptation strategies. This study collected data from 384 randomly selected respondents in 18 kebeles over three districts, using descriptive statistics and a multivariate probit model to evaluate the factors influencing smallholder farmers’ decisions on their adaptation strategies against climate change. In Ethiopia’s Gedeo zone, this study found that smallholder farmers employ a range of adaptation methods, including expanding their agroforestry system, implementing modern agriculture techniques, conserving soil and water, diversifying their livelihoods, and employing various coping mechanisms. By analyzing data using the multivariate probit model, this study found several factors that had a significant impact on smallholder farmers’ choice of adaptation options. These factors include social network, age, education level, farming experience, household size, cultivated land size, annual income, and livestock holding. In addition, factors such as perception of climate change, previous experience of crop failure, recurrent drought, and access to information about climate change, occurrence of frost, agricultural extension contacts, access to farmer-to-farmer extension services, and perception of land infertility also influence their decision-making process. Our findings highlight the importance of improving institutional services in rural areas, promoting education on climate change, and strengthening social networks to enhance the ability of smallholder farmers to cope with the effects of climate change.","author":[{"dropping-particle":"","family":"Darge","given":"A.","non-dropping-particle":"","parse-names":false,"suffix":""},{"dropping-particle":"","family":"Haji","given":"J.","non-dropping-particle":"","parse-names":false,"suffix":""},{"dropping-particle":"","family":"Beyene","given":"F.","non-dropping-particle":"","parse-names":false,"suffix":""},{"dropping-particle":"","family":"Ketema","given":"M.","non-dropping-particle":"","parse-names":false,"suffix":""}],"container-title":"Sustainability (Switzerland)","id":"ITEM-1","issue":"11","issued":{"date-parts":[["2023"]]},"title":"Smallholder Farmers’ Climate Change Adaptation Strategies in the Ethiopian Rift Valley: The Case of Home Garden Agroforestry Systems in the Gedeo Zone","type":"article-journal","volume":"15"},"uris":["http://www.mendeley.com/documents/?uuid=de61cf53-3140-4b63-a6c3-74de181110d7"]}],"mendeley":{"formattedCitation":"(Darge et al., 2023)","plainTextFormattedCitation":"(Darge et al., 2023)","previouslyFormattedCitation":"(Darge et al., 2023)"},"properties":{"noteIndex":0},"schema":"https://github.com/citation-style-language/schema/raw/master/csl-citation.json"}</w:instrText>
      </w:r>
      <w:r w:rsidR="00EC20CA" w:rsidRPr="00895D0B">
        <w:rPr>
          <w:rFonts w:cs="Times New Roman"/>
          <w:color w:val="000000" w:themeColor="text1"/>
          <w:szCs w:val="24"/>
        </w:rPr>
        <w:fldChar w:fldCharType="separate"/>
      </w:r>
      <w:r w:rsidR="00EC20CA" w:rsidRPr="00895D0B">
        <w:rPr>
          <w:rFonts w:cs="Times New Roman"/>
          <w:noProof/>
          <w:color w:val="000000" w:themeColor="text1"/>
          <w:szCs w:val="24"/>
        </w:rPr>
        <w:t>(Darge et al., 2023)</w:t>
      </w:r>
      <w:r w:rsidR="00EC20CA" w:rsidRPr="00895D0B">
        <w:rPr>
          <w:rFonts w:cs="Times New Roman"/>
          <w:color w:val="000000" w:themeColor="text1"/>
          <w:szCs w:val="24"/>
        </w:rPr>
        <w:fldChar w:fldCharType="end"/>
      </w:r>
      <w:r w:rsidRPr="00895D0B">
        <w:rPr>
          <w:rFonts w:cs="Times New Roman"/>
          <w:color w:val="000000" w:themeColor="text1"/>
          <w:szCs w:val="24"/>
        </w:rPr>
        <w:t>. The lower production of animals in urban areas means that urban households have less competency to produce animals under the present climate change conditions. However, the few who are having some climate change adaption strategies in animal production are into animals rearing. It can also be noted that irrespective of climatic effects on animal production, animals are produced to meet social and religious demand of the urban residents such as festivities and ceremonies</w:t>
      </w:r>
      <w:r w:rsidR="00EC20CA" w:rsidRPr="00895D0B">
        <w:rPr>
          <w:rFonts w:cs="Times New Roman"/>
          <w:color w:val="000000" w:themeColor="text1"/>
          <w:szCs w:val="24"/>
        </w:rPr>
        <w:t xml:space="preserve"> </w:t>
      </w:r>
      <w:r w:rsidR="00EC20CA" w:rsidRPr="00895D0B">
        <w:rPr>
          <w:rFonts w:cs="Times New Roman"/>
          <w:color w:val="000000" w:themeColor="text1"/>
          <w:szCs w:val="24"/>
        </w:rPr>
        <w:fldChar w:fldCharType="begin" w:fldLock="1"/>
      </w:r>
      <w:r w:rsidR="00EC20CA" w:rsidRPr="00895D0B">
        <w:rPr>
          <w:rFonts w:cs="Times New Roman"/>
          <w:color w:val="000000" w:themeColor="text1"/>
          <w:szCs w:val="24"/>
        </w:rPr>
        <w:instrText>ADDIN CSL_CITATION {"citationItems":[{"id":"ITEM-1","itemData":{"DOI":"10.1016/j.proenv.2017.03.147","ISSN":"18780296","abstract":"The paper recognises sustainable urban agriculture approaches for food provision, by comparing activities and eight socio-spatial characteristics in three case studies, in the defined urban context of metropolitan Thessaloniki. The study considers urban agriculture activities for food provision, as part of alternative food networks, whilst the research design is based on Social Practice Theory and the Multi-Level Framework. The study concludes with policy and planning recommendations for urban agriculture in the metropolitan region of Thessaloniki. However, the research design can be used in different urban contexts as it corresponds to the diversity of urban environments by treating the data holistically.","author":[{"dropping-particle":"","family":"Kontothanasis","given":"G.","non-dropping-particle":"","parse-names":false,"suffix":""}],"container-title":"Procedia Environmental Sciences","id":"ITEM-1","issued":{"date-parts":[["2017"]]},"page":"666-673","publisher":"Elsevier B.V.","title":"Social Practices of Urban Agriculture in the Metropolitan Region of Thessaloniki","type":"article-journal","volume":"38"},"uris":["http://www.mendeley.com/documents/?uuid=54112113-f55a-4963-a6d0-757cbd751847"]}],"mendeley":{"formattedCitation":"(Kontothanasis, 2017)","plainTextFormattedCitation":"(Kontothanasis, 2017)"},"properties":{"noteIndex":0},"schema":"https://github.com/citation-style-language/schema/raw/master/csl-citation.json"}</w:instrText>
      </w:r>
      <w:r w:rsidR="00EC20CA" w:rsidRPr="00895D0B">
        <w:rPr>
          <w:rFonts w:cs="Times New Roman"/>
          <w:color w:val="000000" w:themeColor="text1"/>
          <w:szCs w:val="24"/>
        </w:rPr>
        <w:fldChar w:fldCharType="separate"/>
      </w:r>
      <w:r w:rsidR="00EC20CA" w:rsidRPr="00895D0B">
        <w:rPr>
          <w:rFonts w:cs="Times New Roman"/>
          <w:noProof/>
          <w:color w:val="000000" w:themeColor="text1"/>
          <w:szCs w:val="24"/>
        </w:rPr>
        <w:t>(Kontothanasis, 2017)</w:t>
      </w:r>
      <w:r w:rsidR="00EC20CA" w:rsidRPr="00895D0B">
        <w:rPr>
          <w:rFonts w:cs="Times New Roman"/>
          <w:color w:val="000000" w:themeColor="text1"/>
          <w:szCs w:val="24"/>
        </w:rPr>
        <w:fldChar w:fldCharType="end"/>
      </w:r>
      <w:r w:rsidRPr="00895D0B">
        <w:rPr>
          <w:rFonts w:cs="Times New Roman"/>
          <w:color w:val="000000" w:themeColor="text1"/>
          <w:szCs w:val="24"/>
        </w:rPr>
        <w:t xml:space="preserve">.  The social practices theory emphasised on stuff which denote the tangibles, materials and technologies that could motivate an individual to take up certain behaviours. Consequently, urban farmers’ behaviour on crop production could be related to the fact that the type and nature of land available is better for crop production than for animal rearing. For instance, valley areas are invariably not suitable for animal production but will be suitable for certain types of crop production which shape farmers choices and location of urban farmers. </w:t>
      </w:r>
    </w:p>
    <w:p w14:paraId="037C70F1" w14:textId="77777777" w:rsidR="001B4ED5" w:rsidRPr="00895D0B" w:rsidRDefault="001B4ED5" w:rsidP="00360960">
      <w:pPr>
        <w:pStyle w:val="NoSpacing"/>
      </w:pPr>
    </w:p>
    <w:p w14:paraId="58057470" w14:textId="77777777" w:rsidR="001B4ED5" w:rsidRPr="00895D0B" w:rsidRDefault="006B41C0">
      <w:pPr>
        <w:pStyle w:val="Heading2"/>
      </w:pPr>
      <w:bookmarkStart w:id="116" w:name="_Toc167379921"/>
      <w:r w:rsidRPr="00895D0B">
        <w:t>4.7 Summary of the Chapter</w:t>
      </w:r>
      <w:bookmarkEnd w:id="116"/>
      <w:r w:rsidRPr="00895D0B">
        <w:t xml:space="preserve"> </w:t>
      </w:r>
    </w:p>
    <w:p w14:paraId="55020133" w14:textId="567AD589" w:rsidR="00605DD4" w:rsidRPr="00895D0B" w:rsidRDefault="00895D0B" w:rsidP="00605DD4">
      <w:pPr>
        <w:pStyle w:val="NoSpacing"/>
        <w:spacing w:line="360" w:lineRule="auto"/>
        <w:jc w:val="both"/>
        <w:rPr>
          <w:rFonts w:ascii="Times New Roman" w:hAnsi="Times New Roman" w:cs="Times New Roman"/>
          <w:color w:val="000000" w:themeColor="text1"/>
          <w:sz w:val="24"/>
          <w:szCs w:val="24"/>
          <w:lang w:eastAsia="en-GB"/>
        </w:rPr>
      </w:pPr>
      <w:r>
        <w:rPr>
          <w:rFonts w:ascii="Times New Roman" w:hAnsi="Times New Roman" w:cs="Times New Roman"/>
          <w:color w:val="000000" w:themeColor="text1"/>
          <w:sz w:val="24"/>
          <w:szCs w:val="24"/>
          <w:lang w:eastAsia="en-GB"/>
        </w:rPr>
        <w:t>This chapter presente</w:t>
      </w:r>
      <w:r w:rsidR="00605DD4" w:rsidRPr="00895D0B">
        <w:rPr>
          <w:rFonts w:ascii="Times New Roman" w:hAnsi="Times New Roman" w:cs="Times New Roman"/>
          <w:color w:val="000000" w:themeColor="text1"/>
          <w:sz w:val="24"/>
          <w:szCs w:val="24"/>
          <w:lang w:eastAsia="en-GB"/>
        </w:rPr>
        <w:t>d the characterization of urban agriculture. The thematic areas that were emphas</w:t>
      </w:r>
      <w:r w:rsidR="00834D46" w:rsidRPr="00895D0B">
        <w:rPr>
          <w:rFonts w:ascii="Times New Roman" w:hAnsi="Times New Roman" w:cs="Times New Roman"/>
          <w:color w:val="000000" w:themeColor="text1"/>
          <w:sz w:val="24"/>
          <w:szCs w:val="24"/>
          <w:lang w:eastAsia="en-GB"/>
        </w:rPr>
        <w:t>is</w:t>
      </w:r>
      <w:r w:rsidR="00605DD4" w:rsidRPr="00895D0B">
        <w:rPr>
          <w:rFonts w:ascii="Times New Roman" w:hAnsi="Times New Roman" w:cs="Times New Roman"/>
          <w:color w:val="000000" w:themeColor="text1"/>
          <w:sz w:val="24"/>
          <w:szCs w:val="24"/>
          <w:lang w:eastAsia="en-GB"/>
        </w:rPr>
        <w:t>ed include the type of urban farming, the type of urban crops produced, the type of livestock reared and the locations of these urban farms across space. These themes were analysed and discussed and th</w:t>
      </w:r>
      <w:r w:rsidR="00803FAC" w:rsidRPr="00895D0B">
        <w:rPr>
          <w:rFonts w:ascii="Times New Roman" w:hAnsi="Times New Roman" w:cs="Times New Roman"/>
          <w:color w:val="000000" w:themeColor="text1"/>
          <w:sz w:val="24"/>
          <w:szCs w:val="24"/>
          <w:lang w:eastAsia="en-GB"/>
        </w:rPr>
        <w:t>eoretical implications were made</w:t>
      </w:r>
      <w:r w:rsidR="00605DD4" w:rsidRPr="00895D0B">
        <w:rPr>
          <w:rFonts w:ascii="Times New Roman" w:hAnsi="Times New Roman" w:cs="Times New Roman"/>
          <w:color w:val="000000" w:themeColor="text1"/>
          <w:sz w:val="24"/>
          <w:szCs w:val="24"/>
          <w:lang w:eastAsia="en-GB"/>
        </w:rPr>
        <w:t xml:space="preserve">.  </w:t>
      </w:r>
    </w:p>
    <w:p w14:paraId="48F4DB4B" w14:textId="77777777" w:rsidR="00605DD4" w:rsidRPr="00895D0B" w:rsidRDefault="00605DD4" w:rsidP="00605DD4">
      <w:pPr>
        <w:pStyle w:val="NoSpacing"/>
        <w:spacing w:line="360" w:lineRule="auto"/>
        <w:jc w:val="both"/>
        <w:rPr>
          <w:rFonts w:ascii="Times New Roman" w:hAnsi="Times New Roman" w:cs="Times New Roman"/>
          <w:color w:val="000000" w:themeColor="text1"/>
          <w:sz w:val="24"/>
          <w:szCs w:val="24"/>
          <w:lang w:eastAsia="en-GB"/>
        </w:rPr>
      </w:pPr>
    </w:p>
    <w:p w14:paraId="01EBFF86" w14:textId="77777777" w:rsidR="001B4ED5" w:rsidRPr="00895D0B" w:rsidRDefault="006B41C0" w:rsidP="009745EC">
      <w:pPr>
        <w:pStyle w:val="Heading1"/>
      </w:pPr>
      <w:bookmarkStart w:id="117" w:name="_Toc167379922"/>
      <w:r w:rsidRPr="00056D43">
        <w:lastRenderedPageBreak/>
        <w:t>CHAPTER</w:t>
      </w:r>
      <w:r w:rsidRPr="00895D0B">
        <w:t xml:space="preserve"> FIVE</w:t>
      </w:r>
      <w:bookmarkEnd w:id="117"/>
    </w:p>
    <w:p w14:paraId="518D36F7" w14:textId="27C8B578" w:rsidR="001B4ED5" w:rsidRPr="00895D0B" w:rsidRDefault="006B41C0" w:rsidP="009745EC">
      <w:pPr>
        <w:pStyle w:val="Heading1"/>
      </w:pPr>
      <w:bookmarkStart w:id="118" w:name="_Hlk160019026"/>
      <w:bookmarkStart w:id="119" w:name="_Toc167379923"/>
      <w:r w:rsidRPr="00895D0B">
        <w:t>SPATIAL PATTERNS AND DISTRIBUTION OF URBAN FARMS</w:t>
      </w:r>
      <w:bookmarkEnd w:id="119"/>
      <w:r w:rsidRPr="00895D0B">
        <w:t xml:space="preserve"> </w:t>
      </w:r>
      <w:bookmarkEnd w:id="118"/>
    </w:p>
    <w:p w14:paraId="31827CD8" w14:textId="77777777" w:rsidR="001B4ED5" w:rsidRPr="00895D0B" w:rsidRDefault="006B41C0" w:rsidP="00056D43">
      <w:pPr>
        <w:pStyle w:val="Heading2"/>
      </w:pPr>
      <w:bookmarkStart w:id="120" w:name="_Toc167379924"/>
      <w:r w:rsidRPr="00895D0B">
        <w:t>5.1 Introduction</w:t>
      </w:r>
      <w:bookmarkEnd w:id="120"/>
      <w:r w:rsidRPr="00895D0B">
        <w:t xml:space="preserve"> </w:t>
      </w:r>
    </w:p>
    <w:p w14:paraId="691D64A5" w14:textId="7821CAF1" w:rsidR="001B4ED5" w:rsidRPr="00895D0B" w:rsidRDefault="00F469E2" w:rsidP="00F469E2">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This section presents results on the spatial dynamics and pattern of urban farms across the various zones: the inner core, the transitional zone, and the outer zone. This is meant to understand the spatial relationship between the types of crops and animals that are produced in each zone and the types of housing structures that favour one zone over another. The size of plots for crop production across each zone was also established from geographic coordinates taken on each attribute and plotted on ArcGIS version 10.8 for analysis.</w:t>
      </w:r>
    </w:p>
    <w:p w14:paraId="43736514" w14:textId="77777777" w:rsidR="00F469E2" w:rsidRPr="00895D0B" w:rsidRDefault="00F469E2" w:rsidP="00166F50">
      <w:pPr>
        <w:pStyle w:val="NoSpacing"/>
        <w:rPr>
          <w:lang w:eastAsia="en-GB"/>
        </w:rPr>
      </w:pPr>
    </w:p>
    <w:p w14:paraId="27AB090D" w14:textId="2F058275" w:rsidR="001B4ED5" w:rsidRPr="00895D0B" w:rsidRDefault="006B41C0" w:rsidP="00056D43">
      <w:pPr>
        <w:pStyle w:val="Heading2"/>
      </w:pPr>
      <w:bookmarkStart w:id="121" w:name="_Toc167379925"/>
      <w:r w:rsidRPr="00895D0B">
        <w:t xml:space="preserve">5.2 Spatial </w:t>
      </w:r>
      <w:r w:rsidR="002024AD" w:rsidRPr="00895D0B">
        <w:t>Di</w:t>
      </w:r>
      <w:r w:rsidR="000F27FA" w:rsidRPr="00895D0B">
        <w:t xml:space="preserve">stribution </w:t>
      </w:r>
      <w:r w:rsidRPr="00895D0B">
        <w:t>of Types of Animals within the Urban Neighbourhood</w:t>
      </w:r>
      <w:bookmarkEnd w:id="121"/>
    </w:p>
    <w:p w14:paraId="2ADFD1C6" w14:textId="77777777" w:rsidR="00F469E2" w:rsidRPr="00895D0B" w:rsidRDefault="00F469E2" w:rsidP="001F7341">
      <w:pPr>
        <w:spacing w:after="100" w:afterAutospacing="1"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Drawing from the spatial attributes taken, urban dwellers are into more poultry production than any other animals. The production of poultry shows a decreasing pattern from the inner urban core to the outer core through the transitional zones. The results present the understanding that poultry production is likely to be higher than any other animal within the inner urban core because less space is needed </w:t>
      </w:r>
      <w:r w:rsidRPr="00895D0B">
        <w:rPr>
          <w:rFonts w:eastAsia="Times New Roman" w:cs="Times New Roman"/>
          <w:i/>
          <w:iCs/>
          <w:color w:val="000000" w:themeColor="text1"/>
          <w:szCs w:val="24"/>
          <w:lang w:eastAsia="en-GB"/>
        </w:rPr>
        <w:t>(see Figure 5.1)</w:t>
      </w:r>
      <w:r w:rsidRPr="00895D0B">
        <w:rPr>
          <w:rFonts w:eastAsia="Times New Roman" w:cs="Times New Roman"/>
          <w:color w:val="000000" w:themeColor="text1"/>
          <w:szCs w:val="24"/>
          <w:lang w:eastAsia="en-GB"/>
        </w:rPr>
        <w:t>. Unlike cattle, goat and sheep production requires large spaces. Therefore, it is not surprising that poultry production concentration grows outwards from the inner to the outer city. Another insight is that urban population density moves from the core to the periphery, which is associated with the availability of space enough to raise poultry. In many households within the core, the transition to the outer zone means the possibility of more poultry production, all things being equal.  Interestingly, the results further portray similar trends and dynamics in sheep production within the urban centre. The density of sheep producers increases from the inner to the outer core of the city, while the population density decreases from the city core to the outer zone.</w:t>
      </w:r>
    </w:p>
    <w:p w14:paraId="407AD85C" w14:textId="7920457B" w:rsidR="001B4ED5" w:rsidRPr="00895D0B" w:rsidRDefault="001B4ED5" w:rsidP="00F469E2">
      <w:pPr>
        <w:spacing w:line="360" w:lineRule="auto"/>
        <w:rPr>
          <w:rFonts w:cs="Times New Roman"/>
          <w:color w:val="000000" w:themeColor="text1"/>
          <w:szCs w:val="24"/>
        </w:rPr>
      </w:pPr>
    </w:p>
    <w:p w14:paraId="52438BF4" w14:textId="2CAEA70D" w:rsidR="00EC2021" w:rsidRPr="00895D0B" w:rsidRDefault="00EC2021">
      <w:pPr>
        <w:pStyle w:val="Caption"/>
      </w:pPr>
      <w:bookmarkStart w:id="122" w:name="_Toc148890790"/>
      <w:r w:rsidRPr="00895D0B">
        <w:rPr>
          <w:noProof/>
          <w:lang w:val="en-GB" w:eastAsia="en-GB"/>
        </w:rPr>
        <w:lastRenderedPageBreak/>
        <w:drawing>
          <wp:inline distT="0" distB="0" distL="0" distR="0" wp14:anchorId="434B5804" wp14:editId="0D2BFEC5">
            <wp:extent cx="5417820" cy="3830169"/>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YPE OF ANIMALS.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417820" cy="3830169"/>
                    </a:xfrm>
                    <a:prstGeom prst="rect">
                      <a:avLst/>
                    </a:prstGeom>
                  </pic:spPr>
                </pic:pic>
              </a:graphicData>
            </a:graphic>
          </wp:inline>
        </w:drawing>
      </w:r>
    </w:p>
    <w:p w14:paraId="43CB1C89" w14:textId="0DDB6CB2" w:rsidR="001B4ED5" w:rsidRPr="00895D0B" w:rsidRDefault="006B41C0" w:rsidP="00056D43">
      <w:pPr>
        <w:pStyle w:val="Heading5"/>
      </w:pPr>
      <w:bookmarkStart w:id="123" w:name="_Toc167368264"/>
      <w:r w:rsidRPr="00895D0B">
        <w:t>Figure 5.</w:t>
      </w:r>
      <w:r w:rsidR="00895D0B" w:rsidRPr="00895D0B">
        <w:fldChar w:fldCharType="begin"/>
      </w:r>
      <w:r w:rsidR="00895D0B" w:rsidRPr="00895D0B">
        <w:instrText xml:space="preserve"> SEQ Figure_5._ \* ARABIC </w:instrText>
      </w:r>
      <w:r w:rsidR="00895D0B" w:rsidRPr="00895D0B">
        <w:fldChar w:fldCharType="separate"/>
      </w:r>
      <w:r w:rsidR="0026489B">
        <w:rPr>
          <w:noProof/>
        </w:rPr>
        <w:t>1</w:t>
      </w:r>
      <w:r w:rsidR="00895D0B" w:rsidRPr="00895D0B">
        <w:fldChar w:fldCharType="end"/>
      </w:r>
      <w:r w:rsidRPr="00895D0B">
        <w:t>: Spatial Distribution of Type of Animals reared in Urban Farming</w:t>
      </w:r>
      <w:bookmarkEnd w:id="122"/>
      <w:bookmarkEnd w:id="123"/>
    </w:p>
    <w:p w14:paraId="621288D0" w14:textId="341A9D03"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7C0640A5" w14:textId="77777777" w:rsidR="001F7341" w:rsidRPr="00895D0B" w:rsidRDefault="001F7341">
      <w:pPr>
        <w:spacing w:line="360" w:lineRule="auto"/>
        <w:rPr>
          <w:rFonts w:cs="Times New Roman"/>
          <w:color w:val="000000" w:themeColor="text1"/>
          <w:szCs w:val="24"/>
        </w:rPr>
      </w:pPr>
    </w:p>
    <w:p w14:paraId="7B908DC8" w14:textId="77777777" w:rsidR="00F469E2" w:rsidRPr="00895D0B" w:rsidRDefault="00F469E2" w:rsidP="00F469E2">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Though sheep rearing takes place across all the zones, the density is higher at the core because the urban core is populous with smaller land space compared to the transition and the outer zones </w:t>
      </w:r>
      <w:r w:rsidRPr="00895D0B">
        <w:rPr>
          <w:rFonts w:eastAsia="Times New Roman" w:cs="Times New Roman"/>
          <w:i/>
          <w:iCs/>
          <w:color w:val="000000" w:themeColor="text1"/>
          <w:szCs w:val="24"/>
          <w:lang w:eastAsia="en-GB"/>
        </w:rPr>
        <w:t>(see Figure 5.1)</w:t>
      </w:r>
      <w:r w:rsidRPr="00895D0B">
        <w:rPr>
          <w:rFonts w:eastAsia="Times New Roman" w:cs="Times New Roman"/>
          <w:color w:val="000000" w:themeColor="text1"/>
          <w:szCs w:val="24"/>
          <w:lang w:eastAsia="en-GB"/>
        </w:rPr>
        <w:t>. Despite the rearing of sheep being almost the same within the core and the transitional zones, the transition zone is less dense due to its large land area. Again, the core is dominated by the indigenes and by people who are practicing Islam, and they need sheep for religious purposes such as festivities, naming ceremonies, and funeral rites on one side. On the other side, the rearing of sheep is low in the outer city because of the limited households within the setting, notwithstanding the larger land space, which could be an incentive to rear more sheep. Additionally, the outer core is populated by settlers, who are mostly a mixture of people from different religious denominations with no specific and dominant needs for sheep. In some cases, this zone is characterized by residents who are tenants and cannot engage in sheep production because of the difficulties in getting undeveloped plots. The households are also limited, which corresponds with the limited sheep production among the households.</w:t>
      </w:r>
    </w:p>
    <w:p w14:paraId="4ACFAFA1" w14:textId="6826AC83" w:rsidR="00F469E2" w:rsidRPr="00895D0B" w:rsidRDefault="00F469E2" w:rsidP="00F469E2">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lastRenderedPageBreak/>
        <w:t xml:space="preserve">In further analysis of goat production within the space, the findings display similar production patterns among the core and the transition zones. It was clear that goat production is gaining recognition as it moves outward from the city centre though evidence revealed that the city core was the origin of goat production. Unlike goat production around the core, the transition zone also shows signs of residents gaining more interest in the production of goats within the locality </w:t>
      </w:r>
      <w:r w:rsidRPr="00895D0B">
        <w:rPr>
          <w:rFonts w:eastAsia="Times New Roman" w:cs="Times New Roman"/>
          <w:i/>
          <w:iCs/>
          <w:color w:val="000000" w:themeColor="text1"/>
          <w:szCs w:val="24"/>
          <w:lang w:eastAsia="en-GB"/>
        </w:rPr>
        <w:t>(see Figure 5.1)</w:t>
      </w:r>
      <w:r w:rsidRPr="00895D0B">
        <w:rPr>
          <w:rFonts w:eastAsia="Times New Roman" w:cs="Times New Roman"/>
          <w:color w:val="000000" w:themeColor="text1"/>
          <w:szCs w:val="24"/>
          <w:lang w:eastAsia="en-GB"/>
        </w:rPr>
        <w:t xml:space="preserve">. Taking the point further, the study analysed cattle production in the urban surroundings. The results indicate that cattle production is part of urban animals’ production but not a key component. There are few households engaged in cattle production in the urban neighbourhood. Many of the cattle producers are on the fringes of the core zone, in the transitional zone. There is evidence of cattle production being eliminated from the city core, though there are a few producers within this zone </w:t>
      </w:r>
      <w:r w:rsidRPr="00895D0B">
        <w:rPr>
          <w:rFonts w:eastAsia="Times New Roman" w:cs="Times New Roman"/>
          <w:i/>
          <w:iCs/>
          <w:color w:val="000000" w:themeColor="text1"/>
          <w:szCs w:val="24"/>
          <w:lang w:eastAsia="en-GB"/>
        </w:rPr>
        <w:t>(see Figure 5.1)</w:t>
      </w:r>
      <w:r w:rsidRPr="00895D0B">
        <w:rPr>
          <w:rFonts w:eastAsia="Times New Roman" w:cs="Times New Roman"/>
          <w:color w:val="000000" w:themeColor="text1"/>
          <w:szCs w:val="24"/>
          <w:lang w:eastAsia="en-GB"/>
        </w:rPr>
        <w:t>.</w:t>
      </w:r>
    </w:p>
    <w:p w14:paraId="3289210C" w14:textId="77777777" w:rsidR="008B79EE" w:rsidRPr="00895D0B" w:rsidRDefault="008B79EE" w:rsidP="00166F50">
      <w:pPr>
        <w:pStyle w:val="NoSpacing"/>
        <w:rPr>
          <w:lang w:eastAsia="en-GB"/>
        </w:rPr>
      </w:pPr>
    </w:p>
    <w:p w14:paraId="197703B4" w14:textId="0EBA117A" w:rsidR="00F469E2" w:rsidRDefault="00F469E2" w:rsidP="008B79EE">
      <w:pPr>
        <w:spacing w:after="100" w:afterAutospacing="1"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The study established the relationship between the type of livestock urban farmers rear and the type of zone in which they live. From Table 5.1, the results indicated that there is a significant relationship between poultry production within urban neighbourhoods and the residential class in which farmers live, given a p-value of 0.009 &lt; 0.05. A Cramer’s V = 0.13 &gt; 0.10 showed a moderate relationship between poultry production and the location of farmers within urban zones. Poultry production is higher within the low-class residential area; thus, 62.5% of urban livestock producers are found in this residential zone. Again, 85.0% and 75.0% of the urban farmers who do not keep poultry are found within the medium- and high-class residential zones, respectively. Furthermore, the results revealed that there is a significant relationship between the keeping of goats and the residential class of urban farmers living within the city at an alpha level of 0.05, given a p-value of 0.049 &lt; 0.05. A Cramer’s V = 0.11 &gt; 0.10 showed a moderate relationship between goat production and the location of farmers within urban zones. Goat production is said to be within the medium and high residential classes, with 58.3% and 50.0%, respectively, while 62.5% of urban farmers within the low-class residential area do not keep goats.</w:t>
      </w:r>
    </w:p>
    <w:p w14:paraId="7181D1BD" w14:textId="77777777" w:rsidR="00056D43" w:rsidRDefault="00056D43" w:rsidP="008B79EE">
      <w:pPr>
        <w:spacing w:after="100" w:afterAutospacing="1" w:line="360" w:lineRule="auto"/>
        <w:rPr>
          <w:rFonts w:eastAsia="Times New Roman" w:cs="Times New Roman"/>
          <w:color w:val="000000" w:themeColor="text1"/>
          <w:szCs w:val="24"/>
          <w:lang w:eastAsia="en-GB"/>
        </w:rPr>
      </w:pPr>
    </w:p>
    <w:p w14:paraId="007174CB" w14:textId="77777777" w:rsidR="00056D43" w:rsidRDefault="00056D43" w:rsidP="008B79EE">
      <w:pPr>
        <w:spacing w:after="100" w:afterAutospacing="1" w:line="360" w:lineRule="auto"/>
        <w:rPr>
          <w:rFonts w:eastAsia="Times New Roman" w:cs="Times New Roman"/>
          <w:color w:val="000000" w:themeColor="text1"/>
          <w:szCs w:val="24"/>
          <w:lang w:eastAsia="en-GB"/>
        </w:rPr>
      </w:pPr>
    </w:p>
    <w:p w14:paraId="069EE411" w14:textId="77777777" w:rsidR="00056D43" w:rsidRPr="00895D0B" w:rsidRDefault="00056D43" w:rsidP="008B79EE">
      <w:pPr>
        <w:spacing w:after="100" w:afterAutospacing="1" w:line="360" w:lineRule="auto"/>
        <w:rPr>
          <w:rFonts w:eastAsia="Times New Roman" w:cs="Times New Roman"/>
          <w:color w:val="000000" w:themeColor="text1"/>
          <w:szCs w:val="24"/>
          <w:lang w:eastAsia="en-GB"/>
        </w:rPr>
      </w:pPr>
    </w:p>
    <w:p w14:paraId="3A107A9D" w14:textId="180038EB" w:rsidR="0018283D" w:rsidRPr="00895D0B" w:rsidRDefault="0018283D" w:rsidP="00056D43">
      <w:pPr>
        <w:pStyle w:val="Heading6"/>
      </w:pPr>
      <w:bookmarkStart w:id="124" w:name="_Toc167368593"/>
      <w:r w:rsidRPr="00895D0B">
        <w:lastRenderedPageBreak/>
        <w:t>Table</w:t>
      </w:r>
      <w:r w:rsidR="001E7EA6" w:rsidRPr="00895D0B">
        <w:t xml:space="preserve"> 5.1:</w:t>
      </w:r>
      <w:r w:rsidRPr="00895D0B">
        <w:t xml:space="preserve"> Relationship between Type of Livestock Rear by Residential Class</w:t>
      </w:r>
      <w:bookmarkEnd w:id="124"/>
      <w:r w:rsidRPr="00895D0B">
        <w:t xml:space="preserve"> </w:t>
      </w:r>
    </w:p>
    <w:tbl>
      <w:tblPr>
        <w:tblStyle w:val="TableGrid"/>
        <w:tblW w:w="82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9"/>
        <w:gridCol w:w="895"/>
        <w:gridCol w:w="1415"/>
        <w:gridCol w:w="1806"/>
        <w:gridCol w:w="1396"/>
        <w:gridCol w:w="1516"/>
      </w:tblGrid>
      <w:tr w:rsidR="00895D0B" w:rsidRPr="00895D0B" w14:paraId="14776CBF" w14:textId="77777777" w:rsidTr="00081A4D">
        <w:tc>
          <w:tcPr>
            <w:tcW w:w="2122" w:type="dxa"/>
            <w:gridSpan w:val="2"/>
            <w:vMerge w:val="restart"/>
            <w:tcBorders>
              <w:top w:val="single" w:sz="4" w:space="0" w:color="auto"/>
              <w:bottom w:val="single" w:sz="4" w:space="0" w:color="auto"/>
            </w:tcBorders>
          </w:tcPr>
          <w:p w14:paraId="253CA949"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Type of Livestock</w:t>
            </w:r>
          </w:p>
        </w:tc>
        <w:tc>
          <w:tcPr>
            <w:tcW w:w="6095" w:type="dxa"/>
            <w:gridSpan w:val="4"/>
            <w:tcBorders>
              <w:top w:val="single" w:sz="4" w:space="0" w:color="auto"/>
              <w:bottom w:val="single" w:sz="4" w:space="0" w:color="auto"/>
            </w:tcBorders>
          </w:tcPr>
          <w:p w14:paraId="23371D9A"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Residential Class</w:t>
            </w:r>
          </w:p>
        </w:tc>
      </w:tr>
      <w:tr w:rsidR="00895D0B" w:rsidRPr="00895D0B" w14:paraId="0E1E30F6" w14:textId="77777777" w:rsidTr="00081A4D">
        <w:tc>
          <w:tcPr>
            <w:tcW w:w="2122" w:type="dxa"/>
            <w:gridSpan w:val="2"/>
            <w:vMerge/>
            <w:tcBorders>
              <w:top w:val="single" w:sz="4" w:space="0" w:color="auto"/>
              <w:bottom w:val="single" w:sz="4" w:space="0" w:color="auto"/>
            </w:tcBorders>
          </w:tcPr>
          <w:p w14:paraId="4493A005" w14:textId="77777777" w:rsidR="0018283D" w:rsidRPr="00895D0B" w:rsidRDefault="0018283D" w:rsidP="006B68B5">
            <w:pPr>
              <w:autoSpaceDE w:val="0"/>
              <w:autoSpaceDN w:val="0"/>
              <w:adjustRightInd w:val="0"/>
              <w:spacing w:line="240" w:lineRule="auto"/>
              <w:rPr>
                <w:rFonts w:cs="Times New Roman"/>
                <w:color w:val="000000" w:themeColor="text1"/>
                <w:szCs w:val="24"/>
              </w:rPr>
            </w:pPr>
          </w:p>
        </w:tc>
        <w:tc>
          <w:tcPr>
            <w:tcW w:w="1417" w:type="dxa"/>
            <w:tcBorders>
              <w:top w:val="single" w:sz="4" w:space="0" w:color="auto"/>
              <w:bottom w:val="single" w:sz="4" w:space="0" w:color="auto"/>
            </w:tcBorders>
          </w:tcPr>
          <w:p w14:paraId="6E6EC857" w14:textId="77777777" w:rsidR="0018283D" w:rsidRPr="00895D0B" w:rsidRDefault="0018283D" w:rsidP="006B68B5">
            <w:pPr>
              <w:autoSpaceDE w:val="0"/>
              <w:autoSpaceDN w:val="0"/>
              <w:adjustRightInd w:val="0"/>
              <w:spacing w:line="240" w:lineRule="auto"/>
              <w:rPr>
                <w:rFonts w:cs="Times New Roman"/>
                <w:i/>
                <w:color w:val="000000" w:themeColor="text1"/>
                <w:szCs w:val="24"/>
              </w:rPr>
            </w:pPr>
            <w:r w:rsidRPr="00895D0B">
              <w:rPr>
                <w:rFonts w:cs="Times New Roman"/>
                <w:i/>
                <w:color w:val="000000" w:themeColor="text1"/>
                <w:szCs w:val="24"/>
              </w:rPr>
              <w:t>High Class</w:t>
            </w:r>
          </w:p>
        </w:tc>
        <w:tc>
          <w:tcPr>
            <w:tcW w:w="1846" w:type="dxa"/>
            <w:tcBorders>
              <w:top w:val="single" w:sz="4" w:space="0" w:color="auto"/>
              <w:bottom w:val="single" w:sz="4" w:space="0" w:color="auto"/>
            </w:tcBorders>
          </w:tcPr>
          <w:p w14:paraId="2B089A5B" w14:textId="77777777" w:rsidR="0018283D" w:rsidRPr="00895D0B" w:rsidRDefault="0018283D" w:rsidP="006B68B5">
            <w:pPr>
              <w:autoSpaceDE w:val="0"/>
              <w:autoSpaceDN w:val="0"/>
              <w:adjustRightInd w:val="0"/>
              <w:spacing w:line="240" w:lineRule="auto"/>
              <w:rPr>
                <w:rFonts w:cs="Times New Roman"/>
                <w:i/>
                <w:color w:val="000000" w:themeColor="text1"/>
                <w:szCs w:val="24"/>
              </w:rPr>
            </w:pPr>
            <w:r w:rsidRPr="00895D0B">
              <w:rPr>
                <w:rFonts w:cs="Times New Roman"/>
                <w:i/>
                <w:color w:val="000000" w:themeColor="text1"/>
                <w:szCs w:val="24"/>
              </w:rPr>
              <w:t xml:space="preserve">Medium Class </w:t>
            </w:r>
          </w:p>
        </w:tc>
        <w:tc>
          <w:tcPr>
            <w:tcW w:w="1356" w:type="dxa"/>
            <w:tcBorders>
              <w:top w:val="single" w:sz="4" w:space="0" w:color="auto"/>
              <w:bottom w:val="single" w:sz="4" w:space="0" w:color="auto"/>
            </w:tcBorders>
          </w:tcPr>
          <w:p w14:paraId="04166C81" w14:textId="77777777" w:rsidR="0018283D" w:rsidRPr="00895D0B" w:rsidRDefault="0018283D" w:rsidP="006B68B5">
            <w:pPr>
              <w:autoSpaceDE w:val="0"/>
              <w:autoSpaceDN w:val="0"/>
              <w:adjustRightInd w:val="0"/>
              <w:spacing w:line="240" w:lineRule="auto"/>
              <w:rPr>
                <w:rFonts w:cs="Times New Roman"/>
                <w:i/>
                <w:color w:val="000000" w:themeColor="text1"/>
                <w:szCs w:val="24"/>
              </w:rPr>
            </w:pPr>
            <w:r w:rsidRPr="00895D0B">
              <w:rPr>
                <w:rFonts w:cs="Times New Roman"/>
                <w:i/>
                <w:color w:val="000000" w:themeColor="text1"/>
                <w:szCs w:val="24"/>
              </w:rPr>
              <w:t xml:space="preserve">Low Class </w:t>
            </w:r>
          </w:p>
        </w:tc>
        <w:tc>
          <w:tcPr>
            <w:tcW w:w="1476" w:type="dxa"/>
            <w:tcBorders>
              <w:top w:val="single" w:sz="4" w:space="0" w:color="auto"/>
              <w:bottom w:val="single" w:sz="4" w:space="0" w:color="auto"/>
            </w:tcBorders>
          </w:tcPr>
          <w:p w14:paraId="6B4D435D" w14:textId="77777777" w:rsidR="0018283D" w:rsidRPr="00895D0B" w:rsidRDefault="0018283D" w:rsidP="006B68B5">
            <w:pPr>
              <w:autoSpaceDE w:val="0"/>
              <w:autoSpaceDN w:val="0"/>
              <w:adjustRightInd w:val="0"/>
              <w:spacing w:line="240" w:lineRule="auto"/>
              <w:rPr>
                <w:rFonts w:cs="Times New Roman"/>
                <w:i/>
                <w:color w:val="000000" w:themeColor="text1"/>
                <w:szCs w:val="24"/>
              </w:rPr>
            </w:pPr>
            <w:r w:rsidRPr="00895D0B">
              <w:rPr>
                <w:rFonts w:cs="Times New Roman"/>
                <w:i/>
                <w:color w:val="000000" w:themeColor="text1"/>
                <w:szCs w:val="24"/>
              </w:rPr>
              <w:t xml:space="preserve">Total </w:t>
            </w:r>
          </w:p>
        </w:tc>
      </w:tr>
      <w:tr w:rsidR="00895D0B" w:rsidRPr="00895D0B" w14:paraId="24E83BEC" w14:textId="77777777" w:rsidTr="00081A4D">
        <w:tc>
          <w:tcPr>
            <w:tcW w:w="1214" w:type="dxa"/>
            <w:vMerge w:val="restart"/>
            <w:tcBorders>
              <w:top w:val="single" w:sz="4" w:space="0" w:color="auto"/>
            </w:tcBorders>
          </w:tcPr>
          <w:p w14:paraId="37490FAE"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Poultry </w:t>
            </w:r>
          </w:p>
        </w:tc>
        <w:tc>
          <w:tcPr>
            <w:tcW w:w="908" w:type="dxa"/>
            <w:tcBorders>
              <w:top w:val="single" w:sz="4" w:space="0" w:color="auto"/>
            </w:tcBorders>
          </w:tcPr>
          <w:p w14:paraId="08EB568A"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Yes </w:t>
            </w:r>
          </w:p>
        </w:tc>
        <w:tc>
          <w:tcPr>
            <w:tcW w:w="1417" w:type="dxa"/>
            <w:tcBorders>
              <w:top w:val="single" w:sz="4" w:space="0" w:color="auto"/>
            </w:tcBorders>
            <w:vAlign w:val="center"/>
          </w:tcPr>
          <w:p w14:paraId="476394D2" w14:textId="77777777" w:rsidR="0018283D" w:rsidRPr="00895D0B" w:rsidRDefault="0018283D" w:rsidP="006B68B5">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6(25.0%)</w:t>
            </w:r>
          </w:p>
        </w:tc>
        <w:tc>
          <w:tcPr>
            <w:tcW w:w="1846" w:type="dxa"/>
            <w:tcBorders>
              <w:top w:val="single" w:sz="4" w:space="0" w:color="auto"/>
            </w:tcBorders>
          </w:tcPr>
          <w:p w14:paraId="525107F7"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3(15.0%)</w:t>
            </w:r>
          </w:p>
        </w:tc>
        <w:tc>
          <w:tcPr>
            <w:tcW w:w="1356" w:type="dxa"/>
            <w:tcBorders>
              <w:top w:val="single" w:sz="4" w:space="0" w:color="auto"/>
            </w:tcBorders>
          </w:tcPr>
          <w:p w14:paraId="09AB7A1B"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5(62.5%)</w:t>
            </w:r>
          </w:p>
        </w:tc>
        <w:tc>
          <w:tcPr>
            <w:tcW w:w="1476" w:type="dxa"/>
            <w:tcBorders>
              <w:top w:val="single" w:sz="4" w:space="0" w:color="auto"/>
            </w:tcBorders>
          </w:tcPr>
          <w:p w14:paraId="12781C74"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14(26.9%)</w:t>
            </w:r>
          </w:p>
        </w:tc>
      </w:tr>
      <w:tr w:rsidR="00895D0B" w:rsidRPr="00895D0B" w14:paraId="6836D294" w14:textId="77777777" w:rsidTr="00081A4D">
        <w:tc>
          <w:tcPr>
            <w:tcW w:w="1214" w:type="dxa"/>
            <w:vMerge/>
          </w:tcPr>
          <w:p w14:paraId="7C4FA5E5" w14:textId="77777777" w:rsidR="0018283D" w:rsidRPr="00895D0B" w:rsidRDefault="0018283D" w:rsidP="006B68B5">
            <w:pPr>
              <w:autoSpaceDE w:val="0"/>
              <w:autoSpaceDN w:val="0"/>
              <w:adjustRightInd w:val="0"/>
              <w:spacing w:line="240" w:lineRule="auto"/>
              <w:rPr>
                <w:rFonts w:cs="Times New Roman"/>
                <w:color w:val="000000" w:themeColor="text1"/>
                <w:szCs w:val="24"/>
              </w:rPr>
            </w:pPr>
          </w:p>
        </w:tc>
        <w:tc>
          <w:tcPr>
            <w:tcW w:w="908" w:type="dxa"/>
          </w:tcPr>
          <w:p w14:paraId="169C483E"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No </w:t>
            </w:r>
          </w:p>
        </w:tc>
        <w:tc>
          <w:tcPr>
            <w:tcW w:w="1417" w:type="dxa"/>
          </w:tcPr>
          <w:p w14:paraId="048C245B"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18(75.0%)</w:t>
            </w:r>
          </w:p>
        </w:tc>
        <w:tc>
          <w:tcPr>
            <w:tcW w:w="1846" w:type="dxa"/>
          </w:tcPr>
          <w:p w14:paraId="0F5B6285"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17(85.0%)</w:t>
            </w:r>
          </w:p>
        </w:tc>
        <w:tc>
          <w:tcPr>
            <w:tcW w:w="1356" w:type="dxa"/>
          </w:tcPr>
          <w:p w14:paraId="3FDF4948"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3(37.5%)</w:t>
            </w:r>
          </w:p>
        </w:tc>
        <w:tc>
          <w:tcPr>
            <w:tcW w:w="1476" w:type="dxa"/>
          </w:tcPr>
          <w:p w14:paraId="740B1523"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38(73.1%)</w:t>
            </w:r>
          </w:p>
        </w:tc>
      </w:tr>
      <w:tr w:rsidR="00895D0B" w:rsidRPr="00895D0B" w14:paraId="14C5684F" w14:textId="77777777" w:rsidTr="00081A4D">
        <w:tc>
          <w:tcPr>
            <w:tcW w:w="1214" w:type="dxa"/>
            <w:vMerge/>
          </w:tcPr>
          <w:p w14:paraId="1A396324" w14:textId="77777777" w:rsidR="0018283D" w:rsidRPr="00895D0B" w:rsidRDefault="0018283D" w:rsidP="006B68B5">
            <w:pPr>
              <w:autoSpaceDE w:val="0"/>
              <w:autoSpaceDN w:val="0"/>
              <w:adjustRightInd w:val="0"/>
              <w:spacing w:line="240" w:lineRule="auto"/>
              <w:rPr>
                <w:rFonts w:cs="Times New Roman"/>
                <w:color w:val="000000" w:themeColor="text1"/>
                <w:szCs w:val="24"/>
              </w:rPr>
            </w:pPr>
          </w:p>
        </w:tc>
        <w:tc>
          <w:tcPr>
            <w:tcW w:w="908" w:type="dxa"/>
          </w:tcPr>
          <w:p w14:paraId="269D1AB8" w14:textId="77777777" w:rsidR="0018283D" w:rsidRPr="00895D0B" w:rsidRDefault="0018283D" w:rsidP="006B68B5">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Total</w:t>
            </w:r>
          </w:p>
        </w:tc>
        <w:tc>
          <w:tcPr>
            <w:tcW w:w="1417" w:type="dxa"/>
          </w:tcPr>
          <w:p w14:paraId="7416D8FC"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24(100.0%)</w:t>
            </w:r>
          </w:p>
        </w:tc>
        <w:tc>
          <w:tcPr>
            <w:tcW w:w="1846" w:type="dxa"/>
          </w:tcPr>
          <w:p w14:paraId="2B8F3B14"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20(100.0%)</w:t>
            </w:r>
          </w:p>
        </w:tc>
        <w:tc>
          <w:tcPr>
            <w:tcW w:w="1356" w:type="dxa"/>
          </w:tcPr>
          <w:p w14:paraId="30DA27BD"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8(100.0%)</w:t>
            </w:r>
          </w:p>
        </w:tc>
        <w:tc>
          <w:tcPr>
            <w:tcW w:w="1476" w:type="dxa"/>
          </w:tcPr>
          <w:p w14:paraId="3C333D5A"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52(100.0%)</w:t>
            </w:r>
          </w:p>
        </w:tc>
      </w:tr>
      <w:tr w:rsidR="00895D0B" w:rsidRPr="00895D0B" w14:paraId="3F009A56" w14:textId="77777777" w:rsidTr="00081A4D">
        <w:tc>
          <w:tcPr>
            <w:tcW w:w="8217" w:type="dxa"/>
            <w:gridSpan w:val="6"/>
            <w:tcBorders>
              <w:bottom w:val="single" w:sz="4" w:space="0" w:color="auto"/>
            </w:tcBorders>
          </w:tcPr>
          <w:p w14:paraId="743F6488" w14:textId="77777777" w:rsidR="0018283D" w:rsidRPr="00895D0B" w:rsidRDefault="0018283D" w:rsidP="006B68B5">
            <w:pPr>
              <w:autoSpaceDE w:val="0"/>
              <w:autoSpaceDN w:val="0"/>
              <w:adjustRightInd w:val="0"/>
              <w:spacing w:line="240" w:lineRule="auto"/>
              <w:rPr>
                <w:rFonts w:cs="Times New Roman"/>
                <w:color w:val="000000" w:themeColor="text1"/>
                <w:szCs w:val="24"/>
              </w:rPr>
            </w:pPr>
            <m:oMath>
              <m:r>
                <w:rPr>
                  <w:rFonts w:ascii="Cambria Math" w:hAnsi="Cambria Math" w:cs="Times New Roman"/>
                  <w:color w:val="000000" w:themeColor="text1"/>
                  <w:szCs w:val="24"/>
                  <w:lang w:bidi="en-US"/>
                </w:rPr>
                <m:t xml:space="preserve">N=52,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m:t>
              </m:r>
              <m:r>
                <m:rPr>
                  <m:sty m:val="p"/>
                </m:rPr>
                <w:rPr>
                  <w:rFonts w:ascii="Cambria Math" w:hAnsi="Cambria Math" w:cs="Times New Roman"/>
                  <w:color w:val="000000" w:themeColor="text1"/>
                  <w:szCs w:val="24"/>
                </w:rPr>
                <m:t>13.614</m:t>
              </m:r>
              <m:r>
                <w:rPr>
                  <w:rFonts w:ascii="Cambria Math" w:hAnsi="Cambria Math" w:cs="Times New Roman"/>
                  <w:color w:val="000000" w:themeColor="text1"/>
                  <w:szCs w:val="24"/>
                  <w:lang w:bidi="en-US"/>
                </w:rPr>
                <m:t>, df=4, p= 0.009</m:t>
              </m:r>
            </m:oMath>
            <w:r w:rsidRPr="00895D0B">
              <w:rPr>
                <w:rFonts w:eastAsiaTheme="minorEastAsia" w:cs="Times New Roman"/>
                <w:color w:val="000000" w:themeColor="text1"/>
                <w:szCs w:val="24"/>
                <w:lang w:bidi="en-US"/>
              </w:rPr>
              <w:t xml:space="preserve"> </w:t>
            </w:r>
            <w:r w:rsidRPr="00895D0B">
              <w:rPr>
                <w:rFonts w:eastAsiaTheme="minorEastAsia" w:cs="Times New Roman"/>
                <w:color w:val="000000" w:themeColor="text1"/>
                <w:szCs w:val="24"/>
              </w:rPr>
              <w:t xml:space="preserve">and </w:t>
            </w:r>
            <m:oMath>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V=0.13</m:t>
              </m:r>
            </m:oMath>
          </w:p>
        </w:tc>
      </w:tr>
      <w:tr w:rsidR="00895D0B" w:rsidRPr="00895D0B" w14:paraId="47D51759" w14:textId="77777777" w:rsidTr="00081A4D">
        <w:tc>
          <w:tcPr>
            <w:tcW w:w="1214" w:type="dxa"/>
            <w:vMerge w:val="restart"/>
            <w:tcBorders>
              <w:top w:val="single" w:sz="4" w:space="0" w:color="auto"/>
            </w:tcBorders>
          </w:tcPr>
          <w:p w14:paraId="152DA27F"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Goat </w:t>
            </w:r>
          </w:p>
        </w:tc>
        <w:tc>
          <w:tcPr>
            <w:tcW w:w="908" w:type="dxa"/>
            <w:tcBorders>
              <w:top w:val="single" w:sz="4" w:space="0" w:color="auto"/>
            </w:tcBorders>
          </w:tcPr>
          <w:p w14:paraId="12BFA008"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Yes </w:t>
            </w:r>
          </w:p>
        </w:tc>
        <w:tc>
          <w:tcPr>
            <w:tcW w:w="1417" w:type="dxa"/>
            <w:tcBorders>
              <w:top w:val="single" w:sz="4" w:space="0" w:color="auto"/>
            </w:tcBorders>
          </w:tcPr>
          <w:p w14:paraId="5C6B07BB"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14(58.3%)</w:t>
            </w:r>
          </w:p>
        </w:tc>
        <w:tc>
          <w:tcPr>
            <w:tcW w:w="1846" w:type="dxa"/>
            <w:tcBorders>
              <w:top w:val="single" w:sz="4" w:space="0" w:color="auto"/>
            </w:tcBorders>
          </w:tcPr>
          <w:p w14:paraId="11146CF3"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10(50.0%)</w:t>
            </w:r>
          </w:p>
        </w:tc>
        <w:tc>
          <w:tcPr>
            <w:tcW w:w="1356" w:type="dxa"/>
            <w:tcBorders>
              <w:top w:val="single" w:sz="4" w:space="0" w:color="auto"/>
            </w:tcBorders>
          </w:tcPr>
          <w:p w14:paraId="57A45BDA"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3(37.5%)</w:t>
            </w:r>
          </w:p>
        </w:tc>
        <w:tc>
          <w:tcPr>
            <w:tcW w:w="1476" w:type="dxa"/>
            <w:tcBorders>
              <w:top w:val="single" w:sz="4" w:space="0" w:color="auto"/>
            </w:tcBorders>
          </w:tcPr>
          <w:p w14:paraId="57648F2A"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27(51.9%)</w:t>
            </w:r>
          </w:p>
        </w:tc>
      </w:tr>
      <w:tr w:rsidR="00895D0B" w:rsidRPr="00895D0B" w14:paraId="1FBE1D3A" w14:textId="77777777" w:rsidTr="00081A4D">
        <w:tc>
          <w:tcPr>
            <w:tcW w:w="1214" w:type="dxa"/>
            <w:vMerge/>
          </w:tcPr>
          <w:p w14:paraId="54ED8A0C" w14:textId="77777777" w:rsidR="0018283D" w:rsidRPr="00895D0B" w:rsidRDefault="0018283D" w:rsidP="006B68B5">
            <w:pPr>
              <w:autoSpaceDE w:val="0"/>
              <w:autoSpaceDN w:val="0"/>
              <w:adjustRightInd w:val="0"/>
              <w:spacing w:line="240" w:lineRule="auto"/>
              <w:rPr>
                <w:rFonts w:cs="Times New Roman"/>
                <w:color w:val="000000" w:themeColor="text1"/>
                <w:szCs w:val="24"/>
              </w:rPr>
            </w:pPr>
          </w:p>
        </w:tc>
        <w:tc>
          <w:tcPr>
            <w:tcW w:w="908" w:type="dxa"/>
          </w:tcPr>
          <w:p w14:paraId="37D5CA99"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No </w:t>
            </w:r>
          </w:p>
        </w:tc>
        <w:tc>
          <w:tcPr>
            <w:tcW w:w="1417" w:type="dxa"/>
          </w:tcPr>
          <w:p w14:paraId="1FCA1A10"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10(41.6%)</w:t>
            </w:r>
          </w:p>
        </w:tc>
        <w:tc>
          <w:tcPr>
            <w:tcW w:w="1846" w:type="dxa"/>
          </w:tcPr>
          <w:p w14:paraId="2756A06B"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10(50.0%)</w:t>
            </w:r>
          </w:p>
        </w:tc>
        <w:tc>
          <w:tcPr>
            <w:tcW w:w="1356" w:type="dxa"/>
          </w:tcPr>
          <w:p w14:paraId="41550316"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5(62.5%)</w:t>
            </w:r>
          </w:p>
        </w:tc>
        <w:tc>
          <w:tcPr>
            <w:tcW w:w="1476" w:type="dxa"/>
          </w:tcPr>
          <w:p w14:paraId="75643124"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25(48.1%)</w:t>
            </w:r>
          </w:p>
        </w:tc>
      </w:tr>
      <w:tr w:rsidR="00895D0B" w:rsidRPr="00895D0B" w14:paraId="6406162C" w14:textId="77777777" w:rsidTr="00081A4D">
        <w:tc>
          <w:tcPr>
            <w:tcW w:w="1214" w:type="dxa"/>
            <w:vMerge/>
          </w:tcPr>
          <w:p w14:paraId="5B740A51" w14:textId="77777777" w:rsidR="0018283D" w:rsidRPr="00895D0B" w:rsidRDefault="0018283D" w:rsidP="006B68B5">
            <w:pPr>
              <w:autoSpaceDE w:val="0"/>
              <w:autoSpaceDN w:val="0"/>
              <w:adjustRightInd w:val="0"/>
              <w:spacing w:line="240" w:lineRule="auto"/>
              <w:rPr>
                <w:rFonts w:cs="Times New Roman"/>
                <w:color w:val="000000" w:themeColor="text1"/>
                <w:szCs w:val="24"/>
              </w:rPr>
            </w:pPr>
          </w:p>
        </w:tc>
        <w:tc>
          <w:tcPr>
            <w:tcW w:w="908" w:type="dxa"/>
          </w:tcPr>
          <w:p w14:paraId="0DBCB3E0" w14:textId="77777777" w:rsidR="0018283D" w:rsidRPr="00895D0B" w:rsidRDefault="0018283D" w:rsidP="006B68B5">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Total</w:t>
            </w:r>
          </w:p>
        </w:tc>
        <w:tc>
          <w:tcPr>
            <w:tcW w:w="1417" w:type="dxa"/>
          </w:tcPr>
          <w:p w14:paraId="1B4D41D0"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24(100.0%)</w:t>
            </w:r>
          </w:p>
        </w:tc>
        <w:tc>
          <w:tcPr>
            <w:tcW w:w="1846" w:type="dxa"/>
          </w:tcPr>
          <w:p w14:paraId="7DE28D32"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20(100.0%)</w:t>
            </w:r>
          </w:p>
        </w:tc>
        <w:tc>
          <w:tcPr>
            <w:tcW w:w="1356" w:type="dxa"/>
          </w:tcPr>
          <w:p w14:paraId="774F9FB0"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8(100.0%)</w:t>
            </w:r>
          </w:p>
        </w:tc>
        <w:tc>
          <w:tcPr>
            <w:tcW w:w="1476" w:type="dxa"/>
          </w:tcPr>
          <w:p w14:paraId="44AE0BC3"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52(100.0%)</w:t>
            </w:r>
          </w:p>
        </w:tc>
      </w:tr>
      <w:tr w:rsidR="00895D0B" w:rsidRPr="00895D0B" w14:paraId="48F8B5EE" w14:textId="77777777" w:rsidTr="00081A4D">
        <w:tc>
          <w:tcPr>
            <w:tcW w:w="8217" w:type="dxa"/>
            <w:gridSpan w:val="6"/>
            <w:tcBorders>
              <w:bottom w:val="single" w:sz="4" w:space="0" w:color="auto"/>
            </w:tcBorders>
          </w:tcPr>
          <w:p w14:paraId="588D8A1F" w14:textId="77777777" w:rsidR="0018283D" w:rsidRPr="00895D0B" w:rsidRDefault="0018283D" w:rsidP="006B68B5">
            <w:pPr>
              <w:autoSpaceDE w:val="0"/>
              <w:autoSpaceDN w:val="0"/>
              <w:adjustRightInd w:val="0"/>
              <w:spacing w:line="240" w:lineRule="auto"/>
              <w:rPr>
                <w:rFonts w:cs="Times New Roman"/>
                <w:color w:val="000000" w:themeColor="text1"/>
                <w:szCs w:val="24"/>
              </w:rPr>
            </w:pPr>
            <m:oMath>
              <m:r>
                <w:rPr>
                  <w:rFonts w:ascii="Cambria Math" w:hAnsi="Cambria Math" w:cs="Times New Roman"/>
                  <w:color w:val="000000" w:themeColor="text1"/>
                  <w:szCs w:val="24"/>
                  <w:lang w:bidi="en-US"/>
                </w:rPr>
                <m:t xml:space="preserve">N=52,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m:t>
              </m:r>
              <m:r>
                <m:rPr>
                  <m:sty m:val="p"/>
                </m:rPr>
                <w:rPr>
                  <w:rFonts w:ascii="Cambria Math" w:hAnsi="Cambria Math" w:cs="Times New Roman"/>
                  <w:color w:val="000000" w:themeColor="text1"/>
                  <w:szCs w:val="24"/>
                </w:rPr>
                <m:t>9.542</m:t>
              </m:r>
              <m:r>
                <w:rPr>
                  <w:rFonts w:ascii="Cambria Math" w:hAnsi="Cambria Math" w:cs="Times New Roman"/>
                  <w:color w:val="000000" w:themeColor="text1"/>
                  <w:szCs w:val="24"/>
                  <w:lang w:bidi="en-US"/>
                </w:rPr>
                <m:t>, df=4, p= 0.049</m:t>
              </m:r>
            </m:oMath>
            <w:r w:rsidRPr="00895D0B">
              <w:rPr>
                <w:rFonts w:eastAsiaTheme="minorEastAsia" w:cs="Times New Roman"/>
                <w:color w:val="000000" w:themeColor="text1"/>
                <w:szCs w:val="24"/>
                <w:lang w:bidi="en-US"/>
              </w:rPr>
              <w:t xml:space="preserve"> </w:t>
            </w:r>
            <w:r w:rsidRPr="00895D0B">
              <w:rPr>
                <w:rFonts w:eastAsiaTheme="minorEastAsia" w:cs="Times New Roman"/>
                <w:color w:val="000000" w:themeColor="text1"/>
                <w:szCs w:val="24"/>
              </w:rPr>
              <w:t xml:space="preserve">and </w:t>
            </w:r>
            <m:oMath>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V=0.11</m:t>
              </m:r>
            </m:oMath>
          </w:p>
        </w:tc>
      </w:tr>
      <w:tr w:rsidR="00895D0B" w:rsidRPr="00895D0B" w14:paraId="4A123329" w14:textId="77777777" w:rsidTr="00081A4D">
        <w:tc>
          <w:tcPr>
            <w:tcW w:w="1214" w:type="dxa"/>
            <w:vMerge w:val="restart"/>
            <w:tcBorders>
              <w:top w:val="single" w:sz="4" w:space="0" w:color="auto"/>
            </w:tcBorders>
          </w:tcPr>
          <w:p w14:paraId="0868502B"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Sheep </w:t>
            </w:r>
          </w:p>
        </w:tc>
        <w:tc>
          <w:tcPr>
            <w:tcW w:w="908" w:type="dxa"/>
            <w:tcBorders>
              <w:top w:val="single" w:sz="4" w:space="0" w:color="auto"/>
            </w:tcBorders>
          </w:tcPr>
          <w:p w14:paraId="24D839E5"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Yes </w:t>
            </w:r>
          </w:p>
        </w:tc>
        <w:tc>
          <w:tcPr>
            <w:tcW w:w="1417" w:type="dxa"/>
            <w:tcBorders>
              <w:top w:val="single" w:sz="4" w:space="0" w:color="auto"/>
            </w:tcBorders>
          </w:tcPr>
          <w:p w14:paraId="1631C97B"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17(4.7%)</w:t>
            </w:r>
          </w:p>
        </w:tc>
        <w:tc>
          <w:tcPr>
            <w:tcW w:w="1846" w:type="dxa"/>
            <w:tcBorders>
              <w:top w:val="single" w:sz="4" w:space="0" w:color="auto"/>
            </w:tcBorders>
          </w:tcPr>
          <w:p w14:paraId="0F0B2B82"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8(40.0%)</w:t>
            </w:r>
          </w:p>
        </w:tc>
        <w:tc>
          <w:tcPr>
            <w:tcW w:w="1356" w:type="dxa"/>
            <w:tcBorders>
              <w:top w:val="single" w:sz="4" w:space="0" w:color="auto"/>
            </w:tcBorders>
          </w:tcPr>
          <w:p w14:paraId="3A90DA11"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4(50.0%)</w:t>
            </w:r>
          </w:p>
        </w:tc>
        <w:tc>
          <w:tcPr>
            <w:tcW w:w="1476" w:type="dxa"/>
            <w:tcBorders>
              <w:top w:val="single" w:sz="4" w:space="0" w:color="auto"/>
            </w:tcBorders>
          </w:tcPr>
          <w:p w14:paraId="620A8EB9"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29(55.7%)</w:t>
            </w:r>
          </w:p>
        </w:tc>
      </w:tr>
      <w:tr w:rsidR="00895D0B" w:rsidRPr="00895D0B" w14:paraId="0F5C7003" w14:textId="77777777" w:rsidTr="00081A4D">
        <w:tc>
          <w:tcPr>
            <w:tcW w:w="1214" w:type="dxa"/>
            <w:vMerge/>
          </w:tcPr>
          <w:p w14:paraId="37419193" w14:textId="77777777" w:rsidR="0018283D" w:rsidRPr="00895D0B" w:rsidRDefault="0018283D" w:rsidP="006B68B5">
            <w:pPr>
              <w:autoSpaceDE w:val="0"/>
              <w:autoSpaceDN w:val="0"/>
              <w:adjustRightInd w:val="0"/>
              <w:spacing w:line="240" w:lineRule="auto"/>
              <w:rPr>
                <w:rFonts w:cs="Times New Roman"/>
                <w:color w:val="000000" w:themeColor="text1"/>
                <w:szCs w:val="24"/>
              </w:rPr>
            </w:pPr>
          </w:p>
        </w:tc>
        <w:tc>
          <w:tcPr>
            <w:tcW w:w="908" w:type="dxa"/>
          </w:tcPr>
          <w:p w14:paraId="697A7A88"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No </w:t>
            </w:r>
          </w:p>
        </w:tc>
        <w:tc>
          <w:tcPr>
            <w:tcW w:w="1417" w:type="dxa"/>
          </w:tcPr>
          <w:p w14:paraId="1ABBB436"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7(70.3%)</w:t>
            </w:r>
          </w:p>
        </w:tc>
        <w:tc>
          <w:tcPr>
            <w:tcW w:w="1846" w:type="dxa"/>
          </w:tcPr>
          <w:p w14:paraId="2DFD384F"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12(60.0%)</w:t>
            </w:r>
          </w:p>
        </w:tc>
        <w:tc>
          <w:tcPr>
            <w:tcW w:w="1356" w:type="dxa"/>
          </w:tcPr>
          <w:p w14:paraId="66660D7B"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4(50.0%)</w:t>
            </w:r>
          </w:p>
        </w:tc>
        <w:tc>
          <w:tcPr>
            <w:tcW w:w="1476" w:type="dxa"/>
          </w:tcPr>
          <w:p w14:paraId="74201F44"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23(44.2%)</w:t>
            </w:r>
          </w:p>
        </w:tc>
      </w:tr>
      <w:tr w:rsidR="00895D0B" w:rsidRPr="00895D0B" w14:paraId="7C2FE7BD" w14:textId="77777777" w:rsidTr="00081A4D">
        <w:tc>
          <w:tcPr>
            <w:tcW w:w="1214" w:type="dxa"/>
            <w:vMerge/>
          </w:tcPr>
          <w:p w14:paraId="6841E3C0" w14:textId="77777777" w:rsidR="0018283D" w:rsidRPr="00895D0B" w:rsidRDefault="0018283D" w:rsidP="006B68B5">
            <w:pPr>
              <w:autoSpaceDE w:val="0"/>
              <w:autoSpaceDN w:val="0"/>
              <w:adjustRightInd w:val="0"/>
              <w:spacing w:line="240" w:lineRule="auto"/>
              <w:rPr>
                <w:rFonts w:cs="Times New Roman"/>
                <w:color w:val="000000" w:themeColor="text1"/>
                <w:szCs w:val="24"/>
              </w:rPr>
            </w:pPr>
          </w:p>
        </w:tc>
        <w:tc>
          <w:tcPr>
            <w:tcW w:w="908" w:type="dxa"/>
          </w:tcPr>
          <w:p w14:paraId="42CB3396" w14:textId="77777777" w:rsidR="0018283D" w:rsidRPr="00895D0B" w:rsidRDefault="0018283D" w:rsidP="006B68B5">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Total</w:t>
            </w:r>
          </w:p>
        </w:tc>
        <w:tc>
          <w:tcPr>
            <w:tcW w:w="1417" w:type="dxa"/>
          </w:tcPr>
          <w:p w14:paraId="0886DE7B"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24(100.0%)</w:t>
            </w:r>
          </w:p>
        </w:tc>
        <w:tc>
          <w:tcPr>
            <w:tcW w:w="1846" w:type="dxa"/>
          </w:tcPr>
          <w:p w14:paraId="3911D81F"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20(100.0)</w:t>
            </w:r>
          </w:p>
        </w:tc>
        <w:tc>
          <w:tcPr>
            <w:tcW w:w="1356" w:type="dxa"/>
            <w:vAlign w:val="center"/>
          </w:tcPr>
          <w:p w14:paraId="7C9CE304" w14:textId="77777777" w:rsidR="0018283D" w:rsidRPr="00895D0B" w:rsidRDefault="0018283D" w:rsidP="001E7EA6">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8(100.0%)</w:t>
            </w:r>
          </w:p>
        </w:tc>
        <w:tc>
          <w:tcPr>
            <w:tcW w:w="1476" w:type="dxa"/>
            <w:vAlign w:val="center"/>
          </w:tcPr>
          <w:p w14:paraId="29BE14C7" w14:textId="77777777" w:rsidR="0018283D" w:rsidRPr="00895D0B" w:rsidRDefault="0018283D" w:rsidP="00245DDB">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52(100.0%)</w:t>
            </w:r>
          </w:p>
        </w:tc>
      </w:tr>
      <w:tr w:rsidR="00895D0B" w:rsidRPr="00895D0B" w14:paraId="5050DDF7" w14:textId="77777777" w:rsidTr="00081A4D">
        <w:tc>
          <w:tcPr>
            <w:tcW w:w="8217" w:type="dxa"/>
            <w:gridSpan w:val="6"/>
            <w:tcBorders>
              <w:bottom w:val="single" w:sz="4" w:space="0" w:color="auto"/>
            </w:tcBorders>
          </w:tcPr>
          <w:p w14:paraId="54DA2882" w14:textId="77777777" w:rsidR="0018283D" w:rsidRPr="00895D0B" w:rsidRDefault="0018283D" w:rsidP="006B68B5">
            <w:pPr>
              <w:autoSpaceDE w:val="0"/>
              <w:autoSpaceDN w:val="0"/>
              <w:adjustRightInd w:val="0"/>
              <w:spacing w:line="240" w:lineRule="auto"/>
              <w:rPr>
                <w:rFonts w:cs="Times New Roman"/>
                <w:color w:val="000000" w:themeColor="text1"/>
                <w:szCs w:val="24"/>
              </w:rPr>
            </w:pPr>
            <m:oMath>
              <m:r>
                <w:rPr>
                  <w:rFonts w:ascii="Cambria Math" w:hAnsi="Cambria Math" w:cs="Times New Roman"/>
                  <w:color w:val="000000" w:themeColor="text1"/>
                  <w:szCs w:val="24"/>
                  <w:lang w:bidi="en-US"/>
                </w:rPr>
                <m:t xml:space="preserve">N=52,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=13.442, df=4, p= 0.009</m:t>
              </m:r>
            </m:oMath>
            <w:r w:rsidRPr="00895D0B">
              <w:rPr>
                <w:rFonts w:eastAsiaTheme="minorEastAsia" w:cs="Times New Roman"/>
                <w:color w:val="000000" w:themeColor="text1"/>
                <w:szCs w:val="24"/>
                <w:lang w:bidi="en-US"/>
              </w:rPr>
              <w:t xml:space="preserve"> </w:t>
            </w:r>
            <w:r w:rsidRPr="00895D0B">
              <w:rPr>
                <w:rFonts w:eastAsiaTheme="minorEastAsia" w:cs="Times New Roman"/>
                <w:color w:val="000000" w:themeColor="text1"/>
                <w:szCs w:val="24"/>
              </w:rPr>
              <w:t xml:space="preserve">and </w:t>
            </w:r>
            <m:oMath>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V=0.13</m:t>
              </m:r>
            </m:oMath>
          </w:p>
        </w:tc>
      </w:tr>
      <w:tr w:rsidR="00895D0B" w:rsidRPr="00895D0B" w14:paraId="2B06A9E1" w14:textId="77777777" w:rsidTr="00081A4D">
        <w:tc>
          <w:tcPr>
            <w:tcW w:w="1214" w:type="dxa"/>
            <w:vMerge w:val="restart"/>
            <w:tcBorders>
              <w:top w:val="single" w:sz="4" w:space="0" w:color="auto"/>
            </w:tcBorders>
          </w:tcPr>
          <w:p w14:paraId="4960254C"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Cattle </w:t>
            </w:r>
          </w:p>
        </w:tc>
        <w:tc>
          <w:tcPr>
            <w:tcW w:w="908" w:type="dxa"/>
            <w:tcBorders>
              <w:top w:val="single" w:sz="4" w:space="0" w:color="auto"/>
            </w:tcBorders>
          </w:tcPr>
          <w:p w14:paraId="0883A2EA"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Yes </w:t>
            </w:r>
          </w:p>
        </w:tc>
        <w:tc>
          <w:tcPr>
            <w:tcW w:w="1417" w:type="dxa"/>
            <w:tcBorders>
              <w:top w:val="single" w:sz="4" w:space="0" w:color="auto"/>
            </w:tcBorders>
          </w:tcPr>
          <w:p w14:paraId="3D0D975E"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24(100.0%)</w:t>
            </w:r>
          </w:p>
        </w:tc>
        <w:tc>
          <w:tcPr>
            <w:tcW w:w="1846" w:type="dxa"/>
            <w:tcBorders>
              <w:top w:val="single" w:sz="4" w:space="0" w:color="auto"/>
            </w:tcBorders>
            <w:vAlign w:val="center"/>
          </w:tcPr>
          <w:p w14:paraId="4D74B901" w14:textId="77777777" w:rsidR="0018283D" w:rsidRPr="00895D0B" w:rsidRDefault="0018283D" w:rsidP="006B68B5">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17(85.0%)</w:t>
            </w:r>
          </w:p>
        </w:tc>
        <w:tc>
          <w:tcPr>
            <w:tcW w:w="1356" w:type="dxa"/>
            <w:tcBorders>
              <w:top w:val="single" w:sz="4" w:space="0" w:color="auto"/>
            </w:tcBorders>
            <w:vAlign w:val="center"/>
          </w:tcPr>
          <w:p w14:paraId="11EA3CA0" w14:textId="77777777" w:rsidR="0018283D" w:rsidRPr="00895D0B" w:rsidRDefault="0018283D" w:rsidP="001E7EA6">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7(87.5%)</w:t>
            </w:r>
          </w:p>
        </w:tc>
        <w:tc>
          <w:tcPr>
            <w:tcW w:w="1476" w:type="dxa"/>
            <w:tcBorders>
              <w:top w:val="single" w:sz="4" w:space="0" w:color="auto"/>
            </w:tcBorders>
          </w:tcPr>
          <w:p w14:paraId="622470C2"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48(92.3%)</w:t>
            </w:r>
          </w:p>
        </w:tc>
      </w:tr>
      <w:tr w:rsidR="00895D0B" w:rsidRPr="00895D0B" w14:paraId="1F4D4222" w14:textId="77777777" w:rsidTr="00081A4D">
        <w:tc>
          <w:tcPr>
            <w:tcW w:w="1214" w:type="dxa"/>
            <w:vMerge/>
          </w:tcPr>
          <w:p w14:paraId="39AFE9B1" w14:textId="77777777" w:rsidR="0018283D" w:rsidRPr="00895D0B" w:rsidRDefault="0018283D" w:rsidP="006B68B5">
            <w:pPr>
              <w:autoSpaceDE w:val="0"/>
              <w:autoSpaceDN w:val="0"/>
              <w:adjustRightInd w:val="0"/>
              <w:spacing w:line="240" w:lineRule="auto"/>
              <w:rPr>
                <w:rFonts w:cs="Times New Roman"/>
                <w:color w:val="000000" w:themeColor="text1"/>
                <w:szCs w:val="24"/>
              </w:rPr>
            </w:pPr>
          </w:p>
        </w:tc>
        <w:tc>
          <w:tcPr>
            <w:tcW w:w="908" w:type="dxa"/>
          </w:tcPr>
          <w:p w14:paraId="2CA4F3AF" w14:textId="77777777" w:rsidR="0018283D" w:rsidRPr="00895D0B" w:rsidRDefault="0018283D" w:rsidP="006B68B5">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No </w:t>
            </w:r>
          </w:p>
        </w:tc>
        <w:tc>
          <w:tcPr>
            <w:tcW w:w="1417" w:type="dxa"/>
          </w:tcPr>
          <w:p w14:paraId="4F2545E2"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0(0.0%)</w:t>
            </w:r>
          </w:p>
        </w:tc>
        <w:tc>
          <w:tcPr>
            <w:tcW w:w="1846" w:type="dxa"/>
            <w:vAlign w:val="center"/>
          </w:tcPr>
          <w:p w14:paraId="63F6C99D" w14:textId="77777777" w:rsidR="0018283D" w:rsidRPr="00895D0B" w:rsidRDefault="0018283D" w:rsidP="001E7EA6">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3(15.0%)</w:t>
            </w:r>
          </w:p>
        </w:tc>
        <w:tc>
          <w:tcPr>
            <w:tcW w:w="1356" w:type="dxa"/>
          </w:tcPr>
          <w:p w14:paraId="0DA17610"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1(125%)</w:t>
            </w:r>
          </w:p>
        </w:tc>
        <w:tc>
          <w:tcPr>
            <w:tcW w:w="1476" w:type="dxa"/>
          </w:tcPr>
          <w:p w14:paraId="063AF81E" w14:textId="77777777" w:rsidR="0018283D" w:rsidRPr="00895D0B" w:rsidRDefault="0018283D" w:rsidP="006B68B5">
            <w:pPr>
              <w:autoSpaceDE w:val="0"/>
              <w:autoSpaceDN w:val="0"/>
              <w:adjustRightInd w:val="0"/>
              <w:spacing w:line="240" w:lineRule="auto"/>
              <w:jc w:val="center"/>
              <w:rPr>
                <w:rFonts w:cs="Times New Roman"/>
                <w:color w:val="000000" w:themeColor="text1"/>
                <w:szCs w:val="24"/>
              </w:rPr>
            </w:pPr>
            <w:r w:rsidRPr="00895D0B">
              <w:rPr>
                <w:rFonts w:cs="Times New Roman"/>
                <w:color w:val="000000" w:themeColor="text1"/>
                <w:szCs w:val="24"/>
              </w:rPr>
              <w:t>4(7.6%)</w:t>
            </w:r>
          </w:p>
        </w:tc>
      </w:tr>
      <w:tr w:rsidR="00895D0B" w:rsidRPr="00895D0B" w14:paraId="1E6BC150" w14:textId="77777777" w:rsidTr="00081A4D">
        <w:tc>
          <w:tcPr>
            <w:tcW w:w="1214" w:type="dxa"/>
            <w:vMerge/>
          </w:tcPr>
          <w:p w14:paraId="71EEE4C5" w14:textId="77777777" w:rsidR="0018283D" w:rsidRPr="00895D0B" w:rsidRDefault="0018283D" w:rsidP="006B68B5">
            <w:pPr>
              <w:autoSpaceDE w:val="0"/>
              <w:autoSpaceDN w:val="0"/>
              <w:adjustRightInd w:val="0"/>
              <w:spacing w:line="240" w:lineRule="auto"/>
              <w:rPr>
                <w:rFonts w:cs="Times New Roman"/>
                <w:color w:val="000000" w:themeColor="text1"/>
                <w:szCs w:val="24"/>
              </w:rPr>
            </w:pPr>
          </w:p>
        </w:tc>
        <w:tc>
          <w:tcPr>
            <w:tcW w:w="908" w:type="dxa"/>
          </w:tcPr>
          <w:p w14:paraId="74CB5246" w14:textId="77777777" w:rsidR="0018283D" w:rsidRPr="00895D0B" w:rsidRDefault="0018283D" w:rsidP="006B68B5">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Total</w:t>
            </w:r>
          </w:p>
        </w:tc>
        <w:tc>
          <w:tcPr>
            <w:tcW w:w="1417" w:type="dxa"/>
          </w:tcPr>
          <w:p w14:paraId="3720393F"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24(100.0%)</w:t>
            </w:r>
          </w:p>
        </w:tc>
        <w:tc>
          <w:tcPr>
            <w:tcW w:w="1846" w:type="dxa"/>
          </w:tcPr>
          <w:p w14:paraId="6A40FC6D"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20(51.4%)</w:t>
            </w:r>
          </w:p>
        </w:tc>
        <w:tc>
          <w:tcPr>
            <w:tcW w:w="1356" w:type="dxa"/>
          </w:tcPr>
          <w:p w14:paraId="5A20D9EE"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8(100.0%)</w:t>
            </w:r>
          </w:p>
        </w:tc>
        <w:tc>
          <w:tcPr>
            <w:tcW w:w="1476" w:type="dxa"/>
          </w:tcPr>
          <w:p w14:paraId="395574B9" w14:textId="77777777" w:rsidR="0018283D" w:rsidRPr="00895D0B" w:rsidRDefault="0018283D" w:rsidP="006B68B5">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52(100.0%)</w:t>
            </w:r>
          </w:p>
        </w:tc>
      </w:tr>
      <w:tr w:rsidR="00895D0B" w:rsidRPr="00895D0B" w14:paraId="102DCC52" w14:textId="77777777" w:rsidTr="00081A4D">
        <w:tc>
          <w:tcPr>
            <w:tcW w:w="8217" w:type="dxa"/>
            <w:gridSpan w:val="6"/>
            <w:tcBorders>
              <w:bottom w:val="single" w:sz="4" w:space="0" w:color="auto"/>
            </w:tcBorders>
          </w:tcPr>
          <w:p w14:paraId="26E3E751" w14:textId="77777777" w:rsidR="0018283D" w:rsidRPr="00895D0B" w:rsidRDefault="0018283D" w:rsidP="006B68B5">
            <w:pPr>
              <w:autoSpaceDE w:val="0"/>
              <w:autoSpaceDN w:val="0"/>
              <w:adjustRightInd w:val="0"/>
              <w:spacing w:line="240" w:lineRule="auto"/>
              <w:rPr>
                <w:rFonts w:cs="Times New Roman"/>
                <w:color w:val="000000" w:themeColor="text1"/>
                <w:szCs w:val="24"/>
              </w:rPr>
            </w:pPr>
            <m:oMath>
              <m:r>
                <w:rPr>
                  <w:rFonts w:ascii="Cambria Math" w:hAnsi="Cambria Math" w:cs="Times New Roman"/>
                  <w:color w:val="000000" w:themeColor="text1"/>
                  <w:szCs w:val="24"/>
                  <w:lang w:bidi="en-US"/>
                </w:rPr>
                <m:t xml:space="preserve">N=52,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m:t>
              </m:r>
              <m:r>
                <m:rPr>
                  <m:sty m:val="p"/>
                </m:rPr>
                <w:rPr>
                  <w:rFonts w:ascii="Cambria Math" w:hAnsi="Cambria Math" w:cs="Times New Roman"/>
                  <w:color w:val="000000" w:themeColor="text1"/>
                  <w:szCs w:val="24"/>
                </w:rPr>
                <m:t>12.652</m:t>
              </m:r>
              <m:r>
                <w:rPr>
                  <w:rFonts w:ascii="Cambria Math" w:hAnsi="Cambria Math" w:cs="Times New Roman"/>
                  <w:color w:val="000000" w:themeColor="text1"/>
                  <w:szCs w:val="24"/>
                  <w:lang w:bidi="en-US"/>
                </w:rPr>
                <m:t>, df=4, p= 0.012</m:t>
              </m:r>
            </m:oMath>
            <w:r w:rsidRPr="00895D0B">
              <w:rPr>
                <w:rFonts w:eastAsiaTheme="minorEastAsia" w:cs="Times New Roman"/>
                <w:color w:val="000000" w:themeColor="text1"/>
                <w:szCs w:val="24"/>
                <w:lang w:bidi="en-US"/>
              </w:rPr>
              <w:t xml:space="preserve"> </w:t>
            </w:r>
            <w:r w:rsidRPr="00895D0B">
              <w:rPr>
                <w:rFonts w:eastAsiaTheme="minorEastAsia" w:cs="Times New Roman"/>
                <w:color w:val="000000" w:themeColor="text1"/>
                <w:szCs w:val="24"/>
              </w:rPr>
              <w:t xml:space="preserve">and </w:t>
            </w:r>
            <m:oMath>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V=0.13</m:t>
              </m:r>
            </m:oMath>
          </w:p>
        </w:tc>
      </w:tr>
      <w:tr w:rsidR="00895D0B" w:rsidRPr="00895D0B" w14:paraId="30687D94" w14:textId="77777777" w:rsidTr="00081A4D">
        <w:tc>
          <w:tcPr>
            <w:tcW w:w="8217" w:type="dxa"/>
            <w:gridSpan w:val="6"/>
            <w:tcBorders>
              <w:top w:val="single" w:sz="4" w:space="0" w:color="auto"/>
            </w:tcBorders>
          </w:tcPr>
          <w:p w14:paraId="48041A9D" w14:textId="77777777" w:rsidR="0018283D" w:rsidRPr="00895D0B" w:rsidRDefault="0018283D" w:rsidP="006B68B5">
            <w:pPr>
              <w:autoSpaceDE w:val="0"/>
              <w:autoSpaceDN w:val="0"/>
              <w:adjustRightInd w:val="0"/>
              <w:spacing w:line="240" w:lineRule="auto"/>
              <w:rPr>
                <w:rFonts w:eastAsia="Calibri" w:cs="Times New Roman"/>
                <w:color w:val="000000" w:themeColor="text1"/>
                <w:szCs w:val="24"/>
                <w:lang w:bidi="en-US"/>
              </w:rPr>
            </w:pPr>
            <w:r w:rsidRPr="00895D0B">
              <w:rPr>
                <w:rFonts w:eastAsia="Calibri" w:cs="Times New Roman"/>
                <w:color w:val="000000" w:themeColor="text1"/>
                <w:szCs w:val="24"/>
                <w:lang w:bidi="en-US"/>
              </w:rPr>
              <w:t xml:space="preserve">***Cramer’s V &gt; 0.25, very strong relationship; Cramer’s V &gt; 0.15, strong relationship; Cramer’s V &gt; 0.10, moderate relationship; Cramer’s V &gt; 0.05, weak relationship and Cramer’s V &gt; 0, no or very weak relationship </w:t>
            </w:r>
          </w:p>
          <w:p w14:paraId="607DD50C" w14:textId="77777777" w:rsidR="0018283D" w:rsidRPr="00895D0B" w:rsidRDefault="0018283D" w:rsidP="001E7EA6">
            <w:pPr>
              <w:autoSpaceDE w:val="0"/>
              <w:autoSpaceDN w:val="0"/>
              <w:adjustRightInd w:val="0"/>
              <w:spacing w:line="240" w:lineRule="auto"/>
              <w:rPr>
                <w:rFonts w:eastAsia="Calibri" w:cs="Times New Roman"/>
                <w:color w:val="000000" w:themeColor="text1"/>
                <w:szCs w:val="24"/>
                <w:lang w:bidi="en-US"/>
              </w:rPr>
            </w:pPr>
          </w:p>
          <w:p w14:paraId="5663094C" w14:textId="77777777" w:rsidR="0018283D" w:rsidRPr="00895D0B" w:rsidRDefault="0018283D" w:rsidP="006B68B5">
            <w:pPr>
              <w:autoSpaceDE w:val="0"/>
              <w:autoSpaceDN w:val="0"/>
              <w:adjustRightInd w:val="0"/>
              <w:spacing w:line="240" w:lineRule="auto"/>
              <w:rPr>
                <w:rFonts w:eastAsia="Calibri" w:cs="Times New Roman"/>
                <w:color w:val="000000" w:themeColor="text1"/>
                <w:szCs w:val="24"/>
                <w:lang w:bidi="en-US"/>
              </w:rPr>
            </w:pPr>
            <w:r w:rsidRPr="00895D0B">
              <w:rPr>
                <w:rFonts w:eastAsia="Calibri" w:cs="Times New Roman"/>
                <w:color w:val="000000" w:themeColor="text1"/>
                <w:szCs w:val="24"/>
                <w:lang w:bidi="en-US"/>
              </w:rPr>
              <w:t>*** p-value &lt; 0.05, statistically significant; p-value &gt; 0.05, statistically insignificant</w:t>
            </w:r>
          </w:p>
        </w:tc>
      </w:tr>
    </w:tbl>
    <w:p w14:paraId="33A66FDB" w14:textId="77777777" w:rsidR="0018283D" w:rsidRDefault="0018283D" w:rsidP="006B68B5">
      <w:pPr>
        <w:autoSpaceDE w:val="0"/>
        <w:autoSpaceDN w:val="0"/>
        <w:adjustRightInd w:val="0"/>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3CCD2DFD" w14:textId="77777777" w:rsidR="00056D43" w:rsidRPr="00895D0B" w:rsidRDefault="00056D43" w:rsidP="006B68B5">
      <w:pPr>
        <w:autoSpaceDE w:val="0"/>
        <w:autoSpaceDN w:val="0"/>
        <w:adjustRightInd w:val="0"/>
        <w:spacing w:line="360" w:lineRule="auto"/>
        <w:rPr>
          <w:rFonts w:cs="Times New Roman"/>
          <w:color w:val="000000" w:themeColor="text1"/>
          <w:szCs w:val="24"/>
        </w:rPr>
      </w:pPr>
    </w:p>
    <w:p w14:paraId="0A05DE78" w14:textId="77777777" w:rsidR="003846F9" w:rsidRPr="00895D0B" w:rsidRDefault="003846F9" w:rsidP="003846F9">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To add more, the results showed a significant relationship between sheep keeping and the type of residential class urban farmers located (p-value = 0.009 &lt; 0.05), and this relationship is said to be moderate given a Cramer’s V = 0.13 &gt; 0.10. In specific cases, 50.0% of urban farmers who keep sheep are in low-class areas, while 70.3% and 60.0% do not keep sheep in high- and medium-class areas, respectively. Lastly, the result showed a significant relationship between cattle rearing and the residential class farmers' who live in the city (p-value = 0.012 &lt; 0.05), and this relationship is moderate as the Cramer’s V = 0.13 &gt; 0.10. Respectively, most of these farmers—87.5% and 85.0%—live in the lower and medium classes.</w:t>
      </w:r>
    </w:p>
    <w:p w14:paraId="21C0B750" w14:textId="77777777" w:rsidR="001B4ED5" w:rsidRPr="00166F50" w:rsidRDefault="001B4ED5" w:rsidP="00166F50">
      <w:pPr>
        <w:pStyle w:val="NoSpacing"/>
      </w:pPr>
    </w:p>
    <w:p w14:paraId="79454E4D" w14:textId="77777777" w:rsidR="001B4ED5" w:rsidRPr="00895D0B" w:rsidRDefault="006B41C0" w:rsidP="009864E3">
      <w:pPr>
        <w:pStyle w:val="Heading3"/>
      </w:pPr>
      <w:bookmarkStart w:id="125" w:name="_Toc167379926"/>
      <w:r w:rsidRPr="00895D0B">
        <w:t>5.2.1 Spatial distribution of type of animal housing structure</w:t>
      </w:r>
      <w:bookmarkEnd w:id="125"/>
      <w:r w:rsidRPr="00895D0B">
        <w:t xml:space="preserve"> </w:t>
      </w:r>
    </w:p>
    <w:p w14:paraId="2BDE8BA5" w14:textId="3595CF28" w:rsidR="001B4ED5" w:rsidRPr="00895D0B" w:rsidRDefault="003846F9" w:rsidP="003846F9">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At this point, the study looked at the types of structures that are used to house farm animals in urban farming and how these structures are distributed across space. Notably, there are three types of housing facilities: wooden structures roofed with zinc, block or brick structures roofed with zinc, and the free range of animals </w:t>
      </w:r>
      <w:r w:rsidRPr="00895D0B">
        <w:rPr>
          <w:rFonts w:eastAsia="Times New Roman" w:cs="Times New Roman"/>
          <w:i/>
          <w:iCs/>
          <w:color w:val="000000" w:themeColor="text1"/>
          <w:szCs w:val="24"/>
          <w:lang w:eastAsia="en-GB"/>
        </w:rPr>
        <w:t xml:space="preserve">(see Figure </w:t>
      </w:r>
      <w:r w:rsidRPr="00895D0B">
        <w:rPr>
          <w:rFonts w:eastAsia="Times New Roman" w:cs="Times New Roman"/>
          <w:i/>
          <w:iCs/>
          <w:color w:val="000000" w:themeColor="text1"/>
          <w:szCs w:val="24"/>
          <w:lang w:eastAsia="en-GB"/>
        </w:rPr>
        <w:lastRenderedPageBreak/>
        <w:t>5.2).</w:t>
      </w:r>
      <w:r w:rsidRPr="00895D0B">
        <w:rPr>
          <w:rFonts w:eastAsia="Times New Roman" w:cs="Times New Roman"/>
          <w:color w:val="000000" w:themeColor="text1"/>
          <w:szCs w:val="24"/>
          <w:lang w:eastAsia="en-GB"/>
        </w:rPr>
        <w:t xml:space="preserve"> Free-ranging here implies the act of giving limited or no care to farm animals and allowing them to feed and sleep on their own, either close to or far away from the farmers' place of abode. Firstly, on the grounds of using wooden structures with zinc, urban farmers use pieces of board and zinc to construct temporary or makeshift structures to house these animals, usually within a limited space. Many of these types of housing are predominated within the urban transitional zone into the outer, where discarded pieces of wood and zinc from on-going construction projects are easily available. Just a few people rely on wooden structures to keep their animals in their inner core.</w:t>
      </w:r>
    </w:p>
    <w:p w14:paraId="4752546C" w14:textId="3806B6F2" w:rsidR="0083399E" w:rsidRPr="00895D0B" w:rsidRDefault="0083399E">
      <w:pPr>
        <w:pStyle w:val="Caption"/>
      </w:pPr>
      <w:bookmarkStart w:id="126" w:name="_Toc148890791"/>
      <w:r w:rsidRPr="00895D0B">
        <w:rPr>
          <w:noProof/>
          <w:lang w:val="en-GB" w:eastAsia="en-GB"/>
        </w:rPr>
        <w:drawing>
          <wp:inline distT="0" distB="0" distL="0" distR="0" wp14:anchorId="74A5347B" wp14:editId="69DE388A">
            <wp:extent cx="5417820" cy="3830169"/>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ousing.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417820" cy="3830169"/>
                    </a:xfrm>
                    <a:prstGeom prst="rect">
                      <a:avLst/>
                    </a:prstGeom>
                  </pic:spPr>
                </pic:pic>
              </a:graphicData>
            </a:graphic>
          </wp:inline>
        </w:drawing>
      </w:r>
    </w:p>
    <w:p w14:paraId="13A00333" w14:textId="5889360B" w:rsidR="001B4ED5" w:rsidRPr="00895D0B" w:rsidRDefault="006B41C0" w:rsidP="00056D43">
      <w:pPr>
        <w:pStyle w:val="Heading5"/>
      </w:pPr>
      <w:bookmarkStart w:id="127" w:name="_Toc167368265"/>
      <w:r w:rsidRPr="00895D0B">
        <w:t>Figure 5.</w:t>
      </w:r>
      <w:r w:rsidR="00895D0B" w:rsidRPr="00895D0B">
        <w:fldChar w:fldCharType="begin"/>
      </w:r>
      <w:r w:rsidR="00895D0B" w:rsidRPr="00895D0B">
        <w:instrText xml:space="preserve"> SEQ Figure_5._ \* ARABIC </w:instrText>
      </w:r>
      <w:r w:rsidR="00895D0B" w:rsidRPr="00895D0B">
        <w:fldChar w:fldCharType="separate"/>
      </w:r>
      <w:r w:rsidR="0026489B">
        <w:rPr>
          <w:noProof/>
        </w:rPr>
        <w:t>2</w:t>
      </w:r>
      <w:r w:rsidR="00895D0B" w:rsidRPr="00895D0B">
        <w:fldChar w:fldCharType="end"/>
      </w:r>
      <w:r w:rsidRPr="00895D0B">
        <w:t>: Spatial Distribution of Type of Housing Structure in Urban Farming</w:t>
      </w:r>
      <w:bookmarkEnd w:id="126"/>
      <w:bookmarkEnd w:id="127"/>
    </w:p>
    <w:p w14:paraId="7CA76F39" w14:textId="77777777"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31DB6AD3" w14:textId="77777777" w:rsidR="00056D43" w:rsidRPr="00895D0B" w:rsidRDefault="00056D43">
      <w:pPr>
        <w:spacing w:line="360" w:lineRule="auto"/>
        <w:rPr>
          <w:rFonts w:cs="Times New Roman"/>
          <w:color w:val="000000" w:themeColor="text1"/>
          <w:szCs w:val="24"/>
        </w:rPr>
      </w:pPr>
    </w:p>
    <w:p w14:paraId="73D0AF67" w14:textId="75AE0FDC" w:rsidR="001B4ED5" w:rsidRPr="00895D0B" w:rsidRDefault="004C3505" w:rsidP="004C3505">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The next type of housing is the use of bricks or block structures roofed with zinc. This type of housing facility is common within both the inner core and the transitional zones. The core has this type of housing because a stronger and more durable housing system is needed to keep animals safe from intruders and the destruction of people's properties. In these areas, though these structures are temporary, they are maintained well to enhance environmental quality in terms of air pollution and littering of the </w:t>
      </w:r>
      <w:r w:rsidRPr="00895D0B">
        <w:rPr>
          <w:rFonts w:eastAsia="Times New Roman" w:cs="Times New Roman"/>
          <w:color w:val="000000" w:themeColor="text1"/>
          <w:szCs w:val="24"/>
          <w:lang w:eastAsia="en-GB"/>
        </w:rPr>
        <w:lastRenderedPageBreak/>
        <w:t>surroundings. Though the intensive system of rearing animals is earmarked in this zone, befitting structures are needed to serve the purpose. The transitional zone, on the other hand, is classified as a residential area with high-quality housing and surroundings, and there is a need to maintain such quality by all standards, even amid housing animals. Although some farmers could practice the semi-intensive system of housing animals, standard structures are paramount in housing the animals. Another, but uncommon, type of keeping animals is the practice of open space in the free-range system. In this system, animals are not housed; they are allowed to roam, feed, and sleep anywhere within the surrounding area, either near or away from the owners’ residence. This practice is common in less densely populated neighbourhoods where there is enough space to graze and sleep. Even though animals are vulnerable to theft, owners do not spend much on housing and feeding. Results from the study show that most farmers do not practice the free-ranging system of housing. The reality is that the urban environment does not favour this system due to the unavailability of land space, the high human population, and the incidence of theft.</w:t>
      </w:r>
    </w:p>
    <w:p w14:paraId="31A3631C" w14:textId="77777777" w:rsidR="004C3505" w:rsidRPr="00895D0B" w:rsidRDefault="004C3505" w:rsidP="00056D43">
      <w:pPr>
        <w:pStyle w:val="NoSpacing"/>
        <w:rPr>
          <w:lang w:eastAsia="en-GB"/>
        </w:rPr>
      </w:pPr>
    </w:p>
    <w:p w14:paraId="27E5FF1A" w14:textId="77777777" w:rsidR="001B4ED5" w:rsidRPr="00895D0B" w:rsidRDefault="006B41C0" w:rsidP="009864E3">
      <w:pPr>
        <w:pStyle w:val="Heading3"/>
      </w:pPr>
      <w:bookmarkStart w:id="128" w:name="_Toc167379927"/>
      <w:r w:rsidRPr="00895D0B">
        <w:t>5.2.2 Spatial dynamics and distribution of crops farm sizes within the city</w:t>
      </w:r>
      <w:bookmarkEnd w:id="128"/>
      <w:r w:rsidRPr="00895D0B">
        <w:t xml:space="preserve"> </w:t>
      </w:r>
    </w:p>
    <w:p w14:paraId="4A0F8DDA" w14:textId="63714DFD" w:rsidR="001B4ED5" w:rsidRDefault="004C3505" w:rsidP="004C3505">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The spatial distribution of farm sizes in urban areas refers to how different sizes of farms are distributed within urban regions. In terms of the spatial distribution of crop production, the plot sizes were analyzed. The size of farm plots was assessed based on plots less than 0.3 acres, 0.3 acres, half an acre, and an acre. To start with, the results from the spatial data exhibited almost equal distributions of farm plots of less than 0.3 acres of land across the city core and the transitional zones. This pattern, to some extent,, explains the fact that there are limited spaces for cultivation within these areas, but residents leverage any small plots that can aid the cultivation of vegetables on a subsistence basis within households (</w:t>
      </w:r>
      <w:r w:rsidRPr="00895D0B">
        <w:rPr>
          <w:rFonts w:eastAsia="Times New Roman" w:cs="Times New Roman"/>
          <w:i/>
          <w:iCs/>
          <w:color w:val="000000" w:themeColor="text1"/>
          <w:szCs w:val="24"/>
          <w:lang w:eastAsia="en-GB"/>
        </w:rPr>
        <w:t>see Figure 5.3</w:t>
      </w:r>
      <w:r w:rsidRPr="00895D0B">
        <w:rPr>
          <w:rFonts w:eastAsia="Times New Roman" w:cs="Times New Roman"/>
          <w:color w:val="000000" w:themeColor="text1"/>
          <w:szCs w:val="24"/>
          <w:lang w:eastAsia="en-GB"/>
        </w:rPr>
        <w:t>). The transitional zone development is still within the early development stage, where pieces of land are still available after developing lands acquired for physical development purposes. Irrespective of the fact that the transitional zone is less populous than the core, almost every household within this neighbourhood could have at least a piece of land less than 0.3 acres to cultivate crops for household consumption. Another crucial point to note is that crop production in the urban area on plots of 0.3 of an acre is predominated in the transitional zone of the city. Aside from the transitional zone, there are traces of plots of up to 0.3 of an acre in the less populous zone called the outer core.</w:t>
      </w:r>
    </w:p>
    <w:p w14:paraId="0B2E89C7" w14:textId="63C3F98B" w:rsidR="00B02368" w:rsidRPr="00895D0B" w:rsidRDefault="00B02368">
      <w:pPr>
        <w:pStyle w:val="Caption"/>
      </w:pPr>
      <w:bookmarkStart w:id="129" w:name="_Toc148890792"/>
      <w:r w:rsidRPr="00895D0B">
        <w:rPr>
          <w:noProof/>
          <w:lang w:val="en-GB" w:eastAsia="en-GB"/>
        </w:rPr>
        <w:lastRenderedPageBreak/>
        <w:drawing>
          <wp:inline distT="0" distB="0" distL="0" distR="0" wp14:anchorId="70494773" wp14:editId="5EA48DBB">
            <wp:extent cx="5417820" cy="3830169"/>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arm_sizes.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17820" cy="3830169"/>
                    </a:xfrm>
                    <a:prstGeom prst="rect">
                      <a:avLst/>
                    </a:prstGeom>
                  </pic:spPr>
                </pic:pic>
              </a:graphicData>
            </a:graphic>
          </wp:inline>
        </w:drawing>
      </w:r>
    </w:p>
    <w:p w14:paraId="51C1C72D" w14:textId="3D5A2069" w:rsidR="001B4ED5" w:rsidRPr="00895D0B" w:rsidRDefault="006B41C0" w:rsidP="00056D43">
      <w:pPr>
        <w:pStyle w:val="Heading5"/>
      </w:pPr>
      <w:bookmarkStart w:id="130" w:name="_Toc167368266"/>
      <w:r w:rsidRPr="00895D0B">
        <w:t>Figure 5.</w:t>
      </w:r>
      <w:r w:rsidR="00895D0B" w:rsidRPr="00895D0B">
        <w:fldChar w:fldCharType="begin"/>
      </w:r>
      <w:r w:rsidR="00895D0B" w:rsidRPr="00895D0B">
        <w:instrText xml:space="preserve"> SEQ Figure_5._ \* ARABIC </w:instrText>
      </w:r>
      <w:r w:rsidR="00895D0B" w:rsidRPr="00895D0B">
        <w:fldChar w:fldCharType="separate"/>
      </w:r>
      <w:r w:rsidR="0026489B">
        <w:rPr>
          <w:noProof/>
        </w:rPr>
        <w:t>3</w:t>
      </w:r>
      <w:r w:rsidR="00895D0B" w:rsidRPr="00895D0B">
        <w:fldChar w:fldCharType="end"/>
      </w:r>
      <w:r w:rsidRPr="00895D0B">
        <w:t>: Spatial Distribution of Crop Farm Sizes in Urban Farming</w:t>
      </w:r>
      <w:bookmarkEnd w:id="129"/>
      <w:bookmarkEnd w:id="130"/>
    </w:p>
    <w:p w14:paraId="1202E12B" w14:textId="371A3F04"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04F04763" w14:textId="77777777" w:rsidR="001F7341" w:rsidRPr="00895D0B" w:rsidRDefault="001F7341">
      <w:pPr>
        <w:spacing w:line="360" w:lineRule="auto"/>
        <w:rPr>
          <w:rFonts w:cs="Times New Roman"/>
          <w:color w:val="000000" w:themeColor="text1"/>
          <w:szCs w:val="24"/>
        </w:rPr>
      </w:pPr>
    </w:p>
    <w:p w14:paraId="1FE70FBE" w14:textId="77777777" w:rsidR="002718E4" w:rsidRPr="00895D0B" w:rsidRDefault="002718E4" w:rsidP="002718E4">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The spatial distribution of urban farms and gardens refers to how these agricultural spaces are dispersed throughout a city or urban area. Understanding their distribution can provide insights into the accessibility, availability, and equity of these green spaces within the urban environment. Also, crop plots with a size of 0.5 of an acre were found to be within the transitional zone of the city. This reflects a typical competitive demand for space between physical development activities, social centres, and agriculture.</w:t>
      </w:r>
    </w:p>
    <w:p w14:paraId="7E53AE2F" w14:textId="77777777" w:rsidR="002718E4" w:rsidRPr="00895D0B" w:rsidRDefault="002718E4" w:rsidP="00166F50">
      <w:pPr>
        <w:pStyle w:val="NoSpacing"/>
        <w:rPr>
          <w:lang w:eastAsia="en-GB"/>
        </w:rPr>
      </w:pPr>
      <w:r w:rsidRPr="00895D0B">
        <w:rPr>
          <w:lang w:eastAsia="en-GB"/>
        </w:rPr>
        <w:t> </w:t>
      </w:r>
    </w:p>
    <w:p w14:paraId="6B4E29D2" w14:textId="77777777" w:rsidR="002718E4" w:rsidRPr="00895D0B" w:rsidRDefault="002718E4" w:rsidP="00056D43">
      <w:pPr>
        <w:spacing w:after="240"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From the interviews, the production of crops and animals within the urban area has an association with actors such as the MoFA departments, such as the Crop and Animals Departments. These departments are critical to the type of fencing urban farmers are to adopt in crop cultivation and the nature of housing units for animal production in the era of climate change. The type of housing that should be climate-friendly could be recommended for urban animal producers. In line with this, the qualitative results show that agricultural extension services are available but not accessible within the municipality by urban farmers. This is seen more in crop production because most agricultural extension services are tailored towards farmers in the peri-urban and rural </w:t>
      </w:r>
      <w:r w:rsidRPr="00895D0B">
        <w:rPr>
          <w:rFonts w:eastAsia="Times New Roman" w:cs="Times New Roman"/>
          <w:color w:val="000000" w:themeColor="text1"/>
          <w:szCs w:val="24"/>
          <w:lang w:eastAsia="en-GB"/>
        </w:rPr>
        <w:lastRenderedPageBreak/>
        <w:t>parts of the municipality. This is because urban crop producers are considered to be small scale producers compared with rural farmers. However, it was ascertained that urban animal producers do access veterinary services from the Ministry of Food and Agriculture (MoFA). The provision of veterinary services to urban animal farmers is an important aspect of ensuring the health and well-being of livestock in urban areas. These services play a crucial role in maintaining the productivity and sustainability of urban farming systems. Veterinary professionals who specialize in farm-oriented practices can provide valuable guidance and advice to urban animal farmers on various aspects of animal health, including disease prevention, nutrition, and general care. By offering their expertise, these professionals contribute to the overall success and viability of urban farming systems. In line with providing veterinary services, a respondent said:</w:t>
      </w:r>
    </w:p>
    <w:p w14:paraId="30A75B18" w14:textId="2A71428C" w:rsidR="002718E4" w:rsidRPr="00895D0B" w:rsidRDefault="002718E4" w:rsidP="00056D43">
      <w:pPr>
        <w:spacing w:after="240" w:line="360" w:lineRule="auto"/>
        <w:rPr>
          <w:rFonts w:eastAsia="Times New Roman" w:cs="Times New Roman"/>
          <w:color w:val="000000" w:themeColor="text1"/>
          <w:szCs w:val="24"/>
          <w:lang w:eastAsia="en-GB"/>
        </w:rPr>
      </w:pPr>
      <w:r w:rsidRPr="00895D0B">
        <w:rPr>
          <w:rFonts w:eastAsia="Times New Roman" w:cs="Times New Roman"/>
          <w:i/>
          <w:iCs/>
          <w:color w:val="000000" w:themeColor="text1"/>
          <w:szCs w:val="24"/>
          <w:lang w:eastAsia="en-GB"/>
        </w:rPr>
        <w:t xml:space="preserve">“…We hardly visit people who grow crops within the town because they are into very small-scale production, and it is very difficult to meet them at home as many of them go to their work places. This does not encourage us to provide services to them…” </w:t>
      </w:r>
      <w:r w:rsidRPr="00895D0B">
        <w:rPr>
          <w:rFonts w:eastAsia="Times New Roman" w:cs="Times New Roman"/>
          <w:color w:val="000000" w:themeColor="text1"/>
          <w:szCs w:val="24"/>
          <w:lang w:eastAsia="en-GB"/>
        </w:rPr>
        <w:t>(Key informant interview, 2022).</w:t>
      </w:r>
    </w:p>
    <w:p w14:paraId="1F5E80A9" w14:textId="77777777" w:rsidR="002718E4" w:rsidRPr="00895D0B" w:rsidRDefault="002718E4" w:rsidP="002718E4">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Another respondent explained as follows:</w:t>
      </w:r>
    </w:p>
    <w:p w14:paraId="077A9E2D" w14:textId="3DD83D6F" w:rsidR="002718E4" w:rsidRPr="00895D0B" w:rsidRDefault="002718E4" w:rsidP="002718E4">
      <w:pPr>
        <w:spacing w:line="360" w:lineRule="auto"/>
        <w:rPr>
          <w:rFonts w:eastAsia="Times New Roman" w:cs="Times New Roman"/>
          <w:color w:val="000000" w:themeColor="text1"/>
          <w:szCs w:val="24"/>
          <w:lang w:eastAsia="en-GB"/>
        </w:rPr>
      </w:pPr>
      <w:r w:rsidRPr="00895D0B">
        <w:rPr>
          <w:rFonts w:eastAsia="Times New Roman" w:cs="Times New Roman"/>
          <w:i/>
          <w:iCs/>
          <w:color w:val="000000" w:themeColor="text1"/>
          <w:szCs w:val="24"/>
          <w:lang w:eastAsia="en-GB"/>
        </w:rPr>
        <w:t xml:space="preserve">“…We have been providing veterinary services to people who are keeping animals in their houses. The services are not only vaccinating animals but also how to keep the animals fit and free from diseases through feeding and housing...” </w:t>
      </w:r>
      <w:r w:rsidRPr="00895D0B">
        <w:rPr>
          <w:rFonts w:eastAsia="Times New Roman" w:cs="Times New Roman"/>
          <w:color w:val="000000" w:themeColor="text1"/>
          <w:szCs w:val="24"/>
          <w:lang w:eastAsia="en-GB"/>
        </w:rPr>
        <w:t>(Key informant interview, 2022).</w:t>
      </w:r>
    </w:p>
    <w:p w14:paraId="18EDB3A0" w14:textId="77777777" w:rsidR="001B4ED5" w:rsidRPr="00895D0B" w:rsidRDefault="001B4ED5" w:rsidP="00166F50">
      <w:pPr>
        <w:pStyle w:val="NoSpacing"/>
        <w:rPr>
          <w:shd w:val="clear" w:color="auto" w:fill="FFFFFF"/>
        </w:rPr>
      </w:pPr>
    </w:p>
    <w:p w14:paraId="7210C070" w14:textId="77777777" w:rsidR="001B4ED5" w:rsidRPr="00895D0B" w:rsidRDefault="006B41C0">
      <w:pPr>
        <w:pStyle w:val="Heading2"/>
      </w:pPr>
      <w:bookmarkStart w:id="131" w:name="_Toc167379928"/>
      <w:r w:rsidRPr="00895D0B">
        <w:t>5.3 Spatial Statistics on Characterization of Urban Farms</w:t>
      </w:r>
      <w:bookmarkEnd w:id="131"/>
      <w:r w:rsidRPr="00895D0B">
        <w:t xml:space="preserve"> </w:t>
      </w:r>
    </w:p>
    <w:p w14:paraId="082D1E58" w14:textId="77777777" w:rsidR="00056D43" w:rsidRDefault="00267C50" w:rsidP="00267C50">
      <w:pPr>
        <w:spacing w:line="360" w:lineRule="auto"/>
        <w:rPr>
          <w:rFonts w:eastAsia="Times New Roman" w:cs="Times New Roman"/>
          <w:color w:val="000000" w:themeColor="text1"/>
          <w:szCs w:val="24"/>
          <w:lang w:eastAsia="en-GB"/>
        </w:rPr>
      </w:pPr>
      <w:bookmarkStart w:id="132" w:name="_Toc148890662"/>
      <w:r w:rsidRPr="00895D0B">
        <w:rPr>
          <w:rFonts w:eastAsia="Times New Roman" w:cs="Times New Roman"/>
          <w:color w:val="000000" w:themeColor="text1"/>
          <w:szCs w:val="24"/>
          <w:lang w:eastAsia="en-GB"/>
        </w:rPr>
        <w:t>The study analysed the nearest neighbour ratios of the types of animals and housing locations in the urban localities and the spatial distribution of the urban farm sizes as analysed (see Appendices</w:t>
      </w:r>
      <w:r w:rsidRPr="00895D0B">
        <w:rPr>
          <w:rFonts w:eastAsia="Times New Roman" w:cs="Times New Roman"/>
          <w:i/>
          <w:iCs/>
          <w:color w:val="000000" w:themeColor="text1"/>
          <w:szCs w:val="24"/>
          <w:lang w:eastAsia="en-GB"/>
        </w:rPr>
        <w:t> C1, C2, and C3)</w:t>
      </w:r>
      <w:r w:rsidRPr="00895D0B">
        <w:rPr>
          <w:rFonts w:eastAsia="Times New Roman" w:cs="Times New Roman"/>
          <w:color w:val="000000" w:themeColor="text1"/>
          <w:szCs w:val="24"/>
          <w:lang w:eastAsia="en-GB"/>
        </w:rPr>
        <w:t xml:space="preserve">. This was meant to obtain numerical values to describe the extent to which the location of these attributes is frequency comparative with other locations. In this, the analysis assumes whether one attribute is clustered, uniform, or dispersed across the space. The analysis revealed that, given the z-score of -11.176 in poultry production locations within the city, there is a less than 1% likelihood that this clustered pattern could be the result of random chance. Again, given the z-score of -9.251 in sheep production locations, there is a less than 1% likelihood that this </w:t>
      </w:r>
      <w:r w:rsidRPr="00895D0B">
        <w:rPr>
          <w:rFonts w:eastAsia="Times New Roman" w:cs="Times New Roman"/>
          <w:color w:val="000000" w:themeColor="text1"/>
          <w:szCs w:val="24"/>
          <w:lang w:eastAsia="en-GB"/>
        </w:rPr>
        <w:lastRenderedPageBreak/>
        <w:t xml:space="preserve">clustered pattern could be the result of random chance. Similarly, given the z-score of -6.770 in goat production locations, there is a less than 1% likelihood that this clustered pattern could be the result of random chance. However, given the z-score of -2.387 for cattle production locations, there is less than a 5% likelihood that this clustered pattern could be the result of random chance </w:t>
      </w:r>
      <w:r w:rsidRPr="00895D0B">
        <w:rPr>
          <w:rFonts w:eastAsia="Times New Roman" w:cs="Times New Roman"/>
          <w:i/>
          <w:iCs/>
          <w:color w:val="000000" w:themeColor="text1"/>
          <w:szCs w:val="24"/>
          <w:lang w:eastAsia="en-GB"/>
        </w:rPr>
        <w:t>(see Table 5.1)</w:t>
      </w:r>
      <w:r w:rsidRPr="00895D0B">
        <w:rPr>
          <w:rFonts w:eastAsia="Times New Roman" w:cs="Times New Roman"/>
          <w:color w:val="000000" w:themeColor="text1"/>
          <w:szCs w:val="24"/>
          <w:lang w:eastAsia="en-GB"/>
        </w:rPr>
        <w:t>. </w:t>
      </w:r>
    </w:p>
    <w:p w14:paraId="07870609" w14:textId="4847DE6F" w:rsidR="00267C50" w:rsidRPr="00895D0B" w:rsidRDefault="00267C50" w:rsidP="00056D43">
      <w:pPr>
        <w:pStyle w:val="NoSpacing"/>
        <w:rPr>
          <w:lang w:eastAsia="en-GB"/>
        </w:rPr>
      </w:pPr>
      <w:r w:rsidRPr="00895D0B">
        <w:rPr>
          <w:lang w:eastAsia="en-GB"/>
        </w:rPr>
        <w:t xml:space="preserve"> </w:t>
      </w:r>
    </w:p>
    <w:p w14:paraId="0E15DEE3" w14:textId="2EC664EB" w:rsidR="001B4ED5" w:rsidRPr="00895D0B" w:rsidRDefault="006B41C0" w:rsidP="00056D43">
      <w:pPr>
        <w:pStyle w:val="Heading6"/>
      </w:pPr>
      <w:bookmarkStart w:id="133" w:name="_Toc167368594"/>
      <w:r w:rsidRPr="00895D0B">
        <w:t>Table 5.</w:t>
      </w:r>
      <w:r w:rsidR="00F04051">
        <w:t>2</w:t>
      </w:r>
      <w:r w:rsidRPr="00895D0B">
        <w:t>: Spatial Statistics on the Distribution of Urban Farm</w:t>
      </w:r>
      <w:bookmarkEnd w:id="133"/>
      <w:r w:rsidRPr="00895D0B">
        <w:t xml:space="preserve"> </w:t>
      </w:r>
      <w:bookmarkEnd w:id="132"/>
    </w:p>
    <w:tbl>
      <w:tblPr>
        <w:tblW w:w="8971" w:type="dxa"/>
        <w:tblLook w:val="04A0" w:firstRow="1" w:lastRow="0" w:firstColumn="1" w:lastColumn="0" w:noHBand="0" w:noVBand="1"/>
      </w:tblPr>
      <w:tblGrid>
        <w:gridCol w:w="3524"/>
        <w:gridCol w:w="2963"/>
        <w:gridCol w:w="1386"/>
        <w:gridCol w:w="1098"/>
      </w:tblGrid>
      <w:tr w:rsidR="00895D0B" w:rsidRPr="00895D0B" w14:paraId="78465A1A" w14:textId="77777777" w:rsidTr="006B68B5">
        <w:tc>
          <w:tcPr>
            <w:tcW w:w="3524" w:type="dxa"/>
            <w:tcBorders>
              <w:top w:val="single" w:sz="4" w:space="0" w:color="auto"/>
              <w:bottom w:val="single" w:sz="4" w:space="0" w:color="auto"/>
            </w:tcBorders>
          </w:tcPr>
          <w:p w14:paraId="78146EF2"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 xml:space="preserve">Farm feature </w:t>
            </w:r>
          </w:p>
        </w:tc>
        <w:tc>
          <w:tcPr>
            <w:tcW w:w="2963" w:type="dxa"/>
            <w:tcBorders>
              <w:top w:val="single" w:sz="4" w:space="0" w:color="auto"/>
              <w:bottom w:val="single" w:sz="4" w:space="0" w:color="auto"/>
            </w:tcBorders>
          </w:tcPr>
          <w:p w14:paraId="42F13ADE" w14:textId="6AADDF68" w:rsidR="001B4ED5" w:rsidRPr="00895D0B" w:rsidRDefault="006B41C0">
            <w:pPr>
              <w:spacing w:line="240" w:lineRule="auto"/>
              <w:jc w:val="center"/>
              <w:rPr>
                <w:rFonts w:cs="Times New Roman"/>
                <w:b/>
                <w:color w:val="000000" w:themeColor="text1"/>
                <w:szCs w:val="24"/>
              </w:rPr>
            </w:pPr>
            <w:r w:rsidRPr="00895D0B">
              <w:rPr>
                <w:rFonts w:cs="Times New Roman"/>
                <w:b/>
                <w:color w:val="000000" w:themeColor="text1"/>
                <w:szCs w:val="24"/>
              </w:rPr>
              <w:t>Nearest neighbour ratio</w:t>
            </w:r>
          </w:p>
        </w:tc>
        <w:tc>
          <w:tcPr>
            <w:tcW w:w="1386" w:type="dxa"/>
            <w:tcBorders>
              <w:top w:val="single" w:sz="4" w:space="0" w:color="auto"/>
              <w:bottom w:val="single" w:sz="4" w:space="0" w:color="auto"/>
            </w:tcBorders>
          </w:tcPr>
          <w:p w14:paraId="3B6C215A" w14:textId="77777777" w:rsidR="001B4ED5" w:rsidRPr="00895D0B" w:rsidRDefault="006B41C0">
            <w:pPr>
              <w:spacing w:line="240" w:lineRule="auto"/>
              <w:jc w:val="center"/>
              <w:rPr>
                <w:rFonts w:cs="Times New Roman"/>
                <w:b/>
                <w:color w:val="000000" w:themeColor="text1"/>
                <w:szCs w:val="24"/>
              </w:rPr>
            </w:pPr>
            <w:r w:rsidRPr="00895D0B">
              <w:rPr>
                <w:rFonts w:cs="Times New Roman"/>
                <w:b/>
                <w:color w:val="000000" w:themeColor="text1"/>
                <w:szCs w:val="24"/>
              </w:rPr>
              <w:t>z-score</w:t>
            </w:r>
          </w:p>
        </w:tc>
        <w:tc>
          <w:tcPr>
            <w:tcW w:w="1097" w:type="dxa"/>
            <w:tcBorders>
              <w:top w:val="single" w:sz="4" w:space="0" w:color="auto"/>
              <w:bottom w:val="single" w:sz="4" w:space="0" w:color="auto"/>
            </w:tcBorders>
          </w:tcPr>
          <w:p w14:paraId="3E485735" w14:textId="77777777" w:rsidR="001B4ED5" w:rsidRPr="00895D0B" w:rsidRDefault="006B41C0">
            <w:pPr>
              <w:spacing w:line="240" w:lineRule="auto"/>
              <w:jc w:val="center"/>
              <w:rPr>
                <w:rFonts w:cs="Times New Roman"/>
                <w:b/>
                <w:color w:val="000000" w:themeColor="text1"/>
                <w:szCs w:val="24"/>
              </w:rPr>
            </w:pPr>
            <w:r w:rsidRPr="00895D0B">
              <w:rPr>
                <w:rFonts w:cs="Times New Roman"/>
                <w:b/>
                <w:color w:val="000000" w:themeColor="text1"/>
                <w:szCs w:val="24"/>
              </w:rPr>
              <w:t>p-value</w:t>
            </w:r>
          </w:p>
        </w:tc>
      </w:tr>
      <w:tr w:rsidR="00895D0B" w:rsidRPr="00895D0B" w14:paraId="76603F5C" w14:textId="77777777" w:rsidTr="006B68B5">
        <w:tc>
          <w:tcPr>
            <w:tcW w:w="8971" w:type="dxa"/>
            <w:gridSpan w:val="4"/>
            <w:tcBorders>
              <w:top w:val="single" w:sz="4" w:space="0" w:color="auto"/>
            </w:tcBorders>
          </w:tcPr>
          <w:p w14:paraId="3DFB8D15"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 xml:space="preserve">Animal type  </w:t>
            </w:r>
          </w:p>
        </w:tc>
      </w:tr>
      <w:tr w:rsidR="00895D0B" w:rsidRPr="00895D0B" w14:paraId="02D6C7A4" w14:textId="77777777" w:rsidTr="006B68B5">
        <w:tc>
          <w:tcPr>
            <w:tcW w:w="3524" w:type="dxa"/>
          </w:tcPr>
          <w:p w14:paraId="656B995E"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Poultry</w:t>
            </w:r>
          </w:p>
        </w:tc>
        <w:tc>
          <w:tcPr>
            <w:tcW w:w="2963" w:type="dxa"/>
          </w:tcPr>
          <w:p w14:paraId="6BE7892E"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0.585</w:t>
            </w:r>
          </w:p>
        </w:tc>
        <w:tc>
          <w:tcPr>
            <w:tcW w:w="1386" w:type="dxa"/>
          </w:tcPr>
          <w:p w14:paraId="2C86A857"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-11.176</w:t>
            </w:r>
          </w:p>
        </w:tc>
        <w:tc>
          <w:tcPr>
            <w:tcW w:w="1097" w:type="dxa"/>
          </w:tcPr>
          <w:p w14:paraId="44F4EA8C"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0.000</w:t>
            </w:r>
          </w:p>
        </w:tc>
      </w:tr>
      <w:tr w:rsidR="00895D0B" w:rsidRPr="00895D0B" w14:paraId="7CF2BFD8" w14:textId="77777777" w:rsidTr="006B68B5">
        <w:tc>
          <w:tcPr>
            <w:tcW w:w="3524" w:type="dxa"/>
          </w:tcPr>
          <w:p w14:paraId="04B59CB3"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Sheep </w:t>
            </w:r>
          </w:p>
        </w:tc>
        <w:tc>
          <w:tcPr>
            <w:tcW w:w="2963" w:type="dxa"/>
          </w:tcPr>
          <w:p w14:paraId="46492265"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0.614</w:t>
            </w:r>
          </w:p>
        </w:tc>
        <w:tc>
          <w:tcPr>
            <w:tcW w:w="1386" w:type="dxa"/>
          </w:tcPr>
          <w:p w14:paraId="7EB96355"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-9.251</w:t>
            </w:r>
          </w:p>
        </w:tc>
        <w:tc>
          <w:tcPr>
            <w:tcW w:w="1097" w:type="dxa"/>
          </w:tcPr>
          <w:p w14:paraId="29249EF4"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0.000</w:t>
            </w:r>
          </w:p>
        </w:tc>
      </w:tr>
      <w:tr w:rsidR="00895D0B" w:rsidRPr="00895D0B" w14:paraId="012D45A6" w14:textId="77777777" w:rsidTr="006B68B5">
        <w:tc>
          <w:tcPr>
            <w:tcW w:w="3524" w:type="dxa"/>
          </w:tcPr>
          <w:p w14:paraId="07B6AD12"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Goat </w:t>
            </w:r>
          </w:p>
        </w:tc>
        <w:tc>
          <w:tcPr>
            <w:tcW w:w="2963" w:type="dxa"/>
          </w:tcPr>
          <w:p w14:paraId="061A38BA"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0.712</w:t>
            </w:r>
          </w:p>
        </w:tc>
        <w:tc>
          <w:tcPr>
            <w:tcW w:w="1386" w:type="dxa"/>
          </w:tcPr>
          <w:p w14:paraId="36FED8FD"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-6.770</w:t>
            </w:r>
          </w:p>
        </w:tc>
        <w:tc>
          <w:tcPr>
            <w:tcW w:w="1097" w:type="dxa"/>
          </w:tcPr>
          <w:p w14:paraId="69D73C32"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0.000</w:t>
            </w:r>
          </w:p>
        </w:tc>
      </w:tr>
      <w:tr w:rsidR="00895D0B" w:rsidRPr="00895D0B" w14:paraId="37B5A832" w14:textId="77777777" w:rsidTr="006B68B5">
        <w:tc>
          <w:tcPr>
            <w:tcW w:w="3524" w:type="dxa"/>
          </w:tcPr>
          <w:p w14:paraId="40D5B1F8"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Cattle </w:t>
            </w:r>
          </w:p>
        </w:tc>
        <w:tc>
          <w:tcPr>
            <w:tcW w:w="2963" w:type="dxa"/>
          </w:tcPr>
          <w:p w14:paraId="61194791"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0.785</w:t>
            </w:r>
          </w:p>
        </w:tc>
        <w:tc>
          <w:tcPr>
            <w:tcW w:w="1386" w:type="dxa"/>
          </w:tcPr>
          <w:p w14:paraId="21DB6E21"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-2.387</w:t>
            </w:r>
          </w:p>
        </w:tc>
        <w:tc>
          <w:tcPr>
            <w:tcW w:w="1097" w:type="dxa"/>
          </w:tcPr>
          <w:p w14:paraId="7A1CA367"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0.016</w:t>
            </w:r>
          </w:p>
        </w:tc>
      </w:tr>
      <w:tr w:rsidR="00895D0B" w:rsidRPr="00895D0B" w14:paraId="26DF726B" w14:textId="77777777" w:rsidTr="006B68B5">
        <w:tc>
          <w:tcPr>
            <w:tcW w:w="8971" w:type="dxa"/>
            <w:gridSpan w:val="4"/>
          </w:tcPr>
          <w:p w14:paraId="4F0250B8"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 xml:space="preserve">Type of housing </w:t>
            </w:r>
          </w:p>
        </w:tc>
      </w:tr>
      <w:tr w:rsidR="00895D0B" w:rsidRPr="00895D0B" w14:paraId="690B18D5" w14:textId="77777777" w:rsidTr="006B68B5">
        <w:tc>
          <w:tcPr>
            <w:tcW w:w="3524" w:type="dxa"/>
          </w:tcPr>
          <w:p w14:paraId="653548F6"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Walls roofed with zinc</w:t>
            </w:r>
          </w:p>
        </w:tc>
        <w:tc>
          <w:tcPr>
            <w:tcW w:w="2963" w:type="dxa"/>
          </w:tcPr>
          <w:p w14:paraId="483CFA41"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0.412</w:t>
            </w:r>
          </w:p>
        </w:tc>
        <w:tc>
          <w:tcPr>
            <w:tcW w:w="1386" w:type="dxa"/>
          </w:tcPr>
          <w:p w14:paraId="6659773D"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-20.288</w:t>
            </w:r>
          </w:p>
        </w:tc>
        <w:tc>
          <w:tcPr>
            <w:tcW w:w="1097" w:type="dxa"/>
          </w:tcPr>
          <w:p w14:paraId="11404105"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0.000</w:t>
            </w:r>
          </w:p>
        </w:tc>
      </w:tr>
      <w:tr w:rsidR="00895D0B" w:rsidRPr="00895D0B" w14:paraId="1814E9DA" w14:textId="77777777" w:rsidTr="006B68B5">
        <w:tc>
          <w:tcPr>
            <w:tcW w:w="3524" w:type="dxa"/>
          </w:tcPr>
          <w:p w14:paraId="69C4902C"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Wooden structure roofed with zinc </w:t>
            </w:r>
          </w:p>
        </w:tc>
        <w:tc>
          <w:tcPr>
            <w:tcW w:w="2963" w:type="dxa"/>
          </w:tcPr>
          <w:p w14:paraId="34DBDE4C"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0.460</w:t>
            </w:r>
          </w:p>
        </w:tc>
        <w:tc>
          <w:tcPr>
            <w:tcW w:w="1386" w:type="dxa"/>
          </w:tcPr>
          <w:p w14:paraId="71EBDC2D"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-14.851</w:t>
            </w:r>
          </w:p>
        </w:tc>
        <w:tc>
          <w:tcPr>
            <w:tcW w:w="1097" w:type="dxa"/>
          </w:tcPr>
          <w:p w14:paraId="006AB0FF"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0.000</w:t>
            </w:r>
          </w:p>
        </w:tc>
      </w:tr>
      <w:tr w:rsidR="00895D0B" w:rsidRPr="00895D0B" w14:paraId="591BC650" w14:textId="77777777" w:rsidTr="006B68B5">
        <w:tc>
          <w:tcPr>
            <w:tcW w:w="3524" w:type="dxa"/>
          </w:tcPr>
          <w:p w14:paraId="755C010C"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Open space</w:t>
            </w:r>
          </w:p>
        </w:tc>
        <w:tc>
          <w:tcPr>
            <w:tcW w:w="2963" w:type="dxa"/>
          </w:tcPr>
          <w:p w14:paraId="65A11F2F"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1.339</w:t>
            </w:r>
          </w:p>
        </w:tc>
        <w:tc>
          <w:tcPr>
            <w:tcW w:w="1386" w:type="dxa"/>
          </w:tcPr>
          <w:p w14:paraId="71362D01"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1.947</w:t>
            </w:r>
          </w:p>
        </w:tc>
        <w:tc>
          <w:tcPr>
            <w:tcW w:w="1097" w:type="dxa"/>
          </w:tcPr>
          <w:p w14:paraId="466984E3"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0.051</w:t>
            </w:r>
          </w:p>
        </w:tc>
      </w:tr>
      <w:tr w:rsidR="00895D0B" w:rsidRPr="00895D0B" w14:paraId="5920139C" w14:textId="77777777" w:rsidTr="006B68B5">
        <w:tc>
          <w:tcPr>
            <w:tcW w:w="8971" w:type="dxa"/>
            <w:gridSpan w:val="4"/>
          </w:tcPr>
          <w:p w14:paraId="1993E0B4"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 xml:space="preserve">Crop farm sizes </w:t>
            </w:r>
          </w:p>
        </w:tc>
      </w:tr>
      <w:tr w:rsidR="00895D0B" w:rsidRPr="00895D0B" w14:paraId="7A526C1B" w14:textId="77777777" w:rsidTr="006B68B5">
        <w:tc>
          <w:tcPr>
            <w:tcW w:w="3524" w:type="dxa"/>
          </w:tcPr>
          <w:p w14:paraId="3E9D26AE"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Less than 0.3 an acre</w:t>
            </w:r>
          </w:p>
        </w:tc>
        <w:tc>
          <w:tcPr>
            <w:tcW w:w="2963" w:type="dxa"/>
          </w:tcPr>
          <w:p w14:paraId="2DE1C757"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0.478</w:t>
            </w:r>
          </w:p>
        </w:tc>
        <w:tc>
          <w:tcPr>
            <w:tcW w:w="1386" w:type="dxa"/>
          </w:tcPr>
          <w:p w14:paraId="49A91E2F"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-20.374</w:t>
            </w:r>
          </w:p>
        </w:tc>
        <w:tc>
          <w:tcPr>
            <w:tcW w:w="1097" w:type="dxa"/>
          </w:tcPr>
          <w:p w14:paraId="77F7D926"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0.000</w:t>
            </w:r>
          </w:p>
        </w:tc>
      </w:tr>
      <w:tr w:rsidR="00895D0B" w:rsidRPr="00895D0B" w14:paraId="782EA676" w14:textId="77777777" w:rsidTr="006B68B5">
        <w:tc>
          <w:tcPr>
            <w:tcW w:w="3524" w:type="dxa"/>
          </w:tcPr>
          <w:p w14:paraId="470A37D4"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0.3 an acre</w:t>
            </w:r>
          </w:p>
        </w:tc>
        <w:tc>
          <w:tcPr>
            <w:tcW w:w="2963" w:type="dxa"/>
          </w:tcPr>
          <w:p w14:paraId="6E0C88C5"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0.536</w:t>
            </w:r>
          </w:p>
        </w:tc>
        <w:tc>
          <w:tcPr>
            <w:tcW w:w="1386" w:type="dxa"/>
          </w:tcPr>
          <w:p w14:paraId="71E7D5B7"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-6.817</w:t>
            </w:r>
          </w:p>
        </w:tc>
        <w:tc>
          <w:tcPr>
            <w:tcW w:w="1097" w:type="dxa"/>
          </w:tcPr>
          <w:p w14:paraId="65FEB9E6"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0.000</w:t>
            </w:r>
          </w:p>
        </w:tc>
      </w:tr>
      <w:tr w:rsidR="00895D0B" w:rsidRPr="00895D0B" w14:paraId="5A5708DF" w14:textId="77777777" w:rsidTr="006B68B5">
        <w:tc>
          <w:tcPr>
            <w:tcW w:w="3524" w:type="dxa"/>
          </w:tcPr>
          <w:p w14:paraId="30B4EB03"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0.5 an acre</w:t>
            </w:r>
          </w:p>
        </w:tc>
        <w:tc>
          <w:tcPr>
            <w:tcW w:w="2963" w:type="dxa"/>
          </w:tcPr>
          <w:p w14:paraId="27A8AC88"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1.226</w:t>
            </w:r>
          </w:p>
        </w:tc>
        <w:tc>
          <w:tcPr>
            <w:tcW w:w="1386" w:type="dxa"/>
          </w:tcPr>
          <w:p w14:paraId="0CEF9A1A"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1.372</w:t>
            </w:r>
          </w:p>
        </w:tc>
        <w:tc>
          <w:tcPr>
            <w:tcW w:w="1097" w:type="dxa"/>
          </w:tcPr>
          <w:p w14:paraId="5EF78FDD"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0.169</w:t>
            </w:r>
          </w:p>
        </w:tc>
      </w:tr>
      <w:tr w:rsidR="00895D0B" w:rsidRPr="00895D0B" w14:paraId="0AD7C35C" w14:textId="77777777" w:rsidTr="006B68B5">
        <w:tc>
          <w:tcPr>
            <w:tcW w:w="3524" w:type="dxa"/>
            <w:tcBorders>
              <w:bottom w:val="single" w:sz="4" w:space="0" w:color="auto"/>
            </w:tcBorders>
          </w:tcPr>
          <w:p w14:paraId="57FC28F4"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1 acre</w:t>
            </w:r>
          </w:p>
        </w:tc>
        <w:tc>
          <w:tcPr>
            <w:tcW w:w="2963" w:type="dxa"/>
            <w:tcBorders>
              <w:bottom w:val="single" w:sz="4" w:space="0" w:color="auto"/>
            </w:tcBorders>
          </w:tcPr>
          <w:p w14:paraId="7FBBFF97"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0.795</w:t>
            </w:r>
          </w:p>
        </w:tc>
        <w:tc>
          <w:tcPr>
            <w:tcW w:w="1386" w:type="dxa"/>
            <w:tcBorders>
              <w:bottom w:val="single" w:sz="4" w:space="0" w:color="auto"/>
            </w:tcBorders>
          </w:tcPr>
          <w:p w14:paraId="6A4933B9"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-1.172</w:t>
            </w:r>
          </w:p>
        </w:tc>
        <w:tc>
          <w:tcPr>
            <w:tcW w:w="1097" w:type="dxa"/>
            <w:tcBorders>
              <w:bottom w:val="single" w:sz="4" w:space="0" w:color="auto"/>
            </w:tcBorders>
          </w:tcPr>
          <w:p w14:paraId="15522164" w14:textId="77777777" w:rsidR="001B4ED5" w:rsidRPr="00895D0B" w:rsidRDefault="006B41C0">
            <w:pPr>
              <w:spacing w:line="240" w:lineRule="auto"/>
              <w:jc w:val="center"/>
              <w:rPr>
                <w:rFonts w:cs="Times New Roman"/>
                <w:color w:val="000000" w:themeColor="text1"/>
                <w:szCs w:val="24"/>
              </w:rPr>
            </w:pPr>
            <w:r w:rsidRPr="00895D0B">
              <w:rPr>
                <w:rFonts w:cs="Times New Roman"/>
                <w:color w:val="000000" w:themeColor="text1"/>
                <w:szCs w:val="24"/>
              </w:rPr>
              <w:t>0.240</w:t>
            </w:r>
          </w:p>
        </w:tc>
      </w:tr>
    </w:tbl>
    <w:p w14:paraId="126E6595" w14:textId="77777777"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17D76E85" w14:textId="77777777" w:rsidR="00056D43" w:rsidRPr="00895D0B" w:rsidRDefault="00056D43">
      <w:pPr>
        <w:spacing w:line="360" w:lineRule="auto"/>
        <w:rPr>
          <w:rFonts w:cs="Times New Roman"/>
          <w:color w:val="000000" w:themeColor="text1"/>
          <w:szCs w:val="24"/>
        </w:rPr>
      </w:pPr>
    </w:p>
    <w:p w14:paraId="3123AC21" w14:textId="688421AE" w:rsidR="001F7341" w:rsidRDefault="001F7341" w:rsidP="001F7341">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Evidentially, narrowing down to the locations of the type of housing location cross space, three types were identified; housing in walls roofed with zinc, wooden structures roofed with zinc, and open space or free-ranging practice. Given that the z-score of housing animals in structures with walls and roofs covered with zinc is -20.288, there is a less than 1% likelihood that this clustered pattern could be the result of random chance. In the same way, given the z-score of -14.851 for wooden structures roofed with zinc, there is a less than 1% likelihood that this clustered pattern could be the result of random chance.</w:t>
      </w:r>
    </w:p>
    <w:p w14:paraId="300D070C" w14:textId="77777777" w:rsidR="001F7341" w:rsidRPr="00895D0B" w:rsidRDefault="001F7341" w:rsidP="00056D43">
      <w:pPr>
        <w:pStyle w:val="NoSpacing"/>
        <w:rPr>
          <w:lang w:eastAsia="en-GB"/>
        </w:rPr>
      </w:pPr>
    </w:p>
    <w:p w14:paraId="03652E0D" w14:textId="77777777" w:rsidR="00246C3F" w:rsidRPr="00895D0B" w:rsidRDefault="00246C3F" w:rsidP="00246C3F">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However, the case is different for open space or free-range practice, given the z-score of 1.947, there is a less than 10% likelihood that this dispersed pattern could be the result of random chance. Subsequently, the locations of farms for crop production by sizes (&gt; 0.3, 0.3, 0.5, and 1) were analyzed. Given that the z-score of -20.374 for crop farm size is &gt;0.3 acres, there is a less than 1% likelihood that this clustered pattern could be the result of random chance. Furthermore, given the z-value of -6.817 for a </w:t>
      </w:r>
      <w:r w:rsidRPr="00895D0B">
        <w:rPr>
          <w:rFonts w:eastAsia="Times New Roman" w:cs="Times New Roman"/>
          <w:color w:val="000000" w:themeColor="text1"/>
          <w:szCs w:val="24"/>
          <w:lang w:eastAsia="en-GB"/>
        </w:rPr>
        <w:lastRenderedPageBreak/>
        <w:t>crop farm of 0.3 acres, there is a less than 1% likelihood that the clustered pattern could be the result of random chance. To add more, given that the z-score of 1.372 is for a crop farm size of 0.5 acre, the pattern does not appear to be significantly different than random. Similar to this, given that the z-score is -1.172 for a crop farm size of 1 acre, the pattern does not appear to be significantly different than random. Furthermore, the spatial structure of animal populations in cities can be categorized as aggregated, random, or dispersed. These categories are based on the hypothesis of the stationarity of the process. Aggregated distribution refers to animals being clustered in specific areas; random distribution means they are evenly distributed; and dispersed distribution means they are scattered throughout the urban landscape. Overall, the spatial distribution of animal housing in cities can vary depending on the species, habitat availability, and human influence.</w:t>
      </w:r>
    </w:p>
    <w:p w14:paraId="01E8D8A9" w14:textId="77777777" w:rsidR="001B4ED5" w:rsidRPr="00895D0B" w:rsidRDefault="001B4ED5" w:rsidP="00166F50">
      <w:pPr>
        <w:pStyle w:val="NoSpacing"/>
      </w:pPr>
    </w:p>
    <w:p w14:paraId="5CCC7EF2" w14:textId="77777777" w:rsidR="001B4ED5" w:rsidRPr="00895D0B" w:rsidRDefault="006B41C0">
      <w:pPr>
        <w:pStyle w:val="Heading2"/>
      </w:pPr>
      <w:bookmarkStart w:id="134" w:name="_Toc167379929"/>
      <w:r w:rsidRPr="00895D0B">
        <w:t>5.4 Discussions of Major Findings</w:t>
      </w:r>
      <w:bookmarkEnd w:id="134"/>
      <w:r w:rsidRPr="00895D0B">
        <w:t xml:space="preserve"> </w:t>
      </w:r>
    </w:p>
    <w:p w14:paraId="2C2EE28F" w14:textId="77777777" w:rsidR="001B4ED5" w:rsidRPr="00895D0B" w:rsidRDefault="006B41C0" w:rsidP="009864E3">
      <w:pPr>
        <w:pStyle w:val="Heading3"/>
      </w:pPr>
      <w:bookmarkStart w:id="135" w:name="_Toc167379930"/>
      <w:r w:rsidRPr="00895D0B">
        <w:t>5.4.1 Spatial dynamics of types of animals within the urban neighbourhood</w:t>
      </w:r>
      <w:bookmarkEnd w:id="135"/>
    </w:p>
    <w:p w14:paraId="331ED5A3" w14:textId="06A679FB" w:rsidR="008C1AA9" w:rsidRDefault="006B41C0">
      <w:pPr>
        <w:shd w:val="clear" w:color="auto" w:fill="FFFFFF"/>
        <w:spacing w:line="360" w:lineRule="auto"/>
        <w:rPr>
          <w:rFonts w:cs="Times New Roman"/>
          <w:color w:val="000000" w:themeColor="text1"/>
          <w:szCs w:val="24"/>
        </w:rPr>
      </w:pPr>
      <w:r w:rsidRPr="00895D0B">
        <w:rPr>
          <w:rFonts w:eastAsia="Times New Roman" w:cs="Times New Roman"/>
          <w:color w:val="000000" w:themeColor="text1"/>
          <w:szCs w:val="24"/>
          <w:lang w:eastAsia="en-GB"/>
        </w:rPr>
        <w:t>Raising animals in higher population density areas under climate change can have various effects. High environmental temperatures, which are often associated with climate change, can compromise the reproductive efficiency of farm animals, leading to a negative impact on milk, meat, and egg production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 xml:space="preserve">ADDIN CSL_CITATION {"citationItems":[{"id":"ITEM-1","itemData":{"DOI":"10.1016/j.livsci.2010.02.011","ISSN":"1871-1413","author":[{"dropping-particle":"","family":"Nardone","given":"A","non-dropping-particle":"","parse-names":false,"suffix":""},{"dropping-particle":"","family":"Ronchi","given":"B","non-dropping-particle":"","parse-names":false,"suffix":""},{"dropping-particle":"","family":"Lacetera","given":"N","non-dropping-particle":"","parse-names":false,"suffix":""},{"dropping-particle":"","family":"Ranieri","given":"M S","non-dropping-particle":"","parse-names":false,"suffix":""},{"dropping-particle":"","family":"Bernabucci","given":"U","non-dropping-particle":"","parse-names":false,"suffix":""}],"container-title":"Livestock Science","id":"ITEM-1","issue":"1-3","issued":{"date-parts":[["2010"]]},"page":"57-69","publisher":"Elsevier B.V.","title":"Effects of climate changes on animal production and sustainability of livestock systems </w:instrText>
      </w:r>
      <w:r w:rsidRPr="00895D0B">
        <w:rPr>
          <w:rFonts w:ascii="Segoe UI Symbol" w:eastAsia="Times New Roman" w:hAnsi="Segoe UI Symbol" w:cs="Segoe UI Symbol"/>
          <w:color w:val="000000" w:themeColor="text1"/>
          <w:szCs w:val="24"/>
          <w:lang w:eastAsia="en-GB"/>
        </w:rPr>
        <w:instrText>☆</w:instrText>
      </w:r>
      <w:r w:rsidRPr="00895D0B">
        <w:rPr>
          <w:rFonts w:eastAsia="Times New Roman" w:cs="Times New Roman"/>
          <w:color w:val="000000" w:themeColor="text1"/>
          <w:szCs w:val="24"/>
          <w:lang w:eastAsia="en-GB"/>
        </w:rPr>
        <w:instrText>","type":"article-journal","volume":"130"},"uris":["http://www.mendeley.com/documents/?uuid=6bddc143-c2b9-4697-93e2-3125bd0522b9"]}],"mendeley":{"formattedCitation":"(Nardone et al., 2010)","plainTextFormattedCitation":"(Nardone et al., 2010)","previouslyFormattedCitation":"(Nardone et al., 2010)"},"properties":{"noteIndex":0},"schema":"https://github.com/citation-style-language/schema/raw/master/csl-citation.json"}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(Nardone et al., 2010)</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Climate change can also affect livestock growth rates, as well as milk and egg production globally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author":[{"dropping-particle":"","family":"Cheng","given":"M.","non-dropping-particle":"","parse-names":false,"suffix":""},{"dropping-particle":"","family":"Mccarl","given":"B.","non-dropping-particle":"","parse-names":false,"suffix":""},{"dropping-particle":"","family":"Fei","given":"C.","non-dropping-particle":"","parse-names":false,"suffix":""}],"id":"ITEM-1","issued":{"date-parts":[["2022"]]},"title":"Climate Change and Livestock Production : A Literature Review","type":"article-journal"},"uris":["http://www.mendeley.com/documents/?uuid=a7c928df-16e1-4745-9874-e897729480c3"]}],"mendeley":{"formattedCitation":"(Cheng et al., 2022)","plainTextFormattedCitation":"(Cheng et al., 2022)","previouslyFormattedCitation":"(Cheng et al., 2022)"},"properties":{"noteIndex":0},"schema":"https://github.com/citation-style-language/schema/raw/master/csl-citation.json"}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(Cheng et al., 2022)</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In response to climate change and the need for increased productivity, farming units may increase in size with fewer animals per area unit, aiming for greater efficiency under intensive conditions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10.3390/ani5020361","author":[{"dropping-particle":"","family":"Shields","given":"S.","non-dropping-particle":"","parse-names":false,"suffix":""},{"dropping-particle":"","family":"Orme-evans","given":"G.","non-dropping-particle":"","parse-names":false,"suffix":""}],"id":"ITEM-1","issued":{"date-parts":[["2015"]]},"page":"361-394","title":"The Impacts of Climate Change Mitigation Strategies on Animal Welfare","type":"article-journal"},"uris":["http://www.mendeley.com/documents/?uuid=ab0eb025-f66e-4b63-8069-cc29cd073941"]}],"mendeley":{"formattedCitation":"(Shields &amp; Orme-evans, 2015)","plainTextFormattedCitation":"(Shields &amp; Orme-evans, 2015)","previouslyFormattedCitation":"(Shields &amp; Orme-evans, 2015)"},"properties":{"noteIndex":0},"schema":"https://github.com/citation-style-language/schema/raw/master/csl-citation.json"}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(Shields &amp; Orme-evans, 2015)</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However, it is important to note that pushing animals to increase productivity through selective breeding, the use of hormones, or other means may also have unintended consequences. Additionally, if the density of animals in a specific area exceeds its environmental carrying capacity, it can lead to compensatory increases in demographic parameters and population growth </w:t>
      </w:r>
      <w:r w:rsidRPr="00895D0B">
        <w:rPr>
          <w:rFonts w:eastAsia="Times New Roman" w:cs="Times New Roman"/>
          <w:color w:val="000000" w:themeColor="text1"/>
          <w:szCs w:val="24"/>
          <w:lang w:eastAsia="en-GB"/>
        </w:rPr>
        <w:fldChar w:fldCharType="begin" w:fldLock="1"/>
      </w:r>
      <w:r w:rsidRPr="00895D0B">
        <w:rPr>
          <w:rFonts w:eastAsia="Times New Roman" w:cs="Times New Roman"/>
          <w:color w:val="000000" w:themeColor="text1"/>
          <w:szCs w:val="24"/>
          <w:lang w:eastAsia="en-GB"/>
        </w:rPr>
        <w:instrText>ADDIN CSL_CITATION {"citationItems":[{"id":"ITEM-1","itemData":{"DOI":"10.1111/1365-2656.13377","author":[{"dropping-particle":"","family":"Jaatinen","given":"K.","non-dropping-particle":"","parse-names":false,"suffix":""},{"dropping-particle":"","family":"Westerbom","given":"M.","non-dropping-particle":"","parse-names":false,"suffix":""},{"dropping-particle":"","family":"Norkko","given":"A.","non-dropping-particle":"","parse-names":false,"suffix":""}],"id":"ITEM-1","issue":"April 2020","issued":{"date-parts":[["2021"]]},"page":"562-573","title":"Detrimental impacts of climate change may be exacerbated by density-dependent population regulation in blue mussels","type":"article-journal"},"uris":["http://www.mendeley.com/documents/?uuid=a8585e3e-297b-497e-be7f-3be9b7c1e602"]}],"mendeley":{"formattedCitation":"(Jaatinen et al., 2021)","plainTextFormattedCitation":"(Jaatinen et al., 2021)","previouslyFormattedCitation":"(Jaatinen et al., 2021)"},"properties":{"noteIndex":0},"schema":"https://github.com/citation-style-language/schema/raw/master/csl-citation.json"}</w:instrText>
      </w:r>
      <w:r w:rsidRPr="00895D0B">
        <w:rPr>
          <w:rFonts w:eastAsia="Times New Roman" w:cs="Times New Roman"/>
          <w:color w:val="000000" w:themeColor="text1"/>
          <w:szCs w:val="24"/>
          <w:lang w:eastAsia="en-GB"/>
        </w:rPr>
        <w:fldChar w:fldCharType="separate"/>
      </w:r>
      <w:r w:rsidRPr="00895D0B">
        <w:rPr>
          <w:rFonts w:eastAsia="Times New Roman" w:cs="Times New Roman"/>
          <w:noProof/>
          <w:color w:val="000000" w:themeColor="text1"/>
          <w:szCs w:val="24"/>
          <w:lang w:eastAsia="en-GB"/>
        </w:rPr>
        <w:t>(Jaatinen et al., 2021)</w:t>
      </w:r>
      <w:r w:rsidRPr="00895D0B">
        <w:rPr>
          <w:rFonts w:eastAsia="Times New Roman" w:cs="Times New Roman"/>
          <w:color w:val="000000" w:themeColor="text1"/>
          <w:szCs w:val="24"/>
          <w:lang w:eastAsia="en-GB"/>
        </w:rPr>
        <w:fldChar w:fldCharType="end"/>
      </w:r>
      <w:r w:rsidRPr="00895D0B">
        <w:rPr>
          <w:rFonts w:eastAsia="Times New Roman" w:cs="Times New Roman"/>
          <w:color w:val="000000" w:themeColor="text1"/>
          <w:szCs w:val="24"/>
          <w:lang w:eastAsia="en-GB"/>
        </w:rPr>
        <w:t xml:space="preserve">. It is crucial to consider the environmental, welfare, and productivity implications when raising animals in high-density areas under the influence of climate change. </w:t>
      </w:r>
      <w:r w:rsidRPr="00895D0B">
        <w:rPr>
          <w:rFonts w:cs="Times New Roman"/>
          <w:color w:val="000000" w:themeColor="text1"/>
          <w:szCs w:val="24"/>
        </w:rPr>
        <w:t xml:space="preserve">This, in one way or the other, results from the difficulties in rearing goats in a highly populated environment such as the city core. Goats by nature are destructive and difficult to control when not in a confined place. Therefore, the intensive system of rearing animals best fits this zone which needs maximum care and protection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Osman","given":"A.","non-dropping-particle":"","parse-names":false,"suffix":""},{"dropping-particle":"","family":"Karikari","given":"P.K.","non-dropping-particle":"","parse-names":false,"suffix":""},{"dropping-particle":"","family":"Osafo","given":"E.L.K.","non-dropping-particle":"","parse-names":false,"suffix":""},{"dropping-particle":"","family":"Attoh-Kotoku","given":"V.","non-dropping-particle":"","parse-names":false,"suffix":""}],"container-title":"Journal of Animal Science and Biotechnology","id":"ITEM-1","issue":"January","issued":{"date-parts":[["2018"]]},"page":"98–110","title":"Smallholder Urban Cattle Production : Prospects and Challenges in the Kumasi Metropolis and Asokore Mampong Municipality of the Ashanti Region of Ghana","type":"article-journal","volume":"9"},"uris":["http://www.mendeley.com/documents/?uuid=c62525d4-fc6e-4e78-ac3a-74831cd2b6f9"]}],"mendeley":{"formattedCitation":"(Osman et al., 2018)","plainTextFormattedCitation":"(Osman et al., 2018)","previouslyFormattedCitation":"(Osman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(Osman et al., 2018)</w:t>
      </w:r>
      <w:r w:rsidRPr="00895D0B">
        <w:rPr>
          <w:rFonts w:cs="Times New Roman"/>
          <w:color w:val="000000" w:themeColor="text1"/>
          <w:szCs w:val="24"/>
        </w:rPr>
        <w:fldChar w:fldCharType="end"/>
      </w:r>
      <w:r w:rsidRPr="00895D0B">
        <w:rPr>
          <w:rFonts w:cs="Times New Roman"/>
          <w:color w:val="000000" w:themeColor="text1"/>
          <w:szCs w:val="24"/>
        </w:rPr>
        <w:t xml:space="preserve">. Care for feed and </w:t>
      </w:r>
      <w:r w:rsidRPr="00895D0B">
        <w:rPr>
          <w:rFonts w:cs="Times New Roman"/>
          <w:color w:val="000000" w:themeColor="text1"/>
          <w:szCs w:val="24"/>
        </w:rPr>
        <w:lastRenderedPageBreak/>
        <w:t xml:space="preserve">water is paramount to protect against theft. However, the transition zone has enough space for housing goats, especially for the semi-intensive system where animals graze outside during the day but are confined in the evening. To add more, the goat does not have much socio-cultural significance to the residents within the core particularly; the Muslim fraternity values livestock that supports their religious values and performances. </w:t>
      </w:r>
    </w:p>
    <w:p w14:paraId="3BA24164" w14:textId="77777777" w:rsidR="008C1AA9" w:rsidRDefault="008C1AA9" w:rsidP="00166F50">
      <w:pPr>
        <w:pStyle w:val="NoSpacing"/>
      </w:pPr>
    </w:p>
    <w:p w14:paraId="1DB64DDC" w14:textId="264EABBA" w:rsidR="001B4ED5" w:rsidRPr="00895D0B" w:rsidRDefault="006B41C0">
      <w:pPr>
        <w:shd w:val="clear" w:color="auto" w:fill="FFFFFF"/>
        <w:spacing w:line="360" w:lineRule="auto"/>
        <w:rPr>
          <w:rFonts w:eastAsia="Times New Roman" w:cs="Times New Roman"/>
          <w:color w:val="000000" w:themeColor="text1"/>
          <w:szCs w:val="24"/>
          <w:lang w:eastAsia="en-GB"/>
        </w:rPr>
      </w:pPr>
      <w:r w:rsidRPr="00895D0B">
        <w:rPr>
          <w:rFonts w:cs="Times New Roman"/>
          <w:color w:val="000000" w:themeColor="text1"/>
          <w:szCs w:val="24"/>
        </w:rPr>
        <w:t>The pattern in goat production shows an expansion into the outer core of the city. This means that the zone has more potential such as land availability due to the lower density of the space which promotes easy housing of goats and the practice of semi-intensive systems at less</w:t>
      </w:r>
      <w:r w:rsidRPr="00895D0B">
        <w:rPr>
          <w:rFonts w:cs="Times New Roman"/>
          <w:color w:val="000000" w:themeColor="text1"/>
          <w:szCs w:val="24"/>
          <w:u w:val="thick"/>
        </w:rPr>
        <w:t xml:space="preserve"> </w:t>
      </w:r>
      <w:r w:rsidRPr="00895D0B">
        <w:rPr>
          <w:rFonts w:cs="Times New Roman"/>
          <w:color w:val="000000" w:themeColor="text1"/>
          <w:szCs w:val="24"/>
        </w:rPr>
        <w:t xml:space="preserve">cost. </w:t>
      </w:r>
      <w:r w:rsidRPr="00895D0B">
        <w:rPr>
          <w:rFonts w:eastAsia="Times New Roman" w:cs="Times New Roman"/>
          <w:color w:val="000000" w:themeColor="text1"/>
          <w:szCs w:val="24"/>
          <w:lang w:eastAsia="en-GB"/>
        </w:rPr>
        <w:t xml:space="preserve">Cattle production is not key in urban animal farmers. </w:t>
      </w:r>
      <w:r w:rsidRPr="00895D0B">
        <w:rPr>
          <w:rFonts w:cs="Times New Roman"/>
          <w:color w:val="000000" w:themeColor="text1"/>
          <w:szCs w:val="24"/>
        </w:rPr>
        <w:t xml:space="preserve">This pattern reflects the difficult situation accompanying cattle production in terms of housing and feeding. Cattle production is easier when under a semi-intensive system rather than an intensive system. This is a reflection on why urban dwellers are interested in raising animals within the city core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Osman","given":"A.","non-dropping-particle":"","parse-names":false,"suffix":""},{"dropping-particle":"","family":"Karikari","given":"P.K.","non-dropping-particle":"","parse-names":false,"suffix":""},{"dropping-particle":"","family":"Osafo","given":"E.L.K.","non-dropping-particle":"","parse-names":false,"suffix":""},{"dropping-particle":"","family":"Attoh-Kotoku","given":"V.","non-dropping-particle":"","parse-names":false,"suffix":""}],"container-title":"Journal of Animal Science and Biotechnology","id":"ITEM-1","issue":"January","issued":{"date-parts":[["2018"]]},"page":"98–110","title":"Smallholder Urban Cattle Production : Prospects and Challenges in the Kumasi Metropolis and Asokore Mampong Municipality of the Ashanti Region of Ghana","type":"article-journal","volume":"9"},"uris":["http://www.mendeley.com/documents/?uuid=c62525d4-fc6e-4e78-ac3a-74831cd2b6f9"]},{"id":"ITEM-2","itemData":{"DOI":"10.1080/03066150.2019.1655639","ISSN":"17439361","abstract":"As the effects of climate change intensify, subsistence farmers in Ghana are expected to face increased food insecurity, due to their reliance on rainfed agriculture. Within households, young women are expected to support all aspects of household food security, and will experience a more burdensome load of labor, as a dwindling stock of natural resources will make daily tasks more time consuming. The intersection of age, gender, and location inhibits young women's decision-making responsibilities and wage-earning potential. Climate change exacerbates this dynamic, which restricts opportunities to acquire sufficient food and places increased stress on household food systems.","author":[{"dropping-particle":"","family":"Wood","given":"Alexa L.","non-dropping-particle":"","parse-names":false,"suffix":""},{"dropping-particle":"","family":"Ansah","given":"Prince","non-dropping-particle":"","parse-names":false,"suffix":""},{"dropping-particle":"","family":"Rivers","given":"Louie","non-dropping-particle":"","parse-names":false,"suffix":""},{"dropping-particle":"","family":"Ligmann-Zielinska","given":"Arika","non-dropping-particle":"","parse-names":false,"suffix":""}],"container-title":"Journal of Peasant Studies","id":"ITEM-2","issue":"2","issued":{"date-parts":[["2021"]]},"page":"329-348","title":"Examining climate change and food security in Ghana through an intersectional framework","type":"article-journal","volume":"48"},"uris":["http://www.mendeley.com/documents/?uuid=a4a4e629-aad8-47b1-a8be-046755f79798"]}],"mendeley":{"formattedCitation":"(Osman et al., 2018; Wood et al., 2021)","plainTextFormattedCitation":"(Osman et al., 2018; Wood et al., 2021)","previouslyFormattedCitation":"(Osman et al., 2018; Wood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(Osman et al., 2018; Wood et al., 2021)</w:t>
      </w:r>
      <w:r w:rsidRPr="00895D0B">
        <w:rPr>
          <w:rFonts w:cs="Times New Roman"/>
          <w:color w:val="000000" w:themeColor="text1"/>
          <w:szCs w:val="24"/>
        </w:rPr>
        <w:fldChar w:fldCharType="end"/>
      </w:r>
      <w:r w:rsidRPr="00895D0B">
        <w:rPr>
          <w:rFonts w:cs="Times New Roman"/>
          <w:color w:val="000000" w:themeColor="text1"/>
          <w:szCs w:val="24"/>
        </w:rPr>
        <w:t xml:space="preserve">. The transitional zone has more potential to rear animals such as the availability of land space for houses and easy feeding of the cattle. This means that the patches of animal production found within the city mean that residents have a peculiar interest in cattle. This could be attributed to the use of animals for sacrifices during Muslim celebrations which is the dominant religious denomination at the urban core. This reiterates the fact that animal producers’ choice in the type of animals is defined by the socio-cultural values they attach to them. </w:t>
      </w:r>
    </w:p>
    <w:p w14:paraId="75D5B674" w14:textId="77777777" w:rsidR="001B4ED5" w:rsidRPr="00895D0B" w:rsidRDefault="001B4ED5" w:rsidP="00056D43">
      <w:pPr>
        <w:pStyle w:val="NoSpacing"/>
      </w:pPr>
    </w:p>
    <w:p w14:paraId="22C56F90" w14:textId="77777777" w:rsidR="001B4ED5" w:rsidRPr="00895D0B" w:rsidRDefault="006B41C0" w:rsidP="009864E3">
      <w:pPr>
        <w:pStyle w:val="Heading3"/>
      </w:pPr>
      <w:bookmarkStart w:id="136" w:name="_Toc167379931"/>
      <w:r w:rsidRPr="00895D0B">
        <w:t>5.4.2 Spatial distribution of type of animal housing structure</w:t>
      </w:r>
      <w:bookmarkEnd w:id="136"/>
    </w:p>
    <w:p w14:paraId="0B559EB0"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Wooden structures are not common in housing animals in urban farming. The reason could be the unavailability of space to form these structures as land is highly competitive within this zone. The findings contradict the argument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{"citationItems":[{"id":"ITEM-1","itemData":{"DOI":"10.3389/fvets.2021.600299","ISSN":"22971769","abstract":"The study assessed urban farmers' knowledge of health hazards associated with Urban Livestock Farming (ULF) in Southeast Nigeria. Multistage and random sampling techniques were used to select 210 respondents. Structured interview schedule was used to collect data. Data collected were analyzed using descriptive and inferential statistics. Major type of animals reared was broiler. A good proportion of the respondents had a high knowledge of hazards associated with livestock keeping. However, some farmers did not know that animal products from intensive system can be contaminated with heavy metals and that animal dung should be treated before use for crop cultivation. There was a significant influence of socio-economic characteristics of farmers on knowledge of hazards posed by livestock keeping. Farmers' knowledge of hazards varied significantly between the three states studied. Farmers therefore need technical advice to fully understand the hazards associated with urban livestock farming and their consequences as well as on pre-treatment of dung to reduce transfer of pathogens.","author":[{"dropping-particle":"","family":"Asadu","given":"A. N.","non-dropping-particle":"","parse-names":false,"suffix":""},{"dropping-particle":"","family":"Chah","given":"J. M.","non-dropping-particle":"","parse-names":false,"suffix":""},{"dropping-particle":"","family":"Attamah","given":"C. O.","non-dropping-particle":"","parse-names":false,"suffix":""},{"dropping-particle":"","family":"Igbokwe","given":"E. M.","non-dropping-particle":"","parse-names":false,"suffix":""}],"container-title":"Frontiers in Veterinary Science","id":"ITEM-1","issue":"March","issued":{"date-parts":[["2021"]]},"page":"1-10","title":"Knowledge of Hazards Associated With Urban Livestock Farming in Southeast Nigeria","type":"article-journal","volume":"8"},"uris":["http://www.mendeley.com/documents/?uuid=23d79bbd-1f74-4e84-8523-2c329d5526cd"]}],"mendeley":{"formattedCitation":"(Asadu et al., 2021)","manualFormatting":"Asadu et al. (2021)","plainTextFormattedCitation":"(Asadu et al., 2021)","previouslyFormattedCitation":"(Asadu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Asadu et al. (2021)</w:t>
      </w:r>
      <w:r w:rsidRPr="00895D0B">
        <w:rPr>
          <w:rFonts w:cs="Times New Roman"/>
          <w:color w:val="000000" w:themeColor="text1"/>
          <w:szCs w:val="24"/>
        </w:rPr>
        <w:fldChar w:fldCharType="end"/>
      </w:r>
      <w:r w:rsidRPr="00895D0B">
        <w:rPr>
          <w:rFonts w:cs="Times New Roman"/>
          <w:color w:val="000000" w:themeColor="text1"/>
          <w:szCs w:val="24"/>
        </w:rPr>
        <w:t xml:space="preserve"> that animals reared in the cities are allowed to roam freely. </w:t>
      </w:r>
      <w:r w:rsidRPr="00895D0B">
        <w:rPr>
          <w:rFonts w:cs="Times New Roman"/>
          <w:color w:val="000000" w:themeColor="text1"/>
          <w:szCs w:val="24"/>
          <w:shd w:val="clear" w:color="auto" w:fill="FFFFFF"/>
        </w:rPr>
        <w:t xml:space="preserve">Innovative, integrated, and self-sufficient shelter designs can be implemented for climate change adaptation in animal agriculture through a multidisciplinary approach. When it comes to outdoor housing, animals are typically maintained in groups within outdoor runs, pens, or other large enclosures. Livestock producers have adapted to climate change by shifting from cropping to grazing and adopting mixed farming systems. To address extreme weather events and future climate conditions, it is important to design and </w:t>
      </w:r>
      <w:r w:rsidRPr="00895D0B">
        <w:rPr>
          <w:rFonts w:cs="Times New Roman"/>
          <w:color w:val="000000" w:themeColor="text1"/>
          <w:szCs w:val="24"/>
          <w:shd w:val="clear" w:color="auto" w:fill="FFFFFF"/>
        </w:rPr>
        <w:lastRenderedPageBreak/>
        <w:t xml:space="preserve">implement new housing structures for animal agriculture, considering the needs of the animals and the challenges posed by climate change. Again, livestock are highly vulnerable to climate change and biodiversity loss, making it crucial to develop housing structures that provide suitable conditions for their well-being and survival. As such, the effects of climate change on livestock diseases depend on geographical region, land use type, disease characteristics, and animal susceptibility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uthor":[{"dropping-particle":"","family":"Cheng","given":"M.","non-dropping-particle":"","parse-names":false,"suffix":""},{"dropping-particle":"","family":"Mccarl","given":"B.","non-dropping-particle":"","parse-names":false,"suffix":""},{"dropping-particle":"","family":"Fei","given":"C.","non-dropping-particle":"","parse-names":false,"suffix":""}],"id":"ITEM-1","issued":{"date-parts":[["2022"]]},"title":"Climate Change and Livestock Production : A Literature Review","type":"article-journal"},"uris":["http://www.mendeley.com/documents/?uuid=a7c928df-16e1-4745-9874-e897729480c3"]}],"mendeley":{"formattedCitation":"(Cheng et al., 2022)","plainTextFormattedCitation":"(Cheng et al., 2022)","previouslyFormattedCitation":"(Cheng et al., 2022)"},"properties":{"noteIndex":0},"schema":"https://github.com/citation-style-language/schema/raw/master/csl-citation.json"}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(Cheng et al., 2022)</w:t>
      </w:r>
      <w:r w:rsidRPr="00895D0B">
        <w:rPr>
          <w:rFonts w:cs="Times New Roman"/>
          <w:color w:val="000000" w:themeColor="text1"/>
          <w:szCs w:val="24"/>
          <w:shd w:val="clear" w:color="auto" w:fill="FFFFFF"/>
        </w:rPr>
        <w:fldChar w:fldCharType="end"/>
      </w:r>
      <w:r w:rsidRPr="00895D0B">
        <w:rPr>
          <w:rFonts w:cs="Times New Roman"/>
          <w:b/>
          <w:color w:val="000000" w:themeColor="text1"/>
          <w:szCs w:val="24"/>
          <w:shd w:val="clear" w:color="auto" w:fill="FFFFFF"/>
        </w:rPr>
        <w:t xml:space="preserve">. </w:t>
      </w:r>
      <w:r w:rsidRPr="00895D0B">
        <w:rPr>
          <w:rFonts w:cs="Times New Roman"/>
          <w:color w:val="000000" w:themeColor="text1"/>
          <w:szCs w:val="24"/>
          <w:shd w:val="clear" w:color="auto" w:fill="FFFFFF"/>
        </w:rPr>
        <w:t xml:space="preserve">In a livestock context, adaptation actions can be classified into animal responses, management actions, and resource management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{"citationItems":[{"id":"ITEM-1","itemData":{"DOI":"10.1016/j.crm.2017.02.001","ISSN":"2212-0963","author":[{"dropping-particle":"","family":"Rojas-downing","given":"M. M.","non-dropping-particle":"","parse-names":false,"suffix":""},{"dropping-particle":"","family":"Nejadhashemi","given":"A. P.","non-dropping-particle":"","parse-names":false,"suffix":""},{"dropping-particle":"","family":"Harrigan","given":"T.","non-dropping-particle":"","parse-names":false,"suffix":""},{"dropping-particle":"","family":"Woznicki","given":"S. A.","non-dropping-particle":"","parse-names":false,"suffix":""}],"container-title":"Climate Risk Management","id":"ITEM-1","issued":{"date-parts":[["2017"]]},"page":"145-163","publisher":"The Authors","title":"Climate Risk Management Climate change and livestock : Impacts , adaptation , and mitigation","type":"article-journal","volume":"16"},"uris":["http://www.mendeley.com/documents/?uuid=ba1c0cd5-2a1e-4d7f-bf6c-2ebbd684c575"]}],"mendeley":{"formattedCitation":"(Rojas-downing et al., 2017)","plainTextFormattedCitation":"(Rojas-downing et al., 2017)","previouslyFormattedCitation":"(Rojas-downing et al., 2017)"},"properties":{"noteIndex":0},"schema":"https://github.com/citation-style-language/schema/raw/master/csl-citation.json"}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(Rojas-downing et al., 2017)</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To provide housing structures that can adapt to climate change, it is important to consider innovative, integrated, and self-sufficient designs. This can be achieved through a multidisciplinary approach that takes into account the specific needs of the animals and the changing climate conditions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10.1007/978-81-322-2265-1","ISBN":"9788132222651","author":[{"dropping-particle":"","family":"Ambazamkandi","given":"P.","non-dropping-particle":"","parse-names":false,"suffix":""},{"dropping-particle":"","family":"Veterinary","given":"K.","non-dropping-particle":"","parse-names":false,"suffix":""},{"dropping-particle":"","family":"Thyagaraj","given":"G.","non-dropping-particle":"","parse-names":false,"suffix":""},{"dropping-particle":"","family":"Sambasivan","given":"S.","non-dropping-particle":"","parse-names":false,"suffix":""},{"dropping-particle":"","family":"Veterinary","given":"K.","non-dropping-particle":"","parse-names":false,"suffix":""},{"dropping-particle":"","family":"Davis","given":"J.","non-dropping-particle":"","parse-names":false,"suffix":""},{"dropping-particle":"","family":"Veterinary","given":"K.","non-dropping-particle":"","parse-names":false,"suffix":""}],"id":"ITEM-1","issue":"December 2020","issued":{"date-parts":[["2015"]]},"title":"Shelter Design for Different Livestock from a Climate Change Perspective","type":"article-journal"},"uris":["http://www.mendeley.com/documents/?uuid=5ea9d237-bb56-495c-a1ec-33ab28a97fd6"]}],"mendeley":{"formattedCitation":"(Ambazamkandi et al., 2015)","plainTextFormattedCitation":"(Ambazamkandi et al., 2015)","previouslyFormattedCitation":"(Ambazamkandi et al., 2015)"},"properties":{"noteIndex":0},"schema":"https://github.com/citation-style-language/schema/raw/master/csl-citation.json"}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(Ambazamkandi et al., 2015)</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While there may not be specific information about the type of housing structures for animals and climate change adaptations in the provided context, it is important to consider factors such as temperature regulation, ventilation, insulation, and protection from extreme weather events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{"citationItems":[{"id":"ITEM-1","itemData":{"ISBN":"9780309154000","author":[{"dropping-particle":"","family":"Garber","given":"J. C.","non-dropping-particle":"","parse-names":false,"suffix":""},{"dropping-particle":"","family":"Barbee","given":"R. W.","non-dropping-particle":"","parse-names":false,"suffix":""},{"dropping-particle":"","family":"Bielitzki","given":"J. T.","non-dropping-particle":"","parse-names":false,"suffix":""},{"dropping-particle":"","family":"Clayton","given":"L. A.","non-dropping-particle":"","parse-names":false,"suffix":""},{"dropping-particle":"","family":"Donovan","given":"J. C.","non-dropping-particle":"","parse-names":false,"suffix":""},{"dropping-particle":"","family":"Hendriksen","given":"C. F. M.","non-dropping-particle":"","parse-names":false,"suffix":""},{"dropping-particle":"","family":"Kohn","given":"D. F.","non-dropping-particle":"","parse-names":false,"suffix":""},{"dropping-particle":"","family":"Lipman","given":"N. S.","non-dropping-particle":"","parse-names":false,"suffix":""},{"dropping-particle":"","family":"Locke","given":"P. A.","non-dropping-particle":"","parse-names":false,"suffix":""},{"dropping-particle":"","family":"Melcher","given":"J.","non-dropping-particle":"","parse-names":false,"suffix":""},{"dropping-particle":"","family":"Quimby","given":"F. W.","non-dropping-particle":"","parse-names":false,"suffix":""},{"dropping-particle":"V.","family":"Turner","given":"P.","non-dropping-particle":"","parse-names":false,"suffix":""},{"dropping-particle":"","family":"Wood","given":"G. A.","non-dropping-particle":"","parse-names":false,"suffix":""},{"dropping-particle":"","family":"Wurbel","given":"H.","non-dropping-particle":"","parse-names":false,"suffix":""}],"edition":"Eighth Edi","id":"ITEM-1","issued":{"date-parts":[["2011"]]},"publisher":"The National Academies Press, Washington, D.C.","publisher-place":"Washington D.C.","title":"Guide for the care and use of labooraatory Animals","type":"book"},"uris":["http://www.mendeley.com/documents/?uuid=c28b0cd8-a500-4016-aaac-a58b4c21887d"]}],"mendeley":{"formattedCitation":"(Garber et al., 2011)","plainTextFormattedCitation":"(Garber et al., 2011)","previouslyFormattedCitation":"(Garber et al., 2011)"},"properties":{"noteIndex":0},"schema":"https://github.com/citation-style-language/schema/raw/master/csl-citation.json"}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(Garber et al., 2011)</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Additionally, livestock producers have been adapting to climate change by shifting from cropping to grazing and adopting mixed farming systems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{"citationItems":[{"id":"ITEM-1","itemData":{"DOI":"10.1093/af/vfy029","author":[{"dropping-particle":"","family":"Gaughan","given":"J. B.","non-dropping-particle":"","parse-names":false,"suffix":""},{"dropping-particle":"","family":"Sejian","given":"V.","non-dropping-particle":"","parse-names":false,"suffix":""},{"dropping-particle":"","family":"Mader","given":"T. L.","non-dropping-particle":"","parse-names":false,"suffix":""},{"dropping-particle":"","family":"Dunshea","given":"F. R.","non-dropping-particle":"","parse-names":false,"suffix":""}],"id":"ITEM-1","issue":"1","issued":{"date-parts":[["2019"]]},"title":"Adaptation strategies : ruminants","type":"article-journal","volume":"9"},"uris":["http://www.mendeley.com/documents/?uuid=f1a368d4-7ce5-46da-96e3-9ff90ffb3f70"]}],"mendeley":{"formattedCitation":"(Gaughan et al., 2019)","plainTextFormattedCitation":"(Gaughan et al., 2019)","previouslyFormattedCitation":"(Gaughan et al., 2019)"},"properties":{"noteIndex":0},"schema":"https://github.com/citation-style-language/schema/raw/master/csl-citation.json"}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(Gaughan et al., 2019)</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The impact of climate change and biodiversity loss on livestock and plants is significant, as these breeds and species cannot be easily replaced naturally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{"citationItems":[{"id":"ITEM-1","itemData":{"DOI":"10.1016/j.crm.2017.02.001","ISSN":"2212-0963","author":[{"dropping-particle":"","family":"Rojas-downing","given":"M. M.","non-dropping-particle":"","parse-names":false,"suffix":""},{"dropping-particle":"","family":"Nejadhashemi","given":"A. P.","non-dropping-particle":"","parse-names":false,"suffix":""},{"dropping-particle":"","family":"Harrigan","given":"T.","non-dropping-particle":"","parse-names":false,"suffix":""},{"dropping-particle":"","family":"Woznicki","given":"S. A.","non-dropping-particle":"","parse-names":false,"suffix":""}],"container-title":"Climate Risk Management","id":"ITEM-1","issued":{"date-parts":[["2017"]]},"page":"145-163","publisher":"The Authors","title":"Climate Risk Management Climate change and livestock : Impacts , adaptation , and mitigation","type":"article-journal","volume":"16"},"uris":["http://www.mendeley.com/documents/?uuid=ba1c0cd5-2a1e-4d7f-bf6c-2ebbd684c575"]}],"mendeley":{"formattedCitation":"(Rojas-downing et al., 2017)","plainTextFormattedCitation":"(Rojas-downing et al., 2017)","previouslyFormattedCitation":"(Rojas-downing et al., 2017)"},"properties":{"noteIndex":0},"schema":"https://github.com/citation-style-language/schema/raw/master/csl-citation.json"}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(Rojas-downing et al., 2017)</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w:t>
      </w:r>
    </w:p>
    <w:p w14:paraId="6EB58254" w14:textId="77777777" w:rsidR="001B4ED5" w:rsidRPr="00895D0B" w:rsidRDefault="001B4ED5" w:rsidP="00056D43">
      <w:pPr>
        <w:pStyle w:val="NoSpacing"/>
      </w:pPr>
    </w:p>
    <w:p w14:paraId="4455B9CA" w14:textId="77777777" w:rsidR="001B4ED5" w:rsidRPr="00895D0B" w:rsidRDefault="006B41C0" w:rsidP="009864E3">
      <w:pPr>
        <w:pStyle w:val="Heading3"/>
      </w:pPr>
      <w:bookmarkStart w:id="137" w:name="_Toc167379932"/>
      <w:r w:rsidRPr="00895D0B">
        <w:t>5.4.3 Spatial dynamics and distribution of crops farm sizes within the city</w:t>
      </w:r>
      <w:bookmarkEnd w:id="137"/>
    </w:p>
    <w:p w14:paraId="27C55C2B" w14:textId="5E59F22B"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Even though, urban farm sizes are less than an acre of land, there are some farms that are less than 0.3 of an acre within the outer core. This is a result of a low population because most of these plots are said to be undeveloped but are under strong and legal acquisitions by individuals from the original owners through purchase or leasing. Therefore, though these lands are not developed the ownership regimes do not permit urban residents who are interested in farming to get a parcel to produce crops. Urban farmers could make a lot from this undeveloped land but the challenges surrounding land acquisition restrict interested people in their bit to cultivate crops in these settings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{"citationItems":[{"id":"ITEM-1","itemData":{"DOI":"10.1016/j.foodpol.2020.102013","ISSN":"03069192","abstract":"The growth of interest in urban agriculture (UA) has paralleled an increase in municipal policy to enable, regulate, or otherwise support UA, particularly over the past decade. Yet, there has been no systematic documentation and characterization of the myriad UA public policies emerging across different cities within the United States (US). To address this gap, we developed a framework to understand the landscape of municipal UA policy, focusing on authority, policy instruments, and topic areas. We systematically compiled and catalogued policy recommendations, city plans and priorities, regulations, guidance, and city-operated programs from the 40 most populous US cities. The results demonstrate the wide variety of ways in which cities address UA through public policy, employing an array of policy instruments with different levels of authority and topics addressed, ranging from accessory structures and compost to public land access and soil safety. The growing frequency in which governments are engaging in public-private partnerships illustrates the increasing role of civil society groups as collaborators instead of stakeholders in municipal government processes. This shift towards a shared governance approach raises questions around who is leading the advocacy, creation, and enforcement of UA policies, and how that may affect concerns around equity and food justice. Furthermore, our results highlight the need for cities to more clearly synthesize their UA policies to assist practitioners in navigating a landscape of numerous policies stemming from different government departments and partnerships. Our findings lay the groundwork for expanding, refining, and adapting UA policymaking in varying governance contexts.","author":[{"dropping-particle":"","family":"Halvey","given":"Madeline R.","non-dropping-particle":"","parse-names":false,"suffix":""},{"dropping-particle":"","family":"Santo","given":"R. E.","non-dropping-particle":"","parse-names":false,"suffix":""},{"dropping-particle":"","family":"Lupolt","given":"S N.","non-dropping-particle":"","parse-names":false,"suffix":""},{"dropping-particle":"","family":"Dilka","given":"T J.","non-dropping-particle":"","parse-names":false,"suffix":""},{"dropping-particle":"","family":"Kim","given":"B F.","non-dropping-particle":"","parse-names":false,"suffix":""},{"dropping-particle":"","family":"Bachman","given":"G H.","non-dropping-particle":"","parse-names":false,"suffix":""},{"dropping-particle":"","family":"Clark","given":"J. K.","non-dropping-particle":"","parse-names":false,"suffix":""},{"dropping-particle":"","family":"Nachman","given":"K. E.","non-dropping-particle":"","parse-names":false,"suffix":""}],"container-title":"Food Policy","id":"ITEM-1","issue":"July 2020","issued":{"date-parts":[["2021"]]},"page":"102013","publisher":"Elsevier Ltd","title":"Beyond backyard chickens: A framework for understanding municipal urban agriculture policies in the United States","type":"article-journal","volume":"103"},"uris":["http://www.mendeley.com/documents/?uuid=f3f6a56f-83da-46c4-ab6c-31f07493198d"]}],"mendeley":{"formattedCitation":"(Halvey et al., 2021)","plainTextFormattedCitation":"(Halvey et al., 2021)","previouslyFormattedCitation":"(Halvey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(Halvey et al., 2021)</w:t>
      </w:r>
      <w:r w:rsidRPr="00895D0B">
        <w:rPr>
          <w:rFonts w:cs="Times New Roman"/>
          <w:color w:val="000000" w:themeColor="text1"/>
          <w:szCs w:val="24"/>
        </w:rPr>
        <w:fldChar w:fldCharType="end"/>
      </w:r>
      <w:r w:rsidRPr="00895D0B">
        <w:rPr>
          <w:rFonts w:cs="Times New Roman"/>
          <w:color w:val="000000" w:themeColor="text1"/>
          <w:szCs w:val="24"/>
        </w:rPr>
        <w:t xml:space="preserve">. Urban farms are located almost across all the zones within the urban space. This means that food demand in the urban centre is high. This is in line with the fact that urban farmers are located in areas with unsecured food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{"citationItems":[{"id":"ITEM-1","itemData":{"DOI":"10.2148/benv.43.3.364","ISSN":"02637960","abstract":"This paper investigates the relationship between spatial planning and urban agriculture (UA) - primarily community gardens and market farms - through an equity lens. Significant research has been done on the benefits and challenges associated with UA, focusing on community food security, social justice, and community development; however, the spatial distribution of UA projects and the relationship between their form and the fabric of the urban built environment requires additional research. Using data from the City of Philadelphia, this paper explores two questions. First, what is the spatial relationship between UA-projects and food-insecure neighbourhoods? Second, how does UA form and landscape it within the urban built environment? Answering the i rst question involved GIS-based spatial analysis and statistical tests to explore the relationship between UA access and areas with high food insecurity. Answering the second question led to the development of a spatial-typology of UA projects based upon GIS analysis and a qualitative visual inspection process, allowing for discussion on how various forms of UA i t within urban landscapes. Results show that siting UA projects may lead to spatial mismatch issues, and most unstable or temporary UA projects are located in high food-insecure neighbourhoods. By exploring the connections between urban food production, land use, spatial planning, and the built environment, the design of more equitable urban spaces may be achieved.","author":[{"dropping-particle":"","family":"Meenar","given":"M. R.","non-dropping-particle":"","parse-names":false,"suffix":""}],"container-title":"Built Environment","id":"ITEM-1","issue":"3","issued":{"date-parts":[["2017"]]},"page":"364-375","title":"Assessing the spatial connection between Urban agriculture and equity","type":"article-journal","volume":"43"},"uris":["http://www.mendeley.com/documents/?uuid=2b9c7f81-b0f3-43a4-9cc7-0a968c6f2720"]}],"mendeley":{"formattedCitation":"(M. R. Meenar, 2017)","manualFormatting":"(Meenar, 2017)","plainTextFormattedCitation":"(M. R. Meenar, 2017)","previouslyFormattedCitation":"(M. R. Meenar,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(Meenar, 2017)</w:t>
      </w:r>
      <w:r w:rsidRPr="00895D0B">
        <w:rPr>
          <w:rFonts w:cs="Times New Roman"/>
          <w:color w:val="000000" w:themeColor="text1"/>
          <w:szCs w:val="24"/>
        </w:rPr>
        <w:fldChar w:fldCharType="end"/>
      </w:r>
      <w:r w:rsidRPr="00895D0B">
        <w:rPr>
          <w:rFonts w:cs="Times New Roman"/>
          <w:color w:val="000000" w:themeColor="text1"/>
          <w:szCs w:val="24"/>
        </w:rPr>
        <w:t xml:space="preserve">. However, the location of urban farmers is subjected to space availability and this </w:t>
      </w:r>
      <w:r w:rsidRPr="00895D0B">
        <w:rPr>
          <w:rFonts w:cs="Times New Roman"/>
          <w:color w:val="000000" w:themeColor="text1"/>
          <w:szCs w:val="24"/>
        </w:rPr>
        <w:lastRenderedPageBreak/>
        <w:t xml:space="preserve">does not support the idea of </w:t>
      </w:r>
      <w:r w:rsidRPr="00895D0B">
        <w:rPr>
          <w:rFonts w:cs="Times New Roman"/>
          <w:color w:val="000000" w:themeColor="text1"/>
          <w:szCs w:val="24"/>
        </w:rPr>
        <w:fldChar w:fldCharType="begin" w:fldLock="1"/>
      </w:r>
      <w:r w:rsidR="00184706" w:rsidRPr="00895D0B">
        <w:rPr>
          <w:rFonts w:cs="Times New Roman"/>
          <w:color w:val="000000" w:themeColor="text1"/>
          <w:szCs w:val="24"/>
        </w:rPr>
        <w:instrText>ADDIN CSL_CITATION {"citationItems":[{"id":"ITEM-1","itemData":{"DOI":"10.1016/j.landurbplan.2012.08.001","ISSN":"01692046","abstract":"Although always a part of city life, urban agriculture has recently attracted increased attention from diverse groups in the United States, which promote it as a strategy for stimulating economic development, increasing food security and access, and combatting obesity and diabetes, among other goals. Developing effective policies and programs at the city or neighborhood level demands as a first step the accurate mapping of existing urban agriculture sites. Mapping efforts in major U.S. cities have been limited in their focus and methodology. Focusing on public sites of food production, such as community gardens, they have overlooked the actual and potential contribution of private spaces, including home food gardens, to local food systems. This paper describes a case study of urban agriculture in Chicago which used the manual analysis of high-resolution aerial images in Google Earth in conjunction with ArcGIS to identify and map public and private spaces of food production. The resulting spatial dataset demonstrates that urban agriculture is an extensive land use type with wide variations in the distribution of sites across the city. Only 13% of sites reported to be community gardening projects by nongovernment organizations and government agencies were determined, through image analysis, to be sites of food production. The production area of home gardens identified by the study is almost threefold that of community gardens. Study results suggest opportunities may exist for scaling up existing production networks-including home food gardens-and enhancing community food sovereignty by leveraging local knowledges of urban agriculture. © 2012 Elsevier B.V.","author":[{"dropping-particle":"","family":"Taylor","given":"J. R.","non-dropping-particle":"","parse-names":false,"suffix":""},{"dropping-particle":"","family":"Lovell","given":"S.","non-dropping-particle":"","parse-names":false,"suffix":""}],"container-title":"Landscape and Urban Planning","id":"ITEM-1","issue":"1","issued":{"date-parts":[["2012"]]},"page":"57-70","publisher":"Elsevier B.V.","title":"Mapping public and private spaces of urban agriculture in Chicago through the analysis of high-resolution aerial images in Google Earth","type":"article-journal","volume":"108"},"uris":["http://www.mendeley.com/documents/?uuid=e1a7b073-9eab-401f-8069-35a6e054fe97"]}],"mendeley":{"formattedCitation":"(Taylor &amp; Lovell, 2012)","manualFormatting":"Taylor and Lovell (2012)","plainTextFormattedCitation":"(Taylor &amp; Lovell, 2012)","previouslyFormattedCitation":"(Taylor &amp; Lovell, 2012)"},"properties":{"noteIndex":0},"schema":"https://github.com/citation-style-language/schema/raw/master/csl-citation.json"}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Taylor and Lovell (2012)</w:t>
      </w:r>
      <w:r w:rsidRPr="00895D0B">
        <w:rPr>
          <w:rFonts w:cs="Times New Roman"/>
          <w:color w:val="000000" w:themeColor="text1"/>
          <w:szCs w:val="24"/>
        </w:rPr>
        <w:fldChar w:fldCharType="end"/>
      </w:r>
      <w:r w:rsidRPr="00895D0B">
        <w:rPr>
          <w:rFonts w:cs="Times New Roman"/>
          <w:color w:val="000000" w:themeColor="text1"/>
          <w:szCs w:val="24"/>
        </w:rPr>
        <w:t xml:space="preserve"> who argued that urban farms' location is based on farmers’ local knowledge. The results also gave an insight into small spaces for urban farming. This corroborates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{"citationItems":[{"id":"ITEM-1","itemData":{"DOI":"10.1080/21681376.2020.1770121","ISSN":"21681376","abstract":"Interest in urban gardening is growing as a means of enhancing social contact and reusing urban spaces. This practice in fact has positive effects in social and environmental terms. Positive effects include the increased social integration of people at risk of exclusion (elderly people, above all), the reduction of anthropic pressure on natural resources (the soil in particular) as well as the green requalification of vacant spaces. Because of these effects, urban gardening has spread especially in extensively urbanized and metropolitan areas where land consumption and pollution are more intensive, and also social distress and loneliness are more diffuse. Milan, New York and Barcelona are just a few examples of large metropolises where urban gardening is widely spread. On the contrary, urban gardens are not very common in mountainous areas, within which the reduced anthropic pressure and the permanence of communities of people who still help each other act as inhibitors. The regional graphic in this paper illustrates the spatial distribution of urban gardens in South Tyrol, a mountainous region in the north of Italy. Here, urban gardens are few and unevenly distributed. They are mainly concentrated in large municipalities and the provincial capital situated at a relatively low altitude above sea level (five of the eight municipalities with urban gardens which have answered to our investigation are situated on average at 250 m). They are absent in mountain municipalities above higher altitudes (from 1000 m upwards).","author":[{"dropping-particle":"","family":"Cattivelli","given":"V.","non-dropping-particle":"","parse-names":false,"suffix":""}],"container-title":"Regional Studies, Regional Science","id":"ITEM-1","issue":"1","issued":{"date-parts":[["2020"]]},"page":"206-209","title":"The urban gardens in South Tyrol (IT): spatial distribution and some considerations about their role on mitigating the effects of ageing and urbanization","type":"article-journal","volume":"7"},"uris":["http://www.mendeley.com/documents/?uuid=f077fd6b-81f4-455a-9f90-c191b69c501d"]}],"mendeley":{"formattedCitation":"(Cattivelli, 2020)","manualFormatting":"Cattivelli (2020)","plainTextFormattedCitation":"(Cattivelli, 2020)","previouslyFormattedCitation":"(Cattivelli,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Cattivelli (2020)</w:t>
      </w:r>
      <w:r w:rsidRPr="00895D0B">
        <w:rPr>
          <w:rFonts w:cs="Times New Roman"/>
          <w:color w:val="000000" w:themeColor="text1"/>
          <w:szCs w:val="24"/>
        </w:rPr>
        <w:fldChar w:fldCharType="end"/>
      </w:r>
      <w:r w:rsidRPr="00895D0B">
        <w:rPr>
          <w:rFonts w:cs="Times New Roman"/>
          <w:color w:val="000000" w:themeColor="text1"/>
          <w:szCs w:val="24"/>
        </w:rPr>
        <w:t xml:space="preserve"> who asserted that most urban farms are not more than 250 meters square and are located across the municipality. However, the study disagreed with the augment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{"citationItems":[{"id":"ITEM-1","itemData":{"DOI":"10.21273/HORTTECH05038-22","ISSN":"19437714","abstract":"Florida, like much of the southeastern United States, is rapidly urbanizing. With this urbanization, there is an increasing interest in commercial urban agriculture (CUA) as an important sector for agriculture in the state. The U.S. Department of Agriculture Census of Agriculture does not report data about CUA operations, thus limiting the knowledge about the status of CUA operations regarding basic features such as farm size, operator demographics, production systems, sources of revenue, barriers to business operations and profitability, and future opportunities for development. Because previous research has found differences in urban farmers’ demographics and their perceptions of barriers and opportunities, the purpose of this research was to characterize CUA operations in Florida and to understand the urban farmers’ perceptions of the primary needs, barriers, and opportunities for developing CUA, as well as CUA operators’ informational needs and preferred informational formats. We performed a cluster analysis to identify salient groups of urban growers in Florida to identify subgroups based on shared characteristics that revealed three distinct groups of urban farmers with differing perceptions of barriers, opportunities, informational needs, and preferred informational formats.","author":[{"dropping-particle":"","family":"Campbell","given":"C. G.","non-dropping-particle":"","parse-names":false,"suffix":""},{"dropping-particle":"","family":"Ruiz-Menjivar","given":"J.","non-dropping-particle":"","parse-names":false,"suffix":""},{"dropping-particle":"","family":"Delong","given":"A.","non-dropping-particle":"","parse-names":false,"suffix":""}],"container-title":"HortTechnology","id":"ITEM-1","issue":"4","issued":{"date-parts":[["2022"]]},"page":"331-341","title":"Commercial Urban Agriculture in Florida: Needs, Opportunities, and Barriers","type":"article-journal","volume":"32"},"uris":["http://www.mendeley.com/documents/?uuid=767f6058-0be5-40f7-8116-8e3423404c4d"]}],"mendeley":{"formattedCitation":"(Campbell et al., 2022)","manualFormatting":"Campbell et al. (2022)","plainTextFormattedCitation":"(Campbell et al., 2022)","previouslyFormattedCitation":"(Campbell et al.,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Campbell et al. (2022)</w:t>
      </w:r>
      <w:r w:rsidRPr="00895D0B">
        <w:rPr>
          <w:rFonts w:cs="Times New Roman"/>
          <w:color w:val="000000" w:themeColor="text1"/>
          <w:szCs w:val="24"/>
        </w:rPr>
        <w:fldChar w:fldCharType="end"/>
      </w:r>
      <w:r w:rsidRPr="00895D0B">
        <w:rPr>
          <w:rFonts w:cs="Times New Roman"/>
          <w:color w:val="000000" w:themeColor="text1"/>
          <w:szCs w:val="24"/>
        </w:rPr>
        <w:t xml:space="preserve"> that urban farm sizes do not exceed 5 acres, because, this study’s finding indicates that urban farm sizes rarely exceed an acres. This can be argued along the lines of available urban planning policies in favour of urban agriculture as the study is done in the global north. As urban agriculture has become a popular activity in many cities in recent times, there is a need for proactive measures to integrate the act into urban land use planning. There is little attention to integrating urban agriculture into land use planning as identified in the study. This is enough, to disagree with the assertion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{"citationItems":[{"id":"ITEM-1","itemData":{"DOI":"10.1016/j.foodpol.2020.102013","ISSN":"03069192","abstract":"The growth of interest in urban agriculture (UA) has paralleled an increase in municipal policy to enable, regulate, or otherwise support UA, particularly over the past decade. Yet, there has been no systematic documentation and characterization of the myriad UA public policies emerging across different cities within the United States (US). To address this gap, we developed a framework to understand the landscape of municipal UA policy, focusing on authority, policy instruments, and topic areas. We systematically compiled and catalogued policy recommendations, city plans and priorities, regulations, guidance, and city-operated programs from the 40 most populous US cities. The results demonstrate the wide variety of ways in which cities address UA through public policy, employing an array of policy instruments with different levels of authority and topics addressed, ranging from accessory structures and compost to public land access and soil safety. The growing frequency in which governments are engaging in public-private partnerships illustrates the increasing role of civil society groups as collaborators instead of stakeholders in municipal government processes. This shift towards a shared governance approach raises questions around who is leading the advocacy, creation, and enforcement of UA policies, and how that may affect concerns around equity and food justice. Furthermore, our results highlight the need for cities to more clearly synthesize their UA policies to assist practitioners in navigating a landscape of numerous policies stemming from different government departments and partnerships. Our findings lay the groundwork for expanding, refining, and adapting UA policymaking in varying governance contexts.","author":[{"dropping-particle":"","family":"Halvey","given":"M. R.","non-dropping-particle":"","parse-names":false,"suffix":""},{"dropping-particle":"","family":"Santo","given":"R. E.","non-dropping-particle":"","parse-names":false,"suffix":""},{"dropping-particle":"","family":"Lupolt","given":"S. N.","non-dropping-particle":"","parse-names":false,"suffix":""},{"dropping-particle":"","family":"Dilka","given":"T. J.","non-dropping-particle":"","parse-names":false,"suffix":""},{"dropping-particle":"","family":"Kim","given":"B. F.","non-dropping-particle":"","parse-names":false,"suffix":""},{"dropping-particle":"","family":"Bachman","given":"G. H.","non-dropping-particle":"","parse-names":false,"suffix":""},{"dropping-particle":"","family":"Clark","given":"J. K.","non-dropping-particle":"","parse-names":false,"suffix":""},{"dropping-particle":"","family":"Nachman","given":"K. E.","non-dropping-particle":"","parse-names":false,"suffix":""}],"container-title":"Food Policy","id":"ITEM-1","issue":"July","issued":{"date-parts":[["2020"]]},"page":"102013","publisher":"Elsevier Ltd","title":"Beyond backyard chickens: A framework for understanding municipal urban agriculture policies in the United States","type":"article-journal","volume":"103"},"uris":["http://www.mendeley.com/documents/?uuid=2e51c1d3-d722-4621-8769-b37160409f95"]}],"mendeley":{"formattedCitation":"(Halvey et al., 2020)","manualFormatting":"Halvey et al. (2020)","plainTextFormattedCitation":"(Halvey et al., 2020)","previouslyFormattedCitation":"(Halvey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Halvey et al. (2020)</w:t>
      </w:r>
      <w:r w:rsidRPr="00895D0B">
        <w:rPr>
          <w:rFonts w:cs="Times New Roman"/>
          <w:color w:val="000000" w:themeColor="text1"/>
          <w:szCs w:val="24"/>
        </w:rPr>
        <w:fldChar w:fldCharType="end"/>
      </w:r>
      <w:r w:rsidRPr="00895D0B">
        <w:rPr>
          <w:rFonts w:cs="Times New Roman"/>
          <w:color w:val="000000" w:themeColor="text1"/>
          <w:szCs w:val="24"/>
        </w:rPr>
        <w:t xml:space="preserve"> that there are innovative measures and support to intensify urban agriculture through policies. </w:t>
      </w:r>
    </w:p>
    <w:p w14:paraId="596D92AB" w14:textId="77777777" w:rsidR="001B4ED5" w:rsidRPr="00895D0B" w:rsidRDefault="001B4ED5" w:rsidP="00166F50">
      <w:pPr>
        <w:pStyle w:val="NoSpacing"/>
      </w:pPr>
    </w:p>
    <w:p w14:paraId="5BA09B09" w14:textId="5A7A2B4B" w:rsidR="001B4ED5" w:rsidRPr="00895D0B" w:rsidRDefault="006B41C0">
      <w:pPr>
        <w:spacing w:line="360" w:lineRule="auto"/>
        <w:rPr>
          <w:rFonts w:cs="Times New Roman"/>
          <w:color w:val="000000" w:themeColor="text1"/>
          <w:szCs w:val="24"/>
          <w:shd w:val="clear" w:color="auto" w:fill="FFFFFF"/>
        </w:rPr>
      </w:pPr>
      <w:r w:rsidRPr="00895D0B">
        <w:rPr>
          <w:rFonts w:cs="Times New Roman"/>
          <w:color w:val="000000" w:themeColor="text1"/>
          <w:szCs w:val="24"/>
        </w:rPr>
        <w:t xml:space="preserve">There is competition for land demand for physical infrastructure. This affects agricultural production as people's interest is in the use of land for building houses, shopping centres, roads, social centres, schools, and hospitals just to mention but a few to the detriment of urban crop production with the city centre. The economic value of lands within this zone in most instances is said to be more profitable than crop production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{"citationItems":[{"id":"ITEM-1","itemData":{"DOI":"10.1080/23311886.2019.1663691","author":[{"dropping-particle":"","family":"Akinyemi","given":"B. E.","non-dropping-particle":"","parse-names":false,"suffix":""},{"dropping-particle":"","family":"Mushunje","given":"A.","non-dropping-particle":"","parse-names":false,"suffix":""}],"container-title":"Cogent Social Sciences","id":"ITEM-1","issue":"1","issued":{"date-parts":[["2019"]]},"publisher":"Cogent","title":"Land ownership and usage for agriculture : Empirical evidence from South African Living Conditions Survey Land ownership and usage for agriculture : Empirical evidence from South African Living Conditions Survey","type":"article-journal","volume":"5"},"uris":["http://www.mendeley.com/documents/?uuid=ac92859b-379f-495d-93d7-2194dc5037de"]},{"id":"ITEM-2","itemData":{"DOI":"10.1016/j.landusepol.2019.104317","ISSN":"0264-8377","author":[{"dropping-particle":"","family":"Ali","given":"D. A.","non-dropping-particle":"","parse-names":false,"suffix":""},{"dropping-particle":"","family":"Deininger","given":"K.","non-dropping-particle":"","parse-names":false,"suffix":""},{"dropping-particle":"","family":"Mahofa","given":"G.","non-dropping-particle":"","parse-names":false,"suffix":""},{"dropping-particle":"","family":"Nyakulama","given":"R.","non-dropping-particle":"","parse-names":false,"suffix":""}],"container-title":"Land Use Policy","id":"ITEM-2","issue":"October","issued":{"date-parts":[["2019"]]},"page":"104317","publisher":"Elsevier","title":"Land Use Policy Sustaining land registration benefits by addressing the challenges of reversion to informality in Rwanda","type":"article-journal"},"uris":["http://www.mendeley.com/documents/?uuid=e04b6d2d-0589-43de-baf7-7f859c04f7fa"]},{"id":"ITEM-3","itemData":{"DOI":"10.1016/j.compenvurbsys.2020.101504","ISSN":"01989715","abstract":"As a major method to serve the demand for land requirement in Chinese urban construction, land acquisition has been intensified since the speeding up of urbanization. However, clashes arise during the process of land acquisition, out of conflicts of interests, which to some extent have affected the development and direction of urban expansion, as well as social harmony and stability. Therefore, the urban expansion simulation should be based on smooth land acquisition technique. In this study, urban expansion was simulated from the perspective of land acquisition, based on coupled bargaining model and modified ant colony optimization (ACO) algorithm. First, the bargaining model with fairness preferences should be set up for the government and farmers, to search for the candidate areas for urban expansion, both sides of which could reach a consensus without conflicts of interest. Then, urban expansion simulation is applied to all the candidate areas, taking advantage of the modified ACO algorithm. The model considered the built-up area in Wuhan city as the demonstration area and simulated conditions of land use in 2016 and 2026. The result showed that the coupled model could simulate decision-making behavior of the government and farmers in land acquisition veritably, so as to protect farmers' economic interests, with an increase of over 50% on average, and ensure government's appropriate profit. Moreover, the simulation accuracies of the coupled model was found to be better than that of the traditional cellular automata model, and the Kappa coefficient was 0.65, which supports the effectiveness of the model in simulating urban expansion. Further, it was estimated that the urban land use of Wuhan will cover 516.22 km2 in 2026, and the southeastern part of the city will be the hot spot area of urban expansion.","author":[{"dropping-particle":"","family":"Tang","given":"D.","non-dropping-particle":"","parse-names":false,"suffix":""},{"dropping-particle":"","family":"Liu","given":"H.","non-dropping-particle":"","parse-names":false,"suffix":""},{"dropping-particle":"","family":"Song","given":"E.","non-dropping-particle":"","parse-names":false,"suffix":""},{"dropping-particle":"","family":"Chang","given":"S.","non-dropping-particle":"","parse-names":false,"suffix":""}],"container-title":"Computers, Environment and Urban Systems","id":"ITEM-3","issue":"December 2019","issued":{"date-parts":[["2020"]]},"page":"101504","publisher":"Elsevier","title":"Urban expansion simulation from the perspective of land acquisition-based on bargaining model and ant colony optimization","type":"article-journal","volume":"82"},"uris":["http://www.mendeley.com/documents/?uuid=f0c9e5d3-d922-40a8-8823-da221664e580"]},{"id":"ITEM-4","itemData":{"DOI":"10.1016/j.landusepol.2018.11.028","ISSN":"02648377","abstract":"The conventional and state controlled expropriation is the sole urban land acquisition method for housing and other urban development purposes in Ethiopia. Transitional peri-urban areas are those places where state controlled expropriation measures are largely executed as a response to the growing land and housing demands induced by rapid urbanization. Thus, the aim of this study is to review the deficiencies associated with the existing urban land acquisition and delivery method with a view of arriving at an alternative means of mitigating the challenges associated with it. A mixture of desk review and case study approaches were employed to achieve the objective of the study. The findings of the study shows that the urban land acquisition strategy employed by the government has been exerting unnecessary pressure on peri-urban land and it is also largely criticized for inducing displacement and disruption to the local farming peri-urban communities. The challenges seen in the peri-urban areas stipulate policy makers and researchers and other stakeholders to think outside the box and bring alternative solutions for it. In line with this, the reviews of international experiences on urbanization and associated growing demand of land, land readjustment has largely been implemented as alternative and emerging land acquisition and delivery tool. Therefore, government led land readjustment is recommended to be introduced in the Ethiopian urban land development system as a mechanism to revert the unpleasant urban development practices and trends seen in the peri-urban areas of Ethiopia.","author":[{"dropping-particle":"","family":"Adam","given":"A. G.","non-dropping-particle":"","parse-names":false,"suffix":""}],"container-title":"Land Use Policy","id":"ITEM-4","issue":"August 2017","issued":{"date-parts":[["2019"]]},"page":"624-631","publisher":"Elsevier","title":"Thinking outside the box and introducing land readjustment against the conventional urban land acquisition and delivery method in Ethiopia","type":"article-journal","volume":"81"},"uris":["http://www.mendeley.com/documents/?uuid=1462e629-9a55-412e-8ac8-7df250f5dba3"]}],"mendeley":{"formattedCitation":"(Adam, 2019; Akinyemi &amp; Mushunje, 2019; Ali et al., 2019; Tang et al., 2020)","plainTextFormattedCitation":"(Adam, 2019; Akinyemi &amp; Mushunje, 2019; Ali et al., 2019; Tang et al., 2020)","previouslyFormattedCitation":"(Adam, 2019; Akinyemi &amp; Mushunje, 2019; Ali et al., 2019; Tang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(Adam, 2019; Akinyemi &amp; Mushunje, 2019; Ali et al., 2019; Tang et al., 2020)</w:t>
      </w:r>
      <w:r w:rsidRPr="00895D0B">
        <w:rPr>
          <w:rFonts w:cs="Times New Roman"/>
          <w:color w:val="000000" w:themeColor="text1"/>
          <w:szCs w:val="24"/>
        </w:rPr>
        <w:fldChar w:fldCharType="end"/>
      </w:r>
      <w:r w:rsidRPr="00895D0B">
        <w:rPr>
          <w:rFonts w:cs="Times New Roman"/>
          <w:color w:val="000000" w:themeColor="text1"/>
          <w:szCs w:val="24"/>
        </w:rPr>
        <w:t xml:space="preserve">. Though at the transitional zone of the city, there is also a competing need for lands there seems to be more undeveloped lands for agriculture production. This opportunity widens as one moves away to the outer zone within the city but fewer farms are there because there are few people residing within these zones. Though there could be lands available for farm plots within the transitional and out zone few farms are there because of the challenge in acquiring plots for them despite they being undeveloped. The study underscores that just a few urban farmers have plot sizes up to an acre. Most of these plots are located within the transition zone of the city. This picture indicates the fact that there is limited land available within the city core and one hardly gets a plot of land up to an acre for crop production. Comparatively, the transition zone is more likely to have enough space up to an acre of land for crop production. All things being equal, there are supposed to be more crop plots within the outer zone of the city but there are limited crop lands because of the limited households that are found </w:t>
      </w:r>
      <w:r w:rsidRPr="00895D0B">
        <w:rPr>
          <w:rFonts w:cs="Times New Roman"/>
          <w:color w:val="000000" w:themeColor="text1"/>
          <w:szCs w:val="24"/>
        </w:rPr>
        <w:lastRenderedPageBreak/>
        <w:t xml:space="preserve">resulting from sparsely densified region. With time, as the population increases, the number of croplands increases but the plot sizes are likely to decrease due to the competition for space in physical development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{"citationItems":[{"id":"ITEM-1","itemData":{"DOI":"10.1016/j.landusepol.2020.104579","ISSN":"02648377","abstract":"Continuous population growth and rapid urbanization rates in West and Central Africa are associated with rising demand for fresh vegetables and animal-based products, providing market opportunities for local producers from the surrounding areas. However, in regions such as northwestern Cameroon where pastoral cattle breeding remains an important part of the local livestock sector, competition over dwindling resources with local crop farmers are increasing due to progressive land-use change from natural and traditional grazing areas into agricultural land. In order to determine the main areas of conflict and their interdependencies, we used a multi-temporal land-use classification and a multi-dimensional participatory approach of collecting spatial data from six representative Mbororo cattle herds, equipped with GPS collars. We combined this with 162 map-based interviews with randomly sampled pastoralists on seasonal grazing areas, grazing management, land ownership, and major constraints to herding. This data set was complemented by the perspectives of 40 randomly sampled crop farmers from four major transhumance zones. Both parties identified farmer-grazier conflicts as a serious constraint for their activities in the rainy season (graziers: 23.9 %; farmers: 22.5 %) and particularly in the dry season (36.3 %; 47.2 %). Land tenure issues will be of critical importance in the future as only very few respondents held an official land title, and pastoralists appeared less prepared for land disputes than crop farmers, who more often claimed land ownership through fencing. Therefore, there is an urgent need for developing and implementing alliance farming strategies that are based on dialogue between both interest groups to avoid further escalation within a region already in a conflict-ridden political environment.","author":[{"dropping-particle":"","family":"Feldt","given":"Tobias","non-dropping-particle":"","parse-names":false,"suffix":""},{"dropping-particle":"","family":"Karg","given":"Hanna","non-dropping-particle":"","parse-names":false,"suffix":""},{"dropping-particle":"","family":"Kadaouré","given":"Ibrahima","non-dropping-particle":"","parse-names":false,"suffix":""},{"dropping-particle":"","family":"Bessert","given":"Leon","non-dropping-particle":"","parse-names":false,"suffix":""},{"dropping-particle":"","family":"Schlecht","given":"Eva","non-dropping-particle":"","parse-names":false,"suffix":""}],"container-title":"Land Use Policy","id":"ITEM-1","issue":"March","issued":{"date-parts":[["2020"]]},"page":"104579","publisher":"Elsevier","title":"Growing struggle over rising demand: How land use change and complex farmer-grazier conflicts impact grazing management in the Western Highlands of Cameroon","type":"article-journal","volume":"95"},"uris":["http://www.mendeley.com/documents/?uuid=01167af8-f645-4d5e-b680-026053cf6fc6"]}],"mendeley":{"formattedCitation":"(Feldt et al., 2020)","plainTextFormattedCitation":"(Feldt et al., 2020)","previouslyFormattedCitation":"(Feldt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(Feldt et al., 2020)</w:t>
      </w:r>
      <w:r w:rsidRPr="00895D0B">
        <w:rPr>
          <w:rFonts w:cs="Times New Roman"/>
          <w:color w:val="000000" w:themeColor="text1"/>
          <w:szCs w:val="24"/>
        </w:rPr>
        <w:fldChar w:fldCharType="end"/>
      </w:r>
      <w:r w:rsidRPr="00895D0B">
        <w:rPr>
          <w:rFonts w:cs="Times New Roman"/>
          <w:color w:val="000000" w:themeColor="text1"/>
          <w:szCs w:val="24"/>
        </w:rPr>
        <w:t xml:space="preserve">. </w:t>
      </w:r>
      <w:r w:rsidRPr="00895D0B">
        <w:rPr>
          <w:rFonts w:cs="Times New Roman"/>
          <w:color w:val="000000" w:themeColor="text1"/>
          <w:szCs w:val="24"/>
          <w:shd w:val="clear" w:color="auto" w:fill="FFFFFF"/>
        </w:rPr>
        <w:t xml:space="preserve">Providing knowledge to urban livestock farmers is crucial for reducing zoonotic infections and improving their practices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{"citationItems":[{"id":"ITEM-1","itemData":{"DOI":"10.1371/journal.pone.0117318","ISSN":"19326203","PMID":"25668783","abstract":"Improvement of knowledge, attitudes and practices among urban livestock farmers could have a significant impact on the reduction of many zoonotic infections in urban farming. This study aimed to describe and evaluate weak areas in knowledge, attitudes and practices with regards to brucellosis among urban and peri-urban small-scale dairy farmers in a low income country to generate information essential for control programmes and public health interventions. The cross-sectional study was conducted during six weeks in 2011. The study subjects were small-scale dairy farmers living in the urban and peri-urban area of the capital Dushanbe in Tajikistan. In total, 441 farmers were interviewed using a questionnaire with questions about demographic characteristics, knowledge, attitudes and practices relating to brucellosis. Descriptive statistics were used and a logistic regression model applied to evaluate potential predictors to knowledge about brucellosis. The majority (85%) of the farmers had never heard of brucellosis. Low educational level was found to be associated with low awareness of brucellosis (P = &lt; 0.001). Respondents who talked about animal health issues with family members or friends were less likely to have heard of brucellosis compared to those who often talked to veterinarians (P = 0.03). Sixty three per cent of the participants wanted more information about brucellosis. Seventeen per cent sold unpasteurized dairy products on a regular basis direct to consumers. Almost 30% of the households consumed unpasteurized dairy products on regular basis. A majority of the respondents did not use any protection when handling cows having an abortion or when dealing with aborted materials. Poor knowledge, high-risk behaviours and a willingness to learn more strengthens the logic for including health education as part of control programmes.","author":[{"dropping-particle":"","family":"Lindahl","given":"E.","non-dropping-particle":"","parse-names":false,"suffix":""},{"dropping-particle":"","family":"Sattorov","given":"N.","non-dropping-particle":"","parse-names":false,"suffix":""},{"dropping-particle":"","family":"Boqvist","given":"S.","non-dropping-particle":"","parse-names":false,"suffix":""},{"dropping-particle":"","family":"Magnusson","given":"U.","non-dropping-particle":"","parse-names":false,"suffix":""}],"container-title":"PLoS ONE","id":"ITEM-1","issue":"2","issued":{"date-parts":[["2015"]]},"page":"1-10","title":"A study of knowledge, attitudes and practices relating to brucellosis among small-scale dairy farmers in an urban and peri-urban area of Tajikistan","type":"article-journal","volume":"10"},"uris":["http://www.mendeley.com/documents/?uuid=18ff1eff-40fd-4397-a29e-2943a79d8b7b"]}],"mendeley":{"formattedCitation":"(Lindahl et al., 2015)","plainTextFormattedCitation":"(Lindahl et al., 2015)","previouslyFormattedCitation":"(Lindahl et al., 2015)"},"properties":{"noteIndex":0},"schema":"https://github.com/citation-style-language/schema/raw/master/csl-citation.json"}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(Lindahl et al., 2015)</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Farmers' actions and activities can have an impact beyond their farms, affecting other farmers as well. Understanding the perceptions and knowledge of livestock farmers, including their diet and interactions with other animals, is essential for effective management in peri-urban areas </w:t>
      </w:r>
      <w:r w:rsidRPr="00895D0B">
        <w:rPr>
          <w:rFonts w:cs="Times New Roman"/>
          <w:color w:val="000000" w:themeColor="text1"/>
          <w:szCs w:val="24"/>
          <w:shd w:val="clear" w:color="auto" w:fill="FFFFFF"/>
        </w:rPr>
        <w:fldChar w:fldCharType="begin" w:fldLock="1"/>
      </w:r>
      <w:r w:rsidR="00184706" w:rsidRPr="00895D0B">
        <w:rPr>
          <w:rFonts w:cs="Times New Roman"/>
          <w:color w:val="000000" w:themeColor="text1"/>
          <w:szCs w:val="24"/>
          <w:shd w:val="clear" w:color="auto" w:fill="FFFFFF"/>
        </w:rPr>
        <w:instrText>ADDIN CSL_CITATION {"citationItems":[{"id":"ITEM-1","itemData":{"abstract":"To support urban agricultural development, the role of an extension worker is needed, where this role is needed to build farmer attitudes and participation towards, especially during the Covid 19 pandemic. The aims of this study were to describe urban agricultural activities carried out by farmers and to analyze the role of agricultural extension agents in urban agricultural development in Yogyakarta City, Indonesia. The study was conducted in the city of Yogyakarta, using a survey method of 48 group members from all districts in the city of Yogyakarta who were selected by the Multistage Random Sampling method. The data was collected by conducting interviews using a structured and in-depth interview guide. Quantitative descriptive analysis was used to describe urban agricultural activities and to determine the role of agricultural extension agents in urban agricultural development. The results showed that urban agricultural activities carried out by urban farmers during the pandemic were the use of urban yards through the Vegetable Village Program launched by the Yogyakarta City Agricultural Service. The implementation of the program is carried out through farmer groups to have group gardens, nurseries, and vegetable aisles. The role of agricultural extension agents is as a motivator, facilitator, educator, and communicator, and each of these roles is classified as good. Overall, the role of agricultural extension agents is in a good category. The role of agricultural extension agents is very much needed because during the Covid 19 pandemic there was an increase in agricultural activities using urban yards.","author":[{"dropping-particle":"","family":"Wulandari","given":"R.","non-dropping-particle":"","parse-names":false,"suffix":""},{"dropping-particle":"","family":"Witjaksono","given":"R.","non-dropping-particle":"","parse-names":false,"suffix":""},{"dropping-particle":"","family":"Wati","given":"R. I.","non-dropping-particle":"","parse-names":false,"suffix":""}],"container-title":"AProceedings of 1st International Conference on Sustainable Agricultural Socio-economics, Agribusiness, and Rural Development (ICSASARD 2021)","id":"ITEM-1","issue":"Icsasard","issued":{"date-parts":[["2021"]]},"page":"20-30","title":"The Role of Agricultural Extension Workers in Urban Agriculture Development During the Covid-19 Pandemic in Yogyakarta City , Indonesia","type":"article-journal","volume":"199"},"uris":["http://www.mendeley.com/documents/?uuid=25533189-2fb8-434f-a1dc-9429d8257641"]}],"mendeley":{"formattedCitation":"(R. Wulandari et al., 2021)","manualFormatting":"(Wulandari et al., 2021)","plainTextFormattedCitation":"(R. Wulandari et al., 2021)","previouslyFormattedCitation":"(R. Wulandari et al., 2021)"},"properties":{"noteIndex":0},"schema":"https://github.com/citation-style-language/schema/raw/master/csl-citation.json"}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(Wulandari et al., 2021)</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{"citationItems":[{"id":"ITEM-1","itemData":{"DOI":"10.1002/pan3.10315","ISSN":"25758314","abstract":"There is a long-standing relationship between humans and vertebrate scavengers, as scavengers' contributions take on regulating (e.g. nutrient recycling and disease control), material (e.g. competition and livestock depredation) and non-material (e.g. sky burials and ecotourism) roles in society. A social–ecological approach to studying biodiversity is increasingly needed, since the inclusion of local perceptions and knowledge has proven critical for effective conservation programs and ecosystem management. We examine livestock farmers' perceptions and knowledge related to vertebrate scavengers in the highly diverse Chitwan-Annapurna Landscape (Nepal) and assess the socio-demographic traits that influence their perceived value of scavengers' ecosystem service provisioning (ESP) index, and function via scavenging services (SS). Farmers' perceptions of functional importance (SS) showed species-specific gradation, unlike ESP, where only avian scavengers were perceived as beneficial. Our results show that the perception of scavenging as a beneficial ecosystem service and its importance as a biological function are decoupled for facultative scavengers and coupled for obligate scavengers. Relatedly, we identify that affluence-related traits drove positive perceptions of ESP, and local ecological knowledge-based traits were linked to increased knowledge of function via SS. Thus, this increased awareness of functional importance based on close contact with nature does not guarantee positive valuations of scavengers' contributions, whereas formal education did influence positive perceptions despite reduced awareness of function. Additionally, our findings suggest that existing environmental education measures are targeting the right groups, as these respondents coincide with lower favourability of scavengers' ecosystem services, but may be unable to overcome existing human–wildlife conflict. For the first time in South Asia, we survey relevant community stakeholder's attitudes towards an entire scavenging guild and their associated benefits, detriments and functional importance. Our study illustrates the varied perceptions that exist for different scavenger species and closely examines a wide-ranging set of socio-demographic traits that show disparate influences on farmers' knowledge of ecological function and perceived ecosystem service benefits. Crucially, these findings can guide conservation and management priorities by considering the differences in public …","author":[{"dropping-particle":"","family":"Bhattacharjee","given":"A.","non-dropping-particle":"","parse-names":false,"suffix":""},{"dropping-particle":"","family":"Sadadev","given":"B. M.","non-dropping-particle":"","parse-names":false,"suffix":""},{"dropping-particle":"","family":"Karmacharya","given":"D. K.","non-dropping-particle":"","parse-names":false,"suffix":""},{"dropping-particle":"","family":"Baral","given":"Rishi","non-dropping-particle":"","parse-names":false,"suffix":""},{"dropping-particle":"","family":"Pérez-García","given":"J. M.","non-dropping-particle":"","parse-names":false,"suffix":""},{"dropping-particle":"","family":"Giménez Casalduero","given":"A.","non-dropping-particle":"","parse-names":false,"suffix":""},{"dropping-particle":"","family":"Sánchez-Zapata","given":"J. A.","non-dropping-particle":"","parse-names":false,"suffix":""},{"dropping-particle":"","family":"Anadón","given":"J. D.","non-dropping-particle":"","parse-names":false,"suffix":""}],"container-title":"People and Nature","id":"ITEM-1","issue":"3","issued":{"date-parts":[["2022"]]},"page":"786-803","title":"Local ecological knowledge and education drive farmers' contrasting perceptions of scavengers and their function in Nepal","type":"article-journal","volume":"4"},"uris":["http://www.mendeley.com/documents/?uuid=e0c8e38c-0b09-4fe8-9bcc-9e43dfc581c6"]}],"mendeley":{"formattedCitation":"(Bhattacharjee et al., 2022)","manualFormatting":"; Bhattacharjee et al., 2022)","plainTextFormattedCitation":"(Bhattacharjee et al., 2022)","previouslyFormattedCitation":"(Bhattacharjee et al., 2022)"},"properties":{"noteIndex":0},"schema":"https://github.com/citation-style-language/schema/raw/master/csl-citation.json"}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 Bhattacharjee et al., 2022)</w:t>
      </w:r>
      <w:r w:rsidRPr="00895D0B">
        <w:rPr>
          <w:rFonts w:cs="Times New Roman"/>
          <w:color w:val="000000" w:themeColor="text1"/>
          <w:szCs w:val="24"/>
          <w:shd w:val="clear" w:color="auto" w:fill="FFFFFF"/>
        </w:rPr>
        <w:fldChar w:fldCharType="end"/>
      </w:r>
      <w:r w:rsidRPr="00895D0B">
        <w:rPr>
          <w:rFonts w:cs="Times New Roman"/>
          <w:color w:val="000000" w:themeColor="text1"/>
          <w:szCs w:val="24"/>
        </w:rPr>
        <w:t xml:space="preserve">. </w:t>
      </w:r>
      <w:r w:rsidRPr="00895D0B">
        <w:rPr>
          <w:rFonts w:cs="Times New Roman"/>
          <w:color w:val="000000" w:themeColor="text1"/>
          <w:szCs w:val="24"/>
          <w:shd w:val="clear" w:color="auto" w:fill="FFFFFF"/>
        </w:rPr>
        <w:t xml:space="preserve">The spatial distribution of animal housing structures in cities for climate change adaptations is an area of growing research interest. Suitable modifications in shelter design are needed to address the impacts of climate change on livestock. These modifications aim to alleviate thermal stress and mitigate methane emissions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{"citationItems":[{"id":"ITEM-1","itemData":{"DOI":"10.3390/cli6030054","author":[{"dropping-particle":"","family":"Escarcha","given":"J. F.","non-dropping-particle":"","parse-names":false,"suffix":""},{"dropping-particle":"","family":"Zander","given":"K. K.","non-dropping-particle":"","parse-names":false,"suffix":""}],"id":"ITEM-1","issued":{"date-parts":[["2018"]]},"page":"1-17","title":"Livestock Under Climate Change : A Systematic Review of Impacts and Adaptation","type":"article-journal"},"uris":["http://www.mendeley.com/documents/?uuid=29cbe61c-ec40-43d6-820c-ddce3c73773a"]}],"mendeley":{"formattedCitation":"(Escarcha &amp; Zander, 2018)","plainTextFormattedCitation":"(Escarcha &amp; Zander, 2018)","previouslyFormattedCitation":"(Escarcha &amp; Zander, 2018)"},"properties":{"noteIndex":0},"schema":"https://github.com/citation-style-language/schema/raw/master/csl-citation.json"}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(Escarcha &amp; Zander, 2018)</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Additionally, nature-based strategies (NBS) can play a role in reducing climate change hazards in cities. The NBS, such as parks and open spaces, can contribute to climate change adaptation by providing suitable habitats and ecosystem services for animals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{"citationItems":[{"id":"ITEM-1","itemData":{"author":[{"dropping-particle":"","family":"Hobbie","given":"S. E.","non-dropping-particle":"","parse-names":false,"suffix":""},{"dropping-particle":"","family":"Grimm","given":"N. B.","non-dropping-particle":"","parse-names":false,"suffix":""}],"id":"ITEM-1","issued":{"date-parts":[["2020"]]},"title":"Nature-based approaches to managing climate change impacts in cities","type":"article-journal"},"uris":["http://www.mendeley.com/documents/?uuid=06620f28-d330-4f08-b85d-5129fc301e53"]}],"mendeley":{"formattedCitation":"(Hobbie &amp; Grimm, 2020)","plainTextFormattedCitation":"(Hobbie &amp; Grimm, 2020)","previouslyFormattedCitation":"(Hobbie &amp; Grimm, 2020)"},"properties":{"noteIndex":0},"schema":"https://github.com/citation-style-language/schema/raw/master/csl-citation.json"}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(Hobbie &amp; Grimm, 2020)</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However, specific information regarding the spatial distribution of animal housing structures in cities for climate change adaptations may be limited.</w:t>
      </w:r>
    </w:p>
    <w:p w14:paraId="3B689E35" w14:textId="77777777" w:rsidR="001B4ED5" w:rsidRPr="00895D0B" w:rsidRDefault="001B4ED5" w:rsidP="00166F50">
      <w:pPr>
        <w:pStyle w:val="NoSpacing"/>
        <w:rPr>
          <w:shd w:val="clear" w:color="auto" w:fill="FFFFFF"/>
        </w:rPr>
      </w:pPr>
    </w:p>
    <w:p w14:paraId="378A2D59" w14:textId="77777777" w:rsidR="001B4ED5" w:rsidRPr="00895D0B" w:rsidRDefault="006B41C0" w:rsidP="009864E3">
      <w:pPr>
        <w:pStyle w:val="Heading3"/>
        <w:rPr>
          <w:shd w:val="clear" w:color="auto" w:fill="FFFFFF"/>
        </w:rPr>
      </w:pPr>
      <w:bookmarkStart w:id="138" w:name="_Toc167379933"/>
      <w:r w:rsidRPr="00895D0B">
        <w:rPr>
          <w:shd w:val="clear" w:color="auto" w:fill="FFFFFF"/>
        </w:rPr>
        <w:t>5.4.4 Theoretical reflection</w:t>
      </w:r>
      <w:bookmarkEnd w:id="138"/>
      <w:r w:rsidRPr="00895D0B">
        <w:rPr>
          <w:shd w:val="clear" w:color="auto" w:fill="FFFFFF"/>
        </w:rPr>
        <w:t xml:space="preserve"> </w:t>
      </w:r>
    </w:p>
    <w:p w14:paraId="4AFA7DDB" w14:textId="77777777" w:rsidR="001B4ED5" w:rsidRPr="00895D0B" w:rsidRDefault="006B41C0">
      <w:pPr>
        <w:shd w:val="clear" w:color="auto" w:fill="FFFFFF"/>
        <w:spacing w:beforeAutospacing="1" w:afterAutospacing="1" w:line="360" w:lineRule="auto"/>
        <w:rPr>
          <w:rFonts w:cs="Times New Roman"/>
          <w:color w:val="000000" w:themeColor="text1"/>
          <w:szCs w:val="24"/>
          <w:shd w:val="clear" w:color="auto" w:fill="FFFFFF"/>
        </w:rPr>
      </w:pPr>
      <w:r w:rsidRPr="00895D0B">
        <w:rPr>
          <w:rFonts w:cs="Times New Roman"/>
          <w:color w:val="000000" w:themeColor="text1"/>
          <w:szCs w:val="24"/>
          <w:lang w:eastAsia="en-GB"/>
        </w:rPr>
        <w:t xml:space="preserve">The study findings on spatial dynamics of urban agriculture production across the urban environment has relations with the social practice theory. The theory is anchored by the notion that people’s practices are defined by the images, that is to say the symbols, social norms and common understanding. The dominance of poultry such as fowls and guinea fowls production across the urban core and transitional zones could be determined by the social norms and desire of urban farmers. This also means that residents of these zones have gotten the understanding on how these types of poultry are produced even though the climatic stressor could affect production. The understanding is that their knowledge base in adapting their animal production to climate change is enough to increase production under climatic stressors such temperature and heavy rain fall that could lead to unfriendly housing environments for poultry. The result could be the outbreak of animal diseases due to the nature of rainfall and temperature fluctuations. The theory again reflects the understanding that urban </w:t>
      </w:r>
      <w:r w:rsidRPr="00895D0B">
        <w:rPr>
          <w:rFonts w:cs="Times New Roman"/>
          <w:color w:val="000000" w:themeColor="text1"/>
          <w:szCs w:val="24"/>
          <w:lang w:eastAsia="en-GB"/>
        </w:rPr>
        <w:lastRenderedPageBreak/>
        <w:t>farmers have adequate knowledge of the type of animal housing structure that are climate change friendly, the construction of bricks or blocks roofed with zincs and wooden structures roofed with zincs. The social practice theory also reflects the understanding that</w:t>
      </w:r>
      <w:r w:rsidRPr="00895D0B">
        <w:rPr>
          <w:rFonts w:cs="Times New Roman"/>
          <w:color w:val="000000" w:themeColor="text1"/>
          <w:szCs w:val="24"/>
          <w:shd w:val="clear" w:color="auto" w:fill="FFFFFF"/>
        </w:rPr>
        <w:t xml:space="preserve"> is widely recognized that climate change can have significant implications for livestock, including effects on growth rates, milk and egg production. It is important to note that the perception of climate change and adaptation strategies among livestock farmers can vary depending on the region. Overall, the impact of climate change on animal production is a complex issue, and more research is needed to fully understand its effects. Additionally, engaging farmers and valuing their local knowledge can be beneficial in designing effective strategies to address climate change in the context of livestock production. Interestingly, the social practice theory reflects the point that urban framers with the core and the transitional zones have the skills and techniques in producing with small plots of land not exceeding 0.3 of an acre while adapting to climatic stressors. The materials to undertake urban agricultural production activity which the social practice theory see as stuff are available to materialize the interest in urban agricultural production. </w:t>
      </w:r>
    </w:p>
    <w:p w14:paraId="06BB2230" w14:textId="38DCF8AC" w:rsidR="001B4ED5" w:rsidRPr="00895D0B" w:rsidRDefault="0083794D">
      <w:pPr>
        <w:pStyle w:val="Heading2"/>
      </w:pPr>
      <w:bookmarkStart w:id="139" w:name="_Toc167379934"/>
      <w:r w:rsidRPr="00895D0B">
        <w:t>5</w:t>
      </w:r>
      <w:r w:rsidR="006B41C0" w:rsidRPr="00895D0B">
        <w:t>.5 Summary of the Chapter</w:t>
      </w:r>
      <w:bookmarkEnd w:id="139"/>
    </w:p>
    <w:p w14:paraId="3C699A17" w14:textId="2A9B7091" w:rsidR="00FC4D6B" w:rsidRPr="00895D0B" w:rsidRDefault="006B41C0">
      <w:pPr>
        <w:spacing w:line="360" w:lineRule="auto"/>
        <w:rPr>
          <w:rFonts w:cs="Times New Roman"/>
          <w:color w:val="000000" w:themeColor="text1"/>
          <w:szCs w:val="24"/>
          <w:lang w:eastAsia="en-GB"/>
        </w:rPr>
      </w:pPr>
      <w:r w:rsidRPr="00895D0B">
        <w:rPr>
          <w:rFonts w:cs="Times New Roman"/>
          <w:color w:val="000000" w:themeColor="text1"/>
          <w:szCs w:val="24"/>
          <w:lang w:eastAsia="en-GB"/>
        </w:rPr>
        <w:t>This chapter present</w:t>
      </w:r>
      <w:r w:rsidR="00FC4D6B" w:rsidRPr="00895D0B">
        <w:rPr>
          <w:rFonts w:cs="Times New Roman"/>
          <w:color w:val="000000" w:themeColor="text1"/>
          <w:szCs w:val="24"/>
          <w:lang w:eastAsia="en-GB"/>
        </w:rPr>
        <w:t>ed</w:t>
      </w:r>
      <w:r w:rsidRPr="00895D0B">
        <w:rPr>
          <w:rFonts w:cs="Times New Roman"/>
          <w:color w:val="000000" w:themeColor="text1"/>
          <w:szCs w:val="24"/>
          <w:lang w:eastAsia="en-GB"/>
        </w:rPr>
        <w:t xml:space="preserve"> the spatial dynamics of urban farming in the Wa Municipality. </w:t>
      </w:r>
      <w:r w:rsidR="00FC4D6B" w:rsidRPr="00895D0B">
        <w:rPr>
          <w:rFonts w:cs="Times New Roman"/>
          <w:color w:val="000000" w:themeColor="text1"/>
          <w:szCs w:val="24"/>
          <w:lang w:eastAsia="en-GB"/>
        </w:rPr>
        <w:t>The areas covered are the spatial dis</w:t>
      </w:r>
      <w:r w:rsidR="0083794D" w:rsidRPr="00895D0B">
        <w:rPr>
          <w:rFonts w:cs="Times New Roman"/>
          <w:color w:val="000000" w:themeColor="text1"/>
          <w:szCs w:val="24"/>
          <w:lang w:eastAsia="en-GB"/>
        </w:rPr>
        <w:t>tributions of urban agricultural</w:t>
      </w:r>
      <w:r w:rsidR="00FC4D6B" w:rsidRPr="00895D0B">
        <w:rPr>
          <w:rFonts w:cs="Times New Roman"/>
          <w:color w:val="000000" w:themeColor="text1"/>
          <w:szCs w:val="24"/>
          <w:lang w:eastAsia="en-GB"/>
        </w:rPr>
        <w:t xml:space="preserve"> activities including crop production, animal production and the farm sizes across the urban neighbourho</w:t>
      </w:r>
      <w:r w:rsidR="0083794D" w:rsidRPr="00895D0B">
        <w:rPr>
          <w:rFonts w:cs="Times New Roman"/>
          <w:color w:val="000000" w:themeColor="text1"/>
          <w:szCs w:val="24"/>
          <w:lang w:eastAsia="en-GB"/>
        </w:rPr>
        <w:t xml:space="preserve">od. A statistical analysis are </w:t>
      </w:r>
      <w:r w:rsidR="00FC4D6B" w:rsidRPr="00895D0B">
        <w:rPr>
          <w:rFonts w:cs="Times New Roman"/>
          <w:color w:val="000000" w:themeColor="text1"/>
          <w:szCs w:val="24"/>
          <w:lang w:eastAsia="en-GB"/>
        </w:rPr>
        <w:t>done on each of these teams outlined above and discussions were done along the line. Also, theoretical implicat</w:t>
      </w:r>
      <w:r w:rsidR="0083794D" w:rsidRPr="00895D0B">
        <w:rPr>
          <w:rFonts w:cs="Times New Roman"/>
          <w:color w:val="000000" w:themeColor="text1"/>
          <w:szCs w:val="24"/>
          <w:lang w:eastAsia="en-GB"/>
        </w:rPr>
        <w:t>i</w:t>
      </w:r>
      <w:r w:rsidR="00FC4D6B" w:rsidRPr="00895D0B">
        <w:rPr>
          <w:rFonts w:cs="Times New Roman"/>
          <w:color w:val="000000" w:themeColor="text1"/>
          <w:szCs w:val="24"/>
          <w:lang w:eastAsia="en-GB"/>
        </w:rPr>
        <w:t xml:space="preserve">ons of the results were outlined. </w:t>
      </w:r>
    </w:p>
    <w:p w14:paraId="6C07A56D" w14:textId="77777777" w:rsidR="00FC4D6B" w:rsidRPr="00895D0B" w:rsidRDefault="00FC4D6B">
      <w:pPr>
        <w:spacing w:line="360" w:lineRule="auto"/>
        <w:rPr>
          <w:rFonts w:cs="Times New Roman"/>
          <w:color w:val="000000" w:themeColor="text1"/>
          <w:szCs w:val="24"/>
          <w:lang w:eastAsia="en-GB"/>
        </w:rPr>
      </w:pPr>
    </w:p>
    <w:p w14:paraId="53DD57D5" w14:textId="77777777" w:rsidR="00FC4D6B" w:rsidRPr="00895D0B" w:rsidRDefault="00FC4D6B">
      <w:pPr>
        <w:spacing w:line="360" w:lineRule="auto"/>
        <w:rPr>
          <w:rFonts w:cs="Times New Roman"/>
          <w:color w:val="000000" w:themeColor="text1"/>
          <w:szCs w:val="24"/>
        </w:rPr>
      </w:pPr>
    </w:p>
    <w:p w14:paraId="09455D07" w14:textId="77777777" w:rsidR="00FC4D6B" w:rsidRPr="00895D0B" w:rsidRDefault="00FC4D6B">
      <w:pPr>
        <w:spacing w:line="360" w:lineRule="auto"/>
        <w:rPr>
          <w:rFonts w:cs="Times New Roman"/>
          <w:color w:val="000000" w:themeColor="text1"/>
          <w:szCs w:val="24"/>
        </w:rPr>
      </w:pPr>
    </w:p>
    <w:p w14:paraId="05601FD0" w14:textId="77777777" w:rsidR="00FC4D6B" w:rsidRPr="00895D0B" w:rsidRDefault="00FC4D6B">
      <w:pPr>
        <w:spacing w:line="360" w:lineRule="auto"/>
        <w:rPr>
          <w:rFonts w:cs="Times New Roman"/>
          <w:color w:val="000000" w:themeColor="text1"/>
          <w:szCs w:val="24"/>
        </w:rPr>
      </w:pPr>
    </w:p>
    <w:p w14:paraId="7CAAA225" w14:textId="77777777" w:rsidR="00FC4D6B" w:rsidRPr="00895D0B" w:rsidRDefault="00FC4D6B">
      <w:pPr>
        <w:spacing w:line="360" w:lineRule="auto"/>
        <w:rPr>
          <w:rFonts w:cs="Times New Roman"/>
          <w:color w:val="000000" w:themeColor="text1"/>
          <w:szCs w:val="24"/>
        </w:rPr>
      </w:pPr>
    </w:p>
    <w:p w14:paraId="4CE99DAC" w14:textId="77777777" w:rsidR="00FC4D6B" w:rsidRPr="00895D0B" w:rsidRDefault="00FC4D6B">
      <w:pPr>
        <w:spacing w:line="360" w:lineRule="auto"/>
        <w:rPr>
          <w:rFonts w:cs="Times New Roman"/>
          <w:color w:val="000000" w:themeColor="text1"/>
          <w:szCs w:val="24"/>
        </w:rPr>
      </w:pPr>
    </w:p>
    <w:p w14:paraId="541B46EE" w14:textId="4D666C5D" w:rsidR="001B4ED5" w:rsidRPr="00895D0B" w:rsidRDefault="001B4ED5">
      <w:pPr>
        <w:spacing w:line="360" w:lineRule="auto"/>
        <w:rPr>
          <w:rFonts w:cs="Times New Roman"/>
          <w:color w:val="000000" w:themeColor="text1"/>
          <w:szCs w:val="24"/>
        </w:rPr>
      </w:pPr>
    </w:p>
    <w:p w14:paraId="357CFAD8" w14:textId="77777777" w:rsidR="001B4ED5" w:rsidRPr="00895D0B" w:rsidRDefault="001B4ED5">
      <w:pPr>
        <w:pStyle w:val="NoSpacing"/>
        <w:spacing w:line="360" w:lineRule="auto"/>
        <w:rPr>
          <w:rFonts w:ascii="Times New Roman" w:hAnsi="Times New Roman" w:cs="Times New Roman"/>
          <w:color w:val="000000" w:themeColor="text1"/>
          <w:sz w:val="24"/>
          <w:szCs w:val="24"/>
          <w:lang w:eastAsia="en-GB"/>
        </w:rPr>
      </w:pPr>
    </w:p>
    <w:p w14:paraId="16AFF6E7" w14:textId="77777777" w:rsidR="001B4ED5" w:rsidRPr="00895D0B" w:rsidRDefault="001B4ED5">
      <w:pPr>
        <w:spacing w:line="360" w:lineRule="auto"/>
        <w:rPr>
          <w:rFonts w:cs="Times New Roman"/>
          <w:color w:val="000000" w:themeColor="text1"/>
          <w:szCs w:val="24"/>
        </w:rPr>
      </w:pPr>
    </w:p>
    <w:p w14:paraId="1515D7FA" w14:textId="77777777" w:rsidR="001B4ED5" w:rsidRPr="00895D0B" w:rsidRDefault="006B41C0" w:rsidP="009745EC">
      <w:pPr>
        <w:pStyle w:val="Heading1"/>
      </w:pPr>
      <w:bookmarkStart w:id="140" w:name="_Toc167379935"/>
      <w:r w:rsidRPr="00895D0B">
        <w:lastRenderedPageBreak/>
        <w:t>CHAPTER SIX</w:t>
      </w:r>
      <w:bookmarkEnd w:id="140"/>
      <w:r w:rsidRPr="00895D0B">
        <w:t xml:space="preserve"> </w:t>
      </w:r>
    </w:p>
    <w:p w14:paraId="061D9E65" w14:textId="6E57DC6B" w:rsidR="001B4ED5" w:rsidRPr="00895D0B" w:rsidRDefault="00DF6FA0" w:rsidP="009745EC">
      <w:pPr>
        <w:pStyle w:val="Heading1"/>
      </w:pPr>
      <w:bookmarkStart w:id="141" w:name="_Toc167379936"/>
      <w:r w:rsidRPr="00895D0B">
        <w:t>DEMOGRAPHIC</w:t>
      </w:r>
      <w:r w:rsidR="006B41C0" w:rsidRPr="00895D0B">
        <w:t xml:space="preserve"> FACTORS INFLUENCING URBAN HOUSEHOLDS' AGRICULTURE PARTICIPATION</w:t>
      </w:r>
      <w:bookmarkEnd w:id="141"/>
      <w:r w:rsidR="006B41C0" w:rsidRPr="00895D0B">
        <w:t xml:space="preserve"> </w:t>
      </w:r>
    </w:p>
    <w:p w14:paraId="39524CE1" w14:textId="77777777" w:rsidR="001B4ED5" w:rsidRPr="00895D0B" w:rsidRDefault="006B41C0" w:rsidP="00056D43">
      <w:pPr>
        <w:pStyle w:val="Heading2"/>
      </w:pPr>
      <w:bookmarkStart w:id="142" w:name="_Toc167379937"/>
      <w:r w:rsidRPr="00895D0B">
        <w:t>6.1 Introduction</w:t>
      </w:r>
      <w:bookmarkEnd w:id="142"/>
      <w:r w:rsidRPr="00895D0B">
        <w:t xml:space="preserve"> </w:t>
      </w:r>
    </w:p>
    <w:p w14:paraId="6D5EDA61" w14:textId="77777777" w:rsidR="00246C3F" w:rsidRPr="00895D0B" w:rsidRDefault="00246C3F" w:rsidP="00246C3F">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This chapter presents the determinants of urban residents’ participation in urban food production. The influential factors used are the respondents' socio-economic and demographic characteristics. This constitutes objective one of the study, which seeks to determine the socio-economic and demographic factors that influence urban dwellers' participation in urban agriculture. The analysis is based on a binary logistic model.</w:t>
      </w:r>
    </w:p>
    <w:p w14:paraId="5BAEE389" w14:textId="77777777" w:rsidR="001B4ED5" w:rsidRPr="00895D0B" w:rsidRDefault="001B4ED5" w:rsidP="00056D43">
      <w:pPr>
        <w:pStyle w:val="NoSpacing"/>
      </w:pPr>
    </w:p>
    <w:p w14:paraId="5F5BF8E7" w14:textId="28D67BCE" w:rsidR="001B4ED5" w:rsidRPr="00895D0B" w:rsidRDefault="006B41C0">
      <w:pPr>
        <w:pStyle w:val="Heading2"/>
      </w:pPr>
      <w:bookmarkStart w:id="143" w:name="_Toc167379938"/>
      <w:r w:rsidRPr="00895D0B">
        <w:t xml:space="preserve">6.2 </w:t>
      </w:r>
      <w:r w:rsidR="00DF6FA0" w:rsidRPr="00895D0B">
        <w:t>Demographic</w:t>
      </w:r>
      <w:r w:rsidRPr="00895D0B">
        <w:t xml:space="preserve"> Features of the Respondents</w:t>
      </w:r>
      <w:bookmarkEnd w:id="143"/>
    </w:p>
    <w:p w14:paraId="364BA239" w14:textId="4D3F79D5" w:rsidR="00246C3F" w:rsidRDefault="00246C3F" w:rsidP="00246C3F">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In this section, the demographic features of the respondents are presented. Results from the survey indicated that urban food producers between the ages of 31 and 40 represent about 39.0%. This is closely followed by those who are within the age category of 41–50 years. The fewest respondents are those who are within the age category of 61 years and older, representing about 2.8%. The results further revealed that there are more male respondents than females, representing, about 71.0% and 29.0%, respectively. Furthermore, the majority of the respondents are married, representing about 73.8%; 15.7% never married; and only 3.6% of them are separated. Evidentially, the employment status is such that, the majority of the respondents are employed, representing about 82.6%, and only 17.4% are unemployed. About 57.7% of the respondents are engaged in the informal sector, and about 42.3% ar</w:t>
      </w:r>
      <w:r w:rsidR="008C1AA9">
        <w:rPr>
          <w:rFonts w:eastAsia="Times New Roman" w:cs="Times New Roman"/>
          <w:color w:val="000000" w:themeColor="text1"/>
          <w:szCs w:val="24"/>
          <w:lang w:eastAsia="en-GB"/>
        </w:rPr>
        <w:t xml:space="preserve">e working in the formal sector. </w:t>
      </w:r>
      <w:r w:rsidR="00C9416B" w:rsidRPr="00895D0B">
        <w:rPr>
          <w:rFonts w:eastAsia="Times New Roman" w:cs="Times New Roman"/>
          <w:color w:val="000000" w:themeColor="text1"/>
          <w:szCs w:val="24"/>
          <w:lang w:eastAsia="en-GB"/>
        </w:rPr>
        <w:t>Interestingly, the respondents have attained either a tertiary education level or a second cycle level, which represents about 40.3% and 29.8%, respectively. Only 18.0% had no formal education, and 11.9% had some basic education (</w:t>
      </w:r>
      <w:r w:rsidR="00C9416B" w:rsidRPr="00895D0B">
        <w:rPr>
          <w:rFonts w:eastAsia="Times New Roman" w:cs="Times New Roman"/>
          <w:i/>
          <w:iCs/>
          <w:color w:val="000000" w:themeColor="text1"/>
          <w:szCs w:val="24"/>
          <w:lang w:eastAsia="en-GB"/>
        </w:rPr>
        <w:t>see Table 6.1</w:t>
      </w:r>
      <w:r w:rsidR="00C9416B" w:rsidRPr="00895D0B">
        <w:rPr>
          <w:rFonts w:eastAsia="Times New Roman" w:cs="Times New Roman"/>
          <w:color w:val="000000" w:themeColor="text1"/>
          <w:szCs w:val="24"/>
          <w:lang w:eastAsia="en-GB"/>
        </w:rPr>
        <w:t>). The study also tried to identify whether the respondents were natives or settlers. The results showed that the majority of them are sellers, representing about 74.6%, while only 25.4% are natives.</w:t>
      </w:r>
    </w:p>
    <w:p w14:paraId="2160E618" w14:textId="77777777" w:rsidR="00056D43" w:rsidRDefault="00056D43" w:rsidP="00246C3F">
      <w:pPr>
        <w:spacing w:line="360" w:lineRule="auto"/>
        <w:rPr>
          <w:rFonts w:eastAsia="Times New Roman" w:cs="Times New Roman"/>
          <w:color w:val="000000" w:themeColor="text1"/>
          <w:szCs w:val="24"/>
          <w:lang w:eastAsia="en-GB"/>
        </w:rPr>
      </w:pPr>
    </w:p>
    <w:p w14:paraId="108AE52B" w14:textId="77777777" w:rsidR="00056D43" w:rsidRDefault="00056D43" w:rsidP="00246C3F">
      <w:pPr>
        <w:spacing w:line="360" w:lineRule="auto"/>
        <w:rPr>
          <w:rFonts w:eastAsia="Times New Roman" w:cs="Times New Roman"/>
          <w:color w:val="000000" w:themeColor="text1"/>
          <w:szCs w:val="24"/>
          <w:lang w:eastAsia="en-GB"/>
        </w:rPr>
      </w:pPr>
    </w:p>
    <w:p w14:paraId="2E2E5166" w14:textId="77777777" w:rsidR="00056D43" w:rsidRPr="00895D0B" w:rsidRDefault="00056D43" w:rsidP="00246C3F">
      <w:pPr>
        <w:spacing w:line="360" w:lineRule="auto"/>
        <w:rPr>
          <w:rFonts w:eastAsia="Times New Roman" w:cs="Times New Roman"/>
          <w:color w:val="000000" w:themeColor="text1"/>
          <w:szCs w:val="24"/>
          <w:lang w:eastAsia="en-GB"/>
        </w:rPr>
      </w:pPr>
    </w:p>
    <w:p w14:paraId="1FDA6252" w14:textId="379F29BD" w:rsidR="00C9416B" w:rsidRPr="00895D0B" w:rsidRDefault="00C9416B" w:rsidP="00246C3F">
      <w:pPr>
        <w:spacing w:line="360" w:lineRule="auto"/>
        <w:rPr>
          <w:rFonts w:eastAsia="Times New Roman" w:cs="Times New Roman"/>
          <w:color w:val="000000" w:themeColor="text1"/>
          <w:szCs w:val="24"/>
          <w:lang w:eastAsia="en-GB"/>
        </w:rPr>
      </w:pPr>
    </w:p>
    <w:tbl>
      <w:tblPr>
        <w:tblW w:w="8080" w:type="dxa"/>
        <w:tblLook w:val="04A0" w:firstRow="1" w:lastRow="0" w:firstColumn="1" w:lastColumn="0" w:noHBand="0" w:noVBand="1"/>
      </w:tblPr>
      <w:tblGrid>
        <w:gridCol w:w="3681"/>
        <w:gridCol w:w="2126"/>
        <w:gridCol w:w="2273"/>
      </w:tblGrid>
      <w:tr w:rsidR="00895D0B" w:rsidRPr="00895D0B" w14:paraId="52A8B21A" w14:textId="77777777" w:rsidTr="00C9416B">
        <w:tc>
          <w:tcPr>
            <w:tcW w:w="8080" w:type="dxa"/>
            <w:gridSpan w:val="3"/>
            <w:tcBorders>
              <w:bottom w:val="single" w:sz="4" w:space="0" w:color="auto"/>
            </w:tcBorders>
          </w:tcPr>
          <w:p w14:paraId="18C18219" w14:textId="3D464453" w:rsidR="001B4ED5" w:rsidRPr="00895D0B" w:rsidRDefault="006B41C0" w:rsidP="00056D43">
            <w:pPr>
              <w:pStyle w:val="Heading6"/>
            </w:pPr>
            <w:bookmarkStart w:id="144" w:name="_Toc148890680"/>
            <w:bookmarkStart w:id="145" w:name="_Toc167368595"/>
            <w:r w:rsidRPr="00895D0B">
              <w:lastRenderedPageBreak/>
              <w:t>Table 6.</w:t>
            </w:r>
            <w:r w:rsidR="00F955D1" w:rsidRPr="00895D0B">
              <w:fldChar w:fldCharType="begin"/>
            </w:r>
            <w:r w:rsidR="00F955D1" w:rsidRPr="00895D0B">
              <w:instrText xml:space="preserve"> SEQ Table_6. \* ARABIC </w:instrText>
            </w:r>
            <w:r w:rsidR="00F955D1" w:rsidRPr="00895D0B">
              <w:fldChar w:fldCharType="separate"/>
            </w:r>
            <w:r w:rsidR="0026489B">
              <w:rPr>
                <w:noProof/>
              </w:rPr>
              <w:t>1</w:t>
            </w:r>
            <w:r w:rsidR="00F955D1" w:rsidRPr="00895D0B">
              <w:fldChar w:fldCharType="end"/>
            </w:r>
            <w:r w:rsidRPr="00895D0B">
              <w:t xml:space="preserve">: Demographic Features of </w:t>
            </w:r>
            <w:r w:rsidR="00B44549" w:rsidRPr="00895D0B">
              <w:t xml:space="preserve">Urban Residents </w:t>
            </w:r>
            <w:r w:rsidRPr="00895D0B">
              <w:t>(N = 362)</w:t>
            </w:r>
            <w:bookmarkEnd w:id="144"/>
            <w:bookmarkEnd w:id="145"/>
          </w:p>
        </w:tc>
      </w:tr>
      <w:tr w:rsidR="00895D0B" w:rsidRPr="00895D0B" w14:paraId="2554F9C0" w14:textId="77777777" w:rsidTr="00C9416B">
        <w:tc>
          <w:tcPr>
            <w:tcW w:w="3681" w:type="dxa"/>
            <w:tcBorders>
              <w:top w:val="single" w:sz="4" w:space="0" w:color="auto"/>
              <w:bottom w:val="single" w:sz="4" w:space="0" w:color="auto"/>
            </w:tcBorders>
          </w:tcPr>
          <w:p w14:paraId="2CC5720D"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Demographic Features</w:t>
            </w:r>
          </w:p>
        </w:tc>
        <w:tc>
          <w:tcPr>
            <w:tcW w:w="2126" w:type="dxa"/>
            <w:tcBorders>
              <w:top w:val="single" w:sz="4" w:space="0" w:color="auto"/>
              <w:bottom w:val="single" w:sz="4" w:space="0" w:color="auto"/>
            </w:tcBorders>
          </w:tcPr>
          <w:p w14:paraId="2DB53810" w14:textId="77777777" w:rsidR="001B4ED5" w:rsidRPr="00895D0B" w:rsidRDefault="006B41C0">
            <w:pPr>
              <w:spacing w:line="240" w:lineRule="auto"/>
              <w:jc w:val="center"/>
              <w:rPr>
                <w:rFonts w:cs="Times New Roman"/>
                <w:b/>
                <w:color w:val="000000" w:themeColor="text1"/>
                <w:szCs w:val="24"/>
              </w:rPr>
            </w:pPr>
            <w:r w:rsidRPr="00895D0B">
              <w:rPr>
                <w:rFonts w:cs="Times New Roman"/>
                <w:b/>
                <w:color w:val="000000" w:themeColor="text1"/>
                <w:szCs w:val="24"/>
              </w:rPr>
              <w:t>Frequency</w:t>
            </w:r>
          </w:p>
        </w:tc>
        <w:tc>
          <w:tcPr>
            <w:tcW w:w="2273" w:type="dxa"/>
            <w:tcBorders>
              <w:top w:val="single" w:sz="4" w:space="0" w:color="auto"/>
              <w:bottom w:val="single" w:sz="4" w:space="0" w:color="auto"/>
            </w:tcBorders>
          </w:tcPr>
          <w:p w14:paraId="1C348166" w14:textId="77777777" w:rsidR="001B4ED5" w:rsidRPr="00895D0B" w:rsidRDefault="006B41C0">
            <w:pPr>
              <w:spacing w:line="240" w:lineRule="auto"/>
              <w:jc w:val="center"/>
              <w:rPr>
                <w:rFonts w:cs="Times New Roman"/>
                <w:b/>
                <w:color w:val="000000" w:themeColor="text1"/>
                <w:szCs w:val="24"/>
              </w:rPr>
            </w:pPr>
            <w:r w:rsidRPr="00895D0B">
              <w:rPr>
                <w:rFonts w:cs="Times New Roman"/>
                <w:b/>
                <w:color w:val="000000" w:themeColor="text1"/>
                <w:szCs w:val="24"/>
              </w:rPr>
              <w:t>Percent</w:t>
            </w:r>
          </w:p>
        </w:tc>
      </w:tr>
      <w:tr w:rsidR="00895D0B" w:rsidRPr="00895D0B" w14:paraId="78CA9DA3" w14:textId="77777777" w:rsidTr="00C9416B">
        <w:tc>
          <w:tcPr>
            <w:tcW w:w="8080" w:type="dxa"/>
            <w:gridSpan w:val="3"/>
            <w:tcBorders>
              <w:top w:val="single" w:sz="4" w:space="0" w:color="auto"/>
            </w:tcBorders>
          </w:tcPr>
          <w:p w14:paraId="47FE1078"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Age in complete years</w:t>
            </w:r>
          </w:p>
        </w:tc>
      </w:tr>
      <w:tr w:rsidR="00895D0B" w:rsidRPr="00895D0B" w14:paraId="3EEA5CBA" w14:textId="77777777" w:rsidTr="00C9416B">
        <w:tc>
          <w:tcPr>
            <w:tcW w:w="3681" w:type="dxa"/>
          </w:tcPr>
          <w:p w14:paraId="100E7273"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18 – 30</w:t>
            </w:r>
          </w:p>
        </w:tc>
        <w:tc>
          <w:tcPr>
            <w:tcW w:w="2126" w:type="dxa"/>
            <w:shd w:val="clear" w:color="auto" w:fill="FFFFFF"/>
            <w:vAlign w:val="center"/>
          </w:tcPr>
          <w:p w14:paraId="15495F8D"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42</w:t>
            </w:r>
          </w:p>
        </w:tc>
        <w:tc>
          <w:tcPr>
            <w:tcW w:w="2273" w:type="dxa"/>
            <w:shd w:val="clear" w:color="auto" w:fill="FFFFFF"/>
            <w:vAlign w:val="center"/>
          </w:tcPr>
          <w:p w14:paraId="3AE3596C"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11.6</w:t>
            </w:r>
          </w:p>
        </w:tc>
      </w:tr>
      <w:tr w:rsidR="00895D0B" w:rsidRPr="00895D0B" w14:paraId="66159C91" w14:textId="77777777" w:rsidTr="00C9416B">
        <w:tc>
          <w:tcPr>
            <w:tcW w:w="3681" w:type="dxa"/>
          </w:tcPr>
          <w:p w14:paraId="3FF412E7"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31 – 40</w:t>
            </w:r>
          </w:p>
        </w:tc>
        <w:tc>
          <w:tcPr>
            <w:tcW w:w="2126" w:type="dxa"/>
            <w:shd w:val="clear" w:color="auto" w:fill="FFFFFF"/>
            <w:vAlign w:val="center"/>
          </w:tcPr>
          <w:p w14:paraId="1185FEC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141</w:t>
            </w:r>
          </w:p>
        </w:tc>
        <w:tc>
          <w:tcPr>
            <w:tcW w:w="2273" w:type="dxa"/>
            <w:shd w:val="clear" w:color="auto" w:fill="FFFFFF"/>
            <w:vAlign w:val="center"/>
          </w:tcPr>
          <w:p w14:paraId="5C8B4652"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39.0</w:t>
            </w:r>
          </w:p>
        </w:tc>
      </w:tr>
      <w:tr w:rsidR="00895D0B" w:rsidRPr="00895D0B" w14:paraId="09E2CE04" w14:textId="77777777" w:rsidTr="00C9416B">
        <w:tc>
          <w:tcPr>
            <w:tcW w:w="3681" w:type="dxa"/>
          </w:tcPr>
          <w:p w14:paraId="66244C47"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41 – 50</w:t>
            </w:r>
          </w:p>
        </w:tc>
        <w:tc>
          <w:tcPr>
            <w:tcW w:w="2126" w:type="dxa"/>
            <w:shd w:val="clear" w:color="auto" w:fill="FFFFFF"/>
            <w:vAlign w:val="center"/>
          </w:tcPr>
          <w:p w14:paraId="198F255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138</w:t>
            </w:r>
          </w:p>
        </w:tc>
        <w:tc>
          <w:tcPr>
            <w:tcW w:w="2273" w:type="dxa"/>
            <w:shd w:val="clear" w:color="auto" w:fill="FFFFFF"/>
            <w:vAlign w:val="center"/>
          </w:tcPr>
          <w:p w14:paraId="2397995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38.1</w:t>
            </w:r>
          </w:p>
        </w:tc>
      </w:tr>
      <w:tr w:rsidR="00895D0B" w:rsidRPr="00895D0B" w14:paraId="596F4129" w14:textId="77777777" w:rsidTr="00C9416B">
        <w:tc>
          <w:tcPr>
            <w:tcW w:w="3681" w:type="dxa"/>
          </w:tcPr>
          <w:p w14:paraId="5D062B65"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51 – 60</w:t>
            </w:r>
          </w:p>
        </w:tc>
        <w:tc>
          <w:tcPr>
            <w:tcW w:w="2126" w:type="dxa"/>
            <w:shd w:val="clear" w:color="auto" w:fill="FFFFFF"/>
            <w:vAlign w:val="center"/>
          </w:tcPr>
          <w:p w14:paraId="50BBA78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31</w:t>
            </w:r>
          </w:p>
        </w:tc>
        <w:tc>
          <w:tcPr>
            <w:tcW w:w="2273" w:type="dxa"/>
            <w:shd w:val="clear" w:color="auto" w:fill="FFFFFF"/>
            <w:vAlign w:val="center"/>
          </w:tcPr>
          <w:p w14:paraId="4A166D6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8.6</w:t>
            </w:r>
          </w:p>
        </w:tc>
      </w:tr>
      <w:tr w:rsidR="00895D0B" w:rsidRPr="00895D0B" w14:paraId="1723D13E" w14:textId="77777777" w:rsidTr="00C9416B">
        <w:tc>
          <w:tcPr>
            <w:tcW w:w="3681" w:type="dxa"/>
            <w:tcBorders>
              <w:bottom w:val="single" w:sz="4" w:space="0" w:color="auto"/>
            </w:tcBorders>
          </w:tcPr>
          <w:p w14:paraId="1C23A5B4"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61 and above </w:t>
            </w:r>
          </w:p>
        </w:tc>
        <w:tc>
          <w:tcPr>
            <w:tcW w:w="2126" w:type="dxa"/>
            <w:tcBorders>
              <w:bottom w:val="single" w:sz="4" w:space="0" w:color="auto"/>
            </w:tcBorders>
            <w:shd w:val="clear" w:color="auto" w:fill="FFFFFF"/>
            <w:vAlign w:val="center"/>
          </w:tcPr>
          <w:p w14:paraId="1E989BC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w:t>
            </w:r>
          </w:p>
        </w:tc>
        <w:tc>
          <w:tcPr>
            <w:tcW w:w="2273" w:type="dxa"/>
            <w:tcBorders>
              <w:bottom w:val="single" w:sz="4" w:space="0" w:color="auto"/>
            </w:tcBorders>
            <w:shd w:val="clear" w:color="auto" w:fill="FFFFFF"/>
            <w:vAlign w:val="center"/>
          </w:tcPr>
          <w:p w14:paraId="5F9CA2F1"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2.8</w:t>
            </w:r>
          </w:p>
        </w:tc>
      </w:tr>
      <w:tr w:rsidR="00895D0B" w:rsidRPr="00895D0B" w14:paraId="4399F49C" w14:textId="77777777" w:rsidTr="00C9416B">
        <w:tc>
          <w:tcPr>
            <w:tcW w:w="8080" w:type="dxa"/>
            <w:gridSpan w:val="3"/>
            <w:tcBorders>
              <w:top w:val="single" w:sz="4" w:space="0" w:color="auto"/>
            </w:tcBorders>
          </w:tcPr>
          <w:p w14:paraId="541EFB42" w14:textId="0C1AD96D" w:rsidR="001B4ED5" w:rsidRPr="00895D0B" w:rsidRDefault="00081A4D" w:rsidP="00081A4D">
            <w:pPr>
              <w:spacing w:line="240" w:lineRule="auto"/>
              <w:rPr>
                <w:rFonts w:cs="Times New Roman"/>
                <w:b/>
                <w:color w:val="000000" w:themeColor="text1"/>
                <w:szCs w:val="24"/>
              </w:rPr>
            </w:pPr>
            <w:r w:rsidRPr="00895D0B">
              <w:rPr>
                <w:rFonts w:cs="Times New Roman"/>
                <w:b/>
                <w:color w:val="000000" w:themeColor="text1"/>
                <w:szCs w:val="24"/>
              </w:rPr>
              <w:t>Sex</w:t>
            </w:r>
          </w:p>
        </w:tc>
      </w:tr>
      <w:tr w:rsidR="00895D0B" w:rsidRPr="00895D0B" w14:paraId="0B3E3AB5" w14:textId="77777777" w:rsidTr="00C9416B">
        <w:tc>
          <w:tcPr>
            <w:tcW w:w="3681" w:type="dxa"/>
          </w:tcPr>
          <w:p w14:paraId="0449D227"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Male </w:t>
            </w:r>
          </w:p>
        </w:tc>
        <w:tc>
          <w:tcPr>
            <w:tcW w:w="2126" w:type="dxa"/>
            <w:shd w:val="clear" w:color="auto" w:fill="FFFFFF"/>
            <w:vAlign w:val="center"/>
          </w:tcPr>
          <w:p w14:paraId="1F0FCE9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257</w:t>
            </w:r>
          </w:p>
        </w:tc>
        <w:tc>
          <w:tcPr>
            <w:tcW w:w="2273" w:type="dxa"/>
            <w:shd w:val="clear" w:color="auto" w:fill="FFFFFF"/>
            <w:vAlign w:val="center"/>
          </w:tcPr>
          <w:p w14:paraId="3C75B8C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71.0</w:t>
            </w:r>
          </w:p>
        </w:tc>
      </w:tr>
      <w:tr w:rsidR="00895D0B" w:rsidRPr="00895D0B" w14:paraId="5B1246C9" w14:textId="77777777" w:rsidTr="00C9416B">
        <w:tc>
          <w:tcPr>
            <w:tcW w:w="3681" w:type="dxa"/>
            <w:tcBorders>
              <w:bottom w:val="single" w:sz="4" w:space="0" w:color="auto"/>
            </w:tcBorders>
          </w:tcPr>
          <w:p w14:paraId="6D5EDCC3"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Female </w:t>
            </w:r>
          </w:p>
        </w:tc>
        <w:tc>
          <w:tcPr>
            <w:tcW w:w="2126" w:type="dxa"/>
            <w:tcBorders>
              <w:bottom w:val="single" w:sz="4" w:space="0" w:color="auto"/>
            </w:tcBorders>
            <w:shd w:val="clear" w:color="auto" w:fill="FFFFFF"/>
            <w:vAlign w:val="center"/>
          </w:tcPr>
          <w:p w14:paraId="6B4808B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105</w:t>
            </w:r>
          </w:p>
        </w:tc>
        <w:tc>
          <w:tcPr>
            <w:tcW w:w="2273" w:type="dxa"/>
            <w:tcBorders>
              <w:bottom w:val="single" w:sz="4" w:space="0" w:color="auto"/>
            </w:tcBorders>
            <w:shd w:val="clear" w:color="auto" w:fill="FFFFFF"/>
            <w:vAlign w:val="center"/>
          </w:tcPr>
          <w:p w14:paraId="458359A1"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29.0</w:t>
            </w:r>
          </w:p>
        </w:tc>
      </w:tr>
      <w:tr w:rsidR="00895D0B" w:rsidRPr="00895D0B" w14:paraId="1416B24B" w14:textId="77777777" w:rsidTr="00C9416B">
        <w:tc>
          <w:tcPr>
            <w:tcW w:w="8080" w:type="dxa"/>
            <w:gridSpan w:val="3"/>
            <w:tcBorders>
              <w:top w:val="single" w:sz="4" w:space="0" w:color="auto"/>
            </w:tcBorders>
          </w:tcPr>
          <w:p w14:paraId="673269EE"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Marital Status</w:t>
            </w:r>
          </w:p>
        </w:tc>
      </w:tr>
      <w:tr w:rsidR="00895D0B" w:rsidRPr="00895D0B" w14:paraId="487775D7" w14:textId="77777777" w:rsidTr="00C9416B">
        <w:tc>
          <w:tcPr>
            <w:tcW w:w="3681" w:type="dxa"/>
          </w:tcPr>
          <w:p w14:paraId="45C2B120"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Never Married </w:t>
            </w:r>
          </w:p>
        </w:tc>
        <w:tc>
          <w:tcPr>
            <w:tcW w:w="2126" w:type="dxa"/>
            <w:shd w:val="clear" w:color="auto" w:fill="FFFFFF"/>
            <w:vAlign w:val="center"/>
          </w:tcPr>
          <w:p w14:paraId="5911F636"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57</w:t>
            </w:r>
          </w:p>
        </w:tc>
        <w:tc>
          <w:tcPr>
            <w:tcW w:w="2273" w:type="dxa"/>
            <w:shd w:val="clear" w:color="auto" w:fill="FFFFFF"/>
            <w:vAlign w:val="center"/>
          </w:tcPr>
          <w:p w14:paraId="211F4A7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15.7</w:t>
            </w:r>
          </w:p>
        </w:tc>
      </w:tr>
      <w:tr w:rsidR="00895D0B" w:rsidRPr="00895D0B" w14:paraId="4974ED97" w14:textId="77777777" w:rsidTr="00C9416B">
        <w:tc>
          <w:tcPr>
            <w:tcW w:w="3681" w:type="dxa"/>
          </w:tcPr>
          <w:p w14:paraId="29F09A10"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Married </w:t>
            </w:r>
          </w:p>
        </w:tc>
        <w:tc>
          <w:tcPr>
            <w:tcW w:w="2126" w:type="dxa"/>
            <w:shd w:val="clear" w:color="auto" w:fill="FFFFFF"/>
            <w:vAlign w:val="center"/>
          </w:tcPr>
          <w:p w14:paraId="0E53334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267</w:t>
            </w:r>
          </w:p>
        </w:tc>
        <w:tc>
          <w:tcPr>
            <w:tcW w:w="2273" w:type="dxa"/>
            <w:shd w:val="clear" w:color="auto" w:fill="FFFFFF"/>
            <w:vAlign w:val="center"/>
          </w:tcPr>
          <w:p w14:paraId="28E3E27F"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73.8</w:t>
            </w:r>
          </w:p>
        </w:tc>
      </w:tr>
      <w:tr w:rsidR="00895D0B" w:rsidRPr="00895D0B" w14:paraId="1DD614F4" w14:textId="77777777" w:rsidTr="00C9416B">
        <w:tc>
          <w:tcPr>
            <w:tcW w:w="3681" w:type="dxa"/>
          </w:tcPr>
          <w:p w14:paraId="25CB9053"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Separated </w:t>
            </w:r>
          </w:p>
        </w:tc>
        <w:tc>
          <w:tcPr>
            <w:tcW w:w="2126" w:type="dxa"/>
            <w:shd w:val="clear" w:color="auto" w:fill="FFFFFF"/>
            <w:vAlign w:val="center"/>
          </w:tcPr>
          <w:p w14:paraId="0D6C8B29"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13</w:t>
            </w:r>
          </w:p>
        </w:tc>
        <w:tc>
          <w:tcPr>
            <w:tcW w:w="2273" w:type="dxa"/>
            <w:shd w:val="clear" w:color="auto" w:fill="FFFFFF"/>
            <w:vAlign w:val="center"/>
          </w:tcPr>
          <w:p w14:paraId="1823508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3.6</w:t>
            </w:r>
          </w:p>
        </w:tc>
      </w:tr>
      <w:tr w:rsidR="00895D0B" w:rsidRPr="00895D0B" w14:paraId="6F75D377" w14:textId="77777777" w:rsidTr="00C9416B">
        <w:tc>
          <w:tcPr>
            <w:tcW w:w="3681" w:type="dxa"/>
            <w:tcBorders>
              <w:bottom w:val="single" w:sz="4" w:space="0" w:color="auto"/>
            </w:tcBorders>
          </w:tcPr>
          <w:p w14:paraId="38EEA56A"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Widow/Widower</w:t>
            </w:r>
          </w:p>
        </w:tc>
        <w:tc>
          <w:tcPr>
            <w:tcW w:w="2126" w:type="dxa"/>
            <w:tcBorders>
              <w:bottom w:val="single" w:sz="4" w:space="0" w:color="auto"/>
            </w:tcBorders>
            <w:shd w:val="clear" w:color="auto" w:fill="FFFFFF"/>
            <w:vAlign w:val="center"/>
          </w:tcPr>
          <w:p w14:paraId="364CA601"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25</w:t>
            </w:r>
          </w:p>
        </w:tc>
        <w:tc>
          <w:tcPr>
            <w:tcW w:w="2273" w:type="dxa"/>
            <w:tcBorders>
              <w:bottom w:val="single" w:sz="4" w:space="0" w:color="auto"/>
            </w:tcBorders>
            <w:shd w:val="clear" w:color="auto" w:fill="FFFFFF"/>
            <w:vAlign w:val="center"/>
          </w:tcPr>
          <w:p w14:paraId="35894DA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6.9</w:t>
            </w:r>
          </w:p>
        </w:tc>
      </w:tr>
      <w:tr w:rsidR="00895D0B" w:rsidRPr="00895D0B" w14:paraId="74BA3158" w14:textId="77777777" w:rsidTr="00C9416B">
        <w:tc>
          <w:tcPr>
            <w:tcW w:w="8080" w:type="dxa"/>
            <w:gridSpan w:val="3"/>
            <w:tcBorders>
              <w:top w:val="single" w:sz="4" w:space="0" w:color="auto"/>
            </w:tcBorders>
          </w:tcPr>
          <w:p w14:paraId="163E7278"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Employment Status</w:t>
            </w:r>
          </w:p>
        </w:tc>
      </w:tr>
      <w:tr w:rsidR="00895D0B" w:rsidRPr="00895D0B" w14:paraId="67B66BBA" w14:textId="77777777" w:rsidTr="00C9416B">
        <w:tc>
          <w:tcPr>
            <w:tcW w:w="3681" w:type="dxa"/>
          </w:tcPr>
          <w:p w14:paraId="2603EF50"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Employed </w:t>
            </w:r>
          </w:p>
        </w:tc>
        <w:tc>
          <w:tcPr>
            <w:tcW w:w="2126" w:type="dxa"/>
            <w:shd w:val="clear" w:color="auto" w:fill="FFFFFF"/>
            <w:vAlign w:val="center"/>
          </w:tcPr>
          <w:p w14:paraId="00008ABC"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299</w:t>
            </w:r>
          </w:p>
        </w:tc>
        <w:tc>
          <w:tcPr>
            <w:tcW w:w="2273" w:type="dxa"/>
            <w:shd w:val="clear" w:color="auto" w:fill="FFFFFF"/>
            <w:vAlign w:val="center"/>
          </w:tcPr>
          <w:p w14:paraId="2FD70A64"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82.6</w:t>
            </w:r>
          </w:p>
        </w:tc>
      </w:tr>
      <w:tr w:rsidR="00895D0B" w:rsidRPr="00895D0B" w14:paraId="6C13B502" w14:textId="77777777" w:rsidTr="00C9416B">
        <w:tc>
          <w:tcPr>
            <w:tcW w:w="3681" w:type="dxa"/>
            <w:tcBorders>
              <w:bottom w:val="single" w:sz="4" w:space="0" w:color="auto"/>
            </w:tcBorders>
          </w:tcPr>
          <w:p w14:paraId="5C4FBE8C"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Unemployed </w:t>
            </w:r>
          </w:p>
        </w:tc>
        <w:tc>
          <w:tcPr>
            <w:tcW w:w="2126" w:type="dxa"/>
            <w:tcBorders>
              <w:bottom w:val="single" w:sz="4" w:space="0" w:color="auto"/>
            </w:tcBorders>
            <w:shd w:val="clear" w:color="auto" w:fill="FFFFFF"/>
            <w:vAlign w:val="center"/>
          </w:tcPr>
          <w:p w14:paraId="7A4DE3FC"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63</w:t>
            </w:r>
          </w:p>
        </w:tc>
        <w:tc>
          <w:tcPr>
            <w:tcW w:w="2273" w:type="dxa"/>
            <w:tcBorders>
              <w:bottom w:val="single" w:sz="4" w:space="0" w:color="auto"/>
            </w:tcBorders>
            <w:shd w:val="clear" w:color="auto" w:fill="FFFFFF"/>
            <w:vAlign w:val="center"/>
          </w:tcPr>
          <w:p w14:paraId="193046A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17.4</w:t>
            </w:r>
          </w:p>
        </w:tc>
      </w:tr>
      <w:tr w:rsidR="00895D0B" w:rsidRPr="00895D0B" w14:paraId="57370585" w14:textId="77777777" w:rsidTr="00C9416B">
        <w:tc>
          <w:tcPr>
            <w:tcW w:w="8080" w:type="dxa"/>
            <w:gridSpan w:val="3"/>
            <w:tcBorders>
              <w:top w:val="single" w:sz="4" w:space="0" w:color="auto"/>
            </w:tcBorders>
          </w:tcPr>
          <w:p w14:paraId="4B13F1FB"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Employment Type</w:t>
            </w:r>
          </w:p>
        </w:tc>
      </w:tr>
      <w:tr w:rsidR="00895D0B" w:rsidRPr="00895D0B" w14:paraId="0F30B4DA" w14:textId="77777777" w:rsidTr="00C9416B">
        <w:tc>
          <w:tcPr>
            <w:tcW w:w="3681" w:type="dxa"/>
          </w:tcPr>
          <w:p w14:paraId="74DBA943"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Formal </w:t>
            </w:r>
          </w:p>
        </w:tc>
        <w:tc>
          <w:tcPr>
            <w:tcW w:w="2126" w:type="dxa"/>
            <w:shd w:val="clear" w:color="auto" w:fill="FFFFFF"/>
            <w:vAlign w:val="center"/>
          </w:tcPr>
          <w:p w14:paraId="29F96966"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153</w:t>
            </w:r>
          </w:p>
        </w:tc>
        <w:tc>
          <w:tcPr>
            <w:tcW w:w="2273" w:type="dxa"/>
            <w:shd w:val="clear" w:color="auto" w:fill="FFFFFF"/>
            <w:vAlign w:val="center"/>
          </w:tcPr>
          <w:p w14:paraId="604D43D9"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42.3</w:t>
            </w:r>
          </w:p>
        </w:tc>
      </w:tr>
      <w:tr w:rsidR="00895D0B" w:rsidRPr="00895D0B" w14:paraId="02C79311" w14:textId="77777777" w:rsidTr="00C9416B">
        <w:tc>
          <w:tcPr>
            <w:tcW w:w="3681" w:type="dxa"/>
            <w:tcBorders>
              <w:bottom w:val="single" w:sz="4" w:space="0" w:color="auto"/>
            </w:tcBorders>
          </w:tcPr>
          <w:p w14:paraId="5A96BA94"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Informal </w:t>
            </w:r>
          </w:p>
        </w:tc>
        <w:tc>
          <w:tcPr>
            <w:tcW w:w="2126" w:type="dxa"/>
            <w:tcBorders>
              <w:bottom w:val="single" w:sz="4" w:space="0" w:color="auto"/>
            </w:tcBorders>
            <w:shd w:val="clear" w:color="auto" w:fill="FFFFFF"/>
            <w:vAlign w:val="center"/>
          </w:tcPr>
          <w:p w14:paraId="6380A01F"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209</w:t>
            </w:r>
          </w:p>
        </w:tc>
        <w:tc>
          <w:tcPr>
            <w:tcW w:w="2273" w:type="dxa"/>
            <w:tcBorders>
              <w:bottom w:val="single" w:sz="4" w:space="0" w:color="auto"/>
            </w:tcBorders>
            <w:shd w:val="clear" w:color="auto" w:fill="FFFFFF"/>
            <w:vAlign w:val="center"/>
          </w:tcPr>
          <w:p w14:paraId="588BB5B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57.7</w:t>
            </w:r>
          </w:p>
        </w:tc>
      </w:tr>
      <w:tr w:rsidR="00895D0B" w:rsidRPr="00895D0B" w14:paraId="63A84458" w14:textId="77777777" w:rsidTr="00C9416B">
        <w:tc>
          <w:tcPr>
            <w:tcW w:w="8080" w:type="dxa"/>
            <w:gridSpan w:val="3"/>
            <w:tcBorders>
              <w:top w:val="single" w:sz="4" w:space="0" w:color="auto"/>
            </w:tcBorders>
          </w:tcPr>
          <w:p w14:paraId="3D619545"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 xml:space="preserve">Educational Status </w:t>
            </w:r>
          </w:p>
        </w:tc>
      </w:tr>
      <w:tr w:rsidR="00895D0B" w:rsidRPr="00895D0B" w14:paraId="6B7F6D90" w14:textId="77777777" w:rsidTr="00C9416B">
        <w:tc>
          <w:tcPr>
            <w:tcW w:w="3681" w:type="dxa"/>
          </w:tcPr>
          <w:p w14:paraId="4952D15D"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No Formal Education</w:t>
            </w:r>
          </w:p>
        </w:tc>
        <w:tc>
          <w:tcPr>
            <w:tcW w:w="2126" w:type="dxa"/>
            <w:shd w:val="clear" w:color="auto" w:fill="FFFFFF"/>
            <w:vAlign w:val="center"/>
          </w:tcPr>
          <w:p w14:paraId="0936BE1F"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65</w:t>
            </w:r>
          </w:p>
        </w:tc>
        <w:tc>
          <w:tcPr>
            <w:tcW w:w="2273" w:type="dxa"/>
            <w:shd w:val="clear" w:color="auto" w:fill="FFFFFF"/>
            <w:vAlign w:val="center"/>
          </w:tcPr>
          <w:p w14:paraId="14285CD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18.0</w:t>
            </w:r>
          </w:p>
        </w:tc>
      </w:tr>
      <w:tr w:rsidR="00895D0B" w:rsidRPr="00895D0B" w14:paraId="7BC7ED50" w14:textId="77777777" w:rsidTr="00C9416B">
        <w:tc>
          <w:tcPr>
            <w:tcW w:w="3681" w:type="dxa"/>
          </w:tcPr>
          <w:p w14:paraId="129B2101"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Basic Education/Middle School</w:t>
            </w:r>
          </w:p>
        </w:tc>
        <w:tc>
          <w:tcPr>
            <w:tcW w:w="2126" w:type="dxa"/>
            <w:shd w:val="clear" w:color="auto" w:fill="FFFFFF"/>
            <w:vAlign w:val="center"/>
          </w:tcPr>
          <w:p w14:paraId="644DE83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43</w:t>
            </w:r>
          </w:p>
        </w:tc>
        <w:tc>
          <w:tcPr>
            <w:tcW w:w="2273" w:type="dxa"/>
            <w:shd w:val="clear" w:color="auto" w:fill="FFFFFF"/>
            <w:vAlign w:val="center"/>
          </w:tcPr>
          <w:p w14:paraId="1BD2A9C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11.9</w:t>
            </w:r>
          </w:p>
        </w:tc>
      </w:tr>
      <w:tr w:rsidR="00895D0B" w:rsidRPr="00895D0B" w14:paraId="327CD714" w14:textId="77777777" w:rsidTr="00C9416B">
        <w:tc>
          <w:tcPr>
            <w:tcW w:w="3681" w:type="dxa"/>
          </w:tcPr>
          <w:p w14:paraId="3FE814D7"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SHS/Secondary/Vocational</w:t>
            </w:r>
          </w:p>
        </w:tc>
        <w:tc>
          <w:tcPr>
            <w:tcW w:w="2126" w:type="dxa"/>
            <w:shd w:val="clear" w:color="auto" w:fill="FFFFFF"/>
            <w:vAlign w:val="center"/>
          </w:tcPr>
          <w:p w14:paraId="457462D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108</w:t>
            </w:r>
          </w:p>
        </w:tc>
        <w:tc>
          <w:tcPr>
            <w:tcW w:w="2273" w:type="dxa"/>
            <w:shd w:val="clear" w:color="auto" w:fill="FFFFFF"/>
            <w:vAlign w:val="center"/>
          </w:tcPr>
          <w:p w14:paraId="1D00605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29.8</w:t>
            </w:r>
          </w:p>
        </w:tc>
      </w:tr>
      <w:tr w:rsidR="00895D0B" w:rsidRPr="00895D0B" w14:paraId="2AB20764" w14:textId="77777777" w:rsidTr="00C9416B">
        <w:tc>
          <w:tcPr>
            <w:tcW w:w="3681" w:type="dxa"/>
            <w:tcBorders>
              <w:bottom w:val="single" w:sz="4" w:space="0" w:color="auto"/>
            </w:tcBorders>
          </w:tcPr>
          <w:p w14:paraId="7A53DC33"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Tertiary </w:t>
            </w:r>
          </w:p>
        </w:tc>
        <w:tc>
          <w:tcPr>
            <w:tcW w:w="2126" w:type="dxa"/>
            <w:tcBorders>
              <w:bottom w:val="single" w:sz="4" w:space="0" w:color="auto"/>
            </w:tcBorders>
            <w:shd w:val="clear" w:color="auto" w:fill="FFFFFF"/>
            <w:vAlign w:val="center"/>
          </w:tcPr>
          <w:p w14:paraId="7E338ABB"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146</w:t>
            </w:r>
          </w:p>
        </w:tc>
        <w:tc>
          <w:tcPr>
            <w:tcW w:w="2273" w:type="dxa"/>
            <w:tcBorders>
              <w:bottom w:val="single" w:sz="4" w:space="0" w:color="auto"/>
            </w:tcBorders>
            <w:shd w:val="clear" w:color="auto" w:fill="FFFFFF"/>
            <w:vAlign w:val="center"/>
          </w:tcPr>
          <w:p w14:paraId="1A5E320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40.3</w:t>
            </w:r>
          </w:p>
        </w:tc>
      </w:tr>
      <w:tr w:rsidR="00895D0B" w:rsidRPr="00895D0B" w14:paraId="7226286C" w14:textId="77777777" w:rsidTr="00C9416B">
        <w:tc>
          <w:tcPr>
            <w:tcW w:w="3681" w:type="dxa"/>
            <w:tcBorders>
              <w:top w:val="single" w:sz="4" w:space="0" w:color="auto"/>
            </w:tcBorders>
          </w:tcPr>
          <w:p w14:paraId="0AD260CC"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Resident Type</w:t>
            </w:r>
          </w:p>
        </w:tc>
        <w:tc>
          <w:tcPr>
            <w:tcW w:w="2126" w:type="dxa"/>
            <w:tcBorders>
              <w:top w:val="single" w:sz="4" w:space="0" w:color="auto"/>
            </w:tcBorders>
          </w:tcPr>
          <w:p w14:paraId="43D820F1" w14:textId="77777777" w:rsidR="001B4ED5" w:rsidRPr="00895D0B" w:rsidRDefault="001B4ED5">
            <w:pPr>
              <w:spacing w:line="240" w:lineRule="auto"/>
              <w:rPr>
                <w:rFonts w:cs="Times New Roman"/>
                <w:color w:val="000000" w:themeColor="text1"/>
                <w:szCs w:val="24"/>
              </w:rPr>
            </w:pPr>
          </w:p>
        </w:tc>
        <w:tc>
          <w:tcPr>
            <w:tcW w:w="2273" w:type="dxa"/>
            <w:tcBorders>
              <w:top w:val="single" w:sz="4" w:space="0" w:color="auto"/>
            </w:tcBorders>
          </w:tcPr>
          <w:p w14:paraId="5574852E" w14:textId="77777777" w:rsidR="001B4ED5" w:rsidRPr="00895D0B" w:rsidRDefault="001B4ED5">
            <w:pPr>
              <w:spacing w:line="240" w:lineRule="auto"/>
              <w:rPr>
                <w:rFonts w:cs="Times New Roman"/>
                <w:color w:val="000000" w:themeColor="text1"/>
                <w:szCs w:val="24"/>
              </w:rPr>
            </w:pPr>
          </w:p>
        </w:tc>
      </w:tr>
      <w:tr w:rsidR="00895D0B" w:rsidRPr="00895D0B" w14:paraId="06ECDE41" w14:textId="77777777" w:rsidTr="00C9416B">
        <w:tc>
          <w:tcPr>
            <w:tcW w:w="3681" w:type="dxa"/>
          </w:tcPr>
          <w:p w14:paraId="3CE9BAF5"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Natives</w:t>
            </w:r>
          </w:p>
        </w:tc>
        <w:tc>
          <w:tcPr>
            <w:tcW w:w="2126" w:type="dxa"/>
            <w:shd w:val="clear" w:color="auto" w:fill="FFFFFF"/>
            <w:vAlign w:val="center"/>
          </w:tcPr>
          <w:p w14:paraId="6DB62F6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92</w:t>
            </w:r>
          </w:p>
        </w:tc>
        <w:tc>
          <w:tcPr>
            <w:tcW w:w="2273" w:type="dxa"/>
            <w:shd w:val="clear" w:color="auto" w:fill="FFFFFF"/>
            <w:vAlign w:val="center"/>
          </w:tcPr>
          <w:p w14:paraId="0146746B"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25.4</w:t>
            </w:r>
          </w:p>
        </w:tc>
      </w:tr>
      <w:tr w:rsidR="00895D0B" w:rsidRPr="00895D0B" w14:paraId="0B3DA62F" w14:textId="77777777" w:rsidTr="00C9416B">
        <w:tc>
          <w:tcPr>
            <w:tcW w:w="3681" w:type="dxa"/>
            <w:tcBorders>
              <w:bottom w:val="single" w:sz="4" w:space="0" w:color="auto"/>
            </w:tcBorders>
          </w:tcPr>
          <w:p w14:paraId="48170BA0"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Settlers </w:t>
            </w:r>
          </w:p>
        </w:tc>
        <w:tc>
          <w:tcPr>
            <w:tcW w:w="2126" w:type="dxa"/>
            <w:tcBorders>
              <w:bottom w:val="single" w:sz="4" w:space="0" w:color="auto"/>
            </w:tcBorders>
            <w:shd w:val="clear" w:color="auto" w:fill="FFFFFF"/>
            <w:vAlign w:val="center"/>
          </w:tcPr>
          <w:p w14:paraId="3725DE51"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270</w:t>
            </w:r>
          </w:p>
        </w:tc>
        <w:tc>
          <w:tcPr>
            <w:tcW w:w="2273" w:type="dxa"/>
            <w:tcBorders>
              <w:bottom w:val="single" w:sz="4" w:space="0" w:color="auto"/>
            </w:tcBorders>
            <w:shd w:val="clear" w:color="auto" w:fill="FFFFFF"/>
            <w:vAlign w:val="center"/>
          </w:tcPr>
          <w:p w14:paraId="42CE9BD9"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74.6</w:t>
            </w:r>
          </w:p>
        </w:tc>
      </w:tr>
      <w:tr w:rsidR="00895D0B" w:rsidRPr="00895D0B" w14:paraId="0E4C87DC" w14:textId="77777777" w:rsidTr="00C9416B">
        <w:tc>
          <w:tcPr>
            <w:tcW w:w="8080" w:type="dxa"/>
            <w:gridSpan w:val="3"/>
            <w:tcBorders>
              <w:top w:val="single" w:sz="4" w:space="0" w:color="auto"/>
            </w:tcBorders>
          </w:tcPr>
          <w:p w14:paraId="571CFE16" w14:textId="77777777"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Household Size</w:t>
            </w:r>
          </w:p>
        </w:tc>
      </w:tr>
      <w:tr w:rsidR="00895D0B" w:rsidRPr="00895D0B" w14:paraId="1835AE99" w14:textId="77777777" w:rsidTr="00C9416B">
        <w:tc>
          <w:tcPr>
            <w:tcW w:w="3681" w:type="dxa"/>
          </w:tcPr>
          <w:p w14:paraId="2904ABAF"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1 – 5 Members </w:t>
            </w:r>
          </w:p>
        </w:tc>
        <w:tc>
          <w:tcPr>
            <w:tcW w:w="2126" w:type="dxa"/>
            <w:shd w:val="clear" w:color="auto" w:fill="FFFFFF"/>
            <w:vAlign w:val="center"/>
          </w:tcPr>
          <w:p w14:paraId="333B2B39"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231</w:t>
            </w:r>
          </w:p>
        </w:tc>
        <w:tc>
          <w:tcPr>
            <w:tcW w:w="2273" w:type="dxa"/>
            <w:shd w:val="clear" w:color="auto" w:fill="FFFFFF"/>
            <w:vAlign w:val="center"/>
          </w:tcPr>
          <w:p w14:paraId="7FF5EA9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63.8</w:t>
            </w:r>
          </w:p>
        </w:tc>
      </w:tr>
      <w:tr w:rsidR="00895D0B" w:rsidRPr="00895D0B" w14:paraId="4A2755F9" w14:textId="77777777" w:rsidTr="00C9416B">
        <w:tc>
          <w:tcPr>
            <w:tcW w:w="3681" w:type="dxa"/>
            <w:tcBorders>
              <w:bottom w:val="single" w:sz="4" w:space="0" w:color="auto"/>
            </w:tcBorders>
          </w:tcPr>
          <w:p w14:paraId="5E77F447"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More than 5 Members </w:t>
            </w:r>
          </w:p>
        </w:tc>
        <w:tc>
          <w:tcPr>
            <w:tcW w:w="2126" w:type="dxa"/>
            <w:tcBorders>
              <w:bottom w:val="single" w:sz="4" w:space="0" w:color="auto"/>
            </w:tcBorders>
            <w:shd w:val="clear" w:color="auto" w:fill="FFFFFF"/>
            <w:vAlign w:val="center"/>
          </w:tcPr>
          <w:p w14:paraId="3AE339AF"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131</w:t>
            </w:r>
          </w:p>
        </w:tc>
        <w:tc>
          <w:tcPr>
            <w:tcW w:w="2273" w:type="dxa"/>
            <w:tcBorders>
              <w:bottom w:val="single" w:sz="4" w:space="0" w:color="auto"/>
            </w:tcBorders>
            <w:shd w:val="clear" w:color="auto" w:fill="FFFFFF"/>
            <w:vAlign w:val="center"/>
          </w:tcPr>
          <w:p w14:paraId="3A28CC0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36.2</w:t>
            </w:r>
          </w:p>
        </w:tc>
      </w:tr>
      <w:tr w:rsidR="00895D0B" w:rsidRPr="00895D0B" w14:paraId="1B38FF68" w14:textId="77777777" w:rsidTr="00C9416B">
        <w:tc>
          <w:tcPr>
            <w:tcW w:w="8080" w:type="dxa"/>
            <w:gridSpan w:val="3"/>
            <w:tcBorders>
              <w:top w:val="single" w:sz="4" w:space="0" w:color="auto"/>
            </w:tcBorders>
          </w:tcPr>
          <w:p w14:paraId="621A04DA" w14:textId="41A3324E" w:rsidR="001B4ED5" w:rsidRPr="00895D0B" w:rsidRDefault="006B41C0">
            <w:pPr>
              <w:spacing w:line="240" w:lineRule="auto"/>
              <w:rPr>
                <w:rFonts w:cs="Times New Roman"/>
                <w:b/>
                <w:color w:val="000000" w:themeColor="text1"/>
                <w:szCs w:val="24"/>
              </w:rPr>
            </w:pPr>
            <w:r w:rsidRPr="00895D0B">
              <w:rPr>
                <w:rFonts w:cs="Times New Roman"/>
                <w:b/>
                <w:color w:val="000000" w:themeColor="text1"/>
                <w:szCs w:val="24"/>
              </w:rPr>
              <w:t>Household Monthly Income (GHS)</w:t>
            </w:r>
            <w:r w:rsidR="00351B05" w:rsidRPr="00895D0B">
              <w:rPr>
                <w:rFonts w:cs="Times New Roman"/>
                <w:b/>
                <w:color w:val="000000" w:themeColor="text1"/>
                <w:szCs w:val="24"/>
              </w:rPr>
              <w:t xml:space="preserve"> </w:t>
            </w:r>
          </w:p>
        </w:tc>
      </w:tr>
      <w:tr w:rsidR="00895D0B" w:rsidRPr="00895D0B" w14:paraId="77178026" w14:textId="77777777" w:rsidTr="00C9416B">
        <w:trPr>
          <w:trHeight w:val="80"/>
        </w:trPr>
        <w:tc>
          <w:tcPr>
            <w:tcW w:w="3681" w:type="dxa"/>
          </w:tcPr>
          <w:p w14:paraId="74AAF4F2"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0 = &lt; 1, 000.00</w:t>
            </w:r>
          </w:p>
        </w:tc>
        <w:tc>
          <w:tcPr>
            <w:tcW w:w="2126" w:type="dxa"/>
            <w:shd w:val="clear" w:color="auto" w:fill="FFFFFF"/>
            <w:vAlign w:val="center"/>
          </w:tcPr>
          <w:p w14:paraId="5D83E2A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196</w:t>
            </w:r>
          </w:p>
        </w:tc>
        <w:tc>
          <w:tcPr>
            <w:tcW w:w="2273" w:type="dxa"/>
            <w:shd w:val="clear" w:color="auto" w:fill="FFFFFF"/>
            <w:vAlign w:val="center"/>
          </w:tcPr>
          <w:p w14:paraId="279AC22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54.1</w:t>
            </w:r>
          </w:p>
        </w:tc>
      </w:tr>
      <w:tr w:rsidR="00895D0B" w:rsidRPr="00895D0B" w14:paraId="600B379A" w14:textId="77777777" w:rsidTr="00C9416B">
        <w:tc>
          <w:tcPr>
            <w:tcW w:w="3681" w:type="dxa"/>
            <w:tcBorders>
              <w:bottom w:val="single" w:sz="4" w:space="0" w:color="auto"/>
            </w:tcBorders>
          </w:tcPr>
          <w:p w14:paraId="5B9C292A"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1 = &gt; 1. 000.00</w:t>
            </w:r>
          </w:p>
        </w:tc>
        <w:tc>
          <w:tcPr>
            <w:tcW w:w="2126" w:type="dxa"/>
            <w:tcBorders>
              <w:bottom w:val="single" w:sz="4" w:space="0" w:color="auto"/>
            </w:tcBorders>
            <w:shd w:val="clear" w:color="auto" w:fill="FFFFFF"/>
            <w:vAlign w:val="center"/>
          </w:tcPr>
          <w:p w14:paraId="10E417BD"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166</w:t>
            </w:r>
          </w:p>
        </w:tc>
        <w:tc>
          <w:tcPr>
            <w:tcW w:w="2273" w:type="dxa"/>
            <w:tcBorders>
              <w:bottom w:val="single" w:sz="4" w:space="0" w:color="auto"/>
            </w:tcBorders>
            <w:shd w:val="clear" w:color="auto" w:fill="FFFFFF"/>
            <w:vAlign w:val="center"/>
          </w:tcPr>
          <w:p w14:paraId="196F5B38" w14:textId="77777777" w:rsidR="001B4ED5" w:rsidRPr="00895D0B" w:rsidRDefault="006B41C0">
            <w:pPr>
              <w:keepNext/>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45.9</w:t>
            </w:r>
          </w:p>
        </w:tc>
      </w:tr>
    </w:tbl>
    <w:p w14:paraId="2960FAFE" w14:textId="77777777"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73CEB704" w14:textId="77777777" w:rsidR="00056D43" w:rsidRPr="00895D0B" w:rsidRDefault="00056D43">
      <w:pPr>
        <w:spacing w:line="360" w:lineRule="auto"/>
        <w:rPr>
          <w:rFonts w:cs="Times New Roman"/>
          <w:color w:val="000000" w:themeColor="text1"/>
          <w:szCs w:val="24"/>
        </w:rPr>
      </w:pPr>
    </w:p>
    <w:p w14:paraId="616465B6" w14:textId="00727B09" w:rsidR="00C72EAC" w:rsidRPr="00895D0B" w:rsidRDefault="00C72EAC" w:rsidP="00C72EAC">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The majority of the respondents’ households have between 1 and 5 members, while those with 6 or more members are about 36.2%. It was clear that about 54.1% of the respondents’ households’ monthly income is less than GHS 1,000.00 (at the time $1.00 = GHS 11.54), and those having monthly income beyond GHS 1,000.00 (at the time $1.00 = GHS 11.54) are 45.9% (</w:t>
      </w:r>
      <w:r w:rsidRPr="00895D0B">
        <w:rPr>
          <w:rFonts w:eastAsia="Times New Roman" w:cs="Times New Roman"/>
          <w:i/>
          <w:iCs/>
          <w:color w:val="000000" w:themeColor="text1"/>
          <w:szCs w:val="24"/>
          <w:lang w:eastAsia="en-GB"/>
        </w:rPr>
        <w:t>see Table 6.1)</w:t>
      </w:r>
      <w:r w:rsidRPr="00895D0B">
        <w:rPr>
          <w:rFonts w:eastAsia="Times New Roman" w:cs="Times New Roman"/>
          <w:color w:val="000000" w:themeColor="text1"/>
          <w:szCs w:val="24"/>
          <w:lang w:eastAsia="en-GB"/>
        </w:rPr>
        <w:t>. Household sizes and participation in urban agriculture in climate change situations can be correlated.</w:t>
      </w:r>
    </w:p>
    <w:p w14:paraId="4609F0CC" w14:textId="77777777" w:rsidR="001B4ED5" w:rsidRPr="00895D0B" w:rsidRDefault="006B41C0">
      <w:pPr>
        <w:pStyle w:val="Heading2"/>
      </w:pPr>
      <w:bookmarkStart w:id="146" w:name="_Toc167379939"/>
      <w:r w:rsidRPr="00895D0B">
        <w:lastRenderedPageBreak/>
        <w:t>6.3 Urban Dwellers Participation in Urban Food Production</w:t>
      </w:r>
      <w:bookmarkEnd w:id="146"/>
      <w:r w:rsidRPr="00895D0B">
        <w:t xml:space="preserve"> </w:t>
      </w:r>
    </w:p>
    <w:p w14:paraId="0667A877" w14:textId="385C423B" w:rsidR="001B4ED5" w:rsidRDefault="00C72EAC" w:rsidP="00C72EAC">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To get a deeper understanding of urban residents’ participation in agricultural production, the study results showed that, 52.8% of the respondents were into urban agriculture, while 47.2% were non-participants in urban agricultural food production. This was analysed on a zonal basis. Overall, urban food producers are found in the medium and high-class residential zones; about 42.4% are living in the medium-class zone, and the high-class zone is about 41.9% (</w:t>
      </w:r>
      <w:r w:rsidRPr="00895D0B">
        <w:rPr>
          <w:rFonts w:eastAsia="Times New Roman" w:cs="Times New Roman"/>
          <w:i/>
          <w:iCs/>
          <w:color w:val="000000" w:themeColor="text1"/>
          <w:szCs w:val="24"/>
          <w:lang w:eastAsia="en-GB"/>
        </w:rPr>
        <w:t>see Table 6.2</w:t>
      </w:r>
      <w:r w:rsidRPr="00895D0B">
        <w:rPr>
          <w:rFonts w:eastAsia="Times New Roman" w:cs="Times New Roman"/>
          <w:color w:val="000000" w:themeColor="text1"/>
          <w:szCs w:val="24"/>
          <w:lang w:eastAsia="en-GB"/>
        </w:rPr>
        <w:t>). </w:t>
      </w:r>
      <w:r w:rsidR="00982217" w:rsidRPr="00895D0B">
        <w:rPr>
          <w:rFonts w:eastAsia="Times New Roman" w:cs="Times New Roman"/>
          <w:color w:val="000000" w:themeColor="text1"/>
          <w:szCs w:val="24"/>
          <w:lang w:eastAsia="en-GB"/>
        </w:rPr>
        <w:t>Likewise, the main purpose of acquiring lands that are now used for food production in urban settings is for residential purposes, which the majority of urban farmers (82.0%) attest to. Those who acquired farm plots for agriculture are only about 15.0%, while not more than 1.0% of lands acquired for either educational or commercial purposes are used for urban cultivation (</w:t>
      </w:r>
      <w:r w:rsidR="00982217" w:rsidRPr="00895D0B">
        <w:rPr>
          <w:rFonts w:eastAsia="Times New Roman" w:cs="Times New Roman"/>
          <w:i/>
          <w:iCs/>
          <w:color w:val="000000" w:themeColor="text1"/>
          <w:szCs w:val="24"/>
          <w:lang w:eastAsia="en-GB"/>
        </w:rPr>
        <w:t>see Table 6.2</w:t>
      </w:r>
      <w:r w:rsidR="00982217" w:rsidRPr="00895D0B">
        <w:rPr>
          <w:rFonts w:eastAsia="Times New Roman" w:cs="Times New Roman"/>
          <w:color w:val="000000" w:themeColor="text1"/>
          <w:szCs w:val="24"/>
          <w:lang w:eastAsia="en-GB"/>
        </w:rPr>
        <w:t>). To give a deeper understanding of urban residents’ participation in urban farming, the study explores the relationship between the socio-economic and demographic factors of urban dwellers and their participation in urban food production.</w:t>
      </w:r>
    </w:p>
    <w:p w14:paraId="0391ECAF" w14:textId="77777777" w:rsidR="00056D43" w:rsidRPr="00895D0B" w:rsidRDefault="00056D43" w:rsidP="00056D43">
      <w:pPr>
        <w:pStyle w:val="NoSpacing"/>
        <w:rPr>
          <w:lang w:eastAsia="en-GB"/>
        </w:rPr>
      </w:pPr>
    </w:p>
    <w:p w14:paraId="51B6955A" w14:textId="3793C0BE" w:rsidR="001B4ED5" w:rsidRPr="00895D0B" w:rsidRDefault="006B41C0" w:rsidP="00056D43">
      <w:pPr>
        <w:pStyle w:val="Heading6"/>
      </w:pPr>
      <w:bookmarkStart w:id="147" w:name="_Toc148890681"/>
      <w:bookmarkStart w:id="148" w:name="_Toc167368596"/>
      <w:r w:rsidRPr="00895D0B">
        <w:t>Table 6.</w:t>
      </w:r>
      <w:r w:rsidR="00895D0B" w:rsidRPr="00895D0B">
        <w:fldChar w:fldCharType="begin"/>
      </w:r>
      <w:r w:rsidR="00895D0B" w:rsidRPr="00895D0B">
        <w:instrText xml:space="preserve"> SEQ Table_6. \* ARABIC </w:instrText>
      </w:r>
      <w:r w:rsidR="00895D0B" w:rsidRPr="00895D0B">
        <w:fldChar w:fldCharType="separate"/>
      </w:r>
      <w:r w:rsidR="0026489B">
        <w:rPr>
          <w:noProof/>
        </w:rPr>
        <w:t>2</w:t>
      </w:r>
      <w:r w:rsidR="00895D0B" w:rsidRPr="00895D0B">
        <w:fldChar w:fldCharType="end"/>
      </w:r>
      <w:r w:rsidRPr="00895D0B">
        <w:t xml:space="preserve">: </w:t>
      </w:r>
      <w:r w:rsidR="00081A4D" w:rsidRPr="00895D0B">
        <w:t xml:space="preserve">Urban Farmers Land Access </w:t>
      </w:r>
      <w:r w:rsidR="006F05D2" w:rsidRPr="00895D0B">
        <w:t xml:space="preserve">by Residential </w:t>
      </w:r>
      <w:bookmarkEnd w:id="147"/>
      <w:r w:rsidR="006F05D2" w:rsidRPr="00895D0B">
        <w:t>Classes</w:t>
      </w:r>
      <w:bookmarkEnd w:id="148"/>
    </w:p>
    <w:tbl>
      <w:tblPr>
        <w:tblW w:w="0" w:type="auto"/>
        <w:tblLook w:val="04A0" w:firstRow="1" w:lastRow="0" w:firstColumn="1" w:lastColumn="0" w:noHBand="0" w:noVBand="1"/>
      </w:tblPr>
      <w:tblGrid>
        <w:gridCol w:w="5309"/>
        <w:gridCol w:w="1490"/>
        <w:gridCol w:w="1493"/>
      </w:tblGrid>
      <w:tr w:rsidR="00895D0B" w:rsidRPr="00895D0B" w14:paraId="4EAD6E7F" w14:textId="77777777">
        <w:tc>
          <w:tcPr>
            <w:tcW w:w="5309" w:type="dxa"/>
            <w:tcBorders>
              <w:top w:val="single" w:sz="4" w:space="0" w:color="auto"/>
              <w:left w:val="nil"/>
              <w:bottom w:val="single" w:sz="4" w:space="0" w:color="auto"/>
              <w:right w:val="nil"/>
            </w:tcBorders>
          </w:tcPr>
          <w:p w14:paraId="648C7968" w14:textId="77777777" w:rsidR="001B4ED5" w:rsidRPr="00895D0B" w:rsidRDefault="006B41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 xml:space="preserve">Participation in urban agriculture </w:t>
            </w:r>
          </w:p>
        </w:tc>
        <w:tc>
          <w:tcPr>
            <w:tcW w:w="1490" w:type="dxa"/>
            <w:tcBorders>
              <w:top w:val="single" w:sz="4" w:space="0" w:color="auto"/>
              <w:left w:val="nil"/>
              <w:bottom w:val="single" w:sz="4" w:space="0" w:color="auto"/>
              <w:right w:val="nil"/>
            </w:tcBorders>
          </w:tcPr>
          <w:p w14:paraId="7C1A7134" w14:textId="77777777" w:rsidR="001B4ED5" w:rsidRPr="00895D0B" w:rsidRDefault="006B41C0">
            <w:pPr>
              <w:autoSpaceDE w:val="0"/>
              <w:autoSpaceDN w:val="0"/>
              <w:adjustRightInd w:val="0"/>
              <w:spacing w:line="240" w:lineRule="auto"/>
              <w:jc w:val="center"/>
              <w:rPr>
                <w:rFonts w:cs="Times New Roman"/>
                <w:b/>
                <w:color w:val="000000" w:themeColor="text1"/>
                <w:szCs w:val="24"/>
              </w:rPr>
            </w:pPr>
            <w:r w:rsidRPr="00895D0B">
              <w:rPr>
                <w:rFonts w:cs="Times New Roman"/>
                <w:b/>
                <w:color w:val="000000" w:themeColor="text1"/>
                <w:szCs w:val="24"/>
              </w:rPr>
              <w:t xml:space="preserve">Frequency </w:t>
            </w:r>
          </w:p>
        </w:tc>
        <w:tc>
          <w:tcPr>
            <w:tcW w:w="1493" w:type="dxa"/>
            <w:tcBorders>
              <w:top w:val="single" w:sz="4" w:space="0" w:color="auto"/>
              <w:left w:val="nil"/>
              <w:bottom w:val="single" w:sz="4" w:space="0" w:color="auto"/>
              <w:right w:val="nil"/>
            </w:tcBorders>
          </w:tcPr>
          <w:p w14:paraId="1D75E3B6" w14:textId="77777777" w:rsidR="001B4ED5" w:rsidRPr="00895D0B" w:rsidRDefault="006B41C0">
            <w:pPr>
              <w:autoSpaceDE w:val="0"/>
              <w:autoSpaceDN w:val="0"/>
              <w:adjustRightInd w:val="0"/>
              <w:spacing w:line="240" w:lineRule="auto"/>
              <w:jc w:val="center"/>
              <w:rPr>
                <w:rFonts w:cs="Times New Roman"/>
                <w:b/>
                <w:i/>
                <w:color w:val="000000" w:themeColor="text1"/>
                <w:szCs w:val="24"/>
              </w:rPr>
            </w:pPr>
            <w:r w:rsidRPr="00895D0B">
              <w:rPr>
                <w:rFonts w:cs="Times New Roman"/>
                <w:b/>
                <w:color w:val="000000" w:themeColor="text1"/>
                <w:szCs w:val="24"/>
              </w:rPr>
              <w:t>Percent</w:t>
            </w:r>
          </w:p>
        </w:tc>
      </w:tr>
      <w:tr w:rsidR="00895D0B" w:rsidRPr="00895D0B" w14:paraId="09A5B456" w14:textId="77777777" w:rsidTr="00C9416B">
        <w:tc>
          <w:tcPr>
            <w:tcW w:w="5309" w:type="dxa"/>
            <w:tcBorders>
              <w:top w:val="single" w:sz="4" w:space="0" w:color="auto"/>
              <w:left w:val="nil"/>
              <w:right w:val="nil"/>
            </w:tcBorders>
          </w:tcPr>
          <w:p w14:paraId="6E74CC82" w14:textId="77777777" w:rsidR="001B4ED5" w:rsidRPr="00895D0B" w:rsidRDefault="006B41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 xml:space="preserve">Yes </w:t>
            </w:r>
          </w:p>
        </w:tc>
        <w:tc>
          <w:tcPr>
            <w:tcW w:w="1490" w:type="dxa"/>
            <w:tcBorders>
              <w:top w:val="single" w:sz="4" w:space="0" w:color="auto"/>
              <w:left w:val="nil"/>
              <w:right w:val="nil"/>
            </w:tcBorders>
            <w:vAlign w:val="center"/>
          </w:tcPr>
          <w:p w14:paraId="11D6974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191</w:t>
            </w:r>
          </w:p>
        </w:tc>
        <w:tc>
          <w:tcPr>
            <w:tcW w:w="1493" w:type="dxa"/>
            <w:tcBorders>
              <w:top w:val="single" w:sz="4" w:space="0" w:color="auto"/>
              <w:left w:val="nil"/>
              <w:right w:val="nil"/>
            </w:tcBorders>
            <w:vAlign w:val="center"/>
          </w:tcPr>
          <w:p w14:paraId="707668F7" w14:textId="77777777" w:rsidR="001B4ED5" w:rsidRPr="00895D0B" w:rsidRDefault="006B41C0">
            <w:pPr>
              <w:autoSpaceDE w:val="0"/>
              <w:autoSpaceDN w:val="0"/>
              <w:adjustRightInd w:val="0"/>
              <w:spacing w:line="240" w:lineRule="auto"/>
              <w:jc w:val="center"/>
              <w:rPr>
                <w:rFonts w:cs="Times New Roman"/>
                <w:b/>
                <w:i/>
                <w:color w:val="000000" w:themeColor="text1"/>
                <w:szCs w:val="24"/>
              </w:rPr>
            </w:pPr>
            <w:r w:rsidRPr="00895D0B">
              <w:rPr>
                <w:rFonts w:cs="Times New Roman"/>
                <w:color w:val="000000" w:themeColor="text1"/>
                <w:szCs w:val="24"/>
              </w:rPr>
              <w:t>52.8</w:t>
            </w:r>
          </w:p>
        </w:tc>
      </w:tr>
      <w:tr w:rsidR="00895D0B" w:rsidRPr="00895D0B" w14:paraId="6B33F4A8" w14:textId="77777777" w:rsidTr="00C9416B">
        <w:tc>
          <w:tcPr>
            <w:tcW w:w="5309" w:type="dxa"/>
            <w:tcBorders>
              <w:bottom w:val="single" w:sz="4" w:space="0" w:color="auto"/>
            </w:tcBorders>
          </w:tcPr>
          <w:p w14:paraId="3503EA3C" w14:textId="77777777" w:rsidR="001B4ED5" w:rsidRPr="00895D0B" w:rsidRDefault="006B41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 xml:space="preserve">No </w:t>
            </w:r>
          </w:p>
        </w:tc>
        <w:tc>
          <w:tcPr>
            <w:tcW w:w="1490" w:type="dxa"/>
            <w:tcBorders>
              <w:bottom w:val="single" w:sz="4" w:space="0" w:color="auto"/>
            </w:tcBorders>
            <w:vAlign w:val="center"/>
          </w:tcPr>
          <w:p w14:paraId="723DD2F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171</w:t>
            </w:r>
          </w:p>
        </w:tc>
        <w:tc>
          <w:tcPr>
            <w:tcW w:w="1493" w:type="dxa"/>
            <w:tcBorders>
              <w:bottom w:val="single" w:sz="4" w:space="0" w:color="auto"/>
            </w:tcBorders>
            <w:vAlign w:val="center"/>
          </w:tcPr>
          <w:p w14:paraId="48D33F65" w14:textId="77777777" w:rsidR="001B4ED5" w:rsidRPr="00895D0B" w:rsidRDefault="006B41C0">
            <w:pPr>
              <w:autoSpaceDE w:val="0"/>
              <w:autoSpaceDN w:val="0"/>
              <w:adjustRightInd w:val="0"/>
              <w:spacing w:line="240" w:lineRule="auto"/>
              <w:jc w:val="center"/>
              <w:rPr>
                <w:rFonts w:cs="Times New Roman"/>
                <w:b/>
                <w:i/>
                <w:color w:val="000000" w:themeColor="text1"/>
                <w:szCs w:val="24"/>
              </w:rPr>
            </w:pPr>
            <w:r w:rsidRPr="00895D0B">
              <w:rPr>
                <w:rFonts w:cs="Times New Roman"/>
                <w:color w:val="000000" w:themeColor="text1"/>
                <w:szCs w:val="24"/>
              </w:rPr>
              <w:t>47.2</w:t>
            </w:r>
          </w:p>
        </w:tc>
      </w:tr>
      <w:tr w:rsidR="00895D0B" w:rsidRPr="00895D0B" w14:paraId="359F1BD3" w14:textId="77777777" w:rsidTr="00C9416B">
        <w:tc>
          <w:tcPr>
            <w:tcW w:w="8292" w:type="dxa"/>
            <w:gridSpan w:val="3"/>
            <w:tcBorders>
              <w:top w:val="single" w:sz="4" w:space="0" w:color="auto"/>
            </w:tcBorders>
          </w:tcPr>
          <w:p w14:paraId="433DD19C" w14:textId="77777777" w:rsidR="001B4ED5" w:rsidRPr="00895D0B" w:rsidRDefault="006B41C0">
            <w:pPr>
              <w:autoSpaceDE w:val="0"/>
              <w:autoSpaceDN w:val="0"/>
              <w:adjustRightInd w:val="0"/>
              <w:spacing w:line="240" w:lineRule="auto"/>
              <w:rPr>
                <w:rFonts w:cs="Times New Roman"/>
                <w:b/>
                <w:i/>
                <w:color w:val="000000" w:themeColor="text1"/>
                <w:szCs w:val="24"/>
              </w:rPr>
            </w:pPr>
            <w:r w:rsidRPr="00895D0B">
              <w:rPr>
                <w:rFonts w:cs="Times New Roman"/>
                <w:b/>
                <w:color w:val="000000" w:themeColor="text1"/>
                <w:szCs w:val="24"/>
              </w:rPr>
              <w:t>Participation in UA by Residential Zone</w:t>
            </w:r>
          </w:p>
        </w:tc>
      </w:tr>
      <w:tr w:rsidR="00895D0B" w:rsidRPr="00895D0B" w14:paraId="60060815" w14:textId="77777777">
        <w:tc>
          <w:tcPr>
            <w:tcW w:w="5309" w:type="dxa"/>
          </w:tcPr>
          <w:p w14:paraId="33FB3270"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Low Class</w:t>
            </w:r>
          </w:p>
        </w:tc>
        <w:tc>
          <w:tcPr>
            <w:tcW w:w="1490" w:type="dxa"/>
            <w:shd w:val="clear" w:color="auto" w:fill="FFFFFF"/>
            <w:vAlign w:val="center"/>
          </w:tcPr>
          <w:p w14:paraId="46CAC2C9"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30</w:t>
            </w:r>
          </w:p>
        </w:tc>
        <w:tc>
          <w:tcPr>
            <w:tcW w:w="1493" w:type="dxa"/>
            <w:shd w:val="clear" w:color="auto" w:fill="FFFFFF"/>
            <w:vAlign w:val="center"/>
          </w:tcPr>
          <w:p w14:paraId="6B9F7986"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15.7</w:t>
            </w:r>
          </w:p>
        </w:tc>
      </w:tr>
      <w:tr w:rsidR="00895D0B" w:rsidRPr="00895D0B" w14:paraId="34B46D8E" w14:textId="77777777">
        <w:tc>
          <w:tcPr>
            <w:tcW w:w="5309" w:type="dxa"/>
          </w:tcPr>
          <w:p w14:paraId="6270F7F3"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Medium Class</w:t>
            </w:r>
          </w:p>
        </w:tc>
        <w:tc>
          <w:tcPr>
            <w:tcW w:w="1490" w:type="dxa"/>
            <w:shd w:val="clear" w:color="auto" w:fill="FFFFFF"/>
            <w:vAlign w:val="center"/>
          </w:tcPr>
          <w:p w14:paraId="22E51BD1"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81</w:t>
            </w:r>
          </w:p>
        </w:tc>
        <w:tc>
          <w:tcPr>
            <w:tcW w:w="1493" w:type="dxa"/>
            <w:shd w:val="clear" w:color="auto" w:fill="FFFFFF"/>
            <w:vAlign w:val="center"/>
          </w:tcPr>
          <w:p w14:paraId="4A68E20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42.4</w:t>
            </w:r>
          </w:p>
        </w:tc>
      </w:tr>
      <w:tr w:rsidR="00895D0B" w:rsidRPr="00895D0B" w14:paraId="3A19CD68" w14:textId="77777777" w:rsidTr="00C9416B">
        <w:tc>
          <w:tcPr>
            <w:tcW w:w="5309" w:type="dxa"/>
          </w:tcPr>
          <w:p w14:paraId="08DBA4D9"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High Class </w:t>
            </w:r>
          </w:p>
        </w:tc>
        <w:tc>
          <w:tcPr>
            <w:tcW w:w="1490" w:type="dxa"/>
            <w:shd w:val="clear" w:color="auto" w:fill="FFFFFF"/>
            <w:vAlign w:val="center"/>
          </w:tcPr>
          <w:p w14:paraId="6D4FDE8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80</w:t>
            </w:r>
          </w:p>
        </w:tc>
        <w:tc>
          <w:tcPr>
            <w:tcW w:w="1493" w:type="dxa"/>
            <w:shd w:val="clear" w:color="auto" w:fill="FFFFFF"/>
            <w:vAlign w:val="center"/>
          </w:tcPr>
          <w:p w14:paraId="2C1844F2"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41.9</w:t>
            </w:r>
          </w:p>
        </w:tc>
      </w:tr>
      <w:tr w:rsidR="00895D0B" w:rsidRPr="00895D0B" w14:paraId="22FC68DD" w14:textId="77777777" w:rsidTr="00C9416B">
        <w:trPr>
          <w:trHeight w:val="79"/>
        </w:trPr>
        <w:tc>
          <w:tcPr>
            <w:tcW w:w="5309" w:type="dxa"/>
            <w:tcBorders>
              <w:bottom w:val="single" w:sz="4" w:space="0" w:color="auto"/>
            </w:tcBorders>
          </w:tcPr>
          <w:p w14:paraId="0AE9F24A" w14:textId="77777777" w:rsidR="001B4ED5" w:rsidRPr="00895D0B" w:rsidRDefault="006B41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 xml:space="preserve">Total </w:t>
            </w:r>
          </w:p>
        </w:tc>
        <w:tc>
          <w:tcPr>
            <w:tcW w:w="1490" w:type="dxa"/>
            <w:tcBorders>
              <w:bottom w:val="single" w:sz="4" w:space="0" w:color="auto"/>
            </w:tcBorders>
            <w:shd w:val="clear" w:color="auto" w:fill="FFFFFF"/>
            <w:vAlign w:val="center"/>
          </w:tcPr>
          <w:p w14:paraId="4C00BCC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191</w:t>
            </w:r>
          </w:p>
        </w:tc>
        <w:tc>
          <w:tcPr>
            <w:tcW w:w="1493" w:type="dxa"/>
            <w:tcBorders>
              <w:bottom w:val="single" w:sz="4" w:space="0" w:color="auto"/>
            </w:tcBorders>
            <w:shd w:val="clear" w:color="auto" w:fill="FFFFFF"/>
            <w:vAlign w:val="center"/>
          </w:tcPr>
          <w:p w14:paraId="5355F09C"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100.0</w:t>
            </w:r>
          </w:p>
        </w:tc>
      </w:tr>
      <w:tr w:rsidR="00895D0B" w:rsidRPr="00895D0B" w14:paraId="70455245" w14:textId="77777777" w:rsidTr="00C9416B">
        <w:tc>
          <w:tcPr>
            <w:tcW w:w="8292" w:type="dxa"/>
            <w:gridSpan w:val="3"/>
            <w:tcBorders>
              <w:top w:val="single" w:sz="4" w:space="0" w:color="auto"/>
            </w:tcBorders>
          </w:tcPr>
          <w:p w14:paraId="2B5B7FDF"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b/>
                <w:color w:val="000000" w:themeColor="text1"/>
                <w:szCs w:val="24"/>
              </w:rPr>
              <w:t>Accessing land for UA</w:t>
            </w:r>
          </w:p>
        </w:tc>
      </w:tr>
      <w:tr w:rsidR="00895D0B" w:rsidRPr="00895D0B" w14:paraId="75A1572F" w14:textId="77777777">
        <w:tc>
          <w:tcPr>
            <w:tcW w:w="5309" w:type="dxa"/>
          </w:tcPr>
          <w:p w14:paraId="2E720D1D"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Easy to access </w:t>
            </w:r>
          </w:p>
        </w:tc>
        <w:tc>
          <w:tcPr>
            <w:tcW w:w="1490" w:type="dxa"/>
            <w:shd w:val="clear" w:color="auto" w:fill="FFFFFF"/>
            <w:vAlign w:val="center"/>
          </w:tcPr>
          <w:p w14:paraId="686DE8AD"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21</w:t>
            </w:r>
          </w:p>
        </w:tc>
        <w:tc>
          <w:tcPr>
            <w:tcW w:w="1493" w:type="dxa"/>
            <w:shd w:val="clear" w:color="auto" w:fill="FFFFFF"/>
            <w:vAlign w:val="center"/>
          </w:tcPr>
          <w:p w14:paraId="5B841834"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10.8</w:t>
            </w:r>
          </w:p>
        </w:tc>
      </w:tr>
      <w:tr w:rsidR="00895D0B" w:rsidRPr="00895D0B" w14:paraId="27C1FF10" w14:textId="77777777">
        <w:tc>
          <w:tcPr>
            <w:tcW w:w="5309" w:type="dxa"/>
          </w:tcPr>
          <w:p w14:paraId="499A8D2D"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Difficult to access</w:t>
            </w:r>
          </w:p>
        </w:tc>
        <w:tc>
          <w:tcPr>
            <w:tcW w:w="1490" w:type="dxa"/>
            <w:shd w:val="clear" w:color="auto" w:fill="FFFFFF"/>
            <w:vAlign w:val="center"/>
          </w:tcPr>
          <w:p w14:paraId="4926CEC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121</w:t>
            </w:r>
          </w:p>
        </w:tc>
        <w:tc>
          <w:tcPr>
            <w:tcW w:w="1493" w:type="dxa"/>
            <w:shd w:val="clear" w:color="auto" w:fill="FFFFFF"/>
            <w:vAlign w:val="center"/>
          </w:tcPr>
          <w:p w14:paraId="70D7F43F"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63.4</w:t>
            </w:r>
          </w:p>
        </w:tc>
      </w:tr>
      <w:tr w:rsidR="00895D0B" w:rsidRPr="00895D0B" w14:paraId="6938C131" w14:textId="77777777" w:rsidTr="00C9416B">
        <w:tc>
          <w:tcPr>
            <w:tcW w:w="5309" w:type="dxa"/>
          </w:tcPr>
          <w:p w14:paraId="5862CB1F"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No idea </w:t>
            </w:r>
          </w:p>
        </w:tc>
        <w:tc>
          <w:tcPr>
            <w:tcW w:w="1490" w:type="dxa"/>
            <w:shd w:val="clear" w:color="auto" w:fill="FFFFFF"/>
            <w:vAlign w:val="center"/>
          </w:tcPr>
          <w:p w14:paraId="61175AF2"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49</w:t>
            </w:r>
          </w:p>
        </w:tc>
        <w:tc>
          <w:tcPr>
            <w:tcW w:w="1493" w:type="dxa"/>
            <w:shd w:val="clear" w:color="auto" w:fill="FFFFFF"/>
            <w:vAlign w:val="center"/>
          </w:tcPr>
          <w:p w14:paraId="5808EB5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25.8</w:t>
            </w:r>
          </w:p>
        </w:tc>
      </w:tr>
      <w:tr w:rsidR="00895D0B" w:rsidRPr="00895D0B" w14:paraId="1F443454" w14:textId="77777777" w:rsidTr="00C9416B">
        <w:tc>
          <w:tcPr>
            <w:tcW w:w="5309" w:type="dxa"/>
            <w:tcBorders>
              <w:bottom w:val="single" w:sz="4" w:space="0" w:color="auto"/>
            </w:tcBorders>
          </w:tcPr>
          <w:p w14:paraId="4158602C" w14:textId="77777777" w:rsidR="001B4ED5" w:rsidRPr="00895D0B" w:rsidRDefault="006B41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 xml:space="preserve">Total </w:t>
            </w:r>
          </w:p>
        </w:tc>
        <w:tc>
          <w:tcPr>
            <w:tcW w:w="1490" w:type="dxa"/>
            <w:tcBorders>
              <w:bottom w:val="single" w:sz="4" w:space="0" w:color="auto"/>
            </w:tcBorders>
            <w:shd w:val="clear" w:color="auto" w:fill="FFFFFF"/>
            <w:vAlign w:val="center"/>
          </w:tcPr>
          <w:p w14:paraId="766E5CFC"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191</w:t>
            </w:r>
          </w:p>
        </w:tc>
        <w:tc>
          <w:tcPr>
            <w:tcW w:w="1493" w:type="dxa"/>
            <w:tcBorders>
              <w:bottom w:val="single" w:sz="4" w:space="0" w:color="auto"/>
            </w:tcBorders>
            <w:shd w:val="clear" w:color="auto" w:fill="FFFFFF"/>
            <w:vAlign w:val="center"/>
          </w:tcPr>
          <w:p w14:paraId="02F22A0F"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100.0</w:t>
            </w:r>
          </w:p>
        </w:tc>
      </w:tr>
      <w:tr w:rsidR="00895D0B" w:rsidRPr="00895D0B" w14:paraId="6914DBD5" w14:textId="77777777" w:rsidTr="00C9416B">
        <w:tc>
          <w:tcPr>
            <w:tcW w:w="8292" w:type="dxa"/>
            <w:gridSpan w:val="3"/>
            <w:tcBorders>
              <w:top w:val="single" w:sz="4" w:space="0" w:color="auto"/>
            </w:tcBorders>
          </w:tcPr>
          <w:p w14:paraId="16983ACF"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b/>
                <w:color w:val="000000" w:themeColor="text1"/>
                <w:szCs w:val="24"/>
              </w:rPr>
              <w:t>The main purpose for acquiring land now used for UA</w:t>
            </w:r>
          </w:p>
        </w:tc>
      </w:tr>
      <w:tr w:rsidR="00895D0B" w:rsidRPr="00895D0B" w14:paraId="19DA0884" w14:textId="77777777">
        <w:tc>
          <w:tcPr>
            <w:tcW w:w="5309" w:type="dxa"/>
          </w:tcPr>
          <w:p w14:paraId="604262E7"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For residential purpose </w:t>
            </w:r>
          </w:p>
        </w:tc>
        <w:tc>
          <w:tcPr>
            <w:tcW w:w="1490" w:type="dxa"/>
            <w:shd w:val="clear" w:color="auto" w:fill="FFFFFF"/>
            <w:vAlign w:val="center"/>
          </w:tcPr>
          <w:p w14:paraId="6DD920A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157</w:t>
            </w:r>
          </w:p>
        </w:tc>
        <w:tc>
          <w:tcPr>
            <w:tcW w:w="1493" w:type="dxa"/>
            <w:shd w:val="clear" w:color="auto" w:fill="FFFFFF"/>
            <w:vAlign w:val="center"/>
          </w:tcPr>
          <w:p w14:paraId="3DC7176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82.0</w:t>
            </w:r>
          </w:p>
        </w:tc>
      </w:tr>
      <w:tr w:rsidR="00895D0B" w:rsidRPr="00895D0B" w14:paraId="49FF9A4D" w14:textId="77777777">
        <w:tc>
          <w:tcPr>
            <w:tcW w:w="5309" w:type="dxa"/>
          </w:tcPr>
          <w:p w14:paraId="5C855C9C"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For farming purpose </w:t>
            </w:r>
          </w:p>
        </w:tc>
        <w:tc>
          <w:tcPr>
            <w:tcW w:w="1490" w:type="dxa"/>
            <w:shd w:val="clear" w:color="auto" w:fill="FFFFFF"/>
            <w:vAlign w:val="center"/>
          </w:tcPr>
          <w:p w14:paraId="033EB06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30</w:t>
            </w:r>
          </w:p>
        </w:tc>
        <w:tc>
          <w:tcPr>
            <w:tcW w:w="1493" w:type="dxa"/>
            <w:shd w:val="clear" w:color="auto" w:fill="FFFFFF"/>
            <w:vAlign w:val="center"/>
          </w:tcPr>
          <w:p w14:paraId="17023032"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15.0</w:t>
            </w:r>
          </w:p>
        </w:tc>
      </w:tr>
      <w:tr w:rsidR="00895D0B" w:rsidRPr="00895D0B" w14:paraId="3587BD6B" w14:textId="77777777">
        <w:tc>
          <w:tcPr>
            <w:tcW w:w="5309" w:type="dxa"/>
          </w:tcPr>
          <w:p w14:paraId="6DCF45ED"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For educational purpose </w:t>
            </w:r>
          </w:p>
        </w:tc>
        <w:tc>
          <w:tcPr>
            <w:tcW w:w="1490" w:type="dxa"/>
            <w:shd w:val="clear" w:color="auto" w:fill="FFFFFF"/>
            <w:vAlign w:val="center"/>
          </w:tcPr>
          <w:p w14:paraId="43BA79A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w:t>
            </w:r>
          </w:p>
        </w:tc>
        <w:tc>
          <w:tcPr>
            <w:tcW w:w="1493" w:type="dxa"/>
            <w:shd w:val="clear" w:color="auto" w:fill="FFFFFF"/>
            <w:vAlign w:val="center"/>
          </w:tcPr>
          <w:p w14:paraId="63D9CC84"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w:t>
            </w:r>
          </w:p>
        </w:tc>
      </w:tr>
      <w:tr w:rsidR="00895D0B" w:rsidRPr="00895D0B" w14:paraId="773EB9A8" w14:textId="77777777">
        <w:tc>
          <w:tcPr>
            <w:tcW w:w="5309" w:type="dxa"/>
          </w:tcPr>
          <w:p w14:paraId="337A8711" w14:textId="77777777" w:rsidR="001B4ED5" w:rsidRPr="00895D0B" w:rsidRDefault="006B41C0">
            <w:pPr>
              <w:autoSpaceDE w:val="0"/>
              <w:autoSpaceDN w:val="0"/>
              <w:adjustRightInd w:val="0"/>
              <w:spacing w:line="240" w:lineRule="auto"/>
              <w:rPr>
                <w:rFonts w:cs="Times New Roman"/>
                <w:color w:val="000000" w:themeColor="text1"/>
                <w:szCs w:val="24"/>
              </w:rPr>
            </w:pPr>
            <w:r w:rsidRPr="00895D0B">
              <w:rPr>
                <w:rFonts w:cs="Times New Roman"/>
                <w:color w:val="000000" w:themeColor="text1"/>
                <w:szCs w:val="24"/>
              </w:rPr>
              <w:t xml:space="preserve">For commercial purpose </w:t>
            </w:r>
          </w:p>
        </w:tc>
        <w:tc>
          <w:tcPr>
            <w:tcW w:w="1490" w:type="dxa"/>
            <w:shd w:val="clear" w:color="auto" w:fill="FFFFFF"/>
            <w:vAlign w:val="center"/>
          </w:tcPr>
          <w:p w14:paraId="7E9C5EC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w:t>
            </w:r>
          </w:p>
        </w:tc>
        <w:tc>
          <w:tcPr>
            <w:tcW w:w="1493" w:type="dxa"/>
            <w:shd w:val="clear" w:color="auto" w:fill="FFFFFF"/>
            <w:vAlign w:val="center"/>
          </w:tcPr>
          <w:p w14:paraId="4FEDF78D"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w:t>
            </w:r>
          </w:p>
        </w:tc>
      </w:tr>
      <w:tr w:rsidR="00895D0B" w:rsidRPr="00895D0B" w14:paraId="1A7C9742" w14:textId="77777777">
        <w:trPr>
          <w:trHeight w:val="80"/>
        </w:trPr>
        <w:tc>
          <w:tcPr>
            <w:tcW w:w="5309" w:type="dxa"/>
            <w:tcBorders>
              <w:top w:val="nil"/>
              <w:left w:val="nil"/>
              <w:bottom w:val="single" w:sz="4" w:space="0" w:color="auto"/>
              <w:right w:val="nil"/>
            </w:tcBorders>
          </w:tcPr>
          <w:p w14:paraId="3C654F47" w14:textId="77777777" w:rsidR="001B4ED5" w:rsidRPr="00895D0B" w:rsidRDefault="006B41C0">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 xml:space="preserve">Total </w:t>
            </w:r>
          </w:p>
        </w:tc>
        <w:tc>
          <w:tcPr>
            <w:tcW w:w="1490" w:type="dxa"/>
            <w:tcBorders>
              <w:top w:val="nil"/>
              <w:left w:val="nil"/>
              <w:bottom w:val="single" w:sz="4" w:space="0" w:color="auto"/>
              <w:right w:val="nil"/>
            </w:tcBorders>
            <w:shd w:val="clear" w:color="auto" w:fill="FFFFFF"/>
            <w:vAlign w:val="center"/>
          </w:tcPr>
          <w:p w14:paraId="159F2A57"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191</w:t>
            </w:r>
          </w:p>
        </w:tc>
        <w:tc>
          <w:tcPr>
            <w:tcW w:w="1493" w:type="dxa"/>
            <w:tcBorders>
              <w:top w:val="nil"/>
              <w:left w:val="nil"/>
              <w:bottom w:val="single" w:sz="4" w:space="0" w:color="auto"/>
              <w:right w:val="nil"/>
            </w:tcBorders>
            <w:shd w:val="clear" w:color="auto" w:fill="FFFFFF"/>
            <w:vAlign w:val="center"/>
          </w:tcPr>
          <w:p w14:paraId="16281364"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100.0</w:t>
            </w:r>
          </w:p>
        </w:tc>
      </w:tr>
    </w:tbl>
    <w:p w14:paraId="38C36DBC" w14:textId="77777777"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36A2642F" w14:textId="77777777" w:rsidR="00056D43" w:rsidRPr="00895D0B" w:rsidRDefault="00056D43">
      <w:pPr>
        <w:spacing w:line="360" w:lineRule="auto"/>
        <w:rPr>
          <w:rFonts w:cs="Times New Roman"/>
          <w:color w:val="000000" w:themeColor="text1"/>
          <w:szCs w:val="24"/>
        </w:rPr>
      </w:pPr>
    </w:p>
    <w:p w14:paraId="5EFFF6FF" w14:textId="26D4040B" w:rsidR="00982217" w:rsidRPr="00895D0B" w:rsidRDefault="00982217" w:rsidP="00982217">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lastRenderedPageBreak/>
        <w:t>The rationale is to establish whether the respondents' socioeconomic variables have some significant association with their participation in urban food production. The analysis was done by cross-tabulation and testing of independent associations using chi-square (</w:t>
      </w:r>
      <w:r w:rsidRPr="00895D0B">
        <w:rPr>
          <w:rFonts w:eastAsia="Times New Roman" w:cs="Times New Roman"/>
          <w:i/>
          <w:iCs/>
          <w:color w:val="000000" w:themeColor="text1"/>
          <w:szCs w:val="24"/>
          <w:lang w:eastAsia="en-GB"/>
        </w:rPr>
        <w:t>see Table 6.2</w:t>
      </w:r>
      <w:r w:rsidRPr="00895D0B">
        <w:rPr>
          <w:rFonts w:eastAsia="Times New Roman" w:cs="Times New Roman"/>
          <w:color w:val="000000" w:themeColor="text1"/>
          <w:szCs w:val="24"/>
          <w:lang w:eastAsia="en-GB"/>
        </w:rPr>
        <w:t>). Evidence showed that out of the 191 respondents who are into urban food production, it was clear that those within the age bracket of 31–40 years are more, representing about 40.8%, and this was followed closely by those within the age category of between 41 and 50 years old, which is also about 37.9%. Again, a chi-square test on the association between age and respondents’ participation in urban food production showed a statistically significant association at an alpha level of 0.05 (p-value = 0.016 &lt; 0.05). </w:t>
      </w:r>
    </w:p>
    <w:p w14:paraId="2EABE36D" w14:textId="77777777" w:rsidR="00982217" w:rsidRPr="00895D0B" w:rsidRDefault="00982217" w:rsidP="00056D43">
      <w:pPr>
        <w:pStyle w:val="NoSpacing"/>
        <w:rPr>
          <w:lang w:eastAsia="en-GB"/>
        </w:rPr>
      </w:pPr>
    </w:p>
    <w:p w14:paraId="61DC6B27" w14:textId="526471E6" w:rsidR="001B4ED5" w:rsidRPr="00895D0B" w:rsidRDefault="00982217">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Comparatively, the results showed that urban farmers who are males represent about 72.8% of the farmers’ population, while only about 27.2% are females. Further analysis from the chi-square revealed that there is no association between gender and urban dwellers' participation in food production in their neighbourhoods as at alpha 0.05 (p-value = 0.430 &gt; 0.05). Concerning participants’ marital status and their participation in urban food production, about 78.0% are married, and the chi-square test showed a significant relationship at alpha 0.05 (p-value = 0.007 &lt; 0.05). Regarding the employment status of the respondents and their participation in urban farming, those who are employed represent about 80.0%, while the unemployed are about 20.0%. (</w:t>
      </w:r>
      <w:r w:rsidRPr="00895D0B">
        <w:rPr>
          <w:rFonts w:eastAsia="Times New Roman" w:cs="Times New Roman"/>
          <w:i/>
          <w:iCs/>
          <w:color w:val="000000" w:themeColor="text1"/>
          <w:szCs w:val="24"/>
          <w:lang w:eastAsia="en-GB"/>
        </w:rPr>
        <w:t xml:space="preserve">See Table 6.2) </w:t>
      </w:r>
      <w:r w:rsidRPr="00895D0B">
        <w:rPr>
          <w:rFonts w:eastAsia="Times New Roman" w:cs="Times New Roman"/>
          <w:color w:val="000000" w:themeColor="text1"/>
          <w:szCs w:val="24"/>
          <w:lang w:eastAsia="en-GB"/>
        </w:rPr>
        <w:t>The relationship between the respondents’ employment status and their participation in urban agriculture is statistically insignificant (p-value = 0.186 &gt; 0.05). However, in terms of the type of employment, the respondents engaged in the informal sector are about 52.4%, while those employed in the formal sector are about 47.6%, which is statistically significant at alpha 0.05 (p-value = 0.016 &lt; 0.05). Narrowing down to the educational level of the respondents, those who have attained a tertiary educational level are likely to participate in urban farming, representing about 44.5% of the respondents. The chi-square test showed a statistically insignificant association between respondents’ educational status and their participation in urban agriculture (p-value = 0.141 &gt; 0.05). Similarly, in terms of residential status, the majority of the respondents are settlers, representing about 74.0%, and the natives, representing about 26.0%, which indicated no association between the residential status of the respondents and their participation in urban farming (p-value = 0.724 &gt; 0.05) on the one hand.</w:t>
      </w:r>
    </w:p>
    <w:p w14:paraId="6007A34A" w14:textId="303312BA" w:rsidR="001B4ED5" w:rsidRPr="00895D0B" w:rsidRDefault="006B41C0" w:rsidP="009864E3">
      <w:pPr>
        <w:pStyle w:val="Heading6"/>
        <w:spacing w:before="0"/>
      </w:pPr>
      <w:bookmarkStart w:id="149" w:name="_Toc148890682"/>
      <w:bookmarkStart w:id="150" w:name="_Toc167368597"/>
      <w:r w:rsidRPr="00895D0B">
        <w:lastRenderedPageBreak/>
        <w:t>Table 6.</w:t>
      </w:r>
      <w:r w:rsidR="00895D0B" w:rsidRPr="00895D0B">
        <w:fldChar w:fldCharType="begin"/>
      </w:r>
      <w:r w:rsidR="00895D0B" w:rsidRPr="00895D0B">
        <w:instrText xml:space="preserve"> SEQ Table_6. \* ARABIC </w:instrText>
      </w:r>
      <w:r w:rsidR="00895D0B" w:rsidRPr="00895D0B">
        <w:fldChar w:fldCharType="separate"/>
      </w:r>
      <w:r w:rsidR="0026489B">
        <w:rPr>
          <w:noProof/>
        </w:rPr>
        <w:t>3</w:t>
      </w:r>
      <w:r w:rsidR="00895D0B" w:rsidRPr="00895D0B">
        <w:fldChar w:fldCharType="end"/>
      </w:r>
      <w:r w:rsidRPr="00895D0B">
        <w:t xml:space="preserve">: Association between </w:t>
      </w:r>
      <w:r w:rsidR="00B44549" w:rsidRPr="00895D0B">
        <w:t>Demographic</w:t>
      </w:r>
      <w:r w:rsidRPr="00895D0B">
        <w:t xml:space="preserve"> </w:t>
      </w:r>
      <w:r w:rsidR="00B44549" w:rsidRPr="00895D0B">
        <w:t>V</w:t>
      </w:r>
      <w:r w:rsidRPr="00895D0B">
        <w:t xml:space="preserve">ariables and </w:t>
      </w:r>
      <w:r w:rsidR="00B44549" w:rsidRPr="00895D0B">
        <w:t>P</w:t>
      </w:r>
      <w:r w:rsidRPr="00895D0B">
        <w:t xml:space="preserve">articipation in UA </w:t>
      </w:r>
      <w:r w:rsidR="00B44549" w:rsidRPr="00895D0B">
        <w:t>P</w:t>
      </w:r>
      <w:r w:rsidRPr="00895D0B">
        <w:t>roduction.</w:t>
      </w:r>
      <w:bookmarkEnd w:id="149"/>
      <w:bookmarkEnd w:id="150"/>
    </w:p>
    <w:tbl>
      <w:tblPr>
        <w:tblW w:w="8920" w:type="dxa"/>
        <w:tblLayout w:type="fixed"/>
        <w:tblLook w:val="04A0" w:firstRow="1" w:lastRow="0" w:firstColumn="1" w:lastColumn="0" w:noHBand="0" w:noVBand="1"/>
      </w:tblPr>
      <w:tblGrid>
        <w:gridCol w:w="1373"/>
        <w:gridCol w:w="1231"/>
        <w:gridCol w:w="1239"/>
        <w:gridCol w:w="1232"/>
        <w:gridCol w:w="1236"/>
        <w:gridCol w:w="1236"/>
        <w:gridCol w:w="1373"/>
      </w:tblGrid>
      <w:tr w:rsidR="00895D0B" w:rsidRPr="00F04051" w14:paraId="60FF121D" w14:textId="77777777" w:rsidTr="00F04051">
        <w:trPr>
          <w:trHeight w:val="254"/>
        </w:trPr>
        <w:tc>
          <w:tcPr>
            <w:tcW w:w="1373" w:type="dxa"/>
            <w:vMerge w:val="restart"/>
            <w:tcBorders>
              <w:top w:val="single" w:sz="4" w:space="0" w:color="auto"/>
              <w:bottom w:val="single" w:sz="4" w:space="0" w:color="auto"/>
            </w:tcBorders>
          </w:tcPr>
          <w:p w14:paraId="20102BD8"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Participation in UA</w:t>
            </w:r>
          </w:p>
        </w:tc>
        <w:tc>
          <w:tcPr>
            <w:tcW w:w="7546" w:type="dxa"/>
            <w:gridSpan w:val="6"/>
            <w:tcBorders>
              <w:top w:val="single" w:sz="4" w:space="0" w:color="auto"/>
              <w:bottom w:val="single" w:sz="4" w:space="0" w:color="auto"/>
            </w:tcBorders>
          </w:tcPr>
          <w:p w14:paraId="276ECEC5" w14:textId="77777777" w:rsidR="001B4ED5" w:rsidRPr="00F04051" w:rsidRDefault="006B41C0">
            <w:pPr>
              <w:autoSpaceDE w:val="0"/>
              <w:autoSpaceDN w:val="0"/>
              <w:adjustRightInd w:val="0"/>
              <w:spacing w:line="240" w:lineRule="auto"/>
              <w:jc w:val="center"/>
              <w:rPr>
                <w:rFonts w:cs="Times New Roman"/>
                <w:b/>
                <w:color w:val="000000" w:themeColor="text1"/>
                <w:sz w:val="22"/>
              </w:rPr>
            </w:pPr>
            <w:r w:rsidRPr="00F04051">
              <w:rPr>
                <w:rFonts w:cs="Times New Roman"/>
                <w:b/>
                <w:color w:val="000000" w:themeColor="text1"/>
                <w:sz w:val="22"/>
              </w:rPr>
              <w:t>Age of respondents – Frequency (%)</w:t>
            </w:r>
          </w:p>
        </w:tc>
      </w:tr>
      <w:tr w:rsidR="00895D0B" w:rsidRPr="00F04051" w14:paraId="081EB9F3" w14:textId="77777777" w:rsidTr="00F04051">
        <w:trPr>
          <w:trHeight w:val="254"/>
        </w:trPr>
        <w:tc>
          <w:tcPr>
            <w:tcW w:w="1373" w:type="dxa"/>
            <w:vMerge/>
            <w:tcBorders>
              <w:top w:val="single" w:sz="4" w:space="0" w:color="auto"/>
            </w:tcBorders>
            <w:vAlign w:val="center"/>
          </w:tcPr>
          <w:p w14:paraId="3466C55E" w14:textId="77777777" w:rsidR="001B4ED5" w:rsidRPr="00F04051" w:rsidRDefault="001B4ED5">
            <w:pPr>
              <w:spacing w:line="240" w:lineRule="auto"/>
              <w:rPr>
                <w:rFonts w:cs="Times New Roman"/>
                <w:color w:val="000000" w:themeColor="text1"/>
                <w:sz w:val="22"/>
              </w:rPr>
            </w:pPr>
          </w:p>
        </w:tc>
        <w:tc>
          <w:tcPr>
            <w:tcW w:w="1231" w:type="dxa"/>
            <w:tcBorders>
              <w:top w:val="single" w:sz="4" w:space="0" w:color="auto"/>
              <w:bottom w:val="single" w:sz="4" w:space="0" w:color="auto"/>
            </w:tcBorders>
          </w:tcPr>
          <w:p w14:paraId="65AE7107"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18 – 30</w:t>
            </w:r>
          </w:p>
        </w:tc>
        <w:tc>
          <w:tcPr>
            <w:tcW w:w="1239" w:type="dxa"/>
            <w:tcBorders>
              <w:top w:val="single" w:sz="4" w:space="0" w:color="auto"/>
              <w:bottom w:val="single" w:sz="4" w:space="0" w:color="auto"/>
            </w:tcBorders>
          </w:tcPr>
          <w:p w14:paraId="7032F720"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31 – 40</w:t>
            </w:r>
          </w:p>
        </w:tc>
        <w:tc>
          <w:tcPr>
            <w:tcW w:w="1231" w:type="dxa"/>
            <w:tcBorders>
              <w:top w:val="single" w:sz="4" w:space="0" w:color="auto"/>
              <w:bottom w:val="single" w:sz="4" w:space="0" w:color="auto"/>
            </w:tcBorders>
          </w:tcPr>
          <w:p w14:paraId="6E3F81CE"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41 – 50</w:t>
            </w:r>
          </w:p>
        </w:tc>
        <w:tc>
          <w:tcPr>
            <w:tcW w:w="1236" w:type="dxa"/>
            <w:tcBorders>
              <w:top w:val="single" w:sz="4" w:space="0" w:color="auto"/>
              <w:bottom w:val="single" w:sz="4" w:space="0" w:color="auto"/>
            </w:tcBorders>
          </w:tcPr>
          <w:p w14:paraId="1563AD5B"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51 – 60</w:t>
            </w:r>
          </w:p>
        </w:tc>
        <w:tc>
          <w:tcPr>
            <w:tcW w:w="1236" w:type="dxa"/>
            <w:tcBorders>
              <w:top w:val="single" w:sz="4" w:space="0" w:color="auto"/>
              <w:bottom w:val="single" w:sz="4" w:space="0" w:color="auto"/>
            </w:tcBorders>
          </w:tcPr>
          <w:p w14:paraId="2BFE36BB"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61+</w:t>
            </w:r>
          </w:p>
        </w:tc>
        <w:tc>
          <w:tcPr>
            <w:tcW w:w="1372" w:type="dxa"/>
            <w:tcBorders>
              <w:top w:val="single" w:sz="4" w:space="0" w:color="auto"/>
              <w:bottom w:val="single" w:sz="4" w:space="0" w:color="auto"/>
            </w:tcBorders>
          </w:tcPr>
          <w:p w14:paraId="52866006"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Total</w:t>
            </w:r>
          </w:p>
        </w:tc>
      </w:tr>
      <w:tr w:rsidR="00895D0B" w:rsidRPr="00F04051" w14:paraId="22F2332E" w14:textId="77777777" w:rsidTr="00F04051">
        <w:trPr>
          <w:trHeight w:val="342"/>
        </w:trPr>
        <w:tc>
          <w:tcPr>
            <w:tcW w:w="1373" w:type="dxa"/>
          </w:tcPr>
          <w:p w14:paraId="1DD044BE"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Yes </w:t>
            </w:r>
          </w:p>
        </w:tc>
        <w:tc>
          <w:tcPr>
            <w:tcW w:w="1231" w:type="dxa"/>
            <w:tcBorders>
              <w:top w:val="single" w:sz="4" w:space="0" w:color="auto"/>
            </w:tcBorders>
            <w:vAlign w:val="center"/>
          </w:tcPr>
          <w:p w14:paraId="59E9FFF8" w14:textId="77777777" w:rsidR="001B4ED5" w:rsidRPr="00F04051" w:rsidRDefault="006B41C0">
            <w:pPr>
              <w:autoSpaceDE w:val="0"/>
              <w:autoSpaceDN w:val="0"/>
              <w:adjustRightInd w:val="0"/>
              <w:spacing w:line="240" w:lineRule="auto"/>
              <w:ind w:left="60" w:right="60"/>
              <w:rPr>
                <w:rFonts w:cs="Times New Roman"/>
                <w:color w:val="000000" w:themeColor="text1"/>
                <w:sz w:val="22"/>
              </w:rPr>
            </w:pPr>
            <w:r w:rsidRPr="00F04051">
              <w:rPr>
                <w:rFonts w:cs="Times New Roman"/>
                <w:color w:val="000000" w:themeColor="text1"/>
                <w:sz w:val="22"/>
              </w:rPr>
              <w:t>17(8.9)</w:t>
            </w:r>
          </w:p>
        </w:tc>
        <w:tc>
          <w:tcPr>
            <w:tcW w:w="1239" w:type="dxa"/>
            <w:tcBorders>
              <w:top w:val="single" w:sz="4" w:space="0" w:color="auto"/>
            </w:tcBorders>
            <w:vAlign w:val="center"/>
          </w:tcPr>
          <w:p w14:paraId="010DA9DC" w14:textId="77777777" w:rsidR="001B4ED5" w:rsidRPr="00F04051" w:rsidRDefault="006B41C0">
            <w:pPr>
              <w:autoSpaceDE w:val="0"/>
              <w:autoSpaceDN w:val="0"/>
              <w:adjustRightInd w:val="0"/>
              <w:spacing w:line="240" w:lineRule="auto"/>
              <w:ind w:right="60"/>
              <w:rPr>
                <w:rFonts w:cs="Times New Roman"/>
                <w:color w:val="000000" w:themeColor="text1"/>
                <w:sz w:val="22"/>
              </w:rPr>
            </w:pPr>
            <w:r w:rsidRPr="00F04051">
              <w:rPr>
                <w:rFonts w:cs="Times New Roman"/>
                <w:color w:val="000000" w:themeColor="text1"/>
                <w:sz w:val="22"/>
              </w:rPr>
              <w:t>78(40.8)</w:t>
            </w:r>
          </w:p>
        </w:tc>
        <w:tc>
          <w:tcPr>
            <w:tcW w:w="1231" w:type="dxa"/>
            <w:tcBorders>
              <w:top w:val="single" w:sz="4" w:space="0" w:color="auto"/>
            </w:tcBorders>
            <w:vAlign w:val="center"/>
          </w:tcPr>
          <w:p w14:paraId="043A0B75" w14:textId="77777777" w:rsidR="001B4ED5" w:rsidRPr="00F04051" w:rsidRDefault="006B41C0">
            <w:pPr>
              <w:autoSpaceDE w:val="0"/>
              <w:autoSpaceDN w:val="0"/>
              <w:adjustRightInd w:val="0"/>
              <w:spacing w:line="240" w:lineRule="auto"/>
              <w:ind w:left="60" w:right="60"/>
              <w:rPr>
                <w:rFonts w:cs="Times New Roman"/>
                <w:color w:val="000000" w:themeColor="text1"/>
                <w:sz w:val="22"/>
              </w:rPr>
            </w:pPr>
            <w:r w:rsidRPr="00F04051">
              <w:rPr>
                <w:rFonts w:cs="Times New Roman"/>
                <w:color w:val="000000" w:themeColor="text1"/>
                <w:sz w:val="22"/>
              </w:rPr>
              <w:t>71(37.2)</w:t>
            </w:r>
          </w:p>
        </w:tc>
        <w:tc>
          <w:tcPr>
            <w:tcW w:w="1236" w:type="dxa"/>
            <w:tcBorders>
              <w:top w:val="single" w:sz="4" w:space="0" w:color="auto"/>
            </w:tcBorders>
            <w:vAlign w:val="center"/>
          </w:tcPr>
          <w:p w14:paraId="41D63343" w14:textId="77777777" w:rsidR="001B4ED5" w:rsidRPr="00F04051" w:rsidRDefault="006B41C0">
            <w:pPr>
              <w:autoSpaceDE w:val="0"/>
              <w:autoSpaceDN w:val="0"/>
              <w:adjustRightInd w:val="0"/>
              <w:spacing w:line="240" w:lineRule="auto"/>
              <w:ind w:right="60"/>
              <w:rPr>
                <w:rFonts w:cs="Times New Roman"/>
                <w:color w:val="000000" w:themeColor="text1"/>
                <w:sz w:val="22"/>
              </w:rPr>
            </w:pPr>
            <w:r w:rsidRPr="00F04051">
              <w:rPr>
                <w:rFonts w:cs="Times New Roman"/>
                <w:color w:val="000000" w:themeColor="text1"/>
                <w:sz w:val="22"/>
              </w:rPr>
              <w:t>15(7.9)</w:t>
            </w:r>
          </w:p>
        </w:tc>
        <w:tc>
          <w:tcPr>
            <w:tcW w:w="1236" w:type="dxa"/>
            <w:tcBorders>
              <w:top w:val="single" w:sz="4" w:space="0" w:color="auto"/>
            </w:tcBorders>
            <w:vAlign w:val="center"/>
          </w:tcPr>
          <w:p w14:paraId="517979AC" w14:textId="77777777" w:rsidR="001B4ED5" w:rsidRPr="00F04051" w:rsidRDefault="006B41C0">
            <w:pPr>
              <w:autoSpaceDE w:val="0"/>
              <w:autoSpaceDN w:val="0"/>
              <w:adjustRightInd w:val="0"/>
              <w:spacing w:line="240" w:lineRule="auto"/>
              <w:ind w:left="60" w:right="60"/>
              <w:jc w:val="right"/>
              <w:rPr>
                <w:rFonts w:cs="Times New Roman"/>
                <w:color w:val="000000" w:themeColor="text1"/>
                <w:sz w:val="22"/>
              </w:rPr>
            </w:pPr>
            <w:r w:rsidRPr="00F04051">
              <w:rPr>
                <w:rFonts w:cs="Times New Roman"/>
                <w:color w:val="000000" w:themeColor="text1"/>
                <w:sz w:val="22"/>
              </w:rPr>
              <w:t>10(5.2)</w:t>
            </w:r>
          </w:p>
        </w:tc>
        <w:tc>
          <w:tcPr>
            <w:tcW w:w="1372" w:type="dxa"/>
            <w:tcBorders>
              <w:top w:val="single" w:sz="4" w:space="0" w:color="auto"/>
            </w:tcBorders>
            <w:vAlign w:val="center"/>
          </w:tcPr>
          <w:p w14:paraId="3C3D9E64" w14:textId="77777777" w:rsidR="001B4ED5" w:rsidRPr="00F04051" w:rsidRDefault="006B41C0">
            <w:pPr>
              <w:autoSpaceDE w:val="0"/>
              <w:autoSpaceDN w:val="0"/>
              <w:adjustRightInd w:val="0"/>
              <w:spacing w:line="240" w:lineRule="auto"/>
              <w:ind w:left="60" w:right="60"/>
              <w:jc w:val="right"/>
              <w:rPr>
                <w:rFonts w:cs="Times New Roman"/>
                <w:color w:val="000000" w:themeColor="text1"/>
                <w:sz w:val="22"/>
              </w:rPr>
            </w:pPr>
            <w:r w:rsidRPr="00F04051">
              <w:rPr>
                <w:rFonts w:cs="Times New Roman"/>
                <w:color w:val="000000" w:themeColor="text1"/>
                <w:sz w:val="22"/>
              </w:rPr>
              <w:t>191(100.0)</w:t>
            </w:r>
          </w:p>
        </w:tc>
      </w:tr>
      <w:tr w:rsidR="00895D0B" w:rsidRPr="00F04051" w14:paraId="7F910B98" w14:textId="77777777" w:rsidTr="00F04051">
        <w:trPr>
          <w:trHeight w:val="239"/>
        </w:trPr>
        <w:tc>
          <w:tcPr>
            <w:tcW w:w="1373" w:type="dxa"/>
          </w:tcPr>
          <w:p w14:paraId="40A21ED0"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No </w:t>
            </w:r>
          </w:p>
        </w:tc>
        <w:tc>
          <w:tcPr>
            <w:tcW w:w="1231" w:type="dxa"/>
            <w:vAlign w:val="center"/>
          </w:tcPr>
          <w:p w14:paraId="2684E6C2" w14:textId="77777777" w:rsidR="001B4ED5" w:rsidRPr="00F04051" w:rsidRDefault="006B41C0">
            <w:pPr>
              <w:autoSpaceDE w:val="0"/>
              <w:autoSpaceDN w:val="0"/>
              <w:adjustRightInd w:val="0"/>
              <w:spacing w:line="240" w:lineRule="auto"/>
              <w:ind w:left="60" w:right="60"/>
              <w:rPr>
                <w:rFonts w:cs="Times New Roman"/>
                <w:color w:val="000000" w:themeColor="text1"/>
                <w:sz w:val="22"/>
              </w:rPr>
            </w:pPr>
            <w:r w:rsidRPr="00F04051">
              <w:rPr>
                <w:rFonts w:cs="Times New Roman"/>
                <w:color w:val="000000" w:themeColor="text1"/>
                <w:sz w:val="22"/>
              </w:rPr>
              <w:t>25(14.6)</w:t>
            </w:r>
          </w:p>
        </w:tc>
        <w:tc>
          <w:tcPr>
            <w:tcW w:w="1239" w:type="dxa"/>
            <w:vAlign w:val="center"/>
          </w:tcPr>
          <w:p w14:paraId="5395681B" w14:textId="77777777" w:rsidR="001B4ED5" w:rsidRPr="00F04051" w:rsidRDefault="006B41C0">
            <w:pPr>
              <w:autoSpaceDE w:val="0"/>
              <w:autoSpaceDN w:val="0"/>
              <w:adjustRightInd w:val="0"/>
              <w:spacing w:line="240" w:lineRule="auto"/>
              <w:ind w:left="60" w:right="60"/>
              <w:rPr>
                <w:rFonts w:cs="Times New Roman"/>
                <w:color w:val="000000" w:themeColor="text1"/>
                <w:sz w:val="22"/>
              </w:rPr>
            </w:pPr>
            <w:r w:rsidRPr="00F04051">
              <w:rPr>
                <w:rFonts w:cs="Times New Roman"/>
                <w:color w:val="000000" w:themeColor="text1"/>
                <w:sz w:val="22"/>
              </w:rPr>
              <w:t>63(36.8)</w:t>
            </w:r>
          </w:p>
        </w:tc>
        <w:tc>
          <w:tcPr>
            <w:tcW w:w="1231" w:type="dxa"/>
            <w:vAlign w:val="center"/>
          </w:tcPr>
          <w:p w14:paraId="25C7C687" w14:textId="77777777" w:rsidR="001B4ED5" w:rsidRPr="00F04051" w:rsidRDefault="006B41C0">
            <w:pPr>
              <w:autoSpaceDE w:val="0"/>
              <w:autoSpaceDN w:val="0"/>
              <w:adjustRightInd w:val="0"/>
              <w:spacing w:line="240" w:lineRule="auto"/>
              <w:ind w:left="60" w:right="60"/>
              <w:rPr>
                <w:rFonts w:cs="Times New Roman"/>
                <w:color w:val="000000" w:themeColor="text1"/>
                <w:sz w:val="22"/>
              </w:rPr>
            </w:pPr>
            <w:r w:rsidRPr="00F04051">
              <w:rPr>
                <w:rFonts w:cs="Times New Roman"/>
                <w:color w:val="000000" w:themeColor="text1"/>
                <w:sz w:val="22"/>
              </w:rPr>
              <w:t>67(39.2)</w:t>
            </w:r>
          </w:p>
        </w:tc>
        <w:tc>
          <w:tcPr>
            <w:tcW w:w="1236" w:type="dxa"/>
            <w:vAlign w:val="center"/>
          </w:tcPr>
          <w:p w14:paraId="7C17E009" w14:textId="77777777" w:rsidR="001B4ED5" w:rsidRPr="00F04051" w:rsidRDefault="006B41C0">
            <w:pPr>
              <w:autoSpaceDE w:val="0"/>
              <w:autoSpaceDN w:val="0"/>
              <w:adjustRightInd w:val="0"/>
              <w:spacing w:line="240" w:lineRule="auto"/>
              <w:ind w:right="60"/>
              <w:rPr>
                <w:rFonts w:cs="Times New Roman"/>
                <w:color w:val="000000" w:themeColor="text1"/>
                <w:sz w:val="22"/>
              </w:rPr>
            </w:pPr>
            <w:r w:rsidRPr="00F04051">
              <w:rPr>
                <w:rFonts w:cs="Times New Roman"/>
                <w:color w:val="000000" w:themeColor="text1"/>
                <w:sz w:val="22"/>
              </w:rPr>
              <w:t>16(9.4)</w:t>
            </w:r>
          </w:p>
        </w:tc>
        <w:tc>
          <w:tcPr>
            <w:tcW w:w="1236" w:type="dxa"/>
            <w:vAlign w:val="center"/>
          </w:tcPr>
          <w:p w14:paraId="3AFAC5E9" w14:textId="77777777" w:rsidR="001B4ED5" w:rsidRPr="00F04051" w:rsidRDefault="006B41C0">
            <w:pPr>
              <w:autoSpaceDE w:val="0"/>
              <w:autoSpaceDN w:val="0"/>
              <w:adjustRightInd w:val="0"/>
              <w:spacing w:line="240" w:lineRule="auto"/>
              <w:ind w:left="60" w:right="60"/>
              <w:jc w:val="right"/>
              <w:rPr>
                <w:rFonts w:cs="Times New Roman"/>
                <w:color w:val="000000" w:themeColor="text1"/>
                <w:sz w:val="22"/>
              </w:rPr>
            </w:pPr>
            <w:r w:rsidRPr="00F04051">
              <w:rPr>
                <w:rFonts w:cs="Times New Roman"/>
                <w:color w:val="000000" w:themeColor="text1"/>
                <w:sz w:val="22"/>
              </w:rPr>
              <w:t>0(0.0)</w:t>
            </w:r>
          </w:p>
        </w:tc>
        <w:tc>
          <w:tcPr>
            <w:tcW w:w="1372" w:type="dxa"/>
            <w:vAlign w:val="center"/>
          </w:tcPr>
          <w:p w14:paraId="4187533C" w14:textId="77777777" w:rsidR="001B4ED5" w:rsidRPr="00F04051" w:rsidRDefault="006B41C0">
            <w:pPr>
              <w:autoSpaceDE w:val="0"/>
              <w:autoSpaceDN w:val="0"/>
              <w:adjustRightInd w:val="0"/>
              <w:spacing w:line="240" w:lineRule="auto"/>
              <w:ind w:left="60" w:right="60"/>
              <w:jc w:val="right"/>
              <w:rPr>
                <w:rFonts w:cs="Times New Roman"/>
                <w:color w:val="000000" w:themeColor="text1"/>
                <w:sz w:val="22"/>
              </w:rPr>
            </w:pPr>
            <w:r w:rsidRPr="00F04051">
              <w:rPr>
                <w:rFonts w:cs="Times New Roman"/>
                <w:color w:val="000000" w:themeColor="text1"/>
                <w:sz w:val="22"/>
              </w:rPr>
              <w:t>171(100.0)</w:t>
            </w:r>
          </w:p>
        </w:tc>
      </w:tr>
      <w:tr w:rsidR="00895D0B" w:rsidRPr="00F04051" w14:paraId="6B4828E9" w14:textId="77777777" w:rsidTr="00F04051">
        <w:trPr>
          <w:trHeight w:val="254"/>
        </w:trPr>
        <w:tc>
          <w:tcPr>
            <w:tcW w:w="1373" w:type="dxa"/>
          </w:tcPr>
          <w:p w14:paraId="7A76CE83"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 xml:space="preserve">Total </w:t>
            </w:r>
          </w:p>
        </w:tc>
        <w:tc>
          <w:tcPr>
            <w:tcW w:w="1231" w:type="dxa"/>
            <w:vAlign w:val="center"/>
          </w:tcPr>
          <w:p w14:paraId="3ADD6104" w14:textId="77777777" w:rsidR="001B4ED5" w:rsidRPr="00F04051" w:rsidRDefault="006B41C0">
            <w:pPr>
              <w:autoSpaceDE w:val="0"/>
              <w:autoSpaceDN w:val="0"/>
              <w:adjustRightInd w:val="0"/>
              <w:spacing w:line="240" w:lineRule="auto"/>
              <w:ind w:right="60"/>
              <w:rPr>
                <w:rFonts w:cs="Times New Roman"/>
                <w:b/>
                <w:color w:val="000000" w:themeColor="text1"/>
                <w:sz w:val="22"/>
              </w:rPr>
            </w:pPr>
            <w:r w:rsidRPr="00F04051">
              <w:rPr>
                <w:rFonts w:cs="Times New Roman"/>
                <w:b/>
                <w:color w:val="000000" w:themeColor="text1"/>
                <w:sz w:val="22"/>
              </w:rPr>
              <w:t>42(11.6)</w:t>
            </w:r>
          </w:p>
        </w:tc>
        <w:tc>
          <w:tcPr>
            <w:tcW w:w="1239" w:type="dxa"/>
            <w:vAlign w:val="center"/>
          </w:tcPr>
          <w:p w14:paraId="59DF9FCF" w14:textId="77777777" w:rsidR="001B4ED5" w:rsidRPr="00F04051" w:rsidRDefault="006B41C0">
            <w:pPr>
              <w:autoSpaceDE w:val="0"/>
              <w:autoSpaceDN w:val="0"/>
              <w:adjustRightInd w:val="0"/>
              <w:spacing w:line="240" w:lineRule="auto"/>
              <w:ind w:left="60" w:right="60"/>
              <w:rPr>
                <w:rFonts w:cs="Times New Roman"/>
                <w:b/>
                <w:color w:val="000000" w:themeColor="text1"/>
                <w:sz w:val="22"/>
              </w:rPr>
            </w:pPr>
            <w:r w:rsidRPr="00F04051">
              <w:rPr>
                <w:rFonts w:cs="Times New Roman"/>
                <w:b/>
                <w:color w:val="000000" w:themeColor="text1"/>
                <w:sz w:val="22"/>
              </w:rPr>
              <w:t>141(39.1)</w:t>
            </w:r>
          </w:p>
        </w:tc>
        <w:tc>
          <w:tcPr>
            <w:tcW w:w="1231" w:type="dxa"/>
            <w:vAlign w:val="center"/>
          </w:tcPr>
          <w:p w14:paraId="73029B5E" w14:textId="77777777" w:rsidR="001B4ED5" w:rsidRPr="00F04051" w:rsidRDefault="006B41C0">
            <w:pPr>
              <w:autoSpaceDE w:val="0"/>
              <w:autoSpaceDN w:val="0"/>
              <w:adjustRightInd w:val="0"/>
              <w:spacing w:line="240" w:lineRule="auto"/>
              <w:ind w:right="60"/>
              <w:rPr>
                <w:rFonts w:cs="Times New Roman"/>
                <w:b/>
                <w:color w:val="000000" w:themeColor="text1"/>
                <w:sz w:val="22"/>
              </w:rPr>
            </w:pPr>
            <w:r w:rsidRPr="00F04051">
              <w:rPr>
                <w:rFonts w:cs="Times New Roman"/>
                <w:b/>
                <w:color w:val="000000" w:themeColor="text1"/>
                <w:sz w:val="22"/>
              </w:rPr>
              <w:t>138(38.1)</w:t>
            </w:r>
          </w:p>
        </w:tc>
        <w:tc>
          <w:tcPr>
            <w:tcW w:w="1236" w:type="dxa"/>
            <w:vAlign w:val="center"/>
          </w:tcPr>
          <w:p w14:paraId="460F56D1" w14:textId="77777777" w:rsidR="001B4ED5" w:rsidRPr="00F04051" w:rsidRDefault="006B41C0">
            <w:pPr>
              <w:autoSpaceDE w:val="0"/>
              <w:autoSpaceDN w:val="0"/>
              <w:adjustRightInd w:val="0"/>
              <w:spacing w:line="240" w:lineRule="auto"/>
              <w:ind w:right="60"/>
              <w:rPr>
                <w:rFonts w:cs="Times New Roman"/>
                <w:b/>
                <w:color w:val="000000" w:themeColor="text1"/>
                <w:sz w:val="22"/>
              </w:rPr>
            </w:pPr>
            <w:r w:rsidRPr="00F04051">
              <w:rPr>
                <w:rFonts w:cs="Times New Roman"/>
                <w:b/>
                <w:color w:val="000000" w:themeColor="text1"/>
                <w:sz w:val="22"/>
              </w:rPr>
              <w:t>31(8.5)</w:t>
            </w:r>
          </w:p>
        </w:tc>
        <w:tc>
          <w:tcPr>
            <w:tcW w:w="1236" w:type="dxa"/>
            <w:vAlign w:val="center"/>
          </w:tcPr>
          <w:p w14:paraId="55825888" w14:textId="77777777" w:rsidR="001B4ED5" w:rsidRPr="00F04051" w:rsidRDefault="006B41C0">
            <w:pPr>
              <w:autoSpaceDE w:val="0"/>
              <w:autoSpaceDN w:val="0"/>
              <w:adjustRightInd w:val="0"/>
              <w:spacing w:line="240" w:lineRule="auto"/>
              <w:ind w:left="60" w:right="60"/>
              <w:jc w:val="right"/>
              <w:rPr>
                <w:rFonts w:cs="Times New Roman"/>
                <w:b/>
                <w:color w:val="000000" w:themeColor="text1"/>
                <w:sz w:val="22"/>
              </w:rPr>
            </w:pPr>
            <w:r w:rsidRPr="00F04051">
              <w:rPr>
                <w:rFonts w:cs="Times New Roman"/>
                <w:b/>
                <w:color w:val="000000" w:themeColor="text1"/>
                <w:sz w:val="22"/>
              </w:rPr>
              <w:t>10(2.7)</w:t>
            </w:r>
          </w:p>
        </w:tc>
        <w:tc>
          <w:tcPr>
            <w:tcW w:w="1372" w:type="dxa"/>
            <w:vAlign w:val="center"/>
          </w:tcPr>
          <w:p w14:paraId="048B33A0" w14:textId="77777777" w:rsidR="001B4ED5" w:rsidRPr="00F04051" w:rsidRDefault="006B41C0">
            <w:pPr>
              <w:autoSpaceDE w:val="0"/>
              <w:autoSpaceDN w:val="0"/>
              <w:adjustRightInd w:val="0"/>
              <w:spacing w:line="240" w:lineRule="auto"/>
              <w:ind w:right="60"/>
              <w:rPr>
                <w:rFonts w:cs="Times New Roman"/>
                <w:b/>
                <w:color w:val="000000" w:themeColor="text1"/>
                <w:sz w:val="22"/>
              </w:rPr>
            </w:pPr>
            <w:r w:rsidRPr="00F04051">
              <w:rPr>
                <w:rFonts w:cs="Times New Roman"/>
                <w:b/>
                <w:color w:val="000000" w:themeColor="text1"/>
                <w:sz w:val="22"/>
              </w:rPr>
              <w:t>362(100.0)</w:t>
            </w:r>
          </w:p>
        </w:tc>
      </w:tr>
      <w:tr w:rsidR="00895D0B" w:rsidRPr="00F04051" w14:paraId="6E5904FE" w14:textId="77777777" w:rsidTr="00F04051">
        <w:trPr>
          <w:trHeight w:val="269"/>
        </w:trPr>
        <w:tc>
          <w:tcPr>
            <w:tcW w:w="8920" w:type="dxa"/>
            <w:gridSpan w:val="7"/>
            <w:tcBorders>
              <w:bottom w:val="single" w:sz="4" w:space="0" w:color="auto"/>
            </w:tcBorders>
          </w:tcPr>
          <w:p w14:paraId="4A565DCB" w14:textId="77777777" w:rsidR="001B4ED5" w:rsidRPr="00F04051" w:rsidRDefault="006B41C0">
            <w:pPr>
              <w:autoSpaceDE w:val="0"/>
              <w:autoSpaceDN w:val="0"/>
              <w:adjustRightInd w:val="0"/>
              <w:spacing w:line="240" w:lineRule="auto"/>
              <w:rPr>
                <w:rFonts w:cs="Times New Roman"/>
                <w:b/>
                <w:color w:val="000000" w:themeColor="text1"/>
                <w:sz w:val="22"/>
              </w:rPr>
            </w:pPr>
            <m:oMathPara>
              <m:oMathParaPr>
                <m:jc m:val="left"/>
              </m:oMathParaPr>
              <m:oMath>
                <m:r>
                  <w:rPr>
                    <w:rFonts w:ascii="Cambria Math" w:hAnsi="Cambria Math" w:cs="Times New Roman"/>
                    <w:color w:val="000000" w:themeColor="text1"/>
                    <w:sz w:val="22"/>
                    <w:lang w:bidi="en-US"/>
                  </w:rPr>
                  <m:t xml:space="preserve">N=362, </m:t>
                </m:r>
                <m:sSup>
                  <m:sSupPr>
                    <m:ctrlPr>
                      <w:rPr>
                        <w:rFonts w:ascii="Cambria Math" w:hAnsi="Cambria Math" w:cs="Times New Roman"/>
                        <w:i/>
                        <w:color w:val="000000" w:themeColor="text1"/>
                        <w:sz w:val="22"/>
                        <w:lang w:bidi="en-US"/>
                      </w:rPr>
                    </m:ctrlPr>
                  </m:sSupPr>
                  <m:e>
                    <m:r>
                      <w:rPr>
                        <w:rFonts w:ascii="Cambria Math" w:hAnsi="Cambria Math" w:cs="Times New Roman"/>
                        <w:color w:val="000000" w:themeColor="text1"/>
                        <w:sz w:val="22"/>
                        <w:lang w:bidi="en-US"/>
                      </w:rPr>
                      <m:t>x</m:t>
                    </m:r>
                  </m:e>
                  <m:sup>
                    <m:r>
                      <w:rPr>
                        <w:rFonts w:ascii="Cambria Math" w:hAnsi="Cambria Math" w:cs="Times New Roman"/>
                        <w:color w:val="000000" w:themeColor="text1"/>
                        <w:sz w:val="22"/>
                        <w:lang w:bidi="en-US"/>
                      </w:rPr>
                      <m:t>2</m:t>
                    </m:r>
                  </m:sup>
                </m:sSup>
                <m:r>
                  <w:rPr>
                    <w:rFonts w:ascii="Cambria Math" w:hAnsi="Cambria Math" w:cs="Times New Roman"/>
                    <w:color w:val="000000" w:themeColor="text1"/>
                    <w:sz w:val="22"/>
                    <w:lang w:bidi="en-US"/>
                  </w:rPr>
                  <m:t>= 12.200, df=4, p= 0.016</m:t>
                </m:r>
              </m:oMath>
            </m:oMathPara>
          </w:p>
        </w:tc>
      </w:tr>
      <w:tr w:rsidR="00895D0B" w:rsidRPr="00F04051" w14:paraId="45C8B5B5" w14:textId="77777777" w:rsidTr="00F04051">
        <w:trPr>
          <w:trHeight w:val="239"/>
        </w:trPr>
        <w:tc>
          <w:tcPr>
            <w:tcW w:w="2604" w:type="dxa"/>
            <w:gridSpan w:val="2"/>
            <w:vMerge w:val="restart"/>
            <w:tcBorders>
              <w:top w:val="single" w:sz="4" w:space="0" w:color="auto"/>
            </w:tcBorders>
          </w:tcPr>
          <w:p w14:paraId="682172B7"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Participation in UA</w:t>
            </w:r>
          </w:p>
        </w:tc>
        <w:tc>
          <w:tcPr>
            <w:tcW w:w="4943" w:type="dxa"/>
            <w:gridSpan w:val="4"/>
            <w:tcBorders>
              <w:top w:val="single" w:sz="4" w:space="0" w:color="auto"/>
              <w:bottom w:val="single" w:sz="4" w:space="0" w:color="auto"/>
            </w:tcBorders>
          </w:tcPr>
          <w:p w14:paraId="663ACCCA" w14:textId="77777777" w:rsidR="001B4ED5" w:rsidRPr="00F04051" w:rsidRDefault="006B41C0">
            <w:pPr>
              <w:autoSpaceDE w:val="0"/>
              <w:autoSpaceDN w:val="0"/>
              <w:adjustRightInd w:val="0"/>
              <w:spacing w:line="240" w:lineRule="auto"/>
              <w:jc w:val="center"/>
              <w:rPr>
                <w:rFonts w:cs="Times New Roman"/>
                <w:b/>
                <w:color w:val="000000" w:themeColor="text1"/>
                <w:sz w:val="22"/>
              </w:rPr>
            </w:pPr>
            <w:r w:rsidRPr="00F04051">
              <w:rPr>
                <w:rFonts w:cs="Times New Roman"/>
                <w:b/>
                <w:color w:val="000000" w:themeColor="text1"/>
                <w:sz w:val="22"/>
              </w:rPr>
              <w:t>Gender of respondents – Frequency (%)</w:t>
            </w:r>
          </w:p>
        </w:tc>
        <w:tc>
          <w:tcPr>
            <w:tcW w:w="1372" w:type="dxa"/>
            <w:tcBorders>
              <w:top w:val="single" w:sz="4" w:space="0" w:color="auto"/>
              <w:bottom w:val="single" w:sz="4" w:space="0" w:color="auto"/>
            </w:tcBorders>
          </w:tcPr>
          <w:p w14:paraId="78CF5A50" w14:textId="77777777" w:rsidR="001B4ED5" w:rsidRPr="00F04051" w:rsidRDefault="001B4ED5">
            <w:pPr>
              <w:autoSpaceDE w:val="0"/>
              <w:autoSpaceDN w:val="0"/>
              <w:adjustRightInd w:val="0"/>
              <w:spacing w:line="240" w:lineRule="auto"/>
              <w:rPr>
                <w:rFonts w:cs="Times New Roman"/>
                <w:b/>
                <w:color w:val="000000" w:themeColor="text1"/>
                <w:sz w:val="22"/>
              </w:rPr>
            </w:pPr>
          </w:p>
        </w:tc>
      </w:tr>
      <w:tr w:rsidR="00895D0B" w:rsidRPr="00F04051" w14:paraId="16125827" w14:textId="77777777" w:rsidTr="00F04051">
        <w:trPr>
          <w:trHeight w:val="239"/>
        </w:trPr>
        <w:tc>
          <w:tcPr>
            <w:tcW w:w="2604" w:type="dxa"/>
            <w:gridSpan w:val="2"/>
            <w:vMerge/>
            <w:vAlign w:val="center"/>
          </w:tcPr>
          <w:p w14:paraId="3FEFCA54" w14:textId="77777777" w:rsidR="001B4ED5" w:rsidRPr="00F04051" w:rsidRDefault="001B4ED5">
            <w:pPr>
              <w:spacing w:line="240" w:lineRule="auto"/>
              <w:rPr>
                <w:rFonts w:cs="Times New Roman"/>
                <w:color w:val="000000" w:themeColor="text1"/>
                <w:sz w:val="22"/>
              </w:rPr>
            </w:pPr>
          </w:p>
        </w:tc>
        <w:tc>
          <w:tcPr>
            <w:tcW w:w="2471" w:type="dxa"/>
            <w:gridSpan w:val="2"/>
            <w:tcBorders>
              <w:top w:val="single" w:sz="4" w:space="0" w:color="auto"/>
              <w:bottom w:val="single" w:sz="4" w:space="0" w:color="auto"/>
            </w:tcBorders>
          </w:tcPr>
          <w:p w14:paraId="6D31CFBB"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Male</w:t>
            </w:r>
          </w:p>
        </w:tc>
        <w:tc>
          <w:tcPr>
            <w:tcW w:w="2472" w:type="dxa"/>
            <w:gridSpan w:val="2"/>
            <w:tcBorders>
              <w:top w:val="single" w:sz="4" w:space="0" w:color="auto"/>
              <w:bottom w:val="single" w:sz="4" w:space="0" w:color="auto"/>
            </w:tcBorders>
          </w:tcPr>
          <w:p w14:paraId="2AFB2342"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Female</w:t>
            </w:r>
          </w:p>
        </w:tc>
        <w:tc>
          <w:tcPr>
            <w:tcW w:w="1372" w:type="dxa"/>
            <w:tcBorders>
              <w:top w:val="single" w:sz="4" w:space="0" w:color="auto"/>
              <w:bottom w:val="single" w:sz="4" w:space="0" w:color="auto"/>
            </w:tcBorders>
          </w:tcPr>
          <w:p w14:paraId="7F846B39" w14:textId="77777777" w:rsidR="001B4ED5" w:rsidRPr="00F04051" w:rsidRDefault="006B41C0">
            <w:pPr>
              <w:autoSpaceDE w:val="0"/>
              <w:autoSpaceDN w:val="0"/>
              <w:adjustRightInd w:val="0"/>
              <w:spacing w:line="240" w:lineRule="auto"/>
              <w:rPr>
                <w:rFonts w:cs="Times New Roman"/>
                <w:i/>
                <w:color w:val="000000" w:themeColor="text1"/>
                <w:sz w:val="22"/>
              </w:rPr>
            </w:pPr>
            <w:r w:rsidRPr="00F04051">
              <w:rPr>
                <w:rFonts w:cs="Times New Roman"/>
                <w:i/>
                <w:color w:val="000000" w:themeColor="text1"/>
                <w:sz w:val="22"/>
              </w:rPr>
              <w:t xml:space="preserve">Total </w:t>
            </w:r>
          </w:p>
        </w:tc>
      </w:tr>
      <w:tr w:rsidR="00895D0B" w:rsidRPr="00F04051" w14:paraId="7E22DB9F" w14:textId="77777777" w:rsidTr="00F04051">
        <w:trPr>
          <w:trHeight w:val="254"/>
        </w:trPr>
        <w:tc>
          <w:tcPr>
            <w:tcW w:w="2604" w:type="dxa"/>
            <w:gridSpan w:val="2"/>
          </w:tcPr>
          <w:p w14:paraId="58CCA01E"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Yes </w:t>
            </w:r>
          </w:p>
        </w:tc>
        <w:tc>
          <w:tcPr>
            <w:tcW w:w="2471" w:type="dxa"/>
            <w:gridSpan w:val="2"/>
            <w:tcBorders>
              <w:top w:val="single" w:sz="4" w:space="0" w:color="auto"/>
            </w:tcBorders>
            <w:vAlign w:val="center"/>
          </w:tcPr>
          <w:p w14:paraId="3D277178"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139(72.8)</w:t>
            </w:r>
          </w:p>
        </w:tc>
        <w:tc>
          <w:tcPr>
            <w:tcW w:w="2472" w:type="dxa"/>
            <w:gridSpan w:val="2"/>
            <w:tcBorders>
              <w:top w:val="single" w:sz="4" w:space="0" w:color="auto"/>
            </w:tcBorders>
            <w:vAlign w:val="center"/>
          </w:tcPr>
          <w:p w14:paraId="2D38E8E1"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52(27.2)</w:t>
            </w:r>
          </w:p>
        </w:tc>
        <w:tc>
          <w:tcPr>
            <w:tcW w:w="1372" w:type="dxa"/>
            <w:tcBorders>
              <w:top w:val="single" w:sz="4" w:space="0" w:color="auto"/>
            </w:tcBorders>
            <w:vAlign w:val="center"/>
          </w:tcPr>
          <w:p w14:paraId="7B4AC2DF" w14:textId="77777777" w:rsidR="001B4ED5" w:rsidRPr="00F04051" w:rsidRDefault="006B41C0">
            <w:pPr>
              <w:autoSpaceDE w:val="0"/>
              <w:autoSpaceDN w:val="0"/>
              <w:adjustRightInd w:val="0"/>
              <w:spacing w:line="240" w:lineRule="auto"/>
              <w:ind w:right="60"/>
              <w:rPr>
                <w:rFonts w:cs="Times New Roman"/>
                <w:color w:val="000000" w:themeColor="text1"/>
                <w:sz w:val="22"/>
              </w:rPr>
            </w:pPr>
            <w:r w:rsidRPr="00F04051">
              <w:rPr>
                <w:rFonts w:cs="Times New Roman"/>
                <w:color w:val="000000" w:themeColor="text1"/>
                <w:sz w:val="22"/>
              </w:rPr>
              <w:t>191(100.0)</w:t>
            </w:r>
          </w:p>
        </w:tc>
      </w:tr>
      <w:tr w:rsidR="00895D0B" w:rsidRPr="00F04051" w14:paraId="5D2C4078" w14:textId="77777777" w:rsidTr="00F04051">
        <w:trPr>
          <w:trHeight w:val="254"/>
        </w:trPr>
        <w:tc>
          <w:tcPr>
            <w:tcW w:w="2604" w:type="dxa"/>
            <w:gridSpan w:val="2"/>
          </w:tcPr>
          <w:p w14:paraId="1A505149"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No </w:t>
            </w:r>
          </w:p>
        </w:tc>
        <w:tc>
          <w:tcPr>
            <w:tcW w:w="2471" w:type="dxa"/>
            <w:gridSpan w:val="2"/>
            <w:vAlign w:val="center"/>
          </w:tcPr>
          <w:p w14:paraId="164B0E00"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118(69.0)</w:t>
            </w:r>
          </w:p>
        </w:tc>
        <w:tc>
          <w:tcPr>
            <w:tcW w:w="2472" w:type="dxa"/>
            <w:gridSpan w:val="2"/>
            <w:vAlign w:val="center"/>
          </w:tcPr>
          <w:p w14:paraId="5864DD7B"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53(31)</w:t>
            </w:r>
          </w:p>
        </w:tc>
        <w:tc>
          <w:tcPr>
            <w:tcW w:w="1372" w:type="dxa"/>
            <w:vAlign w:val="center"/>
          </w:tcPr>
          <w:p w14:paraId="30919C77" w14:textId="77777777" w:rsidR="001B4ED5" w:rsidRPr="00F04051" w:rsidRDefault="006B41C0">
            <w:pPr>
              <w:autoSpaceDE w:val="0"/>
              <w:autoSpaceDN w:val="0"/>
              <w:adjustRightInd w:val="0"/>
              <w:spacing w:line="240" w:lineRule="auto"/>
              <w:ind w:right="60"/>
              <w:rPr>
                <w:rFonts w:cs="Times New Roman"/>
                <w:color w:val="000000" w:themeColor="text1"/>
                <w:sz w:val="22"/>
              </w:rPr>
            </w:pPr>
            <w:r w:rsidRPr="00F04051">
              <w:rPr>
                <w:rFonts w:cs="Times New Roman"/>
                <w:color w:val="000000" w:themeColor="text1"/>
                <w:sz w:val="22"/>
              </w:rPr>
              <w:t>171(100.0)</w:t>
            </w:r>
          </w:p>
        </w:tc>
      </w:tr>
      <w:tr w:rsidR="00895D0B" w:rsidRPr="00F04051" w14:paraId="44BAB4E2" w14:textId="77777777" w:rsidTr="00F04051">
        <w:trPr>
          <w:trHeight w:val="254"/>
        </w:trPr>
        <w:tc>
          <w:tcPr>
            <w:tcW w:w="2604" w:type="dxa"/>
            <w:gridSpan w:val="2"/>
          </w:tcPr>
          <w:p w14:paraId="05B22120"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 xml:space="preserve">Total </w:t>
            </w:r>
          </w:p>
        </w:tc>
        <w:tc>
          <w:tcPr>
            <w:tcW w:w="2471" w:type="dxa"/>
            <w:gridSpan w:val="2"/>
            <w:vAlign w:val="center"/>
          </w:tcPr>
          <w:p w14:paraId="1DAD80D3"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257(80)</w:t>
            </w:r>
          </w:p>
        </w:tc>
        <w:tc>
          <w:tcPr>
            <w:tcW w:w="2472" w:type="dxa"/>
            <w:gridSpan w:val="2"/>
            <w:vAlign w:val="center"/>
          </w:tcPr>
          <w:p w14:paraId="2433DAF9"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105(20)</w:t>
            </w:r>
          </w:p>
        </w:tc>
        <w:tc>
          <w:tcPr>
            <w:tcW w:w="1372" w:type="dxa"/>
            <w:vAlign w:val="center"/>
          </w:tcPr>
          <w:p w14:paraId="74643E66" w14:textId="77777777" w:rsidR="001B4ED5" w:rsidRPr="00F04051" w:rsidRDefault="006B41C0">
            <w:pPr>
              <w:autoSpaceDE w:val="0"/>
              <w:autoSpaceDN w:val="0"/>
              <w:adjustRightInd w:val="0"/>
              <w:spacing w:line="240" w:lineRule="auto"/>
              <w:ind w:right="60"/>
              <w:rPr>
                <w:rFonts w:cs="Times New Roman"/>
                <w:b/>
                <w:color w:val="000000" w:themeColor="text1"/>
                <w:sz w:val="22"/>
              </w:rPr>
            </w:pPr>
            <w:r w:rsidRPr="00F04051">
              <w:rPr>
                <w:rFonts w:cs="Times New Roman"/>
                <w:b/>
                <w:color w:val="000000" w:themeColor="text1"/>
                <w:sz w:val="22"/>
              </w:rPr>
              <w:t>362(100.0)</w:t>
            </w:r>
          </w:p>
        </w:tc>
      </w:tr>
      <w:tr w:rsidR="00895D0B" w:rsidRPr="00F04051" w14:paraId="02F4480E" w14:textId="77777777" w:rsidTr="00F04051">
        <w:trPr>
          <w:trHeight w:val="254"/>
        </w:trPr>
        <w:tc>
          <w:tcPr>
            <w:tcW w:w="8920" w:type="dxa"/>
            <w:gridSpan w:val="7"/>
            <w:tcBorders>
              <w:bottom w:val="single" w:sz="4" w:space="0" w:color="auto"/>
            </w:tcBorders>
          </w:tcPr>
          <w:p w14:paraId="49BA163F" w14:textId="77777777" w:rsidR="001B4ED5" w:rsidRPr="00F04051" w:rsidRDefault="006B41C0">
            <w:pPr>
              <w:autoSpaceDE w:val="0"/>
              <w:autoSpaceDN w:val="0"/>
              <w:adjustRightInd w:val="0"/>
              <w:spacing w:line="240" w:lineRule="auto"/>
              <w:rPr>
                <w:rFonts w:cs="Times New Roman"/>
                <w:b/>
                <w:color w:val="000000" w:themeColor="text1"/>
                <w:sz w:val="22"/>
              </w:rPr>
            </w:pPr>
            <m:oMathPara>
              <m:oMathParaPr>
                <m:jc m:val="left"/>
              </m:oMathParaPr>
              <m:oMath>
                <m:r>
                  <w:rPr>
                    <w:rFonts w:ascii="Cambria Math" w:hAnsi="Cambria Math" w:cs="Times New Roman"/>
                    <w:color w:val="000000" w:themeColor="text1"/>
                    <w:sz w:val="22"/>
                    <w:lang w:bidi="en-US"/>
                  </w:rPr>
                  <m:t xml:space="preserve">N=362, </m:t>
                </m:r>
                <m:sSup>
                  <m:sSupPr>
                    <m:ctrlPr>
                      <w:rPr>
                        <w:rFonts w:ascii="Cambria Math" w:hAnsi="Cambria Math" w:cs="Times New Roman"/>
                        <w:i/>
                        <w:color w:val="000000" w:themeColor="text1"/>
                        <w:sz w:val="22"/>
                        <w:lang w:bidi="en-US"/>
                      </w:rPr>
                    </m:ctrlPr>
                  </m:sSupPr>
                  <m:e>
                    <m:r>
                      <w:rPr>
                        <w:rFonts w:ascii="Cambria Math" w:hAnsi="Cambria Math" w:cs="Times New Roman"/>
                        <w:color w:val="000000" w:themeColor="text1"/>
                        <w:sz w:val="22"/>
                        <w:lang w:bidi="en-US"/>
                      </w:rPr>
                      <m:t>x</m:t>
                    </m:r>
                  </m:e>
                  <m:sup>
                    <m:r>
                      <w:rPr>
                        <w:rFonts w:ascii="Cambria Math" w:hAnsi="Cambria Math" w:cs="Times New Roman"/>
                        <w:color w:val="000000" w:themeColor="text1"/>
                        <w:sz w:val="22"/>
                        <w:lang w:bidi="en-US"/>
                      </w:rPr>
                      <m:t>2</m:t>
                    </m:r>
                  </m:sup>
                </m:sSup>
                <m:r>
                  <w:rPr>
                    <w:rFonts w:ascii="Cambria Math" w:hAnsi="Cambria Math" w:cs="Times New Roman"/>
                    <w:color w:val="000000" w:themeColor="text1"/>
                    <w:sz w:val="22"/>
                    <w:lang w:bidi="en-US"/>
                  </w:rPr>
                  <m:t>= 0.622, df=1, p= 0.430</m:t>
                </m:r>
              </m:oMath>
            </m:oMathPara>
          </w:p>
        </w:tc>
      </w:tr>
      <w:tr w:rsidR="00895D0B" w:rsidRPr="00F04051" w14:paraId="7F144A64" w14:textId="77777777" w:rsidTr="00F04051">
        <w:trPr>
          <w:trHeight w:val="254"/>
        </w:trPr>
        <w:tc>
          <w:tcPr>
            <w:tcW w:w="2604" w:type="dxa"/>
            <w:gridSpan w:val="2"/>
            <w:vMerge w:val="restart"/>
            <w:tcBorders>
              <w:top w:val="single" w:sz="4" w:space="0" w:color="auto"/>
            </w:tcBorders>
          </w:tcPr>
          <w:p w14:paraId="707CFA67"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Participation in UA</w:t>
            </w:r>
          </w:p>
        </w:tc>
        <w:tc>
          <w:tcPr>
            <w:tcW w:w="4943" w:type="dxa"/>
            <w:gridSpan w:val="4"/>
            <w:tcBorders>
              <w:top w:val="single" w:sz="4" w:space="0" w:color="auto"/>
              <w:bottom w:val="single" w:sz="4" w:space="0" w:color="auto"/>
            </w:tcBorders>
          </w:tcPr>
          <w:p w14:paraId="059F3FE7" w14:textId="77777777" w:rsidR="001B4ED5" w:rsidRPr="00F04051" w:rsidRDefault="006B41C0">
            <w:pPr>
              <w:autoSpaceDE w:val="0"/>
              <w:autoSpaceDN w:val="0"/>
              <w:adjustRightInd w:val="0"/>
              <w:spacing w:line="240" w:lineRule="auto"/>
              <w:jc w:val="center"/>
              <w:rPr>
                <w:rFonts w:cs="Times New Roman"/>
                <w:b/>
                <w:color w:val="000000" w:themeColor="text1"/>
                <w:sz w:val="22"/>
              </w:rPr>
            </w:pPr>
            <w:r w:rsidRPr="00F04051">
              <w:rPr>
                <w:rFonts w:cs="Times New Roman"/>
                <w:b/>
                <w:color w:val="000000" w:themeColor="text1"/>
                <w:sz w:val="22"/>
              </w:rPr>
              <w:t>Marital status of respondents – Frequency (%)</w:t>
            </w:r>
          </w:p>
        </w:tc>
        <w:tc>
          <w:tcPr>
            <w:tcW w:w="1372" w:type="dxa"/>
            <w:vMerge w:val="restart"/>
            <w:tcBorders>
              <w:top w:val="single" w:sz="4" w:space="0" w:color="auto"/>
            </w:tcBorders>
          </w:tcPr>
          <w:p w14:paraId="49633C7C" w14:textId="77777777" w:rsidR="001B4ED5" w:rsidRPr="00F04051" w:rsidRDefault="006B41C0">
            <w:pPr>
              <w:autoSpaceDE w:val="0"/>
              <w:autoSpaceDN w:val="0"/>
              <w:adjustRightInd w:val="0"/>
              <w:spacing w:line="240" w:lineRule="auto"/>
              <w:jc w:val="center"/>
              <w:rPr>
                <w:rFonts w:cs="Times New Roman"/>
                <w:b/>
                <w:color w:val="000000" w:themeColor="text1"/>
                <w:sz w:val="22"/>
              </w:rPr>
            </w:pPr>
            <w:r w:rsidRPr="00F04051">
              <w:rPr>
                <w:rFonts w:cs="Times New Roman"/>
                <w:b/>
                <w:color w:val="000000" w:themeColor="text1"/>
                <w:sz w:val="22"/>
              </w:rPr>
              <w:t>Total</w:t>
            </w:r>
          </w:p>
        </w:tc>
      </w:tr>
      <w:tr w:rsidR="00895D0B" w:rsidRPr="00F04051" w14:paraId="399E8EE8" w14:textId="77777777" w:rsidTr="00F04051">
        <w:trPr>
          <w:trHeight w:val="69"/>
        </w:trPr>
        <w:tc>
          <w:tcPr>
            <w:tcW w:w="2604" w:type="dxa"/>
            <w:gridSpan w:val="2"/>
            <w:vMerge/>
            <w:vAlign w:val="center"/>
          </w:tcPr>
          <w:p w14:paraId="4876ED5E" w14:textId="77777777" w:rsidR="001B4ED5" w:rsidRPr="00F04051" w:rsidRDefault="001B4ED5">
            <w:pPr>
              <w:spacing w:line="240" w:lineRule="auto"/>
              <w:rPr>
                <w:rFonts w:cs="Times New Roman"/>
                <w:color w:val="000000" w:themeColor="text1"/>
                <w:sz w:val="22"/>
              </w:rPr>
            </w:pPr>
          </w:p>
        </w:tc>
        <w:tc>
          <w:tcPr>
            <w:tcW w:w="1239" w:type="dxa"/>
            <w:tcBorders>
              <w:top w:val="single" w:sz="4" w:space="0" w:color="auto"/>
              <w:bottom w:val="single" w:sz="4" w:space="0" w:color="auto"/>
            </w:tcBorders>
          </w:tcPr>
          <w:p w14:paraId="157CFF8D"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Never Married</w:t>
            </w:r>
          </w:p>
        </w:tc>
        <w:tc>
          <w:tcPr>
            <w:tcW w:w="1231" w:type="dxa"/>
            <w:tcBorders>
              <w:top w:val="single" w:sz="4" w:space="0" w:color="auto"/>
              <w:bottom w:val="single" w:sz="4" w:space="0" w:color="auto"/>
            </w:tcBorders>
          </w:tcPr>
          <w:p w14:paraId="776473E0"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Married</w:t>
            </w:r>
          </w:p>
        </w:tc>
        <w:tc>
          <w:tcPr>
            <w:tcW w:w="1236" w:type="dxa"/>
            <w:tcBorders>
              <w:top w:val="single" w:sz="4" w:space="0" w:color="auto"/>
              <w:bottom w:val="single" w:sz="4" w:space="0" w:color="auto"/>
            </w:tcBorders>
          </w:tcPr>
          <w:p w14:paraId="63BE464B"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Separated</w:t>
            </w:r>
          </w:p>
        </w:tc>
        <w:tc>
          <w:tcPr>
            <w:tcW w:w="1236" w:type="dxa"/>
            <w:tcBorders>
              <w:top w:val="single" w:sz="4" w:space="0" w:color="auto"/>
              <w:bottom w:val="single" w:sz="4" w:space="0" w:color="auto"/>
            </w:tcBorders>
          </w:tcPr>
          <w:p w14:paraId="159B9712"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Widow/Widower</w:t>
            </w:r>
          </w:p>
        </w:tc>
        <w:tc>
          <w:tcPr>
            <w:tcW w:w="1372" w:type="dxa"/>
            <w:vMerge/>
            <w:vAlign w:val="center"/>
          </w:tcPr>
          <w:p w14:paraId="0CFF4FA1" w14:textId="77777777" w:rsidR="001B4ED5" w:rsidRPr="00F04051" w:rsidRDefault="001B4ED5">
            <w:pPr>
              <w:spacing w:line="240" w:lineRule="auto"/>
              <w:rPr>
                <w:rFonts w:cs="Times New Roman"/>
                <w:b/>
                <w:color w:val="000000" w:themeColor="text1"/>
                <w:sz w:val="22"/>
              </w:rPr>
            </w:pPr>
          </w:p>
        </w:tc>
      </w:tr>
      <w:tr w:rsidR="00895D0B" w:rsidRPr="00F04051" w14:paraId="0CDB7C69" w14:textId="77777777" w:rsidTr="00F04051">
        <w:trPr>
          <w:trHeight w:val="239"/>
        </w:trPr>
        <w:tc>
          <w:tcPr>
            <w:tcW w:w="2604" w:type="dxa"/>
            <w:gridSpan w:val="2"/>
          </w:tcPr>
          <w:p w14:paraId="12DD35B2"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Yes </w:t>
            </w:r>
          </w:p>
        </w:tc>
        <w:tc>
          <w:tcPr>
            <w:tcW w:w="1239" w:type="dxa"/>
            <w:tcBorders>
              <w:top w:val="single" w:sz="4" w:space="0" w:color="auto"/>
            </w:tcBorders>
            <w:vAlign w:val="center"/>
          </w:tcPr>
          <w:p w14:paraId="4B61B838"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24(12.5)</w:t>
            </w:r>
          </w:p>
        </w:tc>
        <w:tc>
          <w:tcPr>
            <w:tcW w:w="1231" w:type="dxa"/>
            <w:tcBorders>
              <w:top w:val="single" w:sz="4" w:space="0" w:color="auto"/>
            </w:tcBorders>
            <w:vAlign w:val="center"/>
          </w:tcPr>
          <w:p w14:paraId="7EE50BEA" w14:textId="77777777" w:rsidR="001B4ED5" w:rsidRPr="00F04051" w:rsidRDefault="006B41C0">
            <w:pPr>
              <w:autoSpaceDE w:val="0"/>
              <w:autoSpaceDN w:val="0"/>
              <w:adjustRightInd w:val="0"/>
              <w:spacing w:line="240" w:lineRule="auto"/>
              <w:ind w:right="60"/>
              <w:rPr>
                <w:rFonts w:cs="Times New Roman"/>
                <w:color w:val="000000" w:themeColor="text1"/>
                <w:sz w:val="22"/>
              </w:rPr>
            </w:pPr>
            <w:r w:rsidRPr="00F04051">
              <w:rPr>
                <w:rFonts w:cs="Times New Roman"/>
                <w:color w:val="000000" w:themeColor="text1"/>
                <w:sz w:val="22"/>
              </w:rPr>
              <w:t>149(78.0)</w:t>
            </w:r>
          </w:p>
        </w:tc>
        <w:tc>
          <w:tcPr>
            <w:tcW w:w="1236" w:type="dxa"/>
            <w:tcBorders>
              <w:top w:val="single" w:sz="4" w:space="0" w:color="auto"/>
            </w:tcBorders>
            <w:vAlign w:val="center"/>
          </w:tcPr>
          <w:p w14:paraId="34070C77"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2(1.0)</w:t>
            </w:r>
          </w:p>
        </w:tc>
        <w:tc>
          <w:tcPr>
            <w:tcW w:w="1236" w:type="dxa"/>
            <w:tcBorders>
              <w:top w:val="single" w:sz="4" w:space="0" w:color="auto"/>
            </w:tcBorders>
            <w:vAlign w:val="center"/>
          </w:tcPr>
          <w:p w14:paraId="0D75FFD5" w14:textId="77777777" w:rsidR="001B4ED5" w:rsidRPr="00F04051" w:rsidRDefault="006B41C0">
            <w:pPr>
              <w:autoSpaceDE w:val="0"/>
              <w:autoSpaceDN w:val="0"/>
              <w:adjustRightInd w:val="0"/>
              <w:spacing w:line="240" w:lineRule="auto"/>
              <w:ind w:right="60"/>
              <w:jc w:val="center"/>
              <w:rPr>
                <w:rFonts w:cs="Times New Roman"/>
                <w:color w:val="000000" w:themeColor="text1"/>
                <w:sz w:val="22"/>
              </w:rPr>
            </w:pPr>
            <w:r w:rsidRPr="00F04051">
              <w:rPr>
                <w:rFonts w:cs="Times New Roman"/>
                <w:color w:val="000000" w:themeColor="text1"/>
                <w:sz w:val="22"/>
              </w:rPr>
              <w:t>16(8.4)</w:t>
            </w:r>
          </w:p>
        </w:tc>
        <w:tc>
          <w:tcPr>
            <w:tcW w:w="1372" w:type="dxa"/>
            <w:vAlign w:val="center"/>
          </w:tcPr>
          <w:p w14:paraId="02E4569D" w14:textId="77777777" w:rsidR="001B4ED5" w:rsidRPr="00F04051" w:rsidRDefault="006B41C0">
            <w:pPr>
              <w:autoSpaceDE w:val="0"/>
              <w:autoSpaceDN w:val="0"/>
              <w:adjustRightInd w:val="0"/>
              <w:spacing w:line="240" w:lineRule="auto"/>
              <w:ind w:right="60"/>
              <w:rPr>
                <w:rFonts w:cs="Times New Roman"/>
                <w:color w:val="000000" w:themeColor="text1"/>
                <w:sz w:val="22"/>
              </w:rPr>
            </w:pPr>
            <w:r w:rsidRPr="00F04051">
              <w:rPr>
                <w:rFonts w:cs="Times New Roman"/>
                <w:color w:val="000000" w:themeColor="text1"/>
                <w:sz w:val="22"/>
              </w:rPr>
              <w:t>191(100.0)</w:t>
            </w:r>
          </w:p>
        </w:tc>
      </w:tr>
      <w:tr w:rsidR="00895D0B" w:rsidRPr="00F04051" w14:paraId="24E9C04E" w14:textId="77777777" w:rsidTr="00F04051">
        <w:trPr>
          <w:trHeight w:val="254"/>
        </w:trPr>
        <w:tc>
          <w:tcPr>
            <w:tcW w:w="2604" w:type="dxa"/>
            <w:gridSpan w:val="2"/>
          </w:tcPr>
          <w:p w14:paraId="5B40848A"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No </w:t>
            </w:r>
          </w:p>
        </w:tc>
        <w:tc>
          <w:tcPr>
            <w:tcW w:w="1239" w:type="dxa"/>
            <w:vAlign w:val="center"/>
          </w:tcPr>
          <w:p w14:paraId="55297C09"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33(19.2)</w:t>
            </w:r>
          </w:p>
        </w:tc>
        <w:tc>
          <w:tcPr>
            <w:tcW w:w="1231" w:type="dxa"/>
            <w:vAlign w:val="center"/>
          </w:tcPr>
          <w:p w14:paraId="338854FD" w14:textId="77777777" w:rsidR="001B4ED5" w:rsidRPr="00F04051" w:rsidRDefault="006B41C0">
            <w:pPr>
              <w:autoSpaceDE w:val="0"/>
              <w:autoSpaceDN w:val="0"/>
              <w:adjustRightInd w:val="0"/>
              <w:spacing w:line="240" w:lineRule="auto"/>
              <w:ind w:right="60"/>
              <w:rPr>
                <w:rFonts w:cs="Times New Roman"/>
                <w:color w:val="000000" w:themeColor="text1"/>
                <w:sz w:val="22"/>
              </w:rPr>
            </w:pPr>
            <w:r w:rsidRPr="00F04051">
              <w:rPr>
                <w:rFonts w:cs="Times New Roman"/>
                <w:color w:val="000000" w:themeColor="text1"/>
                <w:sz w:val="22"/>
              </w:rPr>
              <w:t>118(69.0)</w:t>
            </w:r>
          </w:p>
        </w:tc>
        <w:tc>
          <w:tcPr>
            <w:tcW w:w="1236" w:type="dxa"/>
            <w:vAlign w:val="center"/>
          </w:tcPr>
          <w:p w14:paraId="10314115"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11(6.4)</w:t>
            </w:r>
          </w:p>
        </w:tc>
        <w:tc>
          <w:tcPr>
            <w:tcW w:w="1236" w:type="dxa"/>
            <w:vAlign w:val="center"/>
          </w:tcPr>
          <w:p w14:paraId="4C9A8DEE"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9(5.2)</w:t>
            </w:r>
          </w:p>
        </w:tc>
        <w:tc>
          <w:tcPr>
            <w:tcW w:w="1372" w:type="dxa"/>
            <w:vAlign w:val="center"/>
          </w:tcPr>
          <w:p w14:paraId="6043D25A" w14:textId="77777777" w:rsidR="001B4ED5" w:rsidRPr="00F04051" w:rsidRDefault="006B41C0">
            <w:pPr>
              <w:autoSpaceDE w:val="0"/>
              <w:autoSpaceDN w:val="0"/>
              <w:adjustRightInd w:val="0"/>
              <w:spacing w:line="240" w:lineRule="auto"/>
              <w:ind w:right="60"/>
              <w:rPr>
                <w:rFonts w:cs="Times New Roman"/>
                <w:color w:val="000000" w:themeColor="text1"/>
                <w:sz w:val="22"/>
              </w:rPr>
            </w:pPr>
            <w:r w:rsidRPr="00F04051">
              <w:rPr>
                <w:rFonts w:cs="Times New Roman"/>
                <w:color w:val="000000" w:themeColor="text1"/>
                <w:sz w:val="22"/>
              </w:rPr>
              <w:t>171(100.0)</w:t>
            </w:r>
          </w:p>
        </w:tc>
      </w:tr>
      <w:tr w:rsidR="00895D0B" w:rsidRPr="00F04051" w14:paraId="011B071E" w14:textId="77777777" w:rsidTr="00F04051">
        <w:trPr>
          <w:trHeight w:val="254"/>
        </w:trPr>
        <w:tc>
          <w:tcPr>
            <w:tcW w:w="2604" w:type="dxa"/>
            <w:gridSpan w:val="2"/>
          </w:tcPr>
          <w:p w14:paraId="3683429C"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 xml:space="preserve">Total </w:t>
            </w:r>
          </w:p>
        </w:tc>
        <w:tc>
          <w:tcPr>
            <w:tcW w:w="1239" w:type="dxa"/>
            <w:vAlign w:val="center"/>
          </w:tcPr>
          <w:p w14:paraId="649F1F14" w14:textId="77777777" w:rsidR="001B4ED5" w:rsidRPr="00F04051" w:rsidRDefault="006B41C0">
            <w:pPr>
              <w:autoSpaceDE w:val="0"/>
              <w:autoSpaceDN w:val="0"/>
              <w:adjustRightInd w:val="0"/>
              <w:spacing w:line="240" w:lineRule="auto"/>
              <w:ind w:left="60" w:right="60"/>
              <w:rPr>
                <w:rFonts w:cs="Times New Roman"/>
                <w:b/>
                <w:color w:val="000000" w:themeColor="text1"/>
                <w:sz w:val="22"/>
              </w:rPr>
            </w:pPr>
            <w:r w:rsidRPr="00F04051">
              <w:rPr>
                <w:rFonts w:cs="Times New Roman"/>
                <w:b/>
                <w:color w:val="000000" w:themeColor="text1"/>
                <w:sz w:val="22"/>
              </w:rPr>
              <w:t>57(15.7)</w:t>
            </w:r>
          </w:p>
        </w:tc>
        <w:tc>
          <w:tcPr>
            <w:tcW w:w="1231" w:type="dxa"/>
            <w:vAlign w:val="center"/>
          </w:tcPr>
          <w:p w14:paraId="47783C40" w14:textId="77777777" w:rsidR="001B4ED5" w:rsidRPr="00F04051" w:rsidRDefault="006B41C0">
            <w:pPr>
              <w:autoSpaceDE w:val="0"/>
              <w:autoSpaceDN w:val="0"/>
              <w:adjustRightInd w:val="0"/>
              <w:spacing w:line="240" w:lineRule="auto"/>
              <w:ind w:right="60"/>
              <w:rPr>
                <w:rFonts w:cs="Times New Roman"/>
                <w:b/>
                <w:color w:val="000000" w:themeColor="text1"/>
                <w:sz w:val="22"/>
              </w:rPr>
            </w:pPr>
            <w:r w:rsidRPr="00F04051">
              <w:rPr>
                <w:rFonts w:cs="Times New Roman"/>
                <w:b/>
                <w:color w:val="000000" w:themeColor="text1"/>
                <w:sz w:val="22"/>
              </w:rPr>
              <w:t>267(73.7)</w:t>
            </w:r>
          </w:p>
        </w:tc>
        <w:tc>
          <w:tcPr>
            <w:tcW w:w="1236" w:type="dxa"/>
            <w:vAlign w:val="center"/>
          </w:tcPr>
          <w:p w14:paraId="6AAC31FF" w14:textId="77777777" w:rsidR="001B4ED5" w:rsidRPr="00F04051" w:rsidRDefault="006B41C0">
            <w:pPr>
              <w:autoSpaceDE w:val="0"/>
              <w:autoSpaceDN w:val="0"/>
              <w:adjustRightInd w:val="0"/>
              <w:spacing w:line="240" w:lineRule="auto"/>
              <w:ind w:right="60"/>
              <w:jc w:val="center"/>
              <w:rPr>
                <w:rFonts w:cs="Times New Roman"/>
                <w:b/>
                <w:color w:val="000000" w:themeColor="text1"/>
                <w:sz w:val="22"/>
              </w:rPr>
            </w:pPr>
            <w:r w:rsidRPr="00F04051">
              <w:rPr>
                <w:rFonts w:cs="Times New Roman"/>
                <w:b/>
                <w:color w:val="000000" w:themeColor="text1"/>
                <w:sz w:val="22"/>
              </w:rPr>
              <w:t>13(7.6)</w:t>
            </w:r>
          </w:p>
        </w:tc>
        <w:tc>
          <w:tcPr>
            <w:tcW w:w="1236" w:type="dxa"/>
            <w:vAlign w:val="center"/>
          </w:tcPr>
          <w:p w14:paraId="6B07002A" w14:textId="77777777" w:rsidR="001B4ED5" w:rsidRPr="00F04051" w:rsidRDefault="006B41C0">
            <w:pPr>
              <w:autoSpaceDE w:val="0"/>
              <w:autoSpaceDN w:val="0"/>
              <w:adjustRightInd w:val="0"/>
              <w:spacing w:line="240" w:lineRule="auto"/>
              <w:ind w:right="60"/>
              <w:rPr>
                <w:rFonts w:cs="Times New Roman"/>
                <w:b/>
                <w:color w:val="000000" w:themeColor="text1"/>
                <w:sz w:val="22"/>
              </w:rPr>
            </w:pPr>
            <w:r w:rsidRPr="00F04051">
              <w:rPr>
                <w:rFonts w:cs="Times New Roman"/>
                <w:b/>
                <w:color w:val="000000" w:themeColor="text1"/>
                <w:sz w:val="22"/>
              </w:rPr>
              <w:t>25(14.6)</w:t>
            </w:r>
          </w:p>
        </w:tc>
        <w:tc>
          <w:tcPr>
            <w:tcW w:w="1372" w:type="dxa"/>
            <w:vAlign w:val="center"/>
          </w:tcPr>
          <w:p w14:paraId="069E471E" w14:textId="77777777" w:rsidR="001B4ED5" w:rsidRPr="00F04051" w:rsidRDefault="006B41C0">
            <w:pPr>
              <w:autoSpaceDE w:val="0"/>
              <w:autoSpaceDN w:val="0"/>
              <w:adjustRightInd w:val="0"/>
              <w:spacing w:line="240" w:lineRule="auto"/>
              <w:ind w:right="60"/>
              <w:rPr>
                <w:rFonts w:cs="Times New Roman"/>
                <w:b/>
                <w:color w:val="000000" w:themeColor="text1"/>
                <w:sz w:val="22"/>
              </w:rPr>
            </w:pPr>
            <w:r w:rsidRPr="00F04051">
              <w:rPr>
                <w:rFonts w:cs="Times New Roman"/>
                <w:b/>
                <w:color w:val="000000" w:themeColor="text1"/>
                <w:sz w:val="22"/>
              </w:rPr>
              <w:t>362(100.0)</w:t>
            </w:r>
          </w:p>
        </w:tc>
      </w:tr>
      <w:tr w:rsidR="00895D0B" w:rsidRPr="00F04051" w14:paraId="0B77230A" w14:textId="77777777" w:rsidTr="00F04051">
        <w:trPr>
          <w:trHeight w:val="269"/>
        </w:trPr>
        <w:tc>
          <w:tcPr>
            <w:tcW w:w="8920" w:type="dxa"/>
            <w:gridSpan w:val="7"/>
            <w:tcBorders>
              <w:bottom w:val="single" w:sz="4" w:space="0" w:color="auto"/>
            </w:tcBorders>
          </w:tcPr>
          <w:p w14:paraId="04ECCCBD" w14:textId="77777777" w:rsidR="001B4ED5" w:rsidRPr="00F04051" w:rsidRDefault="006B41C0">
            <w:pPr>
              <w:autoSpaceDE w:val="0"/>
              <w:autoSpaceDN w:val="0"/>
              <w:adjustRightInd w:val="0"/>
              <w:spacing w:line="240" w:lineRule="auto"/>
              <w:rPr>
                <w:rFonts w:cs="Times New Roman"/>
                <w:b/>
                <w:color w:val="000000" w:themeColor="text1"/>
                <w:sz w:val="22"/>
              </w:rPr>
            </w:pPr>
            <m:oMathPara>
              <m:oMathParaPr>
                <m:jc m:val="left"/>
              </m:oMathParaPr>
              <m:oMath>
                <m:r>
                  <w:rPr>
                    <w:rFonts w:ascii="Cambria Math" w:hAnsi="Cambria Math" w:cs="Times New Roman"/>
                    <w:color w:val="000000" w:themeColor="text1"/>
                    <w:sz w:val="22"/>
                    <w:lang w:bidi="en-US"/>
                  </w:rPr>
                  <m:t xml:space="preserve">N=362, </m:t>
                </m:r>
                <m:sSup>
                  <m:sSupPr>
                    <m:ctrlPr>
                      <w:rPr>
                        <w:rFonts w:ascii="Cambria Math" w:hAnsi="Cambria Math" w:cs="Times New Roman"/>
                        <w:i/>
                        <w:color w:val="000000" w:themeColor="text1"/>
                        <w:sz w:val="22"/>
                        <w:lang w:bidi="en-US"/>
                      </w:rPr>
                    </m:ctrlPr>
                  </m:sSupPr>
                  <m:e>
                    <m:r>
                      <w:rPr>
                        <w:rFonts w:ascii="Cambria Math" w:hAnsi="Cambria Math" w:cs="Times New Roman"/>
                        <w:color w:val="000000" w:themeColor="text1"/>
                        <w:sz w:val="22"/>
                        <w:lang w:bidi="en-US"/>
                      </w:rPr>
                      <m:t>x</m:t>
                    </m:r>
                  </m:e>
                  <m:sup>
                    <m:r>
                      <w:rPr>
                        <w:rFonts w:ascii="Cambria Math" w:hAnsi="Cambria Math" w:cs="Times New Roman"/>
                        <w:color w:val="000000" w:themeColor="text1"/>
                        <w:sz w:val="22"/>
                        <w:lang w:bidi="en-US"/>
                      </w:rPr>
                      <m:t>2</m:t>
                    </m:r>
                  </m:sup>
                </m:sSup>
                <m:r>
                  <w:rPr>
                    <w:rFonts w:ascii="Cambria Math" w:hAnsi="Cambria Math" w:cs="Times New Roman"/>
                    <w:color w:val="000000" w:themeColor="text1"/>
                    <w:sz w:val="22"/>
                    <w:lang w:bidi="en-US"/>
                  </w:rPr>
                  <m:t>= 12.143, df=3, p= 0.007</m:t>
                </m:r>
              </m:oMath>
            </m:oMathPara>
          </w:p>
        </w:tc>
      </w:tr>
      <w:tr w:rsidR="00895D0B" w:rsidRPr="00F04051" w14:paraId="28ED4654" w14:textId="77777777" w:rsidTr="00F04051">
        <w:trPr>
          <w:trHeight w:val="239"/>
        </w:trPr>
        <w:tc>
          <w:tcPr>
            <w:tcW w:w="2604" w:type="dxa"/>
            <w:gridSpan w:val="2"/>
            <w:vMerge w:val="restart"/>
            <w:tcBorders>
              <w:top w:val="single" w:sz="4" w:space="0" w:color="auto"/>
            </w:tcBorders>
          </w:tcPr>
          <w:p w14:paraId="7487F454"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Participation in UA</w:t>
            </w:r>
          </w:p>
        </w:tc>
        <w:tc>
          <w:tcPr>
            <w:tcW w:w="6315" w:type="dxa"/>
            <w:gridSpan w:val="5"/>
            <w:tcBorders>
              <w:top w:val="single" w:sz="4" w:space="0" w:color="auto"/>
            </w:tcBorders>
          </w:tcPr>
          <w:p w14:paraId="1EB53635"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Employment status of respondents – Frequency (%)</w:t>
            </w:r>
          </w:p>
        </w:tc>
      </w:tr>
      <w:tr w:rsidR="00895D0B" w:rsidRPr="00F04051" w14:paraId="674A9BA2" w14:textId="77777777" w:rsidTr="00F04051">
        <w:trPr>
          <w:trHeight w:val="254"/>
        </w:trPr>
        <w:tc>
          <w:tcPr>
            <w:tcW w:w="2604" w:type="dxa"/>
            <w:gridSpan w:val="2"/>
            <w:vMerge/>
            <w:vAlign w:val="center"/>
          </w:tcPr>
          <w:p w14:paraId="31AFCB66" w14:textId="77777777" w:rsidR="001B4ED5" w:rsidRPr="00F04051" w:rsidRDefault="001B4ED5">
            <w:pPr>
              <w:spacing w:line="240" w:lineRule="auto"/>
              <w:rPr>
                <w:rFonts w:cs="Times New Roman"/>
                <w:color w:val="000000" w:themeColor="text1"/>
                <w:sz w:val="22"/>
              </w:rPr>
            </w:pPr>
          </w:p>
        </w:tc>
        <w:tc>
          <w:tcPr>
            <w:tcW w:w="2471" w:type="dxa"/>
            <w:gridSpan w:val="2"/>
            <w:tcBorders>
              <w:top w:val="single" w:sz="4" w:space="0" w:color="auto"/>
              <w:bottom w:val="single" w:sz="4" w:space="0" w:color="auto"/>
            </w:tcBorders>
          </w:tcPr>
          <w:p w14:paraId="401ADB73"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Employed</w:t>
            </w:r>
          </w:p>
        </w:tc>
        <w:tc>
          <w:tcPr>
            <w:tcW w:w="2472" w:type="dxa"/>
            <w:gridSpan w:val="2"/>
            <w:tcBorders>
              <w:top w:val="single" w:sz="4" w:space="0" w:color="auto"/>
              <w:bottom w:val="single" w:sz="4" w:space="0" w:color="auto"/>
            </w:tcBorders>
          </w:tcPr>
          <w:p w14:paraId="6161AAFC"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Unemployed</w:t>
            </w:r>
          </w:p>
        </w:tc>
        <w:tc>
          <w:tcPr>
            <w:tcW w:w="1372" w:type="dxa"/>
            <w:tcBorders>
              <w:top w:val="single" w:sz="4" w:space="0" w:color="auto"/>
              <w:bottom w:val="single" w:sz="4" w:space="0" w:color="auto"/>
            </w:tcBorders>
          </w:tcPr>
          <w:p w14:paraId="7AE96813"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Total</w:t>
            </w:r>
          </w:p>
        </w:tc>
      </w:tr>
      <w:tr w:rsidR="00895D0B" w:rsidRPr="00F04051" w14:paraId="0F358992" w14:textId="77777777" w:rsidTr="00F04051">
        <w:trPr>
          <w:trHeight w:val="254"/>
        </w:trPr>
        <w:tc>
          <w:tcPr>
            <w:tcW w:w="2604" w:type="dxa"/>
            <w:gridSpan w:val="2"/>
          </w:tcPr>
          <w:p w14:paraId="34418412"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Yes </w:t>
            </w:r>
          </w:p>
        </w:tc>
        <w:tc>
          <w:tcPr>
            <w:tcW w:w="2471" w:type="dxa"/>
            <w:gridSpan w:val="2"/>
            <w:tcBorders>
              <w:top w:val="single" w:sz="4" w:space="0" w:color="auto"/>
            </w:tcBorders>
            <w:vAlign w:val="center"/>
          </w:tcPr>
          <w:p w14:paraId="507487CC"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153(80.0)</w:t>
            </w:r>
          </w:p>
        </w:tc>
        <w:tc>
          <w:tcPr>
            <w:tcW w:w="2472" w:type="dxa"/>
            <w:gridSpan w:val="2"/>
            <w:tcBorders>
              <w:top w:val="single" w:sz="4" w:space="0" w:color="auto"/>
            </w:tcBorders>
            <w:vAlign w:val="center"/>
          </w:tcPr>
          <w:p w14:paraId="218A6E1C"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38(20.0)</w:t>
            </w:r>
          </w:p>
        </w:tc>
        <w:tc>
          <w:tcPr>
            <w:tcW w:w="1372" w:type="dxa"/>
            <w:tcBorders>
              <w:top w:val="single" w:sz="4" w:space="0" w:color="auto"/>
            </w:tcBorders>
            <w:vAlign w:val="center"/>
          </w:tcPr>
          <w:p w14:paraId="56AEE935"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191(100.0)</w:t>
            </w:r>
          </w:p>
        </w:tc>
      </w:tr>
      <w:tr w:rsidR="00895D0B" w:rsidRPr="00F04051" w14:paraId="2047376A" w14:textId="77777777" w:rsidTr="00F04051">
        <w:trPr>
          <w:trHeight w:val="254"/>
        </w:trPr>
        <w:tc>
          <w:tcPr>
            <w:tcW w:w="2604" w:type="dxa"/>
            <w:gridSpan w:val="2"/>
          </w:tcPr>
          <w:p w14:paraId="13EB6E6C"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No </w:t>
            </w:r>
          </w:p>
        </w:tc>
        <w:tc>
          <w:tcPr>
            <w:tcW w:w="2471" w:type="dxa"/>
            <w:gridSpan w:val="2"/>
            <w:vAlign w:val="center"/>
          </w:tcPr>
          <w:p w14:paraId="49F7EA8B"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146(85.3)</w:t>
            </w:r>
          </w:p>
        </w:tc>
        <w:tc>
          <w:tcPr>
            <w:tcW w:w="2472" w:type="dxa"/>
            <w:gridSpan w:val="2"/>
            <w:vAlign w:val="center"/>
          </w:tcPr>
          <w:p w14:paraId="46EDB102"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25 (14.7)</w:t>
            </w:r>
          </w:p>
        </w:tc>
        <w:tc>
          <w:tcPr>
            <w:tcW w:w="1372" w:type="dxa"/>
            <w:vAlign w:val="center"/>
          </w:tcPr>
          <w:p w14:paraId="27AC83C0"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171(100.0)</w:t>
            </w:r>
          </w:p>
        </w:tc>
      </w:tr>
      <w:tr w:rsidR="00895D0B" w:rsidRPr="00F04051" w14:paraId="196742C5" w14:textId="77777777" w:rsidTr="00F04051">
        <w:trPr>
          <w:trHeight w:val="254"/>
        </w:trPr>
        <w:tc>
          <w:tcPr>
            <w:tcW w:w="2604" w:type="dxa"/>
            <w:gridSpan w:val="2"/>
          </w:tcPr>
          <w:p w14:paraId="6725AF1A"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 xml:space="preserve">Total </w:t>
            </w:r>
          </w:p>
        </w:tc>
        <w:tc>
          <w:tcPr>
            <w:tcW w:w="2471" w:type="dxa"/>
            <w:gridSpan w:val="2"/>
            <w:vAlign w:val="center"/>
          </w:tcPr>
          <w:p w14:paraId="2BBB713B"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299(83.0)</w:t>
            </w:r>
          </w:p>
        </w:tc>
        <w:tc>
          <w:tcPr>
            <w:tcW w:w="2472" w:type="dxa"/>
            <w:gridSpan w:val="2"/>
            <w:vAlign w:val="center"/>
          </w:tcPr>
          <w:p w14:paraId="50F3B6C7"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63(17.0)</w:t>
            </w:r>
          </w:p>
        </w:tc>
        <w:tc>
          <w:tcPr>
            <w:tcW w:w="1372" w:type="dxa"/>
            <w:vAlign w:val="center"/>
          </w:tcPr>
          <w:p w14:paraId="30B7E209"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362(100.0)</w:t>
            </w:r>
          </w:p>
        </w:tc>
      </w:tr>
      <w:tr w:rsidR="00895D0B" w:rsidRPr="00F04051" w14:paraId="2DCCAEF3" w14:textId="77777777" w:rsidTr="00F04051">
        <w:trPr>
          <w:trHeight w:val="254"/>
        </w:trPr>
        <w:tc>
          <w:tcPr>
            <w:tcW w:w="8920" w:type="dxa"/>
            <w:gridSpan w:val="7"/>
            <w:tcBorders>
              <w:bottom w:val="single" w:sz="4" w:space="0" w:color="auto"/>
            </w:tcBorders>
          </w:tcPr>
          <w:p w14:paraId="29794EB1" w14:textId="77777777" w:rsidR="001B4ED5" w:rsidRPr="00F04051" w:rsidRDefault="006B41C0">
            <w:pPr>
              <w:autoSpaceDE w:val="0"/>
              <w:autoSpaceDN w:val="0"/>
              <w:adjustRightInd w:val="0"/>
              <w:spacing w:line="240" w:lineRule="auto"/>
              <w:rPr>
                <w:rFonts w:cs="Times New Roman"/>
                <w:b/>
                <w:color w:val="000000" w:themeColor="text1"/>
                <w:sz w:val="22"/>
              </w:rPr>
            </w:pPr>
            <m:oMathPara>
              <m:oMathParaPr>
                <m:jc m:val="left"/>
              </m:oMathParaPr>
              <m:oMath>
                <m:r>
                  <w:rPr>
                    <w:rFonts w:ascii="Cambria Math" w:hAnsi="Cambria Math" w:cs="Times New Roman"/>
                    <w:color w:val="000000" w:themeColor="text1"/>
                    <w:sz w:val="22"/>
                    <w:lang w:bidi="en-US"/>
                  </w:rPr>
                  <m:t xml:space="preserve">N=362, </m:t>
                </m:r>
                <m:sSup>
                  <m:sSupPr>
                    <m:ctrlPr>
                      <w:rPr>
                        <w:rFonts w:ascii="Cambria Math" w:hAnsi="Cambria Math" w:cs="Times New Roman"/>
                        <w:i/>
                        <w:color w:val="000000" w:themeColor="text1"/>
                        <w:sz w:val="22"/>
                        <w:lang w:bidi="en-US"/>
                      </w:rPr>
                    </m:ctrlPr>
                  </m:sSupPr>
                  <m:e>
                    <m:r>
                      <w:rPr>
                        <w:rFonts w:ascii="Cambria Math" w:hAnsi="Cambria Math" w:cs="Times New Roman"/>
                        <w:color w:val="000000" w:themeColor="text1"/>
                        <w:sz w:val="22"/>
                        <w:lang w:bidi="en-US"/>
                      </w:rPr>
                      <m:t>x</m:t>
                    </m:r>
                  </m:e>
                  <m:sup>
                    <m:r>
                      <w:rPr>
                        <w:rFonts w:ascii="Cambria Math" w:hAnsi="Cambria Math" w:cs="Times New Roman"/>
                        <w:color w:val="000000" w:themeColor="text1"/>
                        <w:sz w:val="22"/>
                        <w:lang w:bidi="en-US"/>
                      </w:rPr>
                      <m:t>2</m:t>
                    </m:r>
                  </m:sup>
                </m:sSup>
                <m:r>
                  <w:rPr>
                    <w:rFonts w:ascii="Cambria Math" w:hAnsi="Cambria Math" w:cs="Times New Roman"/>
                    <w:color w:val="000000" w:themeColor="text1"/>
                    <w:sz w:val="22"/>
                    <w:lang w:bidi="en-US"/>
                  </w:rPr>
                  <m:t>= 1.747, df=1, p= 0.186</m:t>
                </m:r>
              </m:oMath>
            </m:oMathPara>
          </w:p>
        </w:tc>
      </w:tr>
      <w:tr w:rsidR="00895D0B" w:rsidRPr="00F04051" w14:paraId="3C86D6D7" w14:textId="77777777" w:rsidTr="00F04051">
        <w:trPr>
          <w:trHeight w:val="254"/>
        </w:trPr>
        <w:tc>
          <w:tcPr>
            <w:tcW w:w="2604" w:type="dxa"/>
            <w:gridSpan w:val="2"/>
            <w:vMerge w:val="restart"/>
            <w:tcBorders>
              <w:top w:val="single" w:sz="4" w:space="0" w:color="auto"/>
            </w:tcBorders>
          </w:tcPr>
          <w:p w14:paraId="2060612B"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Participation in UA</w:t>
            </w:r>
          </w:p>
        </w:tc>
        <w:tc>
          <w:tcPr>
            <w:tcW w:w="6315" w:type="dxa"/>
            <w:gridSpan w:val="5"/>
            <w:tcBorders>
              <w:top w:val="single" w:sz="4" w:space="0" w:color="auto"/>
              <w:bottom w:val="single" w:sz="4" w:space="0" w:color="auto"/>
            </w:tcBorders>
          </w:tcPr>
          <w:p w14:paraId="2C7C6DA3"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Type of employment – Frequency (%)</w:t>
            </w:r>
          </w:p>
        </w:tc>
      </w:tr>
      <w:tr w:rsidR="00895D0B" w:rsidRPr="00F04051" w14:paraId="0125847A" w14:textId="77777777" w:rsidTr="00F04051">
        <w:trPr>
          <w:trHeight w:val="239"/>
        </w:trPr>
        <w:tc>
          <w:tcPr>
            <w:tcW w:w="2604" w:type="dxa"/>
            <w:gridSpan w:val="2"/>
            <w:vMerge/>
            <w:vAlign w:val="center"/>
          </w:tcPr>
          <w:p w14:paraId="1BECBAAB" w14:textId="77777777" w:rsidR="001B4ED5" w:rsidRPr="00F04051" w:rsidRDefault="001B4ED5">
            <w:pPr>
              <w:spacing w:line="240" w:lineRule="auto"/>
              <w:rPr>
                <w:rFonts w:cs="Times New Roman"/>
                <w:color w:val="000000" w:themeColor="text1"/>
                <w:sz w:val="22"/>
              </w:rPr>
            </w:pPr>
          </w:p>
        </w:tc>
        <w:tc>
          <w:tcPr>
            <w:tcW w:w="2471" w:type="dxa"/>
            <w:gridSpan w:val="2"/>
            <w:tcBorders>
              <w:top w:val="single" w:sz="4" w:space="0" w:color="auto"/>
              <w:bottom w:val="single" w:sz="4" w:space="0" w:color="auto"/>
            </w:tcBorders>
          </w:tcPr>
          <w:p w14:paraId="63C1ED50"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Formal</w:t>
            </w:r>
          </w:p>
        </w:tc>
        <w:tc>
          <w:tcPr>
            <w:tcW w:w="2472" w:type="dxa"/>
            <w:gridSpan w:val="2"/>
            <w:tcBorders>
              <w:top w:val="single" w:sz="4" w:space="0" w:color="auto"/>
              <w:bottom w:val="single" w:sz="4" w:space="0" w:color="auto"/>
            </w:tcBorders>
          </w:tcPr>
          <w:p w14:paraId="21BA02EF"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Informal</w:t>
            </w:r>
          </w:p>
        </w:tc>
        <w:tc>
          <w:tcPr>
            <w:tcW w:w="1372" w:type="dxa"/>
            <w:tcBorders>
              <w:top w:val="single" w:sz="4" w:space="0" w:color="auto"/>
              <w:bottom w:val="single" w:sz="4" w:space="0" w:color="auto"/>
            </w:tcBorders>
          </w:tcPr>
          <w:p w14:paraId="780F61BD"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Total</w:t>
            </w:r>
          </w:p>
        </w:tc>
      </w:tr>
      <w:tr w:rsidR="00895D0B" w:rsidRPr="00F04051" w14:paraId="11200C6A" w14:textId="77777777" w:rsidTr="00F04051">
        <w:trPr>
          <w:trHeight w:val="254"/>
        </w:trPr>
        <w:tc>
          <w:tcPr>
            <w:tcW w:w="2604" w:type="dxa"/>
            <w:gridSpan w:val="2"/>
          </w:tcPr>
          <w:p w14:paraId="1757F6B1"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Yes </w:t>
            </w:r>
          </w:p>
        </w:tc>
        <w:tc>
          <w:tcPr>
            <w:tcW w:w="2471" w:type="dxa"/>
            <w:gridSpan w:val="2"/>
            <w:tcBorders>
              <w:top w:val="single" w:sz="4" w:space="0" w:color="auto"/>
            </w:tcBorders>
            <w:vAlign w:val="center"/>
          </w:tcPr>
          <w:p w14:paraId="249FAAE3"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91(47.6)</w:t>
            </w:r>
          </w:p>
        </w:tc>
        <w:tc>
          <w:tcPr>
            <w:tcW w:w="2472" w:type="dxa"/>
            <w:gridSpan w:val="2"/>
            <w:tcBorders>
              <w:top w:val="single" w:sz="4" w:space="0" w:color="auto"/>
            </w:tcBorders>
            <w:vAlign w:val="center"/>
          </w:tcPr>
          <w:p w14:paraId="1C6B897E"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100(52.4)</w:t>
            </w:r>
          </w:p>
        </w:tc>
        <w:tc>
          <w:tcPr>
            <w:tcW w:w="1372" w:type="dxa"/>
            <w:tcBorders>
              <w:top w:val="single" w:sz="4" w:space="0" w:color="auto"/>
            </w:tcBorders>
            <w:vAlign w:val="center"/>
          </w:tcPr>
          <w:p w14:paraId="64865963"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191(100.0)</w:t>
            </w:r>
          </w:p>
        </w:tc>
      </w:tr>
      <w:tr w:rsidR="00895D0B" w:rsidRPr="00F04051" w14:paraId="0567A268" w14:textId="77777777" w:rsidTr="00F04051">
        <w:trPr>
          <w:trHeight w:val="254"/>
        </w:trPr>
        <w:tc>
          <w:tcPr>
            <w:tcW w:w="2604" w:type="dxa"/>
            <w:gridSpan w:val="2"/>
          </w:tcPr>
          <w:p w14:paraId="1588E76C"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No </w:t>
            </w:r>
          </w:p>
        </w:tc>
        <w:tc>
          <w:tcPr>
            <w:tcW w:w="2471" w:type="dxa"/>
            <w:gridSpan w:val="2"/>
            <w:vAlign w:val="center"/>
          </w:tcPr>
          <w:p w14:paraId="4022D474"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62(36.2)</w:t>
            </w:r>
          </w:p>
        </w:tc>
        <w:tc>
          <w:tcPr>
            <w:tcW w:w="2472" w:type="dxa"/>
            <w:gridSpan w:val="2"/>
            <w:vAlign w:val="center"/>
          </w:tcPr>
          <w:p w14:paraId="133D4527"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109(63.8)</w:t>
            </w:r>
          </w:p>
        </w:tc>
        <w:tc>
          <w:tcPr>
            <w:tcW w:w="1372" w:type="dxa"/>
            <w:vAlign w:val="center"/>
          </w:tcPr>
          <w:p w14:paraId="3092A8EF"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171(100.0)</w:t>
            </w:r>
          </w:p>
        </w:tc>
      </w:tr>
      <w:tr w:rsidR="00895D0B" w:rsidRPr="00F04051" w14:paraId="406E7DB1" w14:textId="77777777" w:rsidTr="00F04051">
        <w:trPr>
          <w:trHeight w:val="254"/>
        </w:trPr>
        <w:tc>
          <w:tcPr>
            <w:tcW w:w="2604" w:type="dxa"/>
            <w:gridSpan w:val="2"/>
          </w:tcPr>
          <w:p w14:paraId="73CE317E"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 xml:space="preserve">Total </w:t>
            </w:r>
          </w:p>
        </w:tc>
        <w:tc>
          <w:tcPr>
            <w:tcW w:w="2471" w:type="dxa"/>
            <w:gridSpan w:val="2"/>
            <w:vAlign w:val="center"/>
          </w:tcPr>
          <w:p w14:paraId="484D9414"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153(42.2)</w:t>
            </w:r>
          </w:p>
        </w:tc>
        <w:tc>
          <w:tcPr>
            <w:tcW w:w="2472" w:type="dxa"/>
            <w:gridSpan w:val="2"/>
            <w:vAlign w:val="center"/>
          </w:tcPr>
          <w:p w14:paraId="63368CEB"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209(57.6)</w:t>
            </w:r>
          </w:p>
        </w:tc>
        <w:tc>
          <w:tcPr>
            <w:tcW w:w="1372" w:type="dxa"/>
            <w:vAlign w:val="center"/>
          </w:tcPr>
          <w:p w14:paraId="3EC9026A"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362(100.0)</w:t>
            </w:r>
          </w:p>
        </w:tc>
      </w:tr>
      <w:tr w:rsidR="00895D0B" w:rsidRPr="00F04051" w14:paraId="3A4AB70A" w14:textId="77777777" w:rsidTr="00F04051">
        <w:trPr>
          <w:trHeight w:val="269"/>
        </w:trPr>
        <w:tc>
          <w:tcPr>
            <w:tcW w:w="8920" w:type="dxa"/>
            <w:gridSpan w:val="7"/>
            <w:tcBorders>
              <w:bottom w:val="single" w:sz="4" w:space="0" w:color="auto"/>
            </w:tcBorders>
          </w:tcPr>
          <w:p w14:paraId="69D8B954" w14:textId="77777777" w:rsidR="001B4ED5" w:rsidRPr="00F04051" w:rsidRDefault="006B41C0">
            <w:pPr>
              <w:autoSpaceDE w:val="0"/>
              <w:autoSpaceDN w:val="0"/>
              <w:adjustRightInd w:val="0"/>
              <w:spacing w:line="240" w:lineRule="auto"/>
              <w:rPr>
                <w:rFonts w:cs="Times New Roman"/>
                <w:b/>
                <w:color w:val="000000" w:themeColor="text1"/>
                <w:sz w:val="22"/>
              </w:rPr>
            </w:pPr>
            <m:oMathPara>
              <m:oMathParaPr>
                <m:jc m:val="left"/>
              </m:oMathParaPr>
              <m:oMath>
                <m:r>
                  <w:rPr>
                    <w:rFonts w:ascii="Cambria Math" w:hAnsi="Cambria Math" w:cs="Times New Roman"/>
                    <w:color w:val="000000" w:themeColor="text1"/>
                    <w:sz w:val="22"/>
                    <w:lang w:bidi="en-US"/>
                  </w:rPr>
                  <m:t xml:space="preserve">N=362, </m:t>
                </m:r>
                <m:sSup>
                  <m:sSupPr>
                    <m:ctrlPr>
                      <w:rPr>
                        <w:rFonts w:ascii="Cambria Math" w:hAnsi="Cambria Math" w:cs="Times New Roman"/>
                        <w:i/>
                        <w:color w:val="000000" w:themeColor="text1"/>
                        <w:sz w:val="22"/>
                        <w:lang w:bidi="en-US"/>
                      </w:rPr>
                    </m:ctrlPr>
                  </m:sSupPr>
                  <m:e>
                    <m:r>
                      <w:rPr>
                        <w:rFonts w:ascii="Cambria Math" w:hAnsi="Cambria Math" w:cs="Times New Roman"/>
                        <w:color w:val="000000" w:themeColor="text1"/>
                        <w:sz w:val="22"/>
                        <w:lang w:bidi="en-US"/>
                      </w:rPr>
                      <m:t>x</m:t>
                    </m:r>
                  </m:e>
                  <m:sup>
                    <m:r>
                      <w:rPr>
                        <w:rFonts w:ascii="Cambria Math" w:hAnsi="Cambria Math" w:cs="Times New Roman"/>
                        <w:color w:val="000000" w:themeColor="text1"/>
                        <w:sz w:val="22"/>
                        <w:lang w:bidi="en-US"/>
                      </w:rPr>
                      <m:t>2</m:t>
                    </m:r>
                  </m:sup>
                </m:sSup>
                <m:r>
                  <w:rPr>
                    <w:rFonts w:ascii="Cambria Math" w:hAnsi="Cambria Math" w:cs="Times New Roman"/>
                    <w:color w:val="000000" w:themeColor="text1"/>
                    <w:sz w:val="22"/>
                    <w:lang w:bidi="en-US"/>
                  </w:rPr>
                  <m:t>= 12.200, df=4, p= 0.016</m:t>
                </m:r>
              </m:oMath>
            </m:oMathPara>
          </w:p>
        </w:tc>
      </w:tr>
      <w:tr w:rsidR="00895D0B" w:rsidRPr="00F04051" w14:paraId="632C7E3B" w14:textId="77777777" w:rsidTr="00F04051">
        <w:trPr>
          <w:trHeight w:val="239"/>
        </w:trPr>
        <w:tc>
          <w:tcPr>
            <w:tcW w:w="2604" w:type="dxa"/>
            <w:gridSpan w:val="2"/>
            <w:vMerge w:val="restart"/>
            <w:tcBorders>
              <w:top w:val="single" w:sz="4" w:space="0" w:color="auto"/>
            </w:tcBorders>
          </w:tcPr>
          <w:p w14:paraId="5F5CC735"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Participation in UA</w:t>
            </w:r>
          </w:p>
        </w:tc>
        <w:tc>
          <w:tcPr>
            <w:tcW w:w="6315" w:type="dxa"/>
            <w:gridSpan w:val="5"/>
            <w:tcBorders>
              <w:top w:val="single" w:sz="4" w:space="0" w:color="auto"/>
              <w:bottom w:val="single" w:sz="4" w:space="0" w:color="auto"/>
            </w:tcBorders>
          </w:tcPr>
          <w:p w14:paraId="05532E86" w14:textId="77777777" w:rsidR="001B4ED5" w:rsidRPr="00F04051" w:rsidRDefault="006B41C0">
            <w:pPr>
              <w:autoSpaceDE w:val="0"/>
              <w:autoSpaceDN w:val="0"/>
              <w:adjustRightInd w:val="0"/>
              <w:spacing w:line="240" w:lineRule="auto"/>
              <w:jc w:val="center"/>
              <w:rPr>
                <w:rFonts w:cs="Times New Roman"/>
                <w:b/>
                <w:color w:val="000000" w:themeColor="text1"/>
                <w:sz w:val="22"/>
              </w:rPr>
            </w:pPr>
            <w:r w:rsidRPr="00F04051">
              <w:rPr>
                <w:rFonts w:cs="Times New Roman"/>
                <w:b/>
                <w:color w:val="000000" w:themeColor="text1"/>
                <w:sz w:val="22"/>
              </w:rPr>
              <w:t>Educational status of respondents – Frequency (%)</w:t>
            </w:r>
          </w:p>
        </w:tc>
      </w:tr>
      <w:tr w:rsidR="00895D0B" w:rsidRPr="00F04051" w14:paraId="7E948B9B" w14:textId="77777777" w:rsidTr="00F04051">
        <w:trPr>
          <w:trHeight w:val="597"/>
        </w:trPr>
        <w:tc>
          <w:tcPr>
            <w:tcW w:w="2604" w:type="dxa"/>
            <w:gridSpan w:val="2"/>
            <w:vMerge/>
            <w:vAlign w:val="center"/>
          </w:tcPr>
          <w:p w14:paraId="3CF37613" w14:textId="77777777" w:rsidR="001B4ED5" w:rsidRPr="00F04051" w:rsidRDefault="001B4ED5">
            <w:pPr>
              <w:spacing w:line="240" w:lineRule="auto"/>
              <w:rPr>
                <w:rFonts w:cs="Times New Roman"/>
                <w:color w:val="000000" w:themeColor="text1"/>
                <w:sz w:val="22"/>
              </w:rPr>
            </w:pPr>
          </w:p>
        </w:tc>
        <w:tc>
          <w:tcPr>
            <w:tcW w:w="1239" w:type="dxa"/>
            <w:tcBorders>
              <w:top w:val="single" w:sz="4" w:space="0" w:color="auto"/>
              <w:bottom w:val="single" w:sz="4" w:space="0" w:color="auto"/>
            </w:tcBorders>
          </w:tcPr>
          <w:p w14:paraId="63058C2B"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No Formal Education</w:t>
            </w:r>
          </w:p>
        </w:tc>
        <w:tc>
          <w:tcPr>
            <w:tcW w:w="1231" w:type="dxa"/>
            <w:tcBorders>
              <w:top w:val="single" w:sz="4" w:space="0" w:color="auto"/>
              <w:bottom w:val="single" w:sz="4" w:space="0" w:color="auto"/>
            </w:tcBorders>
          </w:tcPr>
          <w:p w14:paraId="66DF4295"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Basic School</w:t>
            </w:r>
          </w:p>
        </w:tc>
        <w:tc>
          <w:tcPr>
            <w:tcW w:w="1236" w:type="dxa"/>
            <w:tcBorders>
              <w:top w:val="single" w:sz="4" w:space="0" w:color="auto"/>
              <w:bottom w:val="single" w:sz="4" w:space="0" w:color="auto"/>
            </w:tcBorders>
          </w:tcPr>
          <w:p w14:paraId="1E0A3CBA"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Secondary school</w:t>
            </w:r>
          </w:p>
        </w:tc>
        <w:tc>
          <w:tcPr>
            <w:tcW w:w="1236" w:type="dxa"/>
            <w:tcBorders>
              <w:top w:val="single" w:sz="4" w:space="0" w:color="auto"/>
              <w:bottom w:val="single" w:sz="4" w:space="0" w:color="auto"/>
            </w:tcBorders>
          </w:tcPr>
          <w:p w14:paraId="09C862F2"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Tertiary</w:t>
            </w:r>
          </w:p>
        </w:tc>
        <w:tc>
          <w:tcPr>
            <w:tcW w:w="1372" w:type="dxa"/>
            <w:tcBorders>
              <w:top w:val="single" w:sz="4" w:space="0" w:color="auto"/>
              <w:bottom w:val="single" w:sz="4" w:space="0" w:color="auto"/>
            </w:tcBorders>
          </w:tcPr>
          <w:p w14:paraId="67889A4E"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Total</w:t>
            </w:r>
          </w:p>
        </w:tc>
      </w:tr>
      <w:tr w:rsidR="00895D0B" w:rsidRPr="00F04051" w14:paraId="2ED3D026" w14:textId="77777777" w:rsidTr="00F04051">
        <w:trPr>
          <w:trHeight w:val="254"/>
        </w:trPr>
        <w:tc>
          <w:tcPr>
            <w:tcW w:w="2604" w:type="dxa"/>
            <w:gridSpan w:val="2"/>
          </w:tcPr>
          <w:p w14:paraId="23BCC161"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Yes </w:t>
            </w:r>
          </w:p>
        </w:tc>
        <w:tc>
          <w:tcPr>
            <w:tcW w:w="1239" w:type="dxa"/>
            <w:tcBorders>
              <w:top w:val="single" w:sz="4" w:space="0" w:color="auto"/>
            </w:tcBorders>
            <w:vAlign w:val="center"/>
          </w:tcPr>
          <w:p w14:paraId="1B537AAF"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37(19.3)</w:t>
            </w:r>
          </w:p>
        </w:tc>
        <w:tc>
          <w:tcPr>
            <w:tcW w:w="1231" w:type="dxa"/>
            <w:tcBorders>
              <w:top w:val="single" w:sz="4" w:space="0" w:color="auto"/>
            </w:tcBorders>
            <w:vAlign w:val="center"/>
          </w:tcPr>
          <w:p w14:paraId="6C965A3F"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21(10.9)</w:t>
            </w:r>
          </w:p>
        </w:tc>
        <w:tc>
          <w:tcPr>
            <w:tcW w:w="1236" w:type="dxa"/>
            <w:tcBorders>
              <w:top w:val="single" w:sz="4" w:space="0" w:color="auto"/>
            </w:tcBorders>
            <w:vAlign w:val="center"/>
          </w:tcPr>
          <w:p w14:paraId="5F111873"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48(25.1)</w:t>
            </w:r>
          </w:p>
        </w:tc>
        <w:tc>
          <w:tcPr>
            <w:tcW w:w="1236" w:type="dxa"/>
            <w:tcBorders>
              <w:top w:val="single" w:sz="4" w:space="0" w:color="auto"/>
            </w:tcBorders>
            <w:vAlign w:val="center"/>
          </w:tcPr>
          <w:p w14:paraId="2DE3CD78"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85(44.5)</w:t>
            </w:r>
          </w:p>
        </w:tc>
        <w:tc>
          <w:tcPr>
            <w:tcW w:w="1372" w:type="dxa"/>
            <w:tcBorders>
              <w:top w:val="single" w:sz="4" w:space="0" w:color="auto"/>
            </w:tcBorders>
            <w:vAlign w:val="center"/>
          </w:tcPr>
          <w:p w14:paraId="174E3855"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191(100.0)</w:t>
            </w:r>
          </w:p>
        </w:tc>
      </w:tr>
      <w:tr w:rsidR="00895D0B" w:rsidRPr="00F04051" w14:paraId="394872D8" w14:textId="77777777" w:rsidTr="00F04051">
        <w:trPr>
          <w:trHeight w:val="239"/>
        </w:trPr>
        <w:tc>
          <w:tcPr>
            <w:tcW w:w="2604" w:type="dxa"/>
            <w:gridSpan w:val="2"/>
          </w:tcPr>
          <w:p w14:paraId="0EE50F49"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No </w:t>
            </w:r>
          </w:p>
        </w:tc>
        <w:tc>
          <w:tcPr>
            <w:tcW w:w="1239" w:type="dxa"/>
            <w:vAlign w:val="center"/>
          </w:tcPr>
          <w:p w14:paraId="04880FF5"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28(16.3)</w:t>
            </w:r>
          </w:p>
        </w:tc>
        <w:tc>
          <w:tcPr>
            <w:tcW w:w="1231" w:type="dxa"/>
            <w:vAlign w:val="center"/>
          </w:tcPr>
          <w:p w14:paraId="72D8D276"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22(12.8)</w:t>
            </w:r>
          </w:p>
        </w:tc>
        <w:tc>
          <w:tcPr>
            <w:tcW w:w="1236" w:type="dxa"/>
            <w:vAlign w:val="center"/>
          </w:tcPr>
          <w:p w14:paraId="030EFC5F"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60(35.0)</w:t>
            </w:r>
          </w:p>
        </w:tc>
        <w:tc>
          <w:tcPr>
            <w:tcW w:w="1236" w:type="dxa"/>
            <w:vAlign w:val="center"/>
          </w:tcPr>
          <w:p w14:paraId="70F47398"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61(36.2)</w:t>
            </w:r>
          </w:p>
        </w:tc>
        <w:tc>
          <w:tcPr>
            <w:tcW w:w="1372" w:type="dxa"/>
            <w:vAlign w:val="center"/>
          </w:tcPr>
          <w:p w14:paraId="6D037911"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171(100.0)</w:t>
            </w:r>
          </w:p>
        </w:tc>
      </w:tr>
      <w:tr w:rsidR="00895D0B" w:rsidRPr="00F04051" w14:paraId="3F838570" w14:textId="77777777" w:rsidTr="00F04051">
        <w:trPr>
          <w:trHeight w:val="510"/>
        </w:trPr>
        <w:tc>
          <w:tcPr>
            <w:tcW w:w="2604" w:type="dxa"/>
            <w:gridSpan w:val="2"/>
          </w:tcPr>
          <w:p w14:paraId="2B6A9113"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 xml:space="preserve">Total </w:t>
            </w:r>
          </w:p>
        </w:tc>
        <w:tc>
          <w:tcPr>
            <w:tcW w:w="1239" w:type="dxa"/>
            <w:vAlign w:val="center"/>
          </w:tcPr>
          <w:p w14:paraId="324C601E"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65(17.9)</w:t>
            </w:r>
          </w:p>
        </w:tc>
        <w:tc>
          <w:tcPr>
            <w:tcW w:w="1231" w:type="dxa"/>
            <w:vAlign w:val="center"/>
          </w:tcPr>
          <w:p w14:paraId="37102D0D"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43(25.1)</w:t>
            </w:r>
          </w:p>
        </w:tc>
        <w:tc>
          <w:tcPr>
            <w:tcW w:w="1236" w:type="dxa"/>
            <w:vAlign w:val="center"/>
          </w:tcPr>
          <w:p w14:paraId="029D1083" w14:textId="77777777" w:rsidR="001B4ED5" w:rsidRPr="00F04051" w:rsidRDefault="006B41C0">
            <w:pPr>
              <w:autoSpaceDE w:val="0"/>
              <w:autoSpaceDN w:val="0"/>
              <w:adjustRightInd w:val="0"/>
              <w:spacing w:line="240" w:lineRule="auto"/>
              <w:ind w:right="60"/>
              <w:rPr>
                <w:rFonts w:cs="Times New Roman"/>
                <w:b/>
                <w:color w:val="000000" w:themeColor="text1"/>
                <w:sz w:val="22"/>
              </w:rPr>
            </w:pPr>
            <w:r w:rsidRPr="00F04051">
              <w:rPr>
                <w:rFonts w:cs="Times New Roman"/>
                <w:b/>
                <w:color w:val="000000" w:themeColor="text1"/>
                <w:sz w:val="22"/>
              </w:rPr>
              <w:t>108(29.0)</w:t>
            </w:r>
          </w:p>
        </w:tc>
        <w:tc>
          <w:tcPr>
            <w:tcW w:w="1236" w:type="dxa"/>
            <w:vAlign w:val="center"/>
          </w:tcPr>
          <w:p w14:paraId="5E8F1B53" w14:textId="77777777" w:rsidR="001B4ED5" w:rsidRPr="00F04051" w:rsidRDefault="006B41C0">
            <w:pPr>
              <w:autoSpaceDE w:val="0"/>
              <w:autoSpaceDN w:val="0"/>
              <w:adjustRightInd w:val="0"/>
              <w:spacing w:line="240" w:lineRule="auto"/>
              <w:ind w:right="60"/>
              <w:rPr>
                <w:rFonts w:cs="Times New Roman"/>
                <w:b/>
                <w:color w:val="000000" w:themeColor="text1"/>
                <w:sz w:val="22"/>
              </w:rPr>
            </w:pPr>
            <w:r w:rsidRPr="00F04051">
              <w:rPr>
                <w:rFonts w:cs="Times New Roman"/>
                <w:b/>
                <w:color w:val="000000" w:themeColor="text1"/>
                <w:sz w:val="22"/>
              </w:rPr>
              <w:t>146(40.0)</w:t>
            </w:r>
          </w:p>
        </w:tc>
        <w:tc>
          <w:tcPr>
            <w:tcW w:w="1372" w:type="dxa"/>
            <w:vAlign w:val="center"/>
          </w:tcPr>
          <w:p w14:paraId="33181FAA"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362(100.0)</w:t>
            </w:r>
          </w:p>
        </w:tc>
      </w:tr>
      <w:tr w:rsidR="00895D0B" w:rsidRPr="00F04051" w14:paraId="0E7F070B" w14:textId="77777777" w:rsidTr="00F04051">
        <w:trPr>
          <w:trHeight w:val="269"/>
        </w:trPr>
        <w:tc>
          <w:tcPr>
            <w:tcW w:w="8920" w:type="dxa"/>
            <w:gridSpan w:val="7"/>
            <w:tcBorders>
              <w:bottom w:val="single" w:sz="4" w:space="0" w:color="auto"/>
            </w:tcBorders>
          </w:tcPr>
          <w:p w14:paraId="33A2FADF" w14:textId="77777777" w:rsidR="001B4ED5" w:rsidRPr="00F04051" w:rsidRDefault="006B41C0">
            <w:pPr>
              <w:autoSpaceDE w:val="0"/>
              <w:autoSpaceDN w:val="0"/>
              <w:adjustRightInd w:val="0"/>
              <w:spacing w:line="240" w:lineRule="auto"/>
              <w:rPr>
                <w:rFonts w:cs="Times New Roman"/>
                <w:b/>
                <w:color w:val="000000" w:themeColor="text1"/>
                <w:sz w:val="22"/>
              </w:rPr>
            </w:pPr>
            <m:oMathPara>
              <m:oMathParaPr>
                <m:jc m:val="left"/>
              </m:oMathParaPr>
              <m:oMath>
                <m:r>
                  <w:rPr>
                    <w:rFonts w:ascii="Cambria Math" w:hAnsi="Cambria Math" w:cs="Times New Roman"/>
                    <w:color w:val="000000" w:themeColor="text1"/>
                    <w:sz w:val="22"/>
                    <w:lang w:bidi="en-US"/>
                  </w:rPr>
                  <m:t xml:space="preserve">N=362, </m:t>
                </m:r>
                <m:sSup>
                  <m:sSupPr>
                    <m:ctrlPr>
                      <w:rPr>
                        <w:rFonts w:ascii="Cambria Math" w:hAnsi="Cambria Math" w:cs="Times New Roman"/>
                        <w:i/>
                        <w:color w:val="000000" w:themeColor="text1"/>
                        <w:sz w:val="22"/>
                        <w:lang w:bidi="en-US"/>
                      </w:rPr>
                    </m:ctrlPr>
                  </m:sSupPr>
                  <m:e>
                    <m:r>
                      <w:rPr>
                        <w:rFonts w:ascii="Cambria Math" w:hAnsi="Cambria Math" w:cs="Times New Roman"/>
                        <w:color w:val="000000" w:themeColor="text1"/>
                        <w:sz w:val="22"/>
                        <w:lang w:bidi="en-US"/>
                      </w:rPr>
                      <m:t>x</m:t>
                    </m:r>
                  </m:e>
                  <m:sup>
                    <m:r>
                      <w:rPr>
                        <w:rFonts w:ascii="Cambria Math" w:hAnsi="Cambria Math" w:cs="Times New Roman"/>
                        <w:color w:val="000000" w:themeColor="text1"/>
                        <w:sz w:val="22"/>
                        <w:lang w:bidi="en-US"/>
                      </w:rPr>
                      <m:t>2</m:t>
                    </m:r>
                  </m:sup>
                </m:sSup>
                <m:r>
                  <w:rPr>
                    <w:rFonts w:ascii="Cambria Math" w:hAnsi="Cambria Math" w:cs="Times New Roman"/>
                    <w:color w:val="000000" w:themeColor="text1"/>
                    <w:sz w:val="22"/>
                    <w:lang w:bidi="en-US"/>
                  </w:rPr>
                  <m:t>= 5.460 df=3, p= 0.141</m:t>
                </m:r>
              </m:oMath>
            </m:oMathPara>
          </w:p>
        </w:tc>
      </w:tr>
      <w:tr w:rsidR="00895D0B" w:rsidRPr="00F04051" w14:paraId="59F629E4" w14:textId="77777777" w:rsidTr="00F04051">
        <w:trPr>
          <w:trHeight w:val="239"/>
        </w:trPr>
        <w:tc>
          <w:tcPr>
            <w:tcW w:w="2604" w:type="dxa"/>
            <w:gridSpan w:val="2"/>
            <w:vMerge w:val="restart"/>
            <w:tcBorders>
              <w:top w:val="single" w:sz="4" w:space="0" w:color="auto"/>
            </w:tcBorders>
          </w:tcPr>
          <w:p w14:paraId="3A3DF628"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Participation in UA</w:t>
            </w:r>
          </w:p>
        </w:tc>
        <w:tc>
          <w:tcPr>
            <w:tcW w:w="4943" w:type="dxa"/>
            <w:gridSpan w:val="4"/>
            <w:tcBorders>
              <w:top w:val="single" w:sz="4" w:space="0" w:color="auto"/>
              <w:bottom w:val="single" w:sz="4" w:space="0" w:color="auto"/>
            </w:tcBorders>
          </w:tcPr>
          <w:p w14:paraId="7619291B" w14:textId="77777777" w:rsidR="001B4ED5" w:rsidRPr="00F04051" w:rsidRDefault="006B41C0">
            <w:pPr>
              <w:autoSpaceDE w:val="0"/>
              <w:autoSpaceDN w:val="0"/>
              <w:adjustRightInd w:val="0"/>
              <w:spacing w:line="240" w:lineRule="auto"/>
              <w:jc w:val="center"/>
              <w:rPr>
                <w:rFonts w:cs="Times New Roman"/>
                <w:b/>
                <w:color w:val="000000" w:themeColor="text1"/>
                <w:sz w:val="22"/>
              </w:rPr>
            </w:pPr>
            <w:r w:rsidRPr="00F04051">
              <w:rPr>
                <w:rFonts w:cs="Times New Roman"/>
                <w:b/>
                <w:color w:val="000000" w:themeColor="text1"/>
                <w:sz w:val="22"/>
              </w:rPr>
              <w:t>Residential status of respondents – Frequency (%)</w:t>
            </w:r>
          </w:p>
        </w:tc>
        <w:tc>
          <w:tcPr>
            <w:tcW w:w="1372" w:type="dxa"/>
            <w:tcBorders>
              <w:top w:val="single" w:sz="4" w:space="0" w:color="auto"/>
              <w:bottom w:val="single" w:sz="4" w:space="0" w:color="auto"/>
            </w:tcBorders>
          </w:tcPr>
          <w:p w14:paraId="3E4AE313" w14:textId="77777777" w:rsidR="001B4ED5" w:rsidRPr="00F04051" w:rsidRDefault="001B4ED5">
            <w:pPr>
              <w:autoSpaceDE w:val="0"/>
              <w:autoSpaceDN w:val="0"/>
              <w:adjustRightInd w:val="0"/>
              <w:spacing w:line="240" w:lineRule="auto"/>
              <w:rPr>
                <w:rFonts w:cs="Times New Roman"/>
                <w:b/>
                <w:color w:val="000000" w:themeColor="text1"/>
                <w:sz w:val="22"/>
              </w:rPr>
            </w:pPr>
          </w:p>
        </w:tc>
      </w:tr>
      <w:tr w:rsidR="00895D0B" w:rsidRPr="00F04051" w14:paraId="1ADE6776" w14:textId="77777777" w:rsidTr="00F04051">
        <w:trPr>
          <w:trHeight w:val="254"/>
        </w:trPr>
        <w:tc>
          <w:tcPr>
            <w:tcW w:w="2604" w:type="dxa"/>
            <w:gridSpan w:val="2"/>
            <w:vMerge/>
            <w:vAlign w:val="center"/>
          </w:tcPr>
          <w:p w14:paraId="53B1EF70" w14:textId="77777777" w:rsidR="001B4ED5" w:rsidRPr="00F04051" w:rsidRDefault="001B4ED5">
            <w:pPr>
              <w:spacing w:line="240" w:lineRule="auto"/>
              <w:rPr>
                <w:rFonts w:cs="Times New Roman"/>
                <w:color w:val="000000" w:themeColor="text1"/>
                <w:sz w:val="22"/>
              </w:rPr>
            </w:pPr>
          </w:p>
        </w:tc>
        <w:tc>
          <w:tcPr>
            <w:tcW w:w="2471" w:type="dxa"/>
            <w:gridSpan w:val="2"/>
            <w:tcBorders>
              <w:top w:val="single" w:sz="4" w:space="0" w:color="auto"/>
              <w:bottom w:val="single" w:sz="4" w:space="0" w:color="auto"/>
            </w:tcBorders>
          </w:tcPr>
          <w:p w14:paraId="6C3B6CD5"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Natives</w:t>
            </w:r>
          </w:p>
        </w:tc>
        <w:tc>
          <w:tcPr>
            <w:tcW w:w="2472" w:type="dxa"/>
            <w:gridSpan w:val="2"/>
            <w:tcBorders>
              <w:top w:val="single" w:sz="4" w:space="0" w:color="auto"/>
              <w:bottom w:val="single" w:sz="4" w:space="0" w:color="auto"/>
            </w:tcBorders>
          </w:tcPr>
          <w:p w14:paraId="3ECB1CB8"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Settlers</w:t>
            </w:r>
          </w:p>
        </w:tc>
        <w:tc>
          <w:tcPr>
            <w:tcW w:w="1372" w:type="dxa"/>
            <w:tcBorders>
              <w:top w:val="single" w:sz="4" w:space="0" w:color="auto"/>
              <w:bottom w:val="single" w:sz="4" w:space="0" w:color="auto"/>
            </w:tcBorders>
          </w:tcPr>
          <w:p w14:paraId="111983B5"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Total</w:t>
            </w:r>
          </w:p>
        </w:tc>
      </w:tr>
      <w:tr w:rsidR="00895D0B" w:rsidRPr="00F04051" w14:paraId="4B99F63D" w14:textId="77777777" w:rsidTr="00F04051">
        <w:trPr>
          <w:trHeight w:val="87"/>
        </w:trPr>
        <w:tc>
          <w:tcPr>
            <w:tcW w:w="2604" w:type="dxa"/>
            <w:gridSpan w:val="2"/>
          </w:tcPr>
          <w:p w14:paraId="6133CFE4"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Yes </w:t>
            </w:r>
          </w:p>
        </w:tc>
        <w:tc>
          <w:tcPr>
            <w:tcW w:w="2471" w:type="dxa"/>
            <w:gridSpan w:val="2"/>
            <w:tcBorders>
              <w:top w:val="single" w:sz="4" w:space="0" w:color="auto"/>
            </w:tcBorders>
            <w:vAlign w:val="center"/>
          </w:tcPr>
          <w:p w14:paraId="1BBB363F"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50(26.0)</w:t>
            </w:r>
          </w:p>
        </w:tc>
        <w:tc>
          <w:tcPr>
            <w:tcW w:w="2472" w:type="dxa"/>
            <w:gridSpan w:val="2"/>
            <w:tcBorders>
              <w:top w:val="single" w:sz="4" w:space="0" w:color="auto"/>
            </w:tcBorders>
            <w:vAlign w:val="center"/>
          </w:tcPr>
          <w:p w14:paraId="781CCF3F"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141(74.0)</w:t>
            </w:r>
          </w:p>
        </w:tc>
        <w:tc>
          <w:tcPr>
            <w:tcW w:w="1372" w:type="dxa"/>
            <w:tcBorders>
              <w:top w:val="single" w:sz="4" w:space="0" w:color="auto"/>
            </w:tcBorders>
            <w:vAlign w:val="center"/>
          </w:tcPr>
          <w:p w14:paraId="0447A538"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191(100.0)</w:t>
            </w:r>
          </w:p>
        </w:tc>
      </w:tr>
      <w:tr w:rsidR="00895D0B" w:rsidRPr="00F04051" w14:paraId="1561F084" w14:textId="77777777" w:rsidTr="00F04051">
        <w:trPr>
          <w:trHeight w:val="254"/>
        </w:trPr>
        <w:tc>
          <w:tcPr>
            <w:tcW w:w="2604" w:type="dxa"/>
            <w:gridSpan w:val="2"/>
          </w:tcPr>
          <w:p w14:paraId="6C885208"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No </w:t>
            </w:r>
          </w:p>
        </w:tc>
        <w:tc>
          <w:tcPr>
            <w:tcW w:w="2471" w:type="dxa"/>
            <w:gridSpan w:val="2"/>
            <w:vAlign w:val="center"/>
          </w:tcPr>
          <w:p w14:paraId="44BFEEDF"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42(24.5)</w:t>
            </w:r>
          </w:p>
        </w:tc>
        <w:tc>
          <w:tcPr>
            <w:tcW w:w="2472" w:type="dxa"/>
            <w:gridSpan w:val="2"/>
            <w:vAlign w:val="center"/>
          </w:tcPr>
          <w:p w14:paraId="123BC57E"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129(75.5)</w:t>
            </w:r>
          </w:p>
        </w:tc>
        <w:tc>
          <w:tcPr>
            <w:tcW w:w="1372" w:type="dxa"/>
            <w:vAlign w:val="center"/>
          </w:tcPr>
          <w:p w14:paraId="1A143C81"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171(100.0)</w:t>
            </w:r>
          </w:p>
        </w:tc>
      </w:tr>
      <w:tr w:rsidR="00895D0B" w:rsidRPr="00F04051" w14:paraId="4131B25F" w14:textId="77777777" w:rsidTr="00F04051">
        <w:trPr>
          <w:trHeight w:val="69"/>
        </w:trPr>
        <w:tc>
          <w:tcPr>
            <w:tcW w:w="2604" w:type="dxa"/>
            <w:gridSpan w:val="2"/>
          </w:tcPr>
          <w:p w14:paraId="6954AEA6"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 xml:space="preserve">Total </w:t>
            </w:r>
          </w:p>
        </w:tc>
        <w:tc>
          <w:tcPr>
            <w:tcW w:w="2471" w:type="dxa"/>
            <w:gridSpan w:val="2"/>
            <w:vAlign w:val="center"/>
          </w:tcPr>
          <w:p w14:paraId="70BD0712" w14:textId="77777777" w:rsidR="001B4ED5" w:rsidRPr="00F04051" w:rsidRDefault="006B41C0">
            <w:pPr>
              <w:autoSpaceDE w:val="0"/>
              <w:autoSpaceDN w:val="0"/>
              <w:adjustRightInd w:val="0"/>
              <w:spacing w:line="240" w:lineRule="auto"/>
              <w:ind w:right="60"/>
              <w:jc w:val="center"/>
              <w:rPr>
                <w:rFonts w:cs="Times New Roman"/>
                <w:b/>
                <w:color w:val="000000" w:themeColor="text1"/>
                <w:sz w:val="22"/>
              </w:rPr>
            </w:pPr>
            <w:r w:rsidRPr="00F04051">
              <w:rPr>
                <w:rFonts w:cs="Times New Roman"/>
                <w:b/>
                <w:color w:val="000000" w:themeColor="text1"/>
                <w:sz w:val="22"/>
              </w:rPr>
              <w:t>92(25.4)</w:t>
            </w:r>
          </w:p>
        </w:tc>
        <w:tc>
          <w:tcPr>
            <w:tcW w:w="2472" w:type="dxa"/>
            <w:gridSpan w:val="2"/>
            <w:vAlign w:val="center"/>
          </w:tcPr>
          <w:p w14:paraId="1EC5258B" w14:textId="77777777" w:rsidR="001B4ED5" w:rsidRPr="00F04051" w:rsidRDefault="006B41C0">
            <w:pPr>
              <w:autoSpaceDE w:val="0"/>
              <w:autoSpaceDN w:val="0"/>
              <w:adjustRightInd w:val="0"/>
              <w:spacing w:line="240" w:lineRule="auto"/>
              <w:ind w:right="60"/>
              <w:jc w:val="center"/>
              <w:rPr>
                <w:rFonts w:cs="Times New Roman"/>
                <w:b/>
                <w:color w:val="000000" w:themeColor="text1"/>
                <w:sz w:val="22"/>
              </w:rPr>
            </w:pPr>
            <w:r w:rsidRPr="00F04051">
              <w:rPr>
                <w:rFonts w:cs="Times New Roman"/>
                <w:b/>
                <w:color w:val="000000" w:themeColor="text1"/>
                <w:sz w:val="22"/>
              </w:rPr>
              <w:t>270(74.6)</w:t>
            </w:r>
          </w:p>
        </w:tc>
        <w:tc>
          <w:tcPr>
            <w:tcW w:w="1372" w:type="dxa"/>
            <w:vAlign w:val="center"/>
          </w:tcPr>
          <w:p w14:paraId="0C3DFD79" w14:textId="77777777" w:rsidR="001B4ED5" w:rsidRPr="00F04051" w:rsidRDefault="006B41C0">
            <w:pPr>
              <w:autoSpaceDE w:val="0"/>
              <w:autoSpaceDN w:val="0"/>
              <w:adjustRightInd w:val="0"/>
              <w:spacing w:line="240" w:lineRule="auto"/>
              <w:ind w:right="60"/>
              <w:rPr>
                <w:rFonts w:cs="Times New Roman"/>
                <w:b/>
                <w:color w:val="000000" w:themeColor="text1"/>
                <w:sz w:val="22"/>
              </w:rPr>
            </w:pPr>
            <w:r w:rsidRPr="00F04051">
              <w:rPr>
                <w:rFonts w:cs="Times New Roman"/>
                <w:b/>
                <w:color w:val="000000" w:themeColor="text1"/>
                <w:sz w:val="22"/>
              </w:rPr>
              <w:t>362(100.0)</w:t>
            </w:r>
          </w:p>
        </w:tc>
      </w:tr>
      <w:tr w:rsidR="00895D0B" w:rsidRPr="00F04051" w14:paraId="25036CA2" w14:textId="77777777" w:rsidTr="00F04051">
        <w:trPr>
          <w:trHeight w:val="254"/>
        </w:trPr>
        <w:tc>
          <w:tcPr>
            <w:tcW w:w="8920" w:type="dxa"/>
            <w:gridSpan w:val="7"/>
            <w:tcBorders>
              <w:bottom w:val="single" w:sz="4" w:space="0" w:color="auto"/>
            </w:tcBorders>
          </w:tcPr>
          <w:p w14:paraId="2A94AED2" w14:textId="77777777" w:rsidR="001B4ED5" w:rsidRPr="00F04051" w:rsidRDefault="006B41C0">
            <w:pPr>
              <w:autoSpaceDE w:val="0"/>
              <w:autoSpaceDN w:val="0"/>
              <w:adjustRightInd w:val="0"/>
              <w:spacing w:line="240" w:lineRule="auto"/>
              <w:rPr>
                <w:rFonts w:cs="Times New Roman"/>
                <w:b/>
                <w:color w:val="000000" w:themeColor="text1"/>
                <w:sz w:val="22"/>
              </w:rPr>
            </w:pPr>
            <m:oMathPara>
              <m:oMathParaPr>
                <m:jc m:val="left"/>
              </m:oMathParaPr>
              <m:oMath>
                <m:r>
                  <w:rPr>
                    <w:rFonts w:ascii="Cambria Math" w:hAnsi="Cambria Math" w:cs="Times New Roman"/>
                    <w:color w:val="000000" w:themeColor="text1"/>
                    <w:sz w:val="22"/>
                    <w:lang w:bidi="en-US"/>
                  </w:rPr>
                  <m:t xml:space="preserve">N=362, </m:t>
                </m:r>
                <m:sSup>
                  <m:sSupPr>
                    <m:ctrlPr>
                      <w:rPr>
                        <w:rFonts w:ascii="Cambria Math" w:hAnsi="Cambria Math" w:cs="Times New Roman"/>
                        <w:i/>
                        <w:color w:val="000000" w:themeColor="text1"/>
                        <w:sz w:val="22"/>
                        <w:lang w:bidi="en-US"/>
                      </w:rPr>
                    </m:ctrlPr>
                  </m:sSupPr>
                  <m:e>
                    <m:r>
                      <w:rPr>
                        <w:rFonts w:ascii="Cambria Math" w:hAnsi="Cambria Math" w:cs="Times New Roman"/>
                        <w:color w:val="000000" w:themeColor="text1"/>
                        <w:sz w:val="22"/>
                        <w:lang w:bidi="en-US"/>
                      </w:rPr>
                      <m:t>x</m:t>
                    </m:r>
                  </m:e>
                  <m:sup>
                    <m:r>
                      <w:rPr>
                        <w:rFonts w:ascii="Cambria Math" w:hAnsi="Cambria Math" w:cs="Times New Roman"/>
                        <w:color w:val="000000" w:themeColor="text1"/>
                        <w:sz w:val="22"/>
                        <w:lang w:bidi="en-US"/>
                      </w:rPr>
                      <m:t>2</m:t>
                    </m:r>
                  </m:sup>
                </m:sSup>
                <m:r>
                  <w:rPr>
                    <w:rFonts w:ascii="Cambria Math" w:hAnsi="Cambria Math" w:cs="Times New Roman"/>
                    <w:color w:val="000000" w:themeColor="text1"/>
                    <w:sz w:val="22"/>
                    <w:lang w:bidi="en-US"/>
                  </w:rPr>
                  <m:t>= 0.124, df=1, p= 0.724</m:t>
                </m:r>
              </m:oMath>
            </m:oMathPara>
          </w:p>
        </w:tc>
      </w:tr>
      <w:tr w:rsidR="00895D0B" w:rsidRPr="00F04051" w14:paraId="7006F837" w14:textId="77777777" w:rsidTr="00F04051">
        <w:trPr>
          <w:trHeight w:val="254"/>
        </w:trPr>
        <w:tc>
          <w:tcPr>
            <w:tcW w:w="2604" w:type="dxa"/>
            <w:gridSpan w:val="2"/>
            <w:vMerge w:val="restart"/>
            <w:tcBorders>
              <w:top w:val="single" w:sz="4" w:space="0" w:color="auto"/>
            </w:tcBorders>
          </w:tcPr>
          <w:p w14:paraId="3BA4A8E0" w14:textId="77777777" w:rsidR="00F04051" w:rsidRDefault="00F04051">
            <w:pPr>
              <w:autoSpaceDE w:val="0"/>
              <w:autoSpaceDN w:val="0"/>
              <w:adjustRightInd w:val="0"/>
              <w:spacing w:line="240" w:lineRule="auto"/>
              <w:rPr>
                <w:rFonts w:cs="Times New Roman"/>
                <w:b/>
                <w:color w:val="000000" w:themeColor="text1"/>
                <w:sz w:val="22"/>
              </w:rPr>
            </w:pPr>
          </w:p>
          <w:p w14:paraId="1B96D17B" w14:textId="77777777" w:rsidR="00F04051" w:rsidRDefault="00F04051">
            <w:pPr>
              <w:autoSpaceDE w:val="0"/>
              <w:autoSpaceDN w:val="0"/>
              <w:adjustRightInd w:val="0"/>
              <w:spacing w:line="240" w:lineRule="auto"/>
              <w:rPr>
                <w:rFonts w:cs="Times New Roman"/>
                <w:b/>
                <w:color w:val="000000" w:themeColor="text1"/>
                <w:sz w:val="22"/>
              </w:rPr>
            </w:pPr>
          </w:p>
          <w:p w14:paraId="0F6B3B20" w14:textId="36EF7636"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lastRenderedPageBreak/>
              <w:t>Participation in UA</w:t>
            </w:r>
          </w:p>
        </w:tc>
        <w:tc>
          <w:tcPr>
            <w:tcW w:w="4943" w:type="dxa"/>
            <w:gridSpan w:val="4"/>
            <w:tcBorders>
              <w:top w:val="single" w:sz="4" w:space="0" w:color="auto"/>
              <w:bottom w:val="single" w:sz="4" w:space="0" w:color="auto"/>
            </w:tcBorders>
          </w:tcPr>
          <w:p w14:paraId="091EFBCA" w14:textId="77777777" w:rsidR="00F04051" w:rsidRDefault="00F04051">
            <w:pPr>
              <w:autoSpaceDE w:val="0"/>
              <w:autoSpaceDN w:val="0"/>
              <w:adjustRightInd w:val="0"/>
              <w:spacing w:line="240" w:lineRule="auto"/>
              <w:jc w:val="center"/>
              <w:rPr>
                <w:rFonts w:cs="Times New Roman"/>
                <w:b/>
                <w:color w:val="000000" w:themeColor="text1"/>
                <w:sz w:val="22"/>
              </w:rPr>
            </w:pPr>
          </w:p>
          <w:p w14:paraId="2802772F" w14:textId="77777777" w:rsidR="00F04051" w:rsidRDefault="00F04051">
            <w:pPr>
              <w:autoSpaceDE w:val="0"/>
              <w:autoSpaceDN w:val="0"/>
              <w:adjustRightInd w:val="0"/>
              <w:spacing w:line="240" w:lineRule="auto"/>
              <w:jc w:val="center"/>
              <w:rPr>
                <w:rFonts w:cs="Times New Roman"/>
                <w:b/>
                <w:color w:val="000000" w:themeColor="text1"/>
                <w:sz w:val="22"/>
              </w:rPr>
            </w:pPr>
          </w:p>
          <w:p w14:paraId="1FC7FDEA" w14:textId="04AE265D" w:rsidR="001B4ED5" w:rsidRPr="00F04051" w:rsidRDefault="006B41C0">
            <w:pPr>
              <w:autoSpaceDE w:val="0"/>
              <w:autoSpaceDN w:val="0"/>
              <w:adjustRightInd w:val="0"/>
              <w:spacing w:line="240" w:lineRule="auto"/>
              <w:jc w:val="center"/>
              <w:rPr>
                <w:rFonts w:cs="Times New Roman"/>
                <w:b/>
                <w:color w:val="000000" w:themeColor="text1"/>
                <w:sz w:val="22"/>
              </w:rPr>
            </w:pPr>
            <w:r w:rsidRPr="00F04051">
              <w:rPr>
                <w:rFonts w:cs="Times New Roman"/>
                <w:b/>
                <w:color w:val="000000" w:themeColor="text1"/>
                <w:sz w:val="22"/>
              </w:rPr>
              <w:lastRenderedPageBreak/>
              <w:t>Household size of respondents – Frequency (%)</w:t>
            </w:r>
          </w:p>
        </w:tc>
        <w:tc>
          <w:tcPr>
            <w:tcW w:w="1372" w:type="dxa"/>
            <w:tcBorders>
              <w:top w:val="single" w:sz="4" w:space="0" w:color="auto"/>
            </w:tcBorders>
          </w:tcPr>
          <w:p w14:paraId="5664B1D4" w14:textId="77777777" w:rsidR="001B4ED5" w:rsidRPr="00F04051" w:rsidRDefault="001B4ED5">
            <w:pPr>
              <w:autoSpaceDE w:val="0"/>
              <w:autoSpaceDN w:val="0"/>
              <w:adjustRightInd w:val="0"/>
              <w:spacing w:line="240" w:lineRule="auto"/>
              <w:rPr>
                <w:rFonts w:cs="Times New Roman"/>
                <w:b/>
                <w:color w:val="000000" w:themeColor="text1"/>
                <w:sz w:val="22"/>
              </w:rPr>
            </w:pPr>
          </w:p>
        </w:tc>
      </w:tr>
      <w:tr w:rsidR="00895D0B" w:rsidRPr="00F04051" w14:paraId="40089284" w14:textId="77777777" w:rsidTr="00F04051">
        <w:trPr>
          <w:trHeight w:val="254"/>
        </w:trPr>
        <w:tc>
          <w:tcPr>
            <w:tcW w:w="2604" w:type="dxa"/>
            <w:gridSpan w:val="2"/>
            <w:vMerge/>
            <w:vAlign w:val="center"/>
          </w:tcPr>
          <w:p w14:paraId="566D4CE4" w14:textId="77777777" w:rsidR="001B4ED5" w:rsidRPr="00F04051" w:rsidRDefault="001B4ED5">
            <w:pPr>
              <w:spacing w:line="240" w:lineRule="auto"/>
              <w:rPr>
                <w:rFonts w:cs="Times New Roman"/>
                <w:color w:val="000000" w:themeColor="text1"/>
                <w:sz w:val="22"/>
              </w:rPr>
            </w:pPr>
          </w:p>
        </w:tc>
        <w:tc>
          <w:tcPr>
            <w:tcW w:w="2471" w:type="dxa"/>
            <w:gridSpan w:val="2"/>
            <w:tcBorders>
              <w:top w:val="single" w:sz="4" w:space="0" w:color="auto"/>
              <w:bottom w:val="single" w:sz="4" w:space="0" w:color="auto"/>
            </w:tcBorders>
          </w:tcPr>
          <w:p w14:paraId="3A2BAADC"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1 – 5 people</w:t>
            </w:r>
          </w:p>
        </w:tc>
        <w:tc>
          <w:tcPr>
            <w:tcW w:w="2472" w:type="dxa"/>
            <w:gridSpan w:val="2"/>
            <w:tcBorders>
              <w:top w:val="single" w:sz="4" w:space="0" w:color="auto"/>
              <w:bottom w:val="single" w:sz="4" w:space="0" w:color="auto"/>
            </w:tcBorders>
          </w:tcPr>
          <w:p w14:paraId="38468035"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More than 5 people</w:t>
            </w:r>
          </w:p>
        </w:tc>
        <w:tc>
          <w:tcPr>
            <w:tcW w:w="1372" w:type="dxa"/>
          </w:tcPr>
          <w:p w14:paraId="03B13345"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Total</w:t>
            </w:r>
          </w:p>
        </w:tc>
      </w:tr>
      <w:tr w:rsidR="00895D0B" w:rsidRPr="00F04051" w14:paraId="54D82C79" w14:textId="77777777" w:rsidTr="00F04051">
        <w:trPr>
          <w:trHeight w:val="70"/>
        </w:trPr>
        <w:tc>
          <w:tcPr>
            <w:tcW w:w="2604" w:type="dxa"/>
            <w:gridSpan w:val="2"/>
          </w:tcPr>
          <w:p w14:paraId="23E9B17D"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Yes</w:t>
            </w:r>
          </w:p>
        </w:tc>
        <w:tc>
          <w:tcPr>
            <w:tcW w:w="2471" w:type="dxa"/>
            <w:gridSpan w:val="2"/>
            <w:tcBorders>
              <w:top w:val="single" w:sz="4" w:space="0" w:color="auto"/>
            </w:tcBorders>
            <w:vAlign w:val="center"/>
          </w:tcPr>
          <w:p w14:paraId="574AD297"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83(43.4)</w:t>
            </w:r>
          </w:p>
        </w:tc>
        <w:tc>
          <w:tcPr>
            <w:tcW w:w="2472" w:type="dxa"/>
            <w:gridSpan w:val="2"/>
            <w:tcBorders>
              <w:top w:val="single" w:sz="4" w:space="0" w:color="auto"/>
            </w:tcBorders>
            <w:vAlign w:val="center"/>
          </w:tcPr>
          <w:p w14:paraId="6C7DBDF3"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108(56.6)</w:t>
            </w:r>
          </w:p>
        </w:tc>
        <w:tc>
          <w:tcPr>
            <w:tcW w:w="1372" w:type="dxa"/>
            <w:vAlign w:val="center"/>
          </w:tcPr>
          <w:p w14:paraId="2EECFDFA"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191(100.0)</w:t>
            </w:r>
          </w:p>
        </w:tc>
      </w:tr>
      <w:tr w:rsidR="00895D0B" w:rsidRPr="00F04051" w14:paraId="077172EF" w14:textId="77777777" w:rsidTr="00F04051">
        <w:trPr>
          <w:trHeight w:val="254"/>
        </w:trPr>
        <w:tc>
          <w:tcPr>
            <w:tcW w:w="2604" w:type="dxa"/>
            <w:gridSpan w:val="2"/>
          </w:tcPr>
          <w:p w14:paraId="042EF0D5"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No</w:t>
            </w:r>
          </w:p>
        </w:tc>
        <w:tc>
          <w:tcPr>
            <w:tcW w:w="2471" w:type="dxa"/>
            <w:gridSpan w:val="2"/>
            <w:vAlign w:val="center"/>
          </w:tcPr>
          <w:p w14:paraId="17D9CAD0"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113(66.0)</w:t>
            </w:r>
          </w:p>
        </w:tc>
        <w:tc>
          <w:tcPr>
            <w:tcW w:w="2472" w:type="dxa"/>
            <w:gridSpan w:val="2"/>
            <w:vAlign w:val="center"/>
          </w:tcPr>
          <w:p w14:paraId="19464037"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58(34.0)</w:t>
            </w:r>
          </w:p>
        </w:tc>
        <w:tc>
          <w:tcPr>
            <w:tcW w:w="1372" w:type="dxa"/>
            <w:vAlign w:val="center"/>
          </w:tcPr>
          <w:p w14:paraId="371A4FBA"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171(100.0)</w:t>
            </w:r>
          </w:p>
        </w:tc>
      </w:tr>
      <w:tr w:rsidR="00895D0B" w:rsidRPr="00F04051" w14:paraId="00192B3A" w14:textId="77777777" w:rsidTr="00F04051">
        <w:trPr>
          <w:trHeight w:val="254"/>
        </w:trPr>
        <w:tc>
          <w:tcPr>
            <w:tcW w:w="2604" w:type="dxa"/>
            <w:gridSpan w:val="2"/>
          </w:tcPr>
          <w:p w14:paraId="2652DE91"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Total</w:t>
            </w:r>
          </w:p>
        </w:tc>
        <w:tc>
          <w:tcPr>
            <w:tcW w:w="2471" w:type="dxa"/>
            <w:gridSpan w:val="2"/>
            <w:vAlign w:val="center"/>
          </w:tcPr>
          <w:p w14:paraId="54312CCD"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196(54.1)</w:t>
            </w:r>
          </w:p>
        </w:tc>
        <w:tc>
          <w:tcPr>
            <w:tcW w:w="2472" w:type="dxa"/>
            <w:gridSpan w:val="2"/>
            <w:vAlign w:val="center"/>
          </w:tcPr>
          <w:p w14:paraId="7D90A34A"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166(45.9)</w:t>
            </w:r>
          </w:p>
        </w:tc>
        <w:tc>
          <w:tcPr>
            <w:tcW w:w="1372" w:type="dxa"/>
            <w:vAlign w:val="center"/>
          </w:tcPr>
          <w:p w14:paraId="30D54086"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362(100.0)</w:t>
            </w:r>
          </w:p>
        </w:tc>
      </w:tr>
      <w:tr w:rsidR="00895D0B" w:rsidRPr="00F04051" w14:paraId="5B13111C" w14:textId="77777777" w:rsidTr="00F04051">
        <w:trPr>
          <w:trHeight w:val="269"/>
        </w:trPr>
        <w:tc>
          <w:tcPr>
            <w:tcW w:w="8920" w:type="dxa"/>
            <w:gridSpan w:val="7"/>
            <w:tcBorders>
              <w:bottom w:val="single" w:sz="4" w:space="0" w:color="auto"/>
            </w:tcBorders>
          </w:tcPr>
          <w:p w14:paraId="609BFBAD" w14:textId="77777777" w:rsidR="001B4ED5" w:rsidRPr="00F04051" w:rsidRDefault="006B41C0">
            <w:pPr>
              <w:autoSpaceDE w:val="0"/>
              <w:autoSpaceDN w:val="0"/>
              <w:adjustRightInd w:val="0"/>
              <w:spacing w:line="240" w:lineRule="auto"/>
              <w:rPr>
                <w:rFonts w:cs="Times New Roman"/>
                <w:b/>
                <w:color w:val="000000" w:themeColor="text1"/>
                <w:sz w:val="22"/>
              </w:rPr>
            </w:pPr>
            <m:oMathPara>
              <m:oMathParaPr>
                <m:jc m:val="left"/>
              </m:oMathParaPr>
              <m:oMath>
                <m:r>
                  <w:rPr>
                    <w:rFonts w:ascii="Cambria Math" w:hAnsi="Cambria Math" w:cs="Times New Roman"/>
                    <w:color w:val="000000" w:themeColor="text1"/>
                    <w:sz w:val="22"/>
                    <w:lang w:bidi="en-US"/>
                  </w:rPr>
                  <m:t xml:space="preserve">N=362, </m:t>
                </m:r>
                <m:sSup>
                  <m:sSupPr>
                    <m:ctrlPr>
                      <w:rPr>
                        <w:rFonts w:ascii="Cambria Math" w:hAnsi="Cambria Math" w:cs="Times New Roman"/>
                        <w:i/>
                        <w:color w:val="000000" w:themeColor="text1"/>
                        <w:sz w:val="22"/>
                        <w:lang w:bidi="en-US"/>
                      </w:rPr>
                    </m:ctrlPr>
                  </m:sSupPr>
                  <m:e>
                    <m:r>
                      <w:rPr>
                        <w:rFonts w:ascii="Cambria Math" w:hAnsi="Cambria Math" w:cs="Times New Roman"/>
                        <w:color w:val="000000" w:themeColor="text1"/>
                        <w:sz w:val="22"/>
                        <w:lang w:bidi="en-US"/>
                      </w:rPr>
                      <m:t>x</m:t>
                    </m:r>
                  </m:e>
                  <m:sup>
                    <m:r>
                      <w:rPr>
                        <w:rFonts w:ascii="Cambria Math" w:hAnsi="Cambria Math" w:cs="Times New Roman"/>
                        <w:color w:val="000000" w:themeColor="text1"/>
                        <w:sz w:val="22"/>
                        <w:lang w:bidi="en-US"/>
                      </w:rPr>
                      <m:t>2</m:t>
                    </m:r>
                  </m:sup>
                </m:sSup>
                <m:r>
                  <w:rPr>
                    <w:rFonts w:ascii="Cambria Math" w:hAnsi="Cambria Math" w:cs="Times New Roman"/>
                    <w:color w:val="000000" w:themeColor="text1"/>
                    <w:sz w:val="22"/>
                    <w:lang w:bidi="en-US"/>
                  </w:rPr>
                  <m:t>= 18.604, df=1, p= 0.001</m:t>
                </m:r>
              </m:oMath>
            </m:oMathPara>
          </w:p>
        </w:tc>
      </w:tr>
      <w:tr w:rsidR="00895D0B" w:rsidRPr="00F04051" w14:paraId="4AB77A5A" w14:textId="77777777" w:rsidTr="00F04051">
        <w:trPr>
          <w:trHeight w:val="239"/>
        </w:trPr>
        <w:tc>
          <w:tcPr>
            <w:tcW w:w="2604" w:type="dxa"/>
            <w:gridSpan w:val="2"/>
            <w:vMerge w:val="restart"/>
            <w:tcBorders>
              <w:top w:val="single" w:sz="4" w:space="0" w:color="auto"/>
            </w:tcBorders>
          </w:tcPr>
          <w:p w14:paraId="058450EB"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Participation in UA</w:t>
            </w:r>
          </w:p>
        </w:tc>
        <w:tc>
          <w:tcPr>
            <w:tcW w:w="6315" w:type="dxa"/>
            <w:gridSpan w:val="5"/>
            <w:tcBorders>
              <w:top w:val="single" w:sz="4" w:space="0" w:color="auto"/>
              <w:bottom w:val="single" w:sz="4" w:space="0" w:color="auto"/>
            </w:tcBorders>
          </w:tcPr>
          <w:p w14:paraId="4020F082"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Monthly income status of respondents (GHS) – Frequency (%)</w:t>
            </w:r>
          </w:p>
        </w:tc>
      </w:tr>
      <w:tr w:rsidR="00895D0B" w:rsidRPr="00F04051" w14:paraId="7CF6215D" w14:textId="77777777" w:rsidTr="00F04051">
        <w:trPr>
          <w:trHeight w:val="254"/>
        </w:trPr>
        <w:tc>
          <w:tcPr>
            <w:tcW w:w="2604" w:type="dxa"/>
            <w:gridSpan w:val="2"/>
            <w:vMerge/>
            <w:vAlign w:val="center"/>
          </w:tcPr>
          <w:p w14:paraId="7BDDA157" w14:textId="77777777" w:rsidR="001B4ED5" w:rsidRPr="00F04051" w:rsidRDefault="001B4ED5">
            <w:pPr>
              <w:spacing w:line="240" w:lineRule="auto"/>
              <w:rPr>
                <w:rFonts w:cs="Times New Roman"/>
                <w:color w:val="000000" w:themeColor="text1"/>
                <w:sz w:val="22"/>
              </w:rPr>
            </w:pPr>
          </w:p>
        </w:tc>
        <w:tc>
          <w:tcPr>
            <w:tcW w:w="2471" w:type="dxa"/>
            <w:gridSpan w:val="2"/>
            <w:tcBorders>
              <w:top w:val="single" w:sz="4" w:space="0" w:color="auto"/>
              <w:bottom w:val="single" w:sz="4" w:space="0" w:color="auto"/>
            </w:tcBorders>
          </w:tcPr>
          <w:p w14:paraId="00836DDC"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&lt; 1, 000.00</w:t>
            </w:r>
          </w:p>
        </w:tc>
        <w:tc>
          <w:tcPr>
            <w:tcW w:w="2472" w:type="dxa"/>
            <w:gridSpan w:val="2"/>
            <w:tcBorders>
              <w:top w:val="single" w:sz="4" w:space="0" w:color="auto"/>
              <w:bottom w:val="single" w:sz="4" w:space="0" w:color="auto"/>
            </w:tcBorders>
          </w:tcPr>
          <w:p w14:paraId="4D1A5016"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&gt; 1,000.00</w:t>
            </w:r>
          </w:p>
        </w:tc>
        <w:tc>
          <w:tcPr>
            <w:tcW w:w="1372" w:type="dxa"/>
            <w:tcBorders>
              <w:top w:val="single" w:sz="4" w:space="0" w:color="auto"/>
              <w:bottom w:val="single" w:sz="4" w:space="0" w:color="auto"/>
            </w:tcBorders>
          </w:tcPr>
          <w:p w14:paraId="057F3A8F" w14:textId="77777777" w:rsidR="001B4ED5" w:rsidRPr="00F04051" w:rsidRDefault="006B41C0">
            <w:pPr>
              <w:autoSpaceDE w:val="0"/>
              <w:autoSpaceDN w:val="0"/>
              <w:adjustRightInd w:val="0"/>
              <w:spacing w:line="240" w:lineRule="auto"/>
              <w:jc w:val="center"/>
              <w:rPr>
                <w:rFonts w:cs="Times New Roman"/>
                <w:i/>
                <w:color w:val="000000" w:themeColor="text1"/>
                <w:sz w:val="22"/>
              </w:rPr>
            </w:pPr>
            <w:r w:rsidRPr="00F04051">
              <w:rPr>
                <w:rFonts w:cs="Times New Roman"/>
                <w:i/>
                <w:color w:val="000000" w:themeColor="text1"/>
                <w:sz w:val="22"/>
              </w:rPr>
              <w:t>Total</w:t>
            </w:r>
          </w:p>
        </w:tc>
      </w:tr>
      <w:tr w:rsidR="00895D0B" w:rsidRPr="00F04051" w14:paraId="572AF0AB" w14:textId="77777777" w:rsidTr="00F04051">
        <w:trPr>
          <w:trHeight w:val="254"/>
        </w:trPr>
        <w:tc>
          <w:tcPr>
            <w:tcW w:w="2604" w:type="dxa"/>
            <w:gridSpan w:val="2"/>
          </w:tcPr>
          <w:p w14:paraId="096AED71"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Yes</w:t>
            </w:r>
          </w:p>
        </w:tc>
        <w:tc>
          <w:tcPr>
            <w:tcW w:w="2471" w:type="dxa"/>
            <w:gridSpan w:val="2"/>
            <w:tcBorders>
              <w:top w:val="single" w:sz="4" w:space="0" w:color="auto"/>
            </w:tcBorders>
            <w:vAlign w:val="center"/>
          </w:tcPr>
          <w:p w14:paraId="6623B6E1"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115(60.1)</w:t>
            </w:r>
          </w:p>
        </w:tc>
        <w:tc>
          <w:tcPr>
            <w:tcW w:w="2472" w:type="dxa"/>
            <w:gridSpan w:val="2"/>
            <w:tcBorders>
              <w:top w:val="single" w:sz="4" w:space="0" w:color="auto"/>
            </w:tcBorders>
            <w:vAlign w:val="center"/>
          </w:tcPr>
          <w:p w14:paraId="032BC3BD"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76(30.9)</w:t>
            </w:r>
          </w:p>
        </w:tc>
        <w:tc>
          <w:tcPr>
            <w:tcW w:w="1372" w:type="dxa"/>
            <w:tcBorders>
              <w:top w:val="single" w:sz="4" w:space="0" w:color="auto"/>
            </w:tcBorders>
            <w:vAlign w:val="center"/>
          </w:tcPr>
          <w:p w14:paraId="4100CFA6"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191(100.0)</w:t>
            </w:r>
          </w:p>
        </w:tc>
      </w:tr>
      <w:tr w:rsidR="00895D0B" w:rsidRPr="00F04051" w14:paraId="680F3B24" w14:textId="77777777" w:rsidTr="00F04051">
        <w:trPr>
          <w:trHeight w:val="86"/>
        </w:trPr>
        <w:tc>
          <w:tcPr>
            <w:tcW w:w="2604" w:type="dxa"/>
            <w:gridSpan w:val="2"/>
          </w:tcPr>
          <w:p w14:paraId="255FA70A" w14:textId="77777777" w:rsidR="001B4ED5" w:rsidRPr="00F04051" w:rsidRDefault="006B41C0">
            <w:pPr>
              <w:autoSpaceDE w:val="0"/>
              <w:autoSpaceDN w:val="0"/>
              <w:adjustRightInd w:val="0"/>
              <w:spacing w:line="240" w:lineRule="auto"/>
              <w:rPr>
                <w:rFonts w:cs="Times New Roman"/>
                <w:color w:val="000000" w:themeColor="text1"/>
                <w:sz w:val="22"/>
              </w:rPr>
            </w:pPr>
            <w:r w:rsidRPr="00F04051">
              <w:rPr>
                <w:rFonts w:cs="Times New Roman"/>
                <w:color w:val="000000" w:themeColor="text1"/>
                <w:sz w:val="22"/>
              </w:rPr>
              <w:t xml:space="preserve">No </w:t>
            </w:r>
          </w:p>
        </w:tc>
        <w:tc>
          <w:tcPr>
            <w:tcW w:w="2471" w:type="dxa"/>
            <w:gridSpan w:val="2"/>
            <w:vAlign w:val="center"/>
          </w:tcPr>
          <w:p w14:paraId="6197F915"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116(67.8)</w:t>
            </w:r>
          </w:p>
        </w:tc>
        <w:tc>
          <w:tcPr>
            <w:tcW w:w="2472" w:type="dxa"/>
            <w:gridSpan w:val="2"/>
            <w:vAlign w:val="center"/>
          </w:tcPr>
          <w:p w14:paraId="1E3B7B4A"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55(32.2)</w:t>
            </w:r>
          </w:p>
        </w:tc>
        <w:tc>
          <w:tcPr>
            <w:tcW w:w="1372" w:type="dxa"/>
            <w:vAlign w:val="center"/>
          </w:tcPr>
          <w:p w14:paraId="6AF5857F" w14:textId="77777777" w:rsidR="001B4ED5" w:rsidRPr="00F04051" w:rsidRDefault="006B41C0">
            <w:pPr>
              <w:autoSpaceDE w:val="0"/>
              <w:autoSpaceDN w:val="0"/>
              <w:adjustRightInd w:val="0"/>
              <w:spacing w:line="240" w:lineRule="auto"/>
              <w:ind w:left="60" w:right="60"/>
              <w:jc w:val="center"/>
              <w:rPr>
                <w:rFonts w:cs="Times New Roman"/>
                <w:color w:val="000000" w:themeColor="text1"/>
                <w:sz w:val="22"/>
              </w:rPr>
            </w:pPr>
            <w:r w:rsidRPr="00F04051">
              <w:rPr>
                <w:rFonts w:cs="Times New Roman"/>
                <w:color w:val="000000" w:themeColor="text1"/>
                <w:sz w:val="22"/>
              </w:rPr>
              <w:t>171(100.0)</w:t>
            </w:r>
          </w:p>
        </w:tc>
      </w:tr>
      <w:tr w:rsidR="00895D0B" w:rsidRPr="00F04051" w14:paraId="50543B40" w14:textId="77777777" w:rsidTr="00F04051">
        <w:trPr>
          <w:trHeight w:val="254"/>
        </w:trPr>
        <w:tc>
          <w:tcPr>
            <w:tcW w:w="2604" w:type="dxa"/>
            <w:gridSpan w:val="2"/>
          </w:tcPr>
          <w:p w14:paraId="2B5CC466" w14:textId="77777777" w:rsidR="001B4ED5" w:rsidRPr="00F04051" w:rsidRDefault="006B41C0">
            <w:pPr>
              <w:autoSpaceDE w:val="0"/>
              <w:autoSpaceDN w:val="0"/>
              <w:adjustRightInd w:val="0"/>
              <w:spacing w:line="240" w:lineRule="auto"/>
              <w:rPr>
                <w:rFonts w:cs="Times New Roman"/>
                <w:b/>
                <w:color w:val="000000" w:themeColor="text1"/>
                <w:sz w:val="22"/>
              </w:rPr>
            </w:pPr>
            <w:r w:rsidRPr="00F04051">
              <w:rPr>
                <w:rFonts w:cs="Times New Roman"/>
                <w:b/>
                <w:color w:val="000000" w:themeColor="text1"/>
                <w:sz w:val="22"/>
              </w:rPr>
              <w:t xml:space="preserve">Total </w:t>
            </w:r>
          </w:p>
        </w:tc>
        <w:tc>
          <w:tcPr>
            <w:tcW w:w="2471" w:type="dxa"/>
            <w:gridSpan w:val="2"/>
            <w:vAlign w:val="center"/>
          </w:tcPr>
          <w:p w14:paraId="20E73B3F"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231(63.8)</w:t>
            </w:r>
          </w:p>
        </w:tc>
        <w:tc>
          <w:tcPr>
            <w:tcW w:w="2472" w:type="dxa"/>
            <w:gridSpan w:val="2"/>
            <w:vAlign w:val="center"/>
          </w:tcPr>
          <w:p w14:paraId="61D8B095"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131(36.2)</w:t>
            </w:r>
          </w:p>
        </w:tc>
        <w:tc>
          <w:tcPr>
            <w:tcW w:w="1372" w:type="dxa"/>
            <w:vAlign w:val="center"/>
          </w:tcPr>
          <w:p w14:paraId="50FB3605" w14:textId="77777777" w:rsidR="001B4ED5" w:rsidRPr="00F04051" w:rsidRDefault="006B41C0">
            <w:pPr>
              <w:autoSpaceDE w:val="0"/>
              <w:autoSpaceDN w:val="0"/>
              <w:adjustRightInd w:val="0"/>
              <w:spacing w:line="240" w:lineRule="auto"/>
              <w:ind w:left="60" w:right="60"/>
              <w:jc w:val="center"/>
              <w:rPr>
                <w:rFonts w:cs="Times New Roman"/>
                <w:b/>
                <w:color w:val="000000" w:themeColor="text1"/>
                <w:sz w:val="22"/>
              </w:rPr>
            </w:pPr>
            <w:r w:rsidRPr="00F04051">
              <w:rPr>
                <w:rFonts w:cs="Times New Roman"/>
                <w:b/>
                <w:color w:val="000000" w:themeColor="text1"/>
                <w:sz w:val="22"/>
              </w:rPr>
              <w:t>362(100.0)</w:t>
            </w:r>
          </w:p>
        </w:tc>
      </w:tr>
      <w:tr w:rsidR="00895D0B" w:rsidRPr="00F04051" w14:paraId="10972289" w14:textId="77777777" w:rsidTr="00F04051">
        <w:trPr>
          <w:trHeight w:val="254"/>
        </w:trPr>
        <w:tc>
          <w:tcPr>
            <w:tcW w:w="8920" w:type="dxa"/>
            <w:gridSpan w:val="7"/>
            <w:tcBorders>
              <w:bottom w:val="single" w:sz="4" w:space="0" w:color="auto"/>
            </w:tcBorders>
            <w:vAlign w:val="center"/>
          </w:tcPr>
          <w:p w14:paraId="4A71F37F" w14:textId="77777777" w:rsidR="001B4ED5" w:rsidRPr="00F04051" w:rsidRDefault="006B41C0">
            <w:pPr>
              <w:autoSpaceDE w:val="0"/>
              <w:autoSpaceDN w:val="0"/>
              <w:adjustRightInd w:val="0"/>
              <w:spacing w:line="240" w:lineRule="auto"/>
              <w:ind w:left="60" w:right="60"/>
              <w:jc w:val="right"/>
              <w:rPr>
                <w:rFonts w:cs="Times New Roman"/>
                <w:color w:val="000000" w:themeColor="text1"/>
                <w:sz w:val="22"/>
              </w:rPr>
            </w:pPr>
            <m:oMathPara>
              <m:oMathParaPr>
                <m:jc m:val="left"/>
              </m:oMathParaPr>
              <m:oMath>
                <m:r>
                  <w:rPr>
                    <w:rFonts w:ascii="Cambria Math" w:hAnsi="Cambria Math" w:cs="Times New Roman"/>
                    <w:color w:val="000000" w:themeColor="text1"/>
                    <w:sz w:val="22"/>
                    <w:lang w:bidi="en-US"/>
                  </w:rPr>
                  <m:t xml:space="preserve">N=362, </m:t>
                </m:r>
                <m:sSup>
                  <m:sSupPr>
                    <m:ctrlPr>
                      <w:rPr>
                        <w:rFonts w:ascii="Cambria Math" w:hAnsi="Cambria Math" w:cs="Times New Roman"/>
                        <w:i/>
                        <w:color w:val="000000" w:themeColor="text1"/>
                        <w:sz w:val="22"/>
                        <w:lang w:bidi="en-US"/>
                      </w:rPr>
                    </m:ctrlPr>
                  </m:sSupPr>
                  <m:e>
                    <m:r>
                      <w:rPr>
                        <w:rFonts w:ascii="Cambria Math" w:hAnsi="Cambria Math" w:cs="Times New Roman"/>
                        <w:color w:val="000000" w:themeColor="text1"/>
                        <w:sz w:val="22"/>
                        <w:lang w:bidi="en-US"/>
                      </w:rPr>
                      <m:t>x</m:t>
                    </m:r>
                  </m:e>
                  <m:sup>
                    <m:r>
                      <w:rPr>
                        <w:rFonts w:ascii="Cambria Math" w:hAnsi="Cambria Math" w:cs="Times New Roman"/>
                        <w:color w:val="000000" w:themeColor="text1"/>
                        <w:sz w:val="22"/>
                        <w:lang w:bidi="en-US"/>
                      </w:rPr>
                      <m:t>2</m:t>
                    </m:r>
                  </m:sup>
                </m:sSup>
                <m:r>
                  <w:rPr>
                    <w:rFonts w:ascii="Cambria Math" w:hAnsi="Cambria Math" w:cs="Times New Roman"/>
                    <w:color w:val="000000" w:themeColor="text1"/>
                    <w:sz w:val="22"/>
                    <w:lang w:bidi="en-US"/>
                  </w:rPr>
                  <m:t>= 2.273, df=1, p= 0.132</m:t>
                </m:r>
              </m:oMath>
            </m:oMathPara>
          </w:p>
        </w:tc>
      </w:tr>
    </w:tbl>
    <w:p w14:paraId="11149B9E" w14:textId="77777777"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04EF5373" w14:textId="77777777" w:rsidR="009864E3" w:rsidRPr="00895D0B" w:rsidRDefault="009864E3">
      <w:pPr>
        <w:spacing w:line="360" w:lineRule="auto"/>
        <w:rPr>
          <w:rFonts w:cs="Times New Roman"/>
          <w:color w:val="000000" w:themeColor="text1"/>
          <w:szCs w:val="24"/>
        </w:rPr>
      </w:pPr>
    </w:p>
    <w:p w14:paraId="7DA856C7" w14:textId="77777777" w:rsidR="004D6CE6" w:rsidRPr="00895D0B" w:rsidRDefault="004D6CE6" w:rsidP="004D6CE6">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On the other hand, households with a size of more than 5 people, indicating about 56.6%, go into urban farming more than households with a membership of less than 5 people, which is about 43.4%. Further analysis indicated that there is a statistically significant relationship between the number of people per household and a member of such households participating in urban food production (p-value = 0.001 &lt; 0.05). About 60.1% of the respondent’s household income is &gt; GHS 1,000.00, while income that is &lt; GHS 1,000.00 is about 39.9% and at an alpha of 0.05 (p-value = 0.132 &gt; 0.05).</w:t>
      </w:r>
    </w:p>
    <w:p w14:paraId="238F670C" w14:textId="77777777" w:rsidR="001B4ED5" w:rsidRPr="00895D0B" w:rsidRDefault="001B4ED5" w:rsidP="009864E3">
      <w:pPr>
        <w:pStyle w:val="NoSpacing"/>
      </w:pPr>
    </w:p>
    <w:p w14:paraId="4F70FF11" w14:textId="1DC97456" w:rsidR="001B4ED5" w:rsidRPr="00895D0B" w:rsidRDefault="006B41C0">
      <w:pPr>
        <w:pStyle w:val="Heading2"/>
      </w:pPr>
      <w:bookmarkStart w:id="151" w:name="_Toc167379940"/>
      <w:r w:rsidRPr="00895D0B">
        <w:t xml:space="preserve">6.4 </w:t>
      </w:r>
      <w:r w:rsidR="009B6DE6" w:rsidRPr="00895D0B">
        <w:t>Demographic</w:t>
      </w:r>
      <w:r w:rsidRPr="00895D0B">
        <w:t xml:space="preserve"> Determinants of Participation in Urban Food Production</w:t>
      </w:r>
      <w:bookmarkEnd w:id="151"/>
    </w:p>
    <w:p w14:paraId="0A611D37" w14:textId="77777777" w:rsidR="00E107AD" w:rsidRPr="00895D0B" w:rsidRDefault="00E107AD" w:rsidP="00E107AD">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In this section, the study presents the binary logistic regression model of the respondents’ demographic predictors that determine urban households’ participation in urban agriculture (</w:t>
      </w:r>
      <w:r w:rsidRPr="00895D0B">
        <w:rPr>
          <w:rFonts w:eastAsia="Times New Roman" w:cs="Times New Roman"/>
          <w:i/>
          <w:iCs/>
          <w:color w:val="000000" w:themeColor="text1"/>
          <w:szCs w:val="24"/>
          <w:lang w:eastAsia="en-GB"/>
        </w:rPr>
        <w:t>see Table 6.4</w:t>
      </w:r>
      <w:r w:rsidRPr="00895D0B">
        <w:rPr>
          <w:rFonts w:eastAsia="Times New Roman" w:cs="Times New Roman"/>
          <w:color w:val="000000" w:themeColor="text1"/>
          <w:szCs w:val="24"/>
          <w:lang w:eastAsia="en-GB"/>
        </w:rPr>
        <w:t>). The variables of the respondents used are age, marital status, employment type, educational status, household size, and household monthly income. This was analysed using the odds ratio and p-values to determine which of these respondents' characteristics influence urban households' participation in urban agricultural production. The results show that respondents who are 60 years and older, 31–40 years, 41–50 years, and 51–60 years are 0.3, 0.4, 0.5, and 0.6 times more likely to participate in urban agricultural production, respectively, than those within the age bracket 18–30 years (</w:t>
      </w:r>
      <w:r w:rsidRPr="00895D0B">
        <w:rPr>
          <w:rFonts w:eastAsia="Times New Roman" w:cs="Times New Roman"/>
          <w:i/>
          <w:iCs/>
          <w:color w:val="000000" w:themeColor="text1"/>
          <w:szCs w:val="24"/>
          <w:lang w:eastAsia="en-GB"/>
        </w:rPr>
        <w:t>see Table 6.4</w:t>
      </w:r>
      <w:r w:rsidRPr="00895D0B">
        <w:rPr>
          <w:rFonts w:eastAsia="Times New Roman" w:cs="Times New Roman"/>
          <w:color w:val="000000" w:themeColor="text1"/>
          <w:szCs w:val="24"/>
          <w:lang w:eastAsia="en-GB"/>
        </w:rPr>
        <w:t>).</w:t>
      </w:r>
    </w:p>
    <w:p w14:paraId="4AAA6E3E" w14:textId="77777777" w:rsidR="00E107AD" w:rsidRDefault="00E107AD" w:rsidP="00E107AD">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w:t>
      </w:r>
    </w:p>
    <w:p w14:paraId="4FB85AE1" w14:textId="77777777" w:rsidR="009864E3" w:rsidRDefault="009864E3" w:rsidP="00E107AD">
      <w:pPr>
        <w:spacing w:line="360" w:lineRule="auto"/>
        <w:rPr>
          <w:rFonts w:eastAsia="Times New Roman" w:cs="Times New Roman"/>
          <w:color w:val="000000" w:themeColor="text1"/>
          <w:szCs w:val="24"/>
          <w:lang w:eastAsia="en-GB"/>
        </w:rPr>
      </w:pPr>
    </w:p>
    <w:p w14:paraId="221936E4" w14:textId="77777777" w:rsidR="009864E3" w:rsidRDefault="009864E3" w:rsidP="00E107AD">
      <w:pPr>
        <w:spacing w:line="360" w:lineRule="auto"/>
        <w:rPr>
          <w:rFonts w:eastAsia="Times New Roman" w:cs="Times New Roman"/>
          <w:color w:val="000000" w:themeColor="text1"/>
          <w:szCs w:val="24"/>
          <w:lang w:eastAsia="en-GB"/>
        </w:rPr>
      </w:pPr>
    </w:p>
    <w:p w14:paraId="551EBB73" w14:textId="77777777" w:rsidR="009864E3" w:rsidRPr="00895D0B" w:rsidRDefault="009864E3" w:rsidP="00E107AD">
      <w:pPr>
        <w:spacing w:line="360" w:lineRule="auto"/>
        <w:rPr>
          <w:rFonts w:eastAsia="Times New Roman" w:cs="Times New Roman"/>
          <w:color w:val="000000" w:themeColor="text1"/>
          <w:szCs w:val="24"/>
          <w:lang w:eastAsia="en-GB"/>
        </w:rPr>
      </w:pPr>
    </w:p>
    <w:p w14:paraId="24A915DD" w14:textId="104DF9D1" w:rsidR="001B4ED5" w:rsidRPr="00895D0B" w:rsidRDefault="006B41C0" w:rsidP="009864E3">
      <w:pPr>
        <w:pStyle w:val="Heading6"/>
      </w:pPr>
      <w:bookmarkStart w:id="152" w:name="_Toc148890683"/>
      <w:bookmarkStart w:id="153" w:name="_Toc167368598"/>
      <w:r w:rsidRPr="00895D0B">
        <w:lastRenderedPageBreak/>
        <w:t>Table 6.</w:t>
      </w:r>
      <w:r w:rsidR="00895D0B" w:rsidRPr="00895D0B">
        <w:fldChar w:fldCharType="begin"/>
      </w:r>
      <w:r w:rsidR="00895D0B" w:rsidRPr="00895D0B">
        <w:instrText xml:space="preserve"> SEQ Table_6. \* ARABIC </w:instrText>
      </w:r>
      <w:r w:rsidR="00895D0B" w:rsidRPr="00895D0B">
        <w:fldChar w:fldCharType="separate"/>
      </w:r>
      <w:r w:rsidR="0026489B">
        <w:rPr>
          <w:noProof/>
        </w:rPr>
        <w:t>4</w:t>
      </w:r>
      <w:r w:rsidR="00895D0B" w:rsidRPr="00895D0B">
        <w:fldChar w:fldCharType="end"/>
      </w:r>
      <w:r w:rsidRPr="00895D0B">
        <w:t>: Socio-economic determinants of participation in UA production.</w:t>
      </w:r>
      <w:bookmarkEnd w:id="152"/>
      <w:bookmarkEnd w:id="153"/>
    </w:p>
    <w:tbl>
      <w:tblPr>
        <w:tblW w:w="0" w:type="auto"/>
        <w:tblLook w:val="04A0" w:firstRow="1" w:lastRow="0" w:firstColumn="1" w:lastColumn="0" w:noHBand="0" w:noVBand="1"/>
      </w:tblPr>
      <w:tblGrid>
        <w:gridCol w:w="3812"/>
        <w:gridCol w:w="1539"/>
        <w:gridCol w:w="1273"/>
        <w:gridCol w:w="1682"/>
      </w:tblGrid>
      <w:tr w:rsidR="00895D0B" w:rsidRPr="00895D0B" w14:paraId="6A93626C" w14:textId="77777777">
        <w:tc>
          <w:tcPr>
            <w:tcW w:w="4106" w:type="dxa"/>
            <w:vMerge w:val="restart"/>
            <w:tcBorders>
              <w:top w:val="single" w:sz="4" w:space="0" w:color="auto"/>
              <w:left w:val="nil"/>
              <w:bottom w:val="single" w:sz="4" w:space="0" w:color="auto"/>
              <w:right w:val="nil"/>
            </w:tcBorders>
          </w:tcPr>
          <w:p w14:paraId="05B880DA" w14:textId="77777777" w:rsidR="001B4ED5" w:rsidRPr="00895D0B" w:rsidRDefault="006B41C0">
            <w:pPr>
              <w:spacing w:line="240" w:lineRule="auto"/>
              <w:jc w:val="center"/>
              <w:rPr>
                <w:rFonts w:cs="Times New Roman"/>
                <w:b/>
                <w:color w:val="000000" w:themeColor="text1"/>
                <w:szCs w:val="24"/>
              </w:rPr>
            </w:pPr>
            <w:r w:rsidRPr="00895D0B">
              <w:rPr>
                <w:rFonts w:cs="Times New Roman"/>
                <w:b/>
                <w:color w:val="000000" w:themeColor="text1"/>
                <w:szCs w:val="24"/>
              </w:rPr>
              <w:t>Explanatory variables/predictors</w:t>
            </w:r>
          </w:p>
        </w:tc>
        <w:tc>
          <w:tcPr>
            <w:tcW w:w="4910" w:type="dxa"/>
            <w:gridSpan w:val="3"/>
            <w:tcBorders>
              <w:top w:val="single" w:sz="4" w:space="0" w:color="auto"/>
              <w:left w:val="nil"/>
              <w:bottom w:val="single" w:sz="4" w:space="0" w:color="auto"/>
              <w:right w:val="nil"/>
            </w:tcBorders>
          </w:tcPr>
          <w:p w14:paraId="1233DC34" w14:textId="77777777" w:rsidR="001B4ED5" w:rsidRPr="00895D0B" w:rsidRDefault="006B41C0">
            <w:pPr>
              <w:spacing w:line="240" w:lineRule="auto"/>
              <w:jc w:val="center"/>
              <w:rPr>
                <w:rFonts w:cs="Times New Roman"/>
                <w:b/>
                <w:color w:val="000000" w:themeColor="text1"/>
                <w:szCs w:val="24"/>
              </w:rPr>
            </w:pPr>
            <w:r w:rsidRPr="00895D0B">
              <w:rPr>
                <w:rFonts w:cs="Times New Roman"/>
                <w:b/>
                <w:color w:val="000000" w:themeColor="text1"/>
                <w:szCs w:val="24"/>
              </w:rPr>
              <w:t>Participation in UA production</w:t>
            </w:r>
          </w:p>
        </w:tc>
      </w:tr>
      <w:tr w:rsidR="00895D0B" w:rsidRPr="00895D0B" w14:paraId="797EC1F1" w14:textId="77777777">
        <w:tc>
          <w:tcPr>
            <w:tcW w:w="0" w:type="auto"/>
            <w:vMerge/>
            <w:tcBorders>
              <w:top w:val="single" w:sz="4" w:space="0" w:color="auto"/>
              <w:left w:val="nil"/>
              <w:bottom w:val="single" w:sz="4" w:space="0" w:color="auto"/>
              <w:right w:val="nil"/>
            </w:tcBorders>
            <w:vAlign w:val="center"/>
          </w:tcPr>
          <w:p w14:paraId="3333B788" w14:textId="77777777" w:rsidR="001B4ED5" w:rsidRPr="00895D0B" w:rsidRDefault="001B4ED5">
            <w:pPr>
              <w:spacing w:line="240" w:lineRule="auto"/>
              <w:rPr>
                <w:rFonts w:cs="Times New Roman"/>
                <w:b/>
                <w:color w:val="000000" w:themeColor="text1"/>
                <w:szCs w:val="24"/>
              </w:rPr>
            </w:pPr>
          </w:p>
        </w:tc>
        <w:tc>
          <w:tcPr>
            <w:tcW w:w="1688" w:type="dxa"/>
            <w:tcBorders>
              <w:top w:val="single" w:sz="4" w:space="0" w:color="auto"/>
              <w:left w:val="nil"/>
              <w:bottom w:val="single" w:sz="4" w:space="0" w:color="auto"/>
              <w:right w:val="nil"/>
            </w:tcBorders>
          </w:tcPr>
          <w:p w14:paraId="62149E44" w14:textId="77777777" w:rsidR="001B4ED5" w:rsidRPr="00895D0B" w:rsidRDefault="006B41C0">
            <w:pPr>
              <w:spacing w:line="240" w:lineRule="auto"/>
              <w:jc w:val="center"/>
              <w:rPr>
                <w:rFonts w:cs="Times New Roman"/>
                <w:i/>
                <w:color w:val="000000" w:themeColor="text1"/>
                <w:szCs w:val="24"/>
              </w:rPr>
            </w:pPr>
            <w:r w:rsidRPr="00895D0B">
              <w:rPr>
                <w:rFonts w:cs="Times New Roman"/>
                <w:i/>
                <w:color w:val="000000" w:themeColor="text1"/>
                <w:szCs w:val="24"/>
              </w:rPr>
              <w:t>Odd-ratios</w:t>
            </w:r>
          </w:p>
        </w:tc>
        <w:tc>
          <w:tcPr>
            <w:tcW w:w="1359" w:type="dxa"/>
            <w:tcBorders>
              <w:top w:val="single" w:sz="4" w:space="0" w:color="auto"/>
              <w:left w:val="nil"/>
              <w:bottom w:val="single" w:sz="4" w:space="0" w:color="auto"/>
              <w:right w:val="nil"/>
            </w:tcBorders>
          </w:tcPr>
          <w:p w14:paraId="4C0889F1" w14:textId="77777777" w:rsidR="001B4ED5" w:rsidRPr="00895D0B" w:rsidRDefault="006B41C0">
            <w:pPr>
              <w:spacing w:line="240" w:lineRule="auto"/>
              <w:jc w:val="center"/>
              <w:rPr>
                <w:rFonts w:cs="Times New Roman"/>
                <w:i/>
                <w:color w:val="000000" w:themeColor="text1"/>
                <w:szCs w:val="24"/>
              </w:rPr>
            </w:pPr>
            <w:r w:rsidRPr="00895D0B">
              <w:rPr>
                <w:rFonts w:cs="Times New Roman"/>
                <w:i/>
                <w:color w:val="000000" w:themeColor="text1"/>
                <w:szCs w:val="24"/>
              </w:rPr>
              <w:t>P-value</w:t>
            </w:r>
          </w:p>
        </w:tc>
        <w:tc>
          <w:tcPr>
            <w:tcW w:w="1863" w:type="dxa"/>
            <w:tcBorders>
              <w:top w:val="single" w:sz="4" w:space="0" w:color="auto"/>
              <w:left w:val="nil"/>
              <w:bottom w:val="single" w:sz="4" w:space="0" w:color="auto"/>
              <w:right w:val="nil"/>
            </w:tcBorders>
          </w:tcPr>
          <w:p w14:paraId="7EA0CA53" w14:textId="77777777" w:rsidR="001B4ED5" w:rsidRPr="00895D0B" w:rsidRDefault="006B41C0">
            <w:pPr>
              <w:spacing w:line="240" w:lineRule="auto"/>
              <w:jc w:val="center"/>
              <w:rPr>
                <w:rFonts w:cs="Times New Roman"/>
                <w:i/>
                <w:color w:val="000000" w:themeColor="text1"/>
                <w:szCs w:val="24"/>
              </w:rPr>
            </w:pPr>
            <w:r w:rsidRPr="00895D0B">
              <w:rPr>
                <w:rFonts w:cs="Times New Roman"/>
                <w:i/>
                <w:color w:val="000000" w:themeColor="text1"/>
                <w:szCs w:val="24"/>
              </w:rPr>
              <w:t>Standard Error</w:t>
            </w:r>
          </w:p>
        </w:tc>
      </w:tr>
      <w:tr w:rsidR="00895D0B" w:rsidRPr="00895D0B" w14:paraId="3E5D4F58" w14:textId="77777777">
        <w:trPr>
          <w:trHeight w:val="50"/>
        </w:trPr>
        <w:tc>
          <w:tcPr>
            <w:tcW w:w="9016" w:type="dxa"/>
            <w:gridSpan w:val="4"/>
            <w:tcBorders>
              <w:top w:val="single" w:sz="4" w:space="0" w:color="auto"/>
              <w:left w:val="nil"/>
              <w:bottom w:val="nil"/>
              <w:right w:val="nil"/>
            </w:tcBorders>
          </w:tcPr>
          <w:p w14:paraId="0EE33B0E" w14:textId="77777777" w:rsidR="001B4ED5" w:rsidRPr="00895D0B" w:rsidRDefault="006B41C0">
            <w:pPr>
              <w:spacing w:line="240" w:lineRule="auto"/>
              <w:rPr>
                <w:rFonts w:cs="Times New Roman"/>
                <w:color w:val="000000" w:themeColor="text1"/>
                <w:szCs w:val="24"/>
              </w:rPr>
            </w:pPr>
            <w:r w:rsidRPr="00895D0B">
              <w:rPr>
                <w:rFonts w:cs="Times New Roman"/>
                <w:b/>
                <w:color w:val="000000" w:themeColor="text1"/>
                <w:szCs w:val="24"/>
              </w:rPr>
              <w:t xml:space="preserve">Age </w:t>
            </w:r>
          </w:p>
        </w:tc>
      </w:tr>
      <w:tr w:rsidR="00895D0B" w:rsidRPr="00895D0B" w14:paraId="46BED89E" w14:textId="77777777">
        <w:trPr>
          <w:trHeight w:val="50"/>
        </w:trPr>
        <w:tc>
          <w:tcPr>
            <w:tcW w:w="4106" w:type="dxa"/>
          </w:tcPr>
          <w:p w14:paraId="1CB9B2D8"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18 – 30 (</w:t>
            </w:r>
            <w:r w:rsidRPr="00895D0B">
              <w:rPr>
                <w:rFonts w:cs="Times New Roman"/>
                <w:b/>
                <w:color w:val="000000" w:themeColor="text1"/>
                <w:szCs w:val="24"/>
              </w:rPr>
              <w:t>Reference Category</w:t>
            </w:r>
            <w:r w:rsidRPr="00895D0B">
              <w:rPr>
                <w:rFonts w:cs="Times New Roman"/>
                <w:color w:val="000000" w:themeColor="text1"/>
                <w:szCs w:val="24"/>
              </w:rPr>
              <w:t>)</w:t>
            </w:r>
          </w:p>
        </w:tc>
        <w:tc>
          <w:tcPr>
            <w:tcW w:w="1688" w:type="dxa"/>
            <w:vAlign w:val="center"/>
          </w:tcPr>
          <w:p w14:paraId="1B0ED41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1.00</w:t>
            </w:r>
          </w:p>
        </w:tc>
        <w:tc>
          <w:tcPr>
            <w:tcW w:w="1359" w:type="dxa"/>
            <w:vAlign w:val="center"/>
          </w:tcPr>
          <w:p w14:paraId="22EA9AF2" w14:textId="77777777" w:rsidR="001B4ED5" w:rsidRPr="00895D0B" w:rsidRDefault="001B4ED5">
            <w:pPr>
              <w:autoSpaceDE w:val="0"/>
              <w:autoSpaceDN w:val="0"/>
              <w:adjustRightInd w:val="0"/>
              <w:spacing w:line="240" w:lineRule="auto"/>
              <w:ind w:left="60" w:right="60"/>
              <w:jc w:val="right"/>
              <w:rPr>
                <w:rFonts w:cs="Times New Roman"/>
                <w:color w:val="000000" w:themeColor="text1"/>
                <w:szCs w:val="24"/>
              </w:rPr>
            </w:pPr>
          </w:p>
        </w:tc>
        <w:tc>
          <w:tcPr>
            <w:tcW w:w="1863" w:type="dxa"/>
          </w:tcPr>
          <w:p w14:paraId="1D46F8AD" w14:textId="77777777" w:rsidR="001B4ED5" w:rsidRPr="00895D0B" w:rsidRDefault="001B4ED5">
            <w:pPr>
              <w:spacing w:line="240" w:lineRule="auto"/>
              <w:rPr>
                <w:rFonts w:cs="Times New Roman"/>
                <w:color w:val="000000" w:themeColor="text1"/>
                <w:szCs w:val="24"/>
              </w:rPr>
            </w:pPr>
          </w:p>
        </w:tc>
      </w:tr>
      <w:tr w:rsidR="00895D0B" w:rsidRPr="00895D0B" w14:paraId="2AE11265" w14:textId="77777777">
        <w:tc>
          <w:tcPr>
            <w:tcW w:w="4106" w:type="dxa"/>
          </w:tcPr>
          <w:p w14:paraId="22890216"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31 – 40</w:t>
            </w:r>
          </w:p>
        </w:tc>
        <w:tc>
          <w:tcPr>
            <w:tcW w:w="1688" w:type="dxa"/>
            <w:shd w:val="clear" w:color="auto" w:fill="FFFFFF"/>
            <w:vAlign w:val="center"/>
          </w:tcPr>
          <w:p w14:paraId="7D21D3E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.431</w:t>
            </w:r>
          </w:p>
        </w:tc>
        <w:tc>
          <w:tcPr>
            <w:tcW w:w="1359" w:type="dxa"/>
            <w:shd w:val="clear" w:color="auto" w:fill="FFFFFF"/>
            <w:vAlign w:val="center"/>
          </w:tcPr>
          <w:p w14:paraId="15CBB49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.742</w:t>
            </w:r>
          </w:p>
        </w:tc>
        <w:tc>
          <w:tcPr>
            <w:tcW w:w="1863" w:type="dxa"/>
            <w:shd w:val="clear" w:color="auto" w:fill="FFFFFF"/>
            <w:vAlign w:val="center"/>
          </w:tcPr>
          <w:p w14:paraId="42DCC792"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.868</w:t>
            </w:r>
          </w:p>
        </w:tc>
      </w:tr>
      <w:tr w:rsidR="00895D0B" w:rsidRPr="00895D0B" w14:paraId="2AA347AF" w14:textId="77777777">
        <w:tc>
          <w:tcPr>
            <w:tcW w:w="4106" w:type="dxa"/>
          </w:tcPr>
          <w:p w14:paraId="178B64D1"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41 – 50</w:t>
            </w:r>
          </w:p>
        </w:tc>
        <w:tc>
          <w:tcPr>
            <w:tcW w:w="1688" w:type="dxa"/>
            <w:shd w:val="clear" w:color="auto" w:fill="FFFFFF"/>
            <w:vAlign w:val="center"/>
          </w:tcPr>
          <w:p w14:paraId="59A75B46"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.461</w:t>
            </w:r>
          </w:p>
        </w:tc>
        <w:tc>
          <w:tcPr>
            <w:tcW w:w="1359" w:type="dxa"/>
            <w:shd w:val="clear" w:color="auto" w:fill="FFFFFF"/>
            <w:vAlign w:val="center"/>
          </w:tcPr>
          <w:p w14:paraId="046572DC"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.627</w:t>
            </w:r>
          </w:p>
        </w:tc>
        <w:tc>
          <w:tcPr>
            <w:tcW w:w="1863" w:type="dxa"/>
            <w:shd w:val="clear" w:color="auto" w:fill="FFFFFF"/>
            <w:vAlign w:val="center"/>
          </w:tcPr>
          <w:p w14:paraId="42F4210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1.251</w:t>
            </w:r>
          </w:p>
        </w:tc>
      </w:tr>
      <w:tr w:rsidR="00895D0B" w:rsidRPr="00895D0B" w14:paraId="729A5738" w14:textId="77777777">
        <w:tc>
          <w:tcPr>
            <w:tcW w:w="4106" w:type="dxa"/>
          </w:tcPr>
          <w:p w14:paraId="5501C503"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51 – 60</w:t>
            </w:r>
          </w:p>
        </w:tc>
        <w:tc>
          <w:tcPr>
            <w:tcW w:w="1688" w:type="dxa"/>
            <w:shd w:val="clear" w:color="auto" w:fill="FFFFFF"/>
            <w:vAlign w:val="center"/>
          </w:tcPr>
          <w:p w14:paraId="3FEFE60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.605</w:t>
            </w:r>
          </w:p>
        </w:tc>
        <w:tc>
          <w:tcPr>
            <w:tcW w:w="1359" w:type="dxa"/>
            <w:shd w:val="clear" w:color="auto" w:fill="FFFFFF"/>
            <w:vAlign w:val="center"/>
          </w:tcPr>
          <w:p w14:paraId="7158372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.461</w:t>
            </w:r>
          </w:p>
        </w:tc>
        <w:tc>
          <w:tcPr>
            <w:tcW w:w="1863" w:type="dxa"/>
            <w:shd w:val="clear" w:color="auto" w:fill="FFFFFF"/>
            <w:vAlign w:val="center"/>
          </w:tcPr>
          <w:p w14:paraId="60492EE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1.562</w:t>
            </w:r>
          </w:p>
        </w:tc>
      </w:tr>
      <w:tr w:rsidR="00895D0B" w:rsidRPr="00895D0B" w14:paraId="10811BEC" w14:textId="77777777">
        <w:tc>
          <w:tcPr>
            <w:tcW w:w="4106" w:type="dxa"/>
          </w:tcPr>
          <w:p w14:paraId="2610FBBA"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 61 and above </w:t>
            </w:r>
          </w:p>
        </w:tc>
        <w:tc>
          <w:tcPr>
            <w:tcW w:w="1688" w:type="dxa"/>
            <w:shd w:val="clear" w:color="auto" w:fill="FFFFFF"/>
            <w:vAlign w:val="center"/>
          </w:tcPr>
          <w:p w14:paraId="7495D62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.267</w:t>
            </w:r>
          </w:p>
        </w:tc>
        <w:tc>
          <w:tcPr>
            <w:tcW w:w="1359" w:type="dxa"/>
            <w:shd w:val="clear" w:color="auto" w:fill="FFFFFF"/>
            <w:vAlign w:val="center"/>
          </w:tcPr>
          <w:p w14:paraId="3344755F"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.999</w:t>
            </w:r>
          </w:p>
        </w:tc>
        <w:tc>
          <w:tcPr>
            <w:tcW w:w="1863" w:type="dxa"/>
            <w:shd w:val="clear" w:color="auto" w:fill="FFFFFF"/>
            <w:vAlign w:val="center"/>
          </w:tcPr>
          <w:p w14:paraId="64579F24"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.000</w:t>
            </w:r>
          </w:p>
        </w:tc>
      </w:tr>
      <w:tr w:rsidR="00895D0B" w:rsidRPr="00895D0B" w14:paraId="08501573" w14:textId="77777777">
        <w:tc>
          <w:tcPr>
            <w:tcW w:w="9016" w:type="dxa"/>
            <w:gridSpan w:val="4"/>
          </w:tcPr>
          <w:p w14:paraId="4418D92B" w14:textId="77777777" w:rsidR="001B4ED5" w:rsidRPr="00895D0B" w:rsidRDefault="006B41C0">
            <w:pPr>
              <w:spacing w:line="240" w:lineRule="auto"/>
              <w:rPr>
                <w:rFonts w:cs="Times New Roman"/>
                <w:color w:val="000000" w:themeColor="text1"/>
                <w:szCs w:val="24"/>
              </w:rPr>
            </w:pPr>
            <w:r w:rsidRPr="00895D0B">
              <w:rPr>
                <w:rFonts w:cs="Times New Roman"/>
                <w:b/>
                <w:color w:val="000000" w:themeColor="text1"/>
                <w:szCs w:val="24"/>
              </w:rPr>
              <w:t>Marital Status</w:t>
            </w:r>
          </w:p>
        </w:tc>
      </w:tr>
      <w:tr w:rsidR="00895D0B" w:rsidRPr="00895D0B" w14:paraId="5E4EB75F" w14:textId="77777777">
        <w:tc>
          <w:tcPr>
            <w:tcW w:w="4106" w:type="dxa"/>
          </w:tcPr>
          <w:p w14:paraId="0353938E"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Never Married (</w:t>
            </w:r>
            <w:r w:rsidRPr="00895D0B">
              <w:rPr>
                <w:rFonts w:cs="Times New Roman"/>
                <w:b/>
                <w:color w:val="000000" w:themeColor="text1"/>
                <w:szCs w:val="24"/>
              </w:rPr>
              <w:t>Reference Category</w:t>
            </w:r>
            <w:r w:rsidRPr="00895D0B">
              <w:rPr>
                <w:rFonts w:cs="Times New Roman"/>
                <w:color w:val="000000" w:themeColor="text1"/>
                <w:szCs w:val="24"/>
              </w:rPr>
              <w:t>)</w:t>
            </w:r>
          </w:p>
        </w:tc>
        <w:tc>
          <w:tcPr>
            <w:tcW w:w="1688" w:type="dxa"/>
            <w:vAlign w:val="center"/>
          </w:tcPr>
          <w:p w14:paraId="3850599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1.00</w:t>
            </w:r>
          </w:p>
        </w:tc>
        <w:tc>
          <w:tcPr>
            <w:tcW w:w="1359" w:type="dxa"/>
            <w:vAlign w:val="center"/>
          </w:tcPr>
          <w:p w14:paraId="7D8A0019" w14:textId="77777777" w:rsidR="001B4ED5" w:rsidRPr="00895D0B" w:rsidRDefault="001B4ED5">
            <w:pPr>
              <w:autoSpaceDE w:val="0"/>
              <w:autoSpaceDN w:val="0"/>
              <w:adjustRightInd w:val="0"/>
              <w:spacing w:line="240" w:lineRule="auto"/>
              <w:ind w:left="60" w:right="60"/>
              <w:jc w:val="right"/>
              <w:rPr>
                <w:rFonts w:cs="Times New Roman"/>
                <w:color w:val="000000" w:themeColor="text1"/>
                <w:szCs w:val="24"/>
              </w:rPr>
            </w:pPr>
          </w:p>
        </w:tc>
        <w:tc>
          <w:tcPr>
            <w:tcW w:w="1863" w:type="dxa"/>
          </w:tcPr>
          <w:p w14:paraId="3232B4CC" w14:textId="77777777" w:rsidR="001B4ED5" w:rsidRPr="00895D0B" w:rsidRDefault="001B4ED5">
            <w:pPr>
              <w:spacing w:line="240" w:lineRule="auto"/>
              <w:jc w:val="center"/>
              <w:rPr>
                <w:rFonts w:cs="Times New Roman"/>
                <w:color w:val="000000" w:themeColor="text1"/>
                <w:szCs w:val="24"/>
              </w:rPr>
            </w:pPr>
          </w:p>
        </w:tc>
      </w:tr>
      <w:tr w:rsidR="00895D0B" w:rsidRPr="00895D0B" w14:paraId="542D33A8" w14:textId="77777777">
        <w:tc>
          <w:tcPr>
            <w:tcW w:w="4106" w:type="dxa"/>
          </w:tcPr>
          <w:p w14:paraId="0CDD995F"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Married </w:t>
            </w:r>
          </w:p>
        </w:tc>
        <w:tc>
          <w:tcPr>
            <w:tcW w:w="1688" w:type="dxa"/>
            <w:vAlign w:val="center"/>
          </w:tcPr>
          <w:p w14:paraId="2C518D8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.657</w:t>
            </w:r>
          </w:p>
        </w:tc>
        <w:tc>
          <w:tcPr>
            <w:tcW w:w="1359" w:type="dxa"/>
            <w:vAlign w:val="center"/>
          </w:tcPr>
          <w:p w14:paraId="4FAF60D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2.168</w:t>
            </w:r>
          </w:p>
        </w:tc>
        <w:tc>
          <w:tcPr>
            <w:tcW w:w="1863" w:type="dxa"/>
            <w:vAlign w:val="center"/>
          </w:tcPr>
          <w:p w14:paraId="1622E80F"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.239</w:t>
            </w:r>
          </w:p>
        </w:tc>
      </w:tr>
      <w:tr w:rsidR="00895D0B" w:rsidRPr="00895D0B" w14:paraId="4DD8347D" w14:textId="77777777">
        <w:tc>
          <w:tcPr>
            <w:tcW w:w="4106" w:type="dxa"/>
          </w:tcPr>
          <w:p w14:paraId="65239450"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Separated </w:t>
            </w:r>
          </w:p>
        </w:tc>
        <w:tc>
          <w:tcPr>
            <w:tcW w:w="1688" w:type="dxa"/>
            <w:vAlign w:val="center"/>
          </w:tcPr>
          <w:p w14:paraId="20FDAA9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.565</w:t>
            </w:r>
          </w:p>
        </w:tc>
        <w:tc>
          <w:tcPr>
            <w:tcW w:w="1359" w:type="dxa"/>
            <w:vAlign w:val="center"/>
          </w:tcPr>
          <w:p w14:paraId="3E85269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1.324</w:t>
            </w:r>
          </w:p>
        </w:tc>
        <w:tc>
          <w:tcPr>
            <w:tcW w:w="1863" w:type="dxa"/>
            <w:vAlign w:val="center"/>
          </w:tcPr>
          <w:p w14:paraId="15252A6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.619</w:t>
            </w:r>
          </w:p>
        </w:tc>
      </w:tr>
      <w:tr w:rsidR="00895D0B" w:rsidRPr="00895D0B" w14:paraId="4DA91D7D" w14:textId="77777777">
        <w:tc>
          <w:tcPr>
            <w:tcW w:w="4106" w:type="dxa"/>
          </w:tcPr>
          <w:p w14:paraId="7A628A68"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Widow/Widower</w:t>
            </w:r>
          </w:p>
        </w:tc>
        <w:tc>
          <w:tcPr>
            <w:tcW w:w="1688" w:type="dxa"/>
            <w:vAlign w:val="center"/>
          </w:tcPr>
          <w:p w14:paraId="3164A04F"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.960</w:t>
            </w:r>
          </w:p>
        </w:tc>
        <w:tc>
          <w:tcPr>
            <w:tcW w:w="1359" w:type="dxa"/>
            <w:vAlign w:val="center"/>
          </w:tcPr>
          <w:p w14:paraId="7C66B92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11.813</w:t>
            </w:r>
          </w:p>
        </w:tc>
        <w:tc>
          <w:tcPr>
            <w:tcW w:w="1863" w:type="dxa"/>
            <w:vAlign w:val="center"/>
          </w:tcPr>
          <w:p w14:paraId="0BDA382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.010</w:t>
            </w:r>
          </w:p>
        </w:tc>
      </w:tr>
      <w:tr w:rsidR="00895D0B" w:rsidRPr="00895D0B" w14:paraId="1CF26E05" w14:textId="77777777">
        <w:tc>
          <w:tcPr>
            <w:tcW w:w="9016" w:type="dxa"/>
            <w:gridSpan w:val="4"/>
          </w:tcPr>
          <w:p w14:paraId="6BDD1EC5" w14:textId="77777777" w:rsidR="001B4ED5" w:rsidRPr="00895D0B" w:rsidRDefault="006B41C0">
            <w:pPr>
              <w:spacing w:line="240" w:lineRule="auto"/>
              <w:rPr>
                <w:rFonts w:cs="Times New Roman"/>
                <w:color w:val="000000" w:themeColor="text1"/>
                <w:szCs w:val="24"/>
              </w:rPr>
            </w:pPr>
            <w:r w:rsidRPr="00895D0B">
              <w:rPr>
                <w:rFonts w:cs="Times New Roman"/>
                <w:b/>
                <w:color w:val="000000" w:themeColor="text1"/>
                <w:szCs w:val="24"/>
              </w:rPr>
              <w:t>Employment Type</w:t>
            </w:r>
          </w:p>
        </w:tc>
      </w:tr>
      <w:tr w:rsidR="00895D0B" w:rsidRPr="00895D0B" w14:paraId="787114F1" w14:textId="77777777">
        <w:tc>
          <w:tcPr>
            <w:tcW w:w="4106" w:type="dxa"/>
          </w:tcPr>
          <w:p w14:paraId="1B737270"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Formal (</w:t>
            </w:r>
            <w:r w:rsidRPr="00895D0B">
              <w:rPr>
                <w:rFonts w:cs="Times New Roman"/>
                <w:b/>
                <w:color w:val="000000" w:themeColor="text1"/>
                <w:szCs w:val="24"/>
              </w:rPr>
              <w:t>Reference Category</w:t>
            </w:r>
            <w:r w:rsidRPr="00895D0B">
              <w:rPr>
                <w:rFonts w:cs="Times New Roman"/>
                <w:color w:val="000000" w:themeColor="text1"/>
                <w:szCs w:val="24"/>
              </w:rPr>
              <w:t>)</w:t>
            </w:r>
          </w:p>
        </w:tc>
        <w:tc>
          <w:tcPr>
            <w:tcW w:w="1688" w:type="dxa"/>
            <w:vAlign w:val="center"/>
          </w:tcPr>
          <w:p w14:paraId="36F9E424"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1.00</w:t>
            </w:r>
          </w:p>
        </w:tc>
        <w:tc>
          <w:tcPr>
            <w:tcW w:w="1359" w:type="dxa"/>
            <w:vAlign w:val="center"/>
          </w:tcPr>
          <w:p w14:paraId="2BB20E6C" w14:textId="77777777" w:rsidR="001B4ED5" w:rsidRPr="00895D0B" w:rsidRDefault="001B4ED5">
            <w:pPr>
              <w:autoSpaceDE w:val="0"/>
              <w:autoSpaceDN w:val="0"/>
              <w:adjustRightInd w:val="0"/>
              <w:spacing w:line="240" w:lineRule="auto"/>
              <w:ind w:left="60" w:right="60"/>
              <w:jc w:val="right"/>
              <w:rPr>
                <w:rFonts w:cs="Times New Roman"/>
                <w:color w:val="000000" w:themeColor="text1"/>
                <w:szCs w:val="24"/>
              </w:rPr>
            </w:pPr>
          </w:p>
        </w:tc>
        <w:tc>
          <w:tcPr>
            <w:tcW w:w="1863" w:type="dxa"/>
            <w:vAlign w:val="center"/>
          </w:tcPr>
          <w:p w14:paraId="68E01ACD" w14:textId="77777777" w:rsidR="001B4ED5" w:rsidRPr="00895D0B" w:rsidRDefault="001B4ED5">
            <w:pPr>
              <w:autoSpaceDE w:val="0"/>
              <w:autoSpaceDN w:val="0"/>
              <w:adjustRightInd w:val="0"/>
              <w:spacing w:line="240" w:lineRule="auto"/>
              <w:ind w:left="60" w:right="60"/>
              <w:jc w:val="center"/>
              <w:rPr>
                <w:rFonts w:cs="Times New Roman"/>
                <w:color w:val="000000" w:themeColor="text1"/>
                <w:szCs w:val="24"/>
              </w:rPr>
            </w:pPr>
          </w:p>
        </w:tc>
      </w:tr>
      <w:tr w:rsidR="00895D0B" w:rsidRPr="00895D0B" w14:paraId="6435B84C" w14:textId="77777777">
        <w:tc>
          <w:tcPr>
            <w:tcW w:w="4106" w:type="dxa"/>
          </w:tcPr>
          <w:p w14:paraId="253D6607"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Informal </w:t>
            </w:r>
          </w:p>
        </w:tc>
        <w:tc>
          <w:tcPr>
            <w:tcW w:w="1688" w:type="dxa"/>
            <w:vAlign w:val="center"/>
          </w:tcPr>
          <w:p w14:paraId="3F7FD36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1.112</w:t>
            </w:r>
          </w:p>
        </w:tc>
        <w:tc>
          <w:tcPr>
            <w:tcW w:w="1359" w:type="dxa"/>
            <w:vAlign w:val="center"/>
          </w:tcPr>
          <w:p w14:paraId="25DE5E2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.756</w:t>
            </w:r>
          </w:p>
        </w:tc>
        <w:tc>
          <w:tcPr>
            <w:tcW w:w="1863" w:type="dxa"/>
            <w:vAlign w:val="center"/>
          </w:tcPr>
          <w:p w14:paraId="5ECFC7ED"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.342</w:t>
            </w:r>
          </w:p>
        </w:tc>
      </w:tr>
      <w:tr w:rsidR="00895D0B" w:rsidRPr="00895D0B" w14:paraId="2B222CE6" w14:textId="77777777">
        <w:tc>
          <w:tcPr>
            <w:tcW w:w="9016" w:type="dxa"/>
            <w:gridSpan w:val="4"/>
          </w:tcPr>
          <w:p w14:paraId="7BEC1658" w14:textId="77777777" w:rsidR="001B4ED5" w:rsidRPr="00895D0B" w:rsidRDefault="006B41C0">
            <w:pPr>
              <w:spacing w:line="240" w:lineRule="auto"/>
              <w:rPr>
                <w:rFonts w:cs="Times New Roman"/>
                <w:color w:val="000000" w:themeColor="text1"/>
                <w:szCs w:val="24"/>
              </w:rPr>
            </w:pPr>
            <w:r w:rsidRPr="00895D0B">
              <w:rPr>
                <w:rFonts w:cs="Times New Roman"/>
                <w:b/>
                <w:color w:val="000000" w:themeColor="text1"/>
                <w:szCs w:val="24"/>
              </w:rPr>
              <w:t>Educational Status</w:t>
            </w:r>
          </w:p>
        </w:tc>
      </w:tr>
      <w:tr w:rsidR="00895D0B" w:rsidRPr="00895D0B" w14:paraId="324B20F0" w14:textId="77777777">
        <w:tc>
          <w:tcPr>
            <w:tcW w:w="4106" w:type="dxa"/>
          </w:tcPr>
          <w:p w14:paraId="59214201"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No Formal Education (</w:t>
            </w:r>
            <w:r w:rsidRPr="00895D0B">
              <w:rPr>
                <w:rFonts w:cs="Times New Roman"/>
                <w:b/>
                <w:color w:val="000000" w:themeColor="text1"/>
                <w:szCs w:val="24"/>
              </w:rPr>
              <w:t>Reference Category</w:t>
            </w:r>
            <w:r w:rsidRPr="00895D0B">
              <w:rPr>
                <w:rFonts w:cs="Times New Roman"/>
                <w:color w:val="000000" w:themeColor="text1"/>
                <w:szCs w:val="24"/>
              </w:rPr>
              <w:t>)</w:t>
            </w:r>
          </w:p>
        </w:tc>
        <w:tc>
          <w:tcPr>
            <w:tcW w:w="1688" w:type="dxa"/>
            <w:vAlign w:val="center"/>
          </w:tcPr>
          <w:p w14:paraId="6BEE010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1.00</w:t>
            </w:r>
          </w:p>
        </w:tc>
        <w:tc>
          <w:tcPr>
            <w:tcW w:w="1359" w:type="dxa"/>
            <w:vAlign w:val="center"/>
          </w:tcPr>
          <w:p w14:paraId="24AA02CC" w14:textId="77777777" w:rsidR="001B4ED5" w:rsidRPr="00895D0B" w:rsidRDefault="001B4ED5">
            <w:pPr>
              <w:autoSpaceDE w:val="0"/>
              <w:autoSpaceDN w:val="0"/>
              <w:adjustRightInd w:val="0"/>
              <w:spacing w:line="240" w:lineRule="auto"/>
              <w:ind w:left="60" w:right="60"/>
              <w:jc w:val="center"/>
              <w:rPr>
                <w:rFonts w:cs="Times New Roman"/>
                <w:color w:val="000000" w:themeColor="text1"/>
                <w:szCs w:val="24"/>
              </w:rPr>
            </w:pPr>
          </w:p>
        </w:tc>
        <w:tc>
          <w:tcPr>
            <w:tcW w:w="1863" w:type="dxa"/>
          </w:tcPr>
          <w:p w14:paraId="293A07D4" w14:textId="77777777" w:rsidR="001B4ED5" w:rsidRPr="00895D0B" w:rsidRDefault="001B4ED5">
            <w:pPr>
              <w:spacing w:line="240" w:lineRule="auto"/>
              <w:jc w:val="center"/>
              <w:rPr>
                <w:rFonts w:cs="Times New Roman"/>
                <w:color w:val="000000" w:themeColor="text1"/>
                <w:szCs w:val="24"/>
              </w:rPr>
            </w:pPr>
          </w:p>
        </w:tc>
      </w:tr>
      <w:tr w:rsidR="00895D0B" w:rsidRPr="00895D0B" w14:paraId="05FF6EE3" w14:textId="77777777">
        <w:tc>
          <w:tcPr>
            <w:tcW w:w="4106" w:type="dxa"/>
          </w:tcPr>
          <w:p w14:paraId="073B77A0"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Basic Education/Middle School</w:t>
            </w:r>
          </w:p>
        </w:tc>
        <w:tc>
          <w:tcPr>
            <w:tcW w:w="1688" w:type="dxa"/>
            <w:vAlign w:val="center"/>
          </w:tcPr>
          <w:p w14:paraId="0F68DFD6"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.647</w:t>
            </w:r>
          </w:p>
        </w:tc>
        <w:tc>
          <w:tcPr>
            <w:tcW w:w="1359" w:type="dxa"/>
            <w:vAlign w:val="center"/>
          </w:tcPr>
          <w:p w14:paraId="455FDCC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.346</w:t>
            </w:r>
          </w:p>
        </w:tc>
        <w:tc>
          <w:tcPr>
            <w:tcW w:w="1863" w:type="dxa"/>
            <w:vAlign w:val="center"/>
          </w:tcPr>
          <w:p w14:paraId="09A47A9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.462</w:t>
            </w:r>
          </w:p>
        </w:tc>
      </w:tr>
      <w:tr w:rsidR="00895D0B" w:rsidRPr="00895D0B" w14:paraId="045BF6EF" w14:textId="77777777">
        <w:tc>
          <w:tcPr>
            <w:tcW w:w="4106" w:type="dxa"/>
          </w:tcPr>
          <w:p w14:paraId="334DBC41"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SHS/Secondary/Vocational</w:t>
            </w:r>
          </w:p>
        </w:tc>
        <w:tc>
          <w:tcPr>
            <w:tcW w:w="1688" w:type="dxa"/>
            <w:vAlign w:val="center"/>
          </w:tcPr>
          <w:p w14:paraId="483BCF8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.930</w:t>
            </w:r>
          </w:p>
        </w:tc>
        <w:tc>
          <w:tcPr>
            <w:tcW w:w="1359" w:type="dxa"/>
            <w:vAlign w:val="center"/>
          </w:tcPr>
          <w:p w14:paraId="39950D3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.865</w:t>
            </w:r>
          </w:p>
        </w:tc>
        <w:tc>
          <w:tcPr>
            <w:tcW w:w="1863" w:type="dxa"/>
            <w:vAlign w:val="center"/>
          </w:tcPr>
          <w:p w14:paraId="2628C00A"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.425</w:t>
            </w:r>
          </w:p>
        </w:tc>
      </w:tr>
      <w:tr w:rsidR="00895D0B" w:rsidRPr="00895D0B" w14:paraId="326BEA28" w14:textId="77777777">
        <w:tc>
          <w:tcPr>
            <w:tcW w:w="4106" w:type="dxa"/>
          </w:tcPr>
          <w:p w14:paraId="571CE43F"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Tertiary </w:t>
            </w:r>
          </w:p>
        </w:tc>
        <w:tc>
          <w:tcPr>
            <w:tcW w:w="1688" w:type="dxa"/>
            <w:vAlign w:val="center"/>
          </w:tcPr>
          <w:p w14:paraId="0A6D3249"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1.430</w:t>
            </w:r>
          </w:p>
        </w:tc>
        <w:tc>
          <w:tcPr>
            <w:tcW w:w="1359" w:type="dxa"/>
            <w:vAlign w:val="center"/>
          </w:tcPr>
          <w:p w14:paraId="1A2ED57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.283</w:t>
            </w:r>
          </w:p>
        </w:tc>
        <w:tc>
          <w:tcPr>
            <w:tcW w:w="1863" w:type="dxa"/>
            <w:vAlign w:val="center"/>
          </w:tcPr>
          <w:p w14:paraId="11C0F461"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.333</w:t>
            </w:r>
          </w:p>
        </w:tc>
      </w:tr>
      <w:tr w:rsidR="00895D0B" w:rsidRPr="00895D0B" w14:paraId="13A035C9" w14:textId="77777777">
        <w:tc>
          <w:tcPr>
            <w:tcW w:w="9016" w:type="dxa"/>
            <w:gridSpan w:val="4"/>
          </w:tcPr>
          <w:p w14:paraId="7102CDDB" w14:textId="77777777" w:rsidR="001B4ED5" w:rsidRPr="00895D0B" w:rsidRDefault="006B41C0">
            <w:pPr>
              <w:spacing w:line="240" w:lineRule="auto"/>
              <w:rPr>
                <w:rFonts w:cs="Times New Roman"/>
                <w:color w:val="000000" w:themeColor="text1"/>
                <w:szCs w:val="24"/>
              </w:rPr>
            </w:pPr>
            <w:r w:rsidRPr="00895D0B">
              <w:rPr>
                <w:rFonts w:cs="Times New Roman"/>
                <w:b/>
                <w:color w:val="000000" w:themeColor="text1"/>
                <w:szCs w:val="24"/>
              </w:rPr>
              <w:t>Household Size</w:t>
            </w:r>
          </w:p>
        </w:tc>
      </w:tr>
      <w:tr w:rsidR="00895D0B" w:rsidRPr="00895D0B" w14:paraId="69FA0918" w14:textId="77777777">
        <w:tc>
          <w:tcPr>
            <w:tcW w:w="4106" w:type="dxa"/>
          </w:tcPr>
          <w:p w14:paraId="043C10CD"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1 – 5 members (</w:t>
            </w:r>
            <w:r w:rsidRPr="00895D0B">
              <w:rPr>
                <w:rFonts w:cs="Times New Roman"/>
                <w:b/>
                <w:color w:val="000000" w:themeColor="text1"/>
                <w:szCs w:val="24"/>
              </w:rPr>
              <w:t>Reference Category</w:t>
            </w:r>
            <w:r w:rsidRPr="00895D0B">
              <w:rPr>
                <w:rFonts w:cs="Times New Roman"/>
                <w:color w:val="000000" w:themeColor="text1"/>
                <w:szCs w:val="24"/>
              </w:rPr>
              <w:t>)</w:t>
            </w:r>
          </w:p>
        </w:tc>
        <w:tc>
          <w:tcPr>
            <w:tcW w:w="1688" w:type="dxa"/>
            <w:vAlign w:val="center"/>
          </w:tcPr>
          <w:p w14:paraId="0F5D457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1.00</w:t>
            </w:r>
          </w:p>
        </w:tc>
        <w:tc>
          <w:tcPr>
            <w:tcW w:w="1359" w:type="dxa"/>
            <w:vAlign w:val="center"/>
          </w:tcPr>
          <w:p w14:paraId="083EBA87" w14:textId="77777777" w:rsidR="001B4ED5" w:rsidRPr="00895D0B" w:rsidRDefault="001B4ED5">
            <w:pPr>
              <w:autoSpaceDE w:val="0"/>
              <w:autoSpaceDN w:val="0"/>
              <w:adjustRightInd w:val="0"/>
              <w:spacing w:line="240" w:lineRule="auto"/>
              <w:ind w:left="60" w:right="60"/>
              <w:jc w:val="right"/>
              <w:rPr>
                <w:rFonts w:cs="Times New Roman"/>
                <w:color w:val="000000" w:themeColor="text1"/>
                <w:szCs w:val="24"/>
              </w:rPr>
            </w:pPr>
          </w:p>
        </w:tc>
        <w:tc>
          <w:tcPr>
            <w:tcW w:w="1863" w:type="dxa"/>
            <w:vAlign w:val="center"/>
          </w:tcPr>
          <w:p w14:paraId="69868DC7" w14:textId="77777777" w:rsidR="001B4ED5" w:rsidRPr="00895D0B" w:rsidRDefault="001B4ED5">
            <w:pPr>
              <w:autoSpaceDE w:val="0"/>
              <w:autoSpaceDN w:val="0"/>
              <w:adjustRightInd w:val="0"/>
              <w:spacing w:line="240" w:lineRule="auto"/>
              <w:ind w:left="60" w:right="60"/>
              <w:jc w:val="center"/>
              <w:rPr>
                <w:rFonts w:cs="Times New Roman"/>
                <w:color w:val="000000" w:themeColor="text1"/>
                <w:szCs w:val="24"/>
              </w:rPr>
            </w:pPr>
          </w:p>
        </w:tc>
      </w:tr>
      <w:tr w:rsidR="00895D0B" w:rsidRPr="00895D0B" w14:paraId="1CD38093" w14:textId="77777777">
        <w:tc>
          <w:tcPr>
            <w:tcW w:w="4106" w:type="dxa"/>
          </w:tcPr>
          <w:p w14:paraId="383BDCF3"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More than 5 members </w:t>
            </w:r>
          </w:p>
        </w:tc>
        <w:tc>
          <w:tcPr>
            <w:tcW w:w="1688" w:type="dxa"/>
            <w:vAlign w:val="center"/>
          </w:tcPr>
          <w:p w14:paraId="6B981A16" w14:textId="77777777" w:rsidR="001B4ED5" w:rsidRPr="00895D0B" w:rsidRDefault="006B41C0">
            <w:pPr>
              <w:autoSpaceDE w:val="0"/>
              <w:autoSpaceDN w:val="0"/>
              <w:adjustRightInd w:val="0"/>
              <w:spacing w:line="240" w:lineRule="auto"/>
              <w:ind w:right="60"/>
              <w:jc w:val="center"/>
              <w:rPr>
                <w:rFonts w:cs="Times New Roman"/>
                <w:color w:val="000000" w:themeColor="text1"/>
                <w:szCs w:val="24"/>
              </w:rPr>
            </w:pPr>
            <w:r w:rsidRPr="00895D0B">
              <w:rPr>
                <w:rFonts w:cs="Times New Roman"/>
                <w:color w:val="000000" w:themeColor="text1"/>
                <w:szCs w:val="24"/>
              </w:rPr>
              <w:t>.497*</w:t>
            </w:r>
          </w:p>
        </w:tc>
        <w:tc>
          <w:tcPr>
            <w:tcW w:w="1359" w:type="dxa"/>
            <w:vAlign w:val="center"/>
          </w:tcPr>
          <w:p w14:paraId="452DA69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.011</w:t>
            </w:r>
          </w:p>
        </w:tc>
        <w:tc>
          <w:tcPr>
            <w:tcW w:w="1863" w:type="dxa"/>
            <w:vAlign w:val="center"/>
          </w:tcPr>
          <w:p w14:paraId="035CDE94"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277</w:t>
            </w:r>
          </w:p>
        </w:tc>
      </w:tr>
      <w:tr w:rsidR="00895D0B" w:rsidRPr="00895D0B" w14:paraId="6989B248" w14:textId="77777777">
        <w:tc>
          <w:tcPr>
            <w:tcW w:w="9016" w:type="dxa"/>
            <w:gridSpan w:val="4"/>
          </w:tcPr>
          <w:p w14:paraId="78F852B4" w14:textId="77777777" w:rsidR="001B4ED5" w:rsidRPr="00895D0B" w:rsidRDefault="006B41C0">
            <w:pPr>
              <w:spacing w:line="240" w:lineRule="auto"/>
              <w:rPr>
                <w:rFonts w:cs="Times New Roman"/>
                <w:color w:val="000000" w:themeColor="text1"/>
                <w:szCs w:val="24"/>
              </w:rPr>
            </w:pPr>
            <w:r w:rsidRPr="00895D0B">
              <w:rPr>
                <w:rFonts w:cs="Times New Roman"/>
                <w:b/>
                <w:color w:val="000000" w:themeColor="text1"/>
                <w:szCs w:val="24"/>
              </w:rPr>
              <w:t>Household Monthly Income (GHS)</w:t>
            </w:r>
          </w:p>
        </w:tc>
      </w:tr>
      <w:tr w:rsidR="00895D0B" w:rsidRPr="00895D0B" w14:paraId="72934955" w14:textId="77777777">
        <w:tc>
          <w:tcPr>
            <w:tcW w:w="4106" w:type="dxa"/>
          </w:tcPr>
          <w:p w14:paraId="62896DC3"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&lt; 1, 000.00 (</w:t>
            </w:r>
            <w:r w:rsidRPr="00895D0B">
              <w:rPr>
                <w:rFonts w:cs="Times New Roman"/>
                <w:b/>
                <w:color w:val="000000" w:themeColor="text1"/>
                <w:szCs w:val="24"/>
              </w:rPr>
              <w:t>Reference Category</w:t>
            </w:r>
            <w:r w:rsidRPr="00895D0B">
              <w:rPr>
                <w:rFonts w:cs="Times New Roman"/>
                <w:color w:val="000000" w:themeColor="text1"/>
                <w:szCs w:val="24"/>
              </w:rPr>
              <w:t>)</w:t>
            </w:r>
          </w:p>
        </w:tc>
        <w:tc>
          <w:tcPr>
            <w:tcW w:w="1688" w:type="dxa"/>
            <w:vAlign w:val="center"/>
          </w:tcPr>
          <w:p w14:paraId="4D44CA79"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1.00</w:t>
            </w:r>
          </w:p>
        </w:tc>
        <w:tc>
          <w:tcPr>
            <w:tcW w:w="1359" w:type="dxa"/>
            <w:vAlign w:val="center"/>
          </w:tcPr>
          <w:p w14:paraId="63186EBA" w14:textId="77777777" w:rsidR="001B4ED5" w:rsidRPr="00895D0B" w:rsidRDefault="001B4ED5">
            <w:pPr>
              <w:autoSpaceDE w:val="0"/>
              <w:autoSpaceDN w:val="0"/>
              <w:adjustRightInd w:val="0"/>
              <w:spacing w:line="240" w:lineRule="auto"/>
              <w:ind w:left="60" w:right="60"/>
              <w:jc w:val="right"/>
              <w:rPr>
                <w:rFonts w:cs="Times New Roman"/>
                <w:color w:val="000000" w:themeColor="text1"/>
                <w:szCs w:val="24"/>
              </w:rPr>
            </w:pPr>
          </w:p>
        </w:tc>
        <w:tc>
          <w:tcPr>
            <w:tcW w:w="1863" w:type="dxa"/>
            <w:vAlign w:val="center"/>
          </w:tcPr>
          <w:p w14:paraId="3B5CCF8E" w14:textId="77777777" w:rsidR="001B4ED5" w:rsidRPr="00895D0B" w:rsidRDefault="001B4ED5">
            <w:pPr>
              <w:autoSpaceDE w:val="0"/>
              <w:autoSpaceDN w:val="0"/>
              <w:adjustRightInd w:val="0"/>
              <w:spacing w:line="240" w:lineRule="auto"/>
              <w:ind w:left="60" w:right="60"/>
              <w:jc w:val="center"/>
              <w:rPr>
                <w:rFonts w:cs="Times New Roman"/>
                <w:color w:val="000000" w:themeColor="text1"/>
                <w:szCs w:val="24"/>
              </w:rPr>
            </w:pPr>
          </w:p>
        </w:tc>
      </w:tr>
      <w:tr w:rsidR="00895D0B" w:rsidRPr="00895D0B" w14:paraId="5C56DBFB" w14:textId="77777777">
        <w:tc>
          <w:tcPr>
            <w:tcW w:w="4106" w:type="dxa"/>
            <w:tcBorders>
              <w:top w:val="nil"/>
              <w:left w:val="nil"/>
              <w:bottom w:val="single" w:sz="4" w:space="0" w:color="auto"/>
              <w:right w:val="nil"/>
            </w:tcBorders>
          </w:tcPr>
          <w:p w14:paraId="17713E6A"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&gt; 1. 000.00</w:t>
            </w:r>
          </w:p>
        </w:tc>
        <w:tc>
          <w:tcPr>
            <w:tcW w:w="1688" w:type="dxa"/>
            <w:tcBorders>
              <w:top w:val="nil"/>
              <w:left w:val="nil"/>
              <w:bottom w:val="single" w:sz="4" w:space="0" w:color="auto"/>
              <w:right w:val="nil"/>
            </w:tcBorders>
            <w:vAlign w:val="center"/>
          </w:tcPr>
          <w:p w14:paraId="6E7417C9" w14:textId="77777777" w:rsidR="001B4ED5" w:rsidRPr="00895D0B" w:rsidRDefault="006B41C0">
            <w:pPr>
              <w:autoSpaceDE w:val="0"/>
              <w:autoSpaceDN w:val="0"/>
              <w:adjustRightInd w:val="0"/>
              <w:spacing w:line="240" w:lineRule="auto"/>
              <w:ind w:right="60"/>
              <w:jc w:val="center"/>
              <w:rPr>
                <w:rFonts w:cs="Times New Roman"/>
                <w:color w:val="000000" w:themeColor="text1"/>
                <w:szCs w:val="24"/>
              </w:rPr>
            </w:pPr>
            <w:r w:rsidRPr="00895D0B">
              <w:rPr>
                <w:rFonts w:cs="Times New Roman"/>
                <w:color w:val="000000" w:themeColor="text1"/>
                <w:szCs w:val="24"/>
              </w:rPr>
              <w:t>3.312**</w:t>
            </w:r>
          </w:p>
        </w:tc>
        <w:tc>
          <w:tcPr>
            <w:tcW w:w="1359" w:type="dxa"/>
            <w:tcBorders>
              <w:top w:val="nil"/>
              <w:left w:val="nil"/>
              <w:bottom w:val="single" w:sz="4" w:space="0" w:color="auto"/>
              <w:right w:val="nil"/>
            </w:tcBorders>
            <w:vAlign w:val="center"/>
          </w:tcPr>
          <w:p w14:paraId="76C16B7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.001</w:t>
            </w:r>
          </w:p>
        </w:tc>
        <w:tc>
          <w:tcPr>
            <w:tcW w:w="1863" w:type="dxa"/>
            <w:tcBorders>
              <w:top w:val="nil"/>
              <w:left w:val="nil"/>
              <w:bottom w:val="single" w:sz="4" w:space="0" w:color="auto"/>
              <w:right w:val="nil"/>
            </w:tcBorders>
            <w:vAlign w:val="center"/>
          </w:tcPr>
          <w:p w14:paraId="75446801"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.293</w:t>
            </w:r>
          </w:p>
        </w:tc>
      </w:tr>
      <w:tr w:rsidR="00895D0B" w:rsidRPr="00895D0B" w14:paraId="0C276AD2" w14:textId="77777777">
        <w:tc>
          <w:tcPr>
            <w:tcW w:w="4106" w:type="dxa"/>
            <w:tcBorders>
              <w:top w:val="single" w:sz="4" w:space="0" w:color="auto"/>
              <w:left w:val="nil"/>
              <w:bottom w:val="nil"/>
              <w:right w:val="nil"/>
            </w:tcBorders>
          </w:tcPr>
          <w:p w14:paraId="0B422280"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**p ≤ 0.01 *p ≤ 0.05</w:t>
            </w:r>
          </w:p>
        </w:tc>
        <w:tc>
          <w:tcPr>
            <w:tcW w:w="1688" w:type="dxa"/>
            <w:tcBorders>
              <w:top w:val="single" w:sz="4" w:space="0" w:color="auto"/>
              <w:left w:val="nil"/>
              <w:bottom w:val="nil"/>
              <w:right w:val="nil"/>
            </w:tcBorders>
            <w:vAlign w:val="center"/>
          </w:tcPr>
          <w:p w14:paraId="033234B6" w14:textId="77777777" w:rsidR="001B4ED5" w:rsidRPr="00895D0B" w:rsidRDefault="001B4ED5">
            <w:pPr>
              <w:autoSpaceDE w:val="0"/>
              <w:autoSpaceDN w:val="0"/>
              <w:adjustRightInd w:val="0"/>
              <w:spacing w:line="240" w:lineRule="auto"/>
              <w:ind w:right="60"/>
              <w:jc w:val="center"/>
              <w:rPr>
                <w:rFonts w:cs="Times New Roman"/>
                <w:color w:val="000000" w:themeColor="text1"/>
                <w:szCs w:val="24"/>
              </w:rPr>
            </w:pPr>
          </w:p>
        </w:tc>
        <w:tc>
          <w:tcPr>
            <w:tcW w:w="1359" w:type="dxa"/>
            <w:tcBorders>
              <w:top w:val="single" w:sz="4" w:space="0" w:color="auto"/>
              <w:left w:val="nil"/>
              <w:bottom w:val="nil"/>
              <w:right w:val="nil"/>
            </w:tcBorders>
            <w:vAlign w:val="center"/>
          </w:tcPr>
          <w:p w14:paraId="381CE40A" w14:textId="77777777" w:rsidR="001B4ED5" w:rsidRPr="00895D0B" w:rsidRDefault="001B4ED5">
            <w:pPr>
              <w:autoSpaceDE w:val="0"/>
              <w:autoSpaceDN w:val="0"/>
              <w:adjustRightInd w:val="0"/>
              <w:spacing w:line="240" w:lineRule="auto"/>
              <w:ind w:left="60" w:right="60"/>
              <w:jc w:val="center"/>
              <w:rPr>
                <w:rFonts w:cs="Times New Roman"/>
                <w:color w:val="000000" w:themeColor="text1"/>
                <w:szCs w:val="24"/>
              </w:rPr>
            </w:pPr>
          </w:p>
        </w:tc>
        <w:tc>
          <w:tcPr>
            <w:tcW w:w="1863" w:type="dxa"/>
            <w:tcBorders>
              <w:top w:val="single" w:sz="4" w:space="0" w:color="auto"/>
              <w:left w:val="nil"/>
              <w:bottom w:val="nil"/>
              <w:right w:val="nil"/>
            </w:tcBorders>
            <w:vAlign w:val="center"/>
          </w:tcPr>
          <w:p w14:paraId="476516C5" w14:textId="77777777" w:rsidR="001B4ED5" w:rsidRPr="00895D0B" w:rsidRDefault="001B4ED5">
            <w:pPr>
              <w:autoSpaceDE w:val="0"/>
              <w:autoSpaceDN w:val="0"/>
              <w:adjustRightInd w:val="0"/>
              <w:spacing w:line="240" w:lineRule="auto"/>
              <w:ind w:left="60" w:right="60"/>
              <w:jc w:val="center"/>
              <w:rPr>
                <w:rFonts w:cs="Times New Roman"/>
                <w:color w:val="000000" w:themeColor="text1"/>
                <w:szCs w:val="24"/>
              </w:rPr>
            </w:pPr>
          </w:p>
        </w:tc>
      </w:tr>
    </w:tbl>
    <w:p w14:paraId="5F39B94D" w14:textId="77777777"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1F836960" w14:textId="77777777" w:rsidR="009864E3" w:rsidRPr="00895D0B" w:rsidRDefault="009864E3" w:rsidP="009864E3">
      <w:pPr>
        <w:pStyle w:val="NoSpacing"/>
      </w:pPr>
    </w:p>
    <w:p w14:paraId="327CA088" w14:textId="70C6631E" w:rsidR="008C1AA9" w:rsidRPr="00895D0B" w:rsidRDefault="008C1AA9" w:rsidP="008C1AA9">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The results are statistically insignificant (p-value = 0.999, 0.742, 0.627, and 0.461 &gt; 0.05). The above results imply that there is no relationship between the age of urban household heads and their participation in urban agricultural production. Again, the results from Table 6.4 indicate that respondents who are either separated, married, or widows/widowers are 0.6, 0.7, and 1.0 times more likely to participate in urban agricultural production, respectively, than those who are single. This indicates an insignificant statistical relationship (p-value = 1.324, 2.168, and 11.813 &gt; 0.05). Likewise, respondents who are in the informal employment sector are 1.1 times more likely to participate in urban agriculture than those who are engaged in the formal </w:t>
      </w:r>
      <w:r w:rsidRPr="00895D0B">
        <w:rPr>
          <w:rFonts w:eastAsia="Times New Roman" w:cs="Times New Roman"/>
          <w:color w:val="000000" w:themeColor="text1"/>
          <w:szCs w:val="24"/>
          <w:lang w:eastAsia="en-GB"/>
        </w:rPr>
        <w:lastRenderedPageBreak/>
        <w:t>sector. The findings portrayed an insignificant statistical analysis (p-value = 0.756 &gt; 0.05). Urban households’ participation in urban agriculture is not determined by the type of employment they are into. In terms of the educational status of the respondents, the analysis shows that household heads who have attained basic/middle school, senior high school (SHS), secondary/vocational schools, and tertiary are 0.6, 0.9, and 1.0 times more likely to participate in urban agriculture than those who have no formal education.</w:t>
      </w:r>
    </w:p>
    <w:p w14:paraId="72275D6A" w14:textId="77777777" w:rsidR="008C1AA9" w:rsidRPr="00895D0B" w:rsidRDefault="008C1AA9" w:rsidP="009864E3">
      <w:pPr>
        <w:pStyle w:val="NoSpacing"/>
        <w:rPr>
          <w:lang w:eastAsia="en-GB"/>
        </w:rPr>
      </w:pPr>
    </w:p>
    <w:p w14:paraId="6B37ADCE" w14:textId="77777777" w:rsidR="008C1AA9" w:rsidRPr="00895D0B" w:rsidRDefault="008C1AA9" w:rsidP="008C1AA9">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However, the results are insignificant (p-value = 0.3, 0,865, and 0.283 &gt; 0.05) </w:t>
      </w:r>
      <w:r w:rsidRPr="00895D0B">
        <w:rPr>
          <w:rFonts w:eastAsia="Times New Roman" w:cs="Times New Roman"/>
          <w:i/>
          <w:iCs/>
          <w:color w:val="000000" w:themeColor="text1"/>
          <w:szCs w:val="24"/>
          <w:lang w:eastAsia="en-GB"/>
        </w:rPr>
        <w:t>(see Table 6.4</w:t>
      </w:r>
      <w:r w:rsidRPr="00895D0B">
        <w:rPr>
          <w:rFonts w:eastAsia="Times New Roman" w:cs="Times New Roman"/>
          <w:color w:val="000000" w:themeColor="text1"/>
          <w:szCs w:val="24"/>
          <w:lang w:eastAsia="en-GB"/>
        </w:rPr>
        <w:t xml:space="preserve">). This means that urban household heads’ educational status does not determine one's participation in urban agriculture. In addition, evidence revealed that urban households with more than 5 members are 0.5 times more likely to participate in urban agriculture than urban households with members between 1 and 5. This is significant (p-value = 0.011 &lt; 0.05). The results show that the household size of an urban household determines their participation in urban agricultural production. Further analysis found that urban households with a monthly income &gt; GHS1000.00 are 3.3 times more likely to participate in urban agriculture than those with a monthly income &lt; GHS1000.00. This is highly significant (p-value = 0.000 &lt; 0.05) </w:t>
      </w:r>
      <w:r w:rsidRPr="00895D0B">
        <w:rPr>
          <w:rFonts w:eastAsia="Times New Roman" w:cs="Times New Roman"/>
          <w:i/>
          <w:iCs/>
          <w:color w:val="000000" w:themeColor="text1"/>
          <w:szCs w:val="24"/>
          <w:lang w:eastAsia="en-GB"/>
        </w:rPr>
        <w:t>(see Table 6.4).</w:t>
      </w:r>
    </w:p>
    <w:p w14:paraId="2C96D179" w14:textId="37BD4F41" w:rsidR="00E107AD" w:rsidRPr="00895D0B" w:rsidRDefault="00E107AD" w:rsidP="009864E3">
      <w:pPr>
        <w:pStyle w:val="NoSpacing"/>
        <w:rPr>
          <w:lang w:eastAsia="en-GB"/>
        </w:rPr>
      </w:pPr>
    </w:p>
    <w:p w14:paraId="0A9696B1" w14:textId="77777777" w:rsidR="001B4ED5" w:rsidRPr="00895D0B" w:rsidRDefault="006B41C0" w:rsidP="009864E3">
      <w:pPr>
        <w:pStyle w:val="Heading2"/>
        <w:rPr>
          <w:u w:val="thick"/>
        </w:rPr>
      </w:pPr>
      <w:bookmarkStart w:id="154" w:name="_Toc167379941"/>
      <w:r w:rsidRPr="00895D0B">
        <w:t>6.5 Discussions of Major Findings</w:t>
      </w:r>
      <w:bookmarkEnd w:id="154"/>
      <w:r w:rsidRPr="00895D0B">
        <w:rPr>
          <w:u w:val="thick"/>
        </w:rPr>
        <w:t xml:space="preserve"> </w:t>
      </w:r>
    </w:p>
    <w:p w14:paraId="4E1FC2CA" w14:textId="6BCC7F2B" w:rsidR="001B4ED5" w:rsidRPr="00895D0B" w:rsidRDefault="006B41C0" w:rsidP="009864E3">
      <w:pPr>
        <w:pStyle w:val="Heading3"/>
      </w:pPr>
      <w:bookmarkStart w:id="155" w:name="_Toc167379942"/>
      <w:r w:rsidRPr="00895D0B">
        <w:t>6.5.1</w:t>
      </w:r>
      <w:r w:rsidR="009006C4" w:rsidRPr="00895D0B">
        <w:t xml:space="preserve"> </w:t>
      </w:r>
      <w:r w:rsidRPr="00895D0B">
        <w:t>Demographics of the respondent</w:t>
      </w:r>
      <w:bookmarkEnd w:id="155"/>
    </w:p>
    <w:p w14:paraId="3380ABF4" w14:textId="7308E209" w:rsidR="001B4ED5" w:rsidRPr="00895D0B" w:rsidRDefault="006B41C0">
      <w:pPr>
        <w:spacing w:line="360" w:lineRule="auto"/>
        <w:rPr>
          <w:rFonts w:cs="Times New Roman"/>
          <w:color w:val="000000" w:themeColor="text1"/>
          <w:szCs w:val="24"/>
          <w:u w:val="single"/>
        </w:rPr>
      </w:pPr>
      <w:r w:rsidRPr="00895D0B">
        <w:rPr>
          <w:rFonts w:cs="Times New Roman"/>
          <w:color w:val="000000" w:themeColor="text1"/>
          <w:szCs w:val="24"/>
        </w:rPr>
        <w:t xml:space="preserve">The study findings point to young people who are household heads participating in urban agricultural production than the older household heads. The implications are that many of the urban farmers are young and can get climate change information from the media such as radio and television programmes. Aside from the above, young people are more familiar with modern media in the form of social media like Facebook, WhatsApp, and Twitter where climate change adaption strategies could be shared. This result is similar to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{"citationItems":[{"id":"ITEM-1","itemData":{"DOI":"10.1111/1467-8268.12266","ISSN":"14678268","abstract":"The paper employed a Heckman selectivity model to determine factors influencing the adoption of irrigation and its effect on rice yield in Benin. Results from probit estimates indicate that farmer's age, gender, extension services, access to credit, market participation, distance to irrigation scheme, use of tractor and fertilizer are factors affecting the probability of irrigation adoption. Results from Heckman second stage estimates show that the adoption of irrigation contributes significantly to rice yield improvement by 57 per cent. For robustness checks of the estimated effect of adoption of irrigation, the propensity score matching method was used. The results indicate that the percentage increase in rice yield due to irrigation adoption varies between 55 per cent and 60 per cent. This confirms the finding of the Heckman estimates. Other variables explaining rice yield are education, extension services, access to credit, market participation, off farm income, use of tractor, labour, and fertilizer. These results imply that besides the adoption of irrigation the provision of complementary services are needed to achieve the objective of productivity improvement.","author":[{"dropping-particle":"","family":"Nonvide","given":"G. M. A.","non-dropping-particle":"","parse-names":false,"suffix":""}],"container-title":"African Development Review","id":"ITEM-1","issued":{"date-parts":[["2017"]]},"page":"109-120","title":"Effect of Adoption of Irrigation on Rice Yield in the Municipality of Malanville, Benin","type":"article-journal","volume":"29"},"uris":["http://www.mendeley.com/documents/?uuid=7c87a89c-80fc-4ad2-8279-fad9909c8ba9"]}],"mendeley":{"formattedCitation":"(Nonvide, 2017)","plainTextFormattedCitation":"(Nonvide, 2017)","previouslyFormattedCitation":"(Nonvide,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(Nonvide, 2017)</w:t>
      </w:r>
      <w:r w:rsidRPr="00895D0B">
        <w:rPr>
          <w:rFonts w:cs="Times New Roman"/>
          <w:color w:val="000000" w:themeColor="text1"/>
          <w:szCs w:val="24"/>
        </w:rPr>
        <w:fldChar w:fldCharType="end"/>
      </w:r>
      <w:r w:rsidRPr="00895D0B">
        <w:rPr>
          <w:rFonts w:cs="Times New Roman"/>
          <w:color w:val="000000" w:themeColor="text1"/>
          <w:szCs w:val="24"/>
        </w:rPr>
        <w:t xml:space="preserve"> who indicated that older people are less likely to engage in farming, especially in irrigation agriculture. However, the study disagreed with the assertion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{"citationItems":[{"id":"ITEM-1","itemData":{"DOI":"10.1080/00020184.2018.1466516","ISSN":"14692872","abstract":"Three decades of land reform in Zimbabwe ended in an ambiguous victory for youth. Focus on the cumulative outcome, in terms of scale and scope, led to conclusions that the exercise was a success, which obscured the resultant forms of exclusion. This article attempts to sketch an analytical context in which the dynamics of Zimbabwe’s land reform may be understood. It focuses at the broader policy and societal levels, and investigates the socio-political dynamics, and their combined effects on landing the economy for youth. It highlights the challenges associated with poverty reduction through land and agriculture for a semi-proletarian youth, and suggests that a policy of agricultural modernisation is unlikely to succeed in changing the economic circumstances of young people.","author":[{"dropping-particle":"","family":"Thebe","given":"V.","non-dropping-particle":"","parse-names":false,"suffix":""}],"container-title":"African Studies","id":"ITEM-1","issue":"3","issued":{"date-parts":[["2018"]]},"page":"336-353","publisher":"Taylor &amp; Francis","title":"Youth, agriculture and land reform in Zimbabwe: Experiences from a communal area and resettlement scheme in semi-arid Matabeleland, Zimbabwe","type":"article-journal","volume":"77"},"uris":["http://www.mendeley.com/documents/?uuid=b17719f9-0cca-42dd-b119-1fac656bf04a"]}],"mendeley":{"formattedCitation":"(Thebe, 2018)","manualFormatting":"Thebe (2018)","plainTextFormattedCitation":"(Thebe, 2018)","previouslyFormattedCitation":"(Thebe,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Thebe (2018)</w:t>
      </w:r>
      <w:r w:rsidRPr="00895D0B">
        <w:rPr>
          <w:rFonts w:cs="Times New Roman"/>
          <w:color w:val="000000" w:themeColor="text1"/>
          <w:szCs w:val="24"/>
        </w:rPr>
        <w:fldChar w:fldCharType="end"/>
      </w:r>
      <w:r w:rsidRPr="00895D0B">
        <w:rPr>
          <w:rFonts w:cs="Times New Roman"/>
          <w:color w:val="000000" w:themeColor="text1"/>
          <w:szCs w:val="24"/>
        </w:rPr>
        <w:t xml:space="preserve"> that young people do not participate in agriculture productivity but rather have an interest in formal sector work. The results again do not agree with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{"citationItems":[{"id":"ITEM-1","itemData":{"DOI":"10.47747/ijfr.v4i2.1153","abstract":"Improving farm productivity either through introduction of modern technologies or by increasing agricultural extension services is vital. Agricultural extension is the primary mechanism that increases agricultural production. Therefore, reviewing the role of agricultural extension on increasing farm productivity has been interesting issue. Cognizant of this fact, reviewing the role of agricultural extension in increasing farm productivity is an important issue for policy makers in order to improve productivity. Consequently, this seminar was aimed to provide information on the role of agricultural extension in increasing farm productivity and to review agricultural extension constraints in Ethiopia. The review shows that agricultural extension service had positive and significant role on increasing farm productivity by increasing the farmer’s knowhow on agronomic practices such as pest and disease control and adoption of improved seed varieties as well as soil and water conservation technologies. On the other hand, the review reveals that weak interaction; low participation, lack of technical skills, missed use of services, the weak link of research extension, a lack of incentives, and a lack of suitable adaptation to technologies constrain the extension system across the country. Thus, based on the review the following recommendations are forwarded. Extension services should be increase to farmers by the government agents especially by district agriculture development unit, and NGO’s to assist farmers to have easy access to extension so as to increase farm productivity. In addition, to increase the current working conditions of extension agents, including transportation, housing, and proper budget allocation, the government should adopt a very responsible and practical approach.","author":[{"dropping-particle":"","family":"Albore","given":"A","non-dropping-particle":"","parse-names":false,"suffix":""}],"container-title":"International Journal of Finance Research","id":"ITEM-1","issue":"2","issued":{"date-parts":[["2018"]]},"page":"77-89","title":"Review on the Role of Agricultural Extension Service on Increasing Farm Productivity in Ethiopia","type":"article-journal","volume":"4"},"uris":["http://www.mendeley.com/documents/?uuid=12160555-05e6-44b8-9ba5-5fe350d68f90"]}],"mendeley":{"formattedCitation":"(Albore, 2018)","manualFormatting":"Albore (2018)","plainTextFormattedCitation":"(Albore, 2018)","previouslyFormattedCitation":"(Albore,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Albore (2018)</w:t>
      </w:r>
      <w:r w:rsidRPr="00895D0B">
        <w:rPr>
          <w:rFonts w:cs="Times New Roman"/>
          <w:color w:val="000000" w:themeColor="text1"/>
          <w:szCs w:val="24"/>
        </w:rPr>
        <w:fldChar w:fldCharType="end"/>
      </w:r>
      <w:r w:rsidRPr="00895D0B">
        <w:rPr>
          <w:rFonts w:cs="Times New Roman"/>
          <w:color w:val="000000" w:themeColor="text1"/>
          <w:szCs w:val="24"/>
        </w:rPr>
        <w:t xml:space="preserve"> who asserted that farmers' age determine the increases production as older farmers are experienced which translates to production. Again, the results support the assertion that urban dwellers' participation in urban food production has a gender dimension (</w:t>
      </w:r>
      <w:r w:rsidRPr="00895D0B">
        <w:rPr>
          <w:rFonts w:cs="Times New Roman"/>
          <w:color w:val="000000" w:themeColor="text1"/>
          <w:szCs w:val="24"/>
          <w:shd w:val="clear" w:color="auto" w:fill="FFFFFF"/>
        </w:rPr>
        <w:t xml:space="preserve">Bolang &amp; Osumanu, 2019). </w:t>
      </w:r>
      <w:r w:rsidRPr="00895D0B">
        <w:rPr>
          <w:rFonts w:cs="Times New Roman"/>
          <w:color w:val="000000" w:themeColor="text1"/>
          <w:szCs w:val="24"/>
        </w:rPr>
        <w:t xml:space="preserve">This means </w:t>
      </w:r>
      <w:r w:rsidRPr="00895D0B">
        <w:rPr>
          <w:rFonts w:cs="Times New Roman"/>
          <w:color w:val="000000" w:themeColor="text1"/>
          <w:szCs w:val="24"/>
        </w:rPr>
        <w:lastRenderedPageBreak/>
        <w:t>that in taking up strategies to scale up urban farming, males should be the target. This is a reflection on the Ghana Statistical Service 2021 Population and Housing Census report which indicated more male household heads than females who make critical decisions regarding livelihood sustainability issues. This means that more males are into urban agricultural production than females. The reason is attributed to the land ownership rights and accessibility in the northern sector of Ghana. This is partly because Northern Ghana is a patriarchal society where land ownership rights are entrusted into the hands of men, and this gives them more access to land for agriculture in the urban settings to the disadvantage of females. Again, almost all household heads are men who control land within their neighbourhoods including using it for food production. The Literature argues that male farmers' easier access to farmland is due to societal custom which marginalizes women in agriculture production and livelihood sustainability (</w:t>
      </w:r>
      <w:r w:rsidRPr="00895D0B">
        <w:rPr>
          <w:rFonts w:cs="Times New Roman"/>
          <w:color w:val="000000" w:themeColor="text1"/>
          <w:szCs w:val="24"/>
          <w:shd w:val="clear" w:color="auto" w:fill="FFFFFF"/>
        </w:rPr>
        <w:t xml:space="preserve">Azumah, et al., 2022). </w:t>
      </w:r>
      <w:r w:rsidRPr="00895D0B">
        <w:rPr>
          <w:rFonts w:cs="Times New Roman"/>
          <w:color w:val="000000" w:themeColor="text1"/>
          <w:szCs w:val="24"/>
        </w:rPr>
        <w:t>According to the Ghana Statistical Service (2022), the 2021 population and housing census recorded that about 65.8 % of Ghanaians aged 15 years and older are married in both rural and urban environments.</w:t>
      </w:r>
    </w:p>
    <w:p w14:paraId="6A51910C" w14:textId="77777777" w:rsidR="001B4ED5" w:rsidRPr="00895D0B" w:rsidRDefault="001B4ED5" w:rsidP="009864E3">
      <w:pPr>
        <w:pStyle w:val="NoSpacing"/>
      </w:pPr>
    </w:p>
    <w:p w14:paraId="5636584B" w14:textId="64358A6F"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In employment aspects, urban residents who are employed in food production within their homes are affected by the time factor. People who are employed spend many hours at work and return home feeling exhausted which could affect their full participation in agriculture activities. A study by </w:t>
      </w:r>
      <w:r w:rsidRPr="00895D0B">
        <w:rPr>
          <w:rFonts w:cs="Times New Roman"/>
          <w:color w:val="000000" w:themeColor="text1"/>
          <w:szCs w:val="24"/>
          <w:shd w:val="clear" w:color="auto" w:fill="FFFFFF"/>
        </w:rPr>
        <w:t xml:space="preserve">Bolang and Osumanu (2019) revealed that </w:t>
      </w:r>
      <w:r w:rsidRPr="00895D0B">
        <w:rPr>
          <w:rFonts w:cs="Times New Roman"/>
          <w:color w:val="000000" w:themeColor="text1"/>
          <w:szCs w:val="24"/>
        </w:rPr>
        <w:t>people who are employed especially within the formal sector do not participate in urban food production. Urban residents who are employed and participate in urban food production have the wherewithal to meet their food needs from both the open market and funding urban food production. The agrarian sector is occupied by people who do not have the opportunity in the formal employment sector</w:t>
      </w:r>
      <w:r w:rsidR="00B64C4D" w:rsidRPr="00895D0B">
        <w:rPr>
          <w:rFonts w:cs="Times New Roman"/>
          <w:color w:val="000000" w:themeColor="text1"/>
          <w:szCs w:val="24"/>
        </w:rPr>
        <w:t xml:space="preserve"> </w:t>
      </w:r>
      <w:r w:rsidR="00B64C4D" w:rsidRPr="00895D0B">
        <w:rPr>
          <w:rFonts w:cs="Times New Roman"/>
          <w:color w:val="000000" w:themeColor="text1"/>
          <w:szCs w:val="24"/>
        </w:rPr>
        <w:fldChar w:fldCharType="begin" w:fldLock="1"/>
      </w:r>
      <w:r w:rsidR="00A8111B" w:rsidRPr="00895D0B">
        <w:rPr>
          <w:rFonts w:cs="Times New Roman"/>
          <w:color w:val="000000" w:themeColor="text1"/>
          <w:szCs w:val="24"/>
        </w:rPr>
        <w:instrText>ADDIN CSL_CITATION {"citationItems":[{"id":"ITEM-1","itemData":{"DOI":"10.13031/aim.20162460507","ISBN":"9781510828759","abstract":"In Ghana, large-scale farms and plantations produce mainly oil palm, rubber and coconut and to a lesser extent, maize, rice and pineapples. Ghana produces 51% of its cereal needs, 60% of fish requirements, 50% of meat, and less than 30% of the raw materials needed for agro-based industries. Gross domestic product has grown between 4 and 8 percent annually over the past decade, and agricultural growth has been the major driver of poverty reduction. The agriculture sector is the largest source of employment for Ghanaians and is dominated by smallholder farmers. The challenges in the agriculture sector are in the dimensions of diversity in agro-ecology and constraints including human resource and managerial skills, natural resource management, technology development and food insecurity. Food security is a complex phenomenon resulting from multiple causes which are food availability, food accessibility, food utilization and food stability. About 5% of Ghana's population are food insecure and about 2 million people are vulnerable to become food insecure. Agricultural growth has been more rapid than growth in the non-agricultural sectors in recent years, expanding by an average annual rate of 5.5%, compared to 5.2% for the economy as a whole. However, agricultural growth heavily depends on rainfall patterns and current growth is still driven by land expansion. The objective of this paper was to review literature on the general agricultural trends and challenges in Ghana. Food insecurity, and some policy plans to reduce food insecurity were also highlighted.","author":[{"dropping-particle":"","family":"Darfour","given":"B.","non-dropping-particle":"","parse-names":false,"suffix":""},{"dropping-particle":"","family":"Rosentrater","given":"K. A.","non-dropping-particle":"","parse-names":false,"suffix":""}],"container-title":"2016 American Society of Agricultural and Biological Engineers Annual International Meeting, ASABE 2016","id":"ITEM-1","issue":"December","issued":{"date-parts":[["2016"]]},"title":"Agriculture and food security in Ghana","type":"paper-conference"},"uris":["http://www.mendeley.com/documents/?uuid=fe5ebac1-6945-45c2-b1bf-e789bcb5c7aa"]}],"mendeley":{"formattedCitation":"(Darfour &amp; Rosentrater, 2016)","plainTextFormattedCitation":"(Darfour &amp; Rosentrater, 2016)","previouslyFormattedCitation":"(Darfour &amp; Rosentrater, 2016)"},"properties":{"noteIndex":0},"schema":"https://github.com/citation-style-language/schema/raw/master/csl-citation.json"}</w:instrText>
      </w:r>
      <w:r w:rsidR="00B64C4D" w:rsidRPr="00895D0B">
        <w:rPr>
          <w:rFonts w:cs="Times New Roman"/>
          <w:color w:val="000000" w:themeColor="text1"/>
          <w:szCs w:val="24"/>
        </w:rPr>
        <w:fldChar w:fldCharType="separate"/>
      </w:r>
      <w:r w:rsidR="00B64C4D" w:rsidRPr="00895D0B">
        <w:rPr>
          <w:rFonts w:cs="Times New Roman"/>
          <w:noProof/>
          <w:color w:val="000000" w:themeColor="text1"/>
          <w:szCs w:val="24"/>
        </w:rPr>
        <w:t>(Darfour &amp; Rosentrater, 2016)</w:t>
      </w:r>
      <w:r w:rsidR="00B64C4D" w:rsidRPr="00895D0B">
        <w:rPr>
          <w:rFonts w:cs="Times New Roman"/>
          <w:color w:val="000000" w:themeColor="text1"/>
          <w:szCs w:val="24"/>
        </w:rPr>
        <w:fldChar w:fldCharType="end"/>
      </w:r>
      <w:r w:rsidRPr="00895D0B">
        <w:rPr>
          <w:rFonts w:cs="Times New Roman"/>
          <w:color w:val="000000" w:themeColor="text1"/>
          <w:szCs w:val="24"/>
          <w:shd w:val="clear" w:color="auto" w:fill="FFFFFF"/>
        </w:rPr>
        <w:t xml:space="preserve">. </w:t>
      </w:r>
      <w:r w:rsidRPr="00895D0B">
        <w:rPr>
          <w:rFonts w:cs="Times New Roman"/>
          <w:color w:val="000000" w:themeColor="text1"/>
          <w:szCs w:val="24"/>
        </w:rPr>
        <w:t xml:space="preserve">Generally, about 16.8% of the urban population is employed in the formal sector, leaving the remaining 80.2% in the informal sector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{"citationItems":[{"id":"ITEM-1","itemData":{"author":[{"dropping-particle":"","family":"Ghana Statistical Service","given":"","non-dropping-particle":"","parse-names":false,"suffix":""}],"id":"ITEM-1","issued":{"date-parts":[["2021"]]},"title":"Ghana 2021 Population and Housing Census General Report","type":"report"},"uris":["http://www.mendeley.com/documents/?uuid=76fd9789-fc59-4fc5-a4cf-0559e50393f9"]}],"mendeley":{"formattedCitation":"(Ghana Statistical Service, 2021)","plainTextFormattedCitation":"(Ghana Statistical Service, 2021)","previouslyFormattedCitation":"(Ghana Statistical Service,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(Ghana Statistical Service, 2021)</w:t>
      </w:r>
      <w:r w:rsidRPr="00895D0B">
        <w:rPr>
          <w:rFonts w:cs="Times New Roman"/>
          <w:color w:val="000000" w:themeColor="text1"/>
          <w:szCs w:val="24"/>
        </w:rPr>
        <w:fldChar w:fldCharType="end"/>
      </w:r>
      <w:r w:rsidRPr="00895D0B">
        <w:rPr>
          <w:rFonts w:cs="Times New Roman"/>
          <w:color w:val="000000" w:themeColor="text1"/>
          <w:szCs w:val="24"/>
        </w:rPr>
        <w:t xml:space="preserve"> and this is not a surprise that formal sector jobs are limited and competitive in most urban settings. In addition, the evidence showed that urban household heads who are having some level of education do have interest in urban agriculture. These results reflect the claim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{"citationItems":[{"id":"ITEM-1","itemData":{"author":[{"dropping-particle":"","family":"Attipoe","given":"Sonny Gad","non-dropping-particle":"","parse-names":false,"suffix":""},{"dropping-particle":"","family":"Jianmin","given":"Cao","non-dropping-particle":"","parse-names":false,"suffix":""},{"dropping-particle":"","family":"Opoku-kwanowaa","given":"Yaa","non-dropping-particle":"","parse-names":false,"suffix":""},{"dropping-particle":"","family":"Ohene-sefa","given":"Frank","non-dropping-particle":"","parse-names":false,"suffix":""}],"id":"ITEM-1","issued":{"date-parts":[["2020"]]},"title":"The Determinants of Technical Efficiency of Cocoa Production in Ghana: An Analysis of the Role of Rural and Community Banks.","type":"article-journal"},"uris":["http://www.mendeley.com/documents/?uuid=9ca98f9f-bd6b-449c-94e0-65d76087b0c6"]}],"mendeley":{"formattedCitation":"(Attipoe et al., 2020)","manualFormatting":"Attipoe et al. (2020)","plainTextFormattedCitation":"(Attipoe et al., 2020)","previouslyFormattedCitation":"(Attipoe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Attipoe et al. (2020)</w:t>
      </w:r>
      <w:r w:rsidRPr="00895D0B">
        <w:rPr>
          <w:rFonts w:cs="Times New Roman"/>
          <w:color w:val="000000" w:themeColor="text1"/>
          <w:szCs w:val="24"/>
        </w:rPr>
        <w:fldChar w:fldCharType="end"/>
      </w:r>
      <w:r w:rsidRPr="00895D0B">
        <w:rPr>
          <w:rFonts w:cs="Times New Roman"/>
          <w:color w:val="000000" w:themeColor="text1"/>
          <w:szCs w:val="24"/>
        </w:rPr>
        <w:t xml:space="preserve"> that people with a bit of formal education have more interest in agricultural production than those who have no formal education. This is in line with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{"citationItems":[{"id":"ITEM-1","itemData":{"DOI":"10.1080/07900627.2020.1760799","ISSN":"13600648","abstract":"Over four years, a research-for-development project was implemented at the 25 de Setembro irrigation scheme in Mozambique. The project introduced agricultural innovation platforms to overcome barriers to production such as input and output supply chains and poorly maintained irrigation canals. Soil moisture and nutrient monitoring tools were provided so that farmers could improve their irrigation and fertilizer management. The farmers increased their crop production through the use of the tools and better irrigation infrastructure, and increased their income and overall well-being through better links to markets and new information sources facilitated by the agricultural innovation platforms.","author":[{"dropping-particle":"","family":"Chilundo","given":"M.","non-dropping-particle":"","parse-names":false,"suffix":""},{"dropping-particle":"","family":"Sousa","given":"W.","non-dropping-particle":"de","parse-names":false,"suffix":""},{"dropping-particle":"","family":"Christen","given":"E. W.","non-dropping-particle":"","parse-names":false,"suffix":""},{"dropping-particle":"","family":"Faduco","given":"J.","non-dropping-particle":"","parse-names":false,"suffix":""},{"dropping-particle":"","family":"Bjornlund","given":"H.","non-dropping-particle":"","parse-names":false,"suffix":""},{"dropping-particle":"","family":"Cheveia","given":"E.","non-dropping-particle":"","parse-names":false,"suffix":""},{"dropping-particle":"","family":"Munguambe","given":"P.","non-dropping-particle":"","parse-names":false,"suffix":""},{"dropping-particle":"","family":"Jorge","given":"F.","non-dropping-particle":"","parse-names":false,"suffix":""},{"dropping-particle":"","family":"Stirzaker","given":"R.","non-dropping-particle":"","parse-names":false,"suffix":""},{"dropping-particle":"","family":"Rooyen","given":"A. F.","non-dropping-particle":"van","parse-names":false,"suffix":""}],"container-title":"International Journal of Water Resources Development","id":"ITEM-1","issue":"1","issued":{"date-parts":[["2020"]]},"page":"1-21","publisher":"Routledge","title":"Do agricultural innovation platforms and soil moisture and nutrient monitoring tools improve the production and livelihood of smallholder irrigators in Mozambique?","type":"article-journal","volume":"36"},"uris":["http://www.mendeley.com/documents/?uuid=2ab1a30e-d1f5-4b82-a69e-7b9662a3d624"]}],"mendeley":{"formattedCitation":"(Chilundo et al., 2020)","manualFormatting":"Chilundo et al.( 2020)","plainTextFormattedCitation":"(Chilundo et al., 2020)","previouslyFormattedCitation":"(Chilundo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Chilundo et al.( 2020)</w:t>
      </w:r>
      <w:r w:rsidRPr="00895D0B">
        <w:rPr>
          <w:rFonts w:cs="Times New Roman"/>
          <w:color w:val="000000" w:themeColor="text1"/>
          <w:szCs w:val="24"/>
        </w:rPr>
        <w:fldChar w:fldCharType="end"/>
      </w:r>
      <w:r w:rsidRPr="00895D0B">
        <w:rPr>
          <w:rFonts w:cs="Times New Roman"/>
          <w:color w:val="000000" w:themeColor="text1"/>
          <w:szCs w:val="24"/>
        </w:rPr>
        <w:t xml:space="preserve"> that agricultural productivity can be increased when farmers have attained some level of formal education. Similarly, it is not far from the fact that </w:t>
      </w:r>
      <w:r w:rsidRPr="00895D0B">
        <w:rPr>
          <w:rFonts w:cs="Times New Roman"/>
          <w:color w:val="000000" w:themeColor="text1"/>
          <w:szCs w:val="24"/>
        </w:rPr>
        <w:lastRenderedPageBreak/>
        <w:t xml:space="preserve">educational programmes in higher institutions enlighten and give skills to people to be able to sustainably engage in backyard gardening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{"citationItems":[{"id":"ITEM-1","itemData":{"DOI":"10.1016/j.eatbeh.2016.10.009","ISSN":"18737358","PMID":"27816856","abstract":"Purpose The purpose of this operational study was to assess the effectiveness school-based health and nutrition intervention supported with backyard gardening on the dietary diversity among school adolescents. Methods A total of 1000 school adolescents from 10 to 19 years were selected randomly. The intervention involved peer-led behavior change communication and health promotion through school media and health clubs. Data were collected at baseline, midline and end-line using structured questionnaires. Multivariable logistic regression analyses were used to determine the independent effect of interventions. Results There was a significant increment of proportion of school children consuming diversified diet among the intervention group from 34.8% at baseline through 65.6% at midline to 74.7% at the end-line (p &lt; 0.001). Among control group, there was no change from midline (49.4%) to endline (48.8%), though there was a change from baseline (32.1%) to midline (49.4%). A significant difference of dietary diversity intake was observed between intervention and control groups at midline (F = 5.64, p = 0.042) and endline (F = 5.85, p &lt; 0.001) survey. Being in the intervention school (OR = 2.55 [1.55, 3.50]), being a boy (OR = 1.75 [1.91, 2.56]) and having farmer mothers (OR = 2.58 [1.01, 6.87]) were independent positive predictors of a diversified diet intake. However, having a mother who attended secondary schools were inversely associated (OR = 0.25 [0.06, 0.97]) with consuming a diversified diet. Conclusion Findings of this study demonstrated that there was a significant improvement in dietary diversity of adolescents in intervention schools. The results imply that school based nutrition education should be a part of comprehensive school health programs to reach students and potentially their families.","author":[{"dropping-particle":"","family":"Tamiru","given":"D.","non-dropping-particle":"","parse-names":false,"suffix":""},{"dropping-particle":"","family":"Argaw","given":"A.","non-dropping-particle":"","parse-names":false,"suffix":""},{"dropping-particle":"","family":"Gerbaba","given":"M.","non-dropping-particle":"","parse-names":false,"suffix":""},{"dropping-particle":"","family":"Nigussie","given":"A.","non-dropping-particle":"","parse-names":false,"suffix":""},{"dropping-particle":"","family":"Ayana","given":"G.","non-dropping-particle":"","parse-names":false,"suffix":""},{"dropping-particle":"","family":"Belachew","given":"T.","non-dropping-particle":"","parse-names":false,"suffix":""}],"container-title":"Eating Behaviors","id":"ITEM-1","issued":{"date-parts":[["2016"]]},"page":"180-186","publisher":"Elsevier Ltd","title":"Improving dietary diversity of school adolescents through school based nutrition education and home gardening in Jimma Zone: Quasi-experimental design","type":"article-journal","volume":"23"},"uris":["http://www.mendeley.com/documents/?uuid=c9f7b219-3451-4032-b9cd-a8aeae05019c"]}],"mendeley":{"formattedCitation":"(Tamiru et al., 2016)","plainTextFormattedCitation":"(Tamiru et al., 2016)","previouslyFormattedCitation":"(Tamiru et al., 2016)"},"properties":{"noteIndex":0},"schema":"https://github.com/citation-style-language/schema/raw/master/csl-citation.json"}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(Tamiru et al., 2016)</w:t>
      </w:r>
      <w:r w:rsidRPr="00895D0B">
        <w:rPr>
          <w:rFonts w:cs="Times New Roman"/>
          <w:color w:val="000000" w:themeColor="text1"/>
          <w:szCs w:val="24"/>
        </w:rPr>
        <w:fldChar w:fldCharType="end"/>
      </w:r>
      <w:r w:rsidRPr="00895D0B">
        <w:rPr>
          <w:rFonts w:cs="Times New Roman"/>
          <w:color w:val="000000" w:themeColor="text1"/>
          <w:szCs w:val="24"/>
        </w:rPr>
        <w:t xml:space="preserve">. Formal education increase people interest in agricultural production and urban farming is not an exception </w:t>
      </w:r>
      <w:r w:rsidRPr="00895D0B">
        <w:rPr>
          <w:rFonts w:cs="Times New Roman"/>
          <w:color w:val="000000" w:themeColor="text1"/>
          <w:szCs w:val="24"/>
          <w:u w:val="thick"/>
        </w:rPr>
        <w:t>(</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{"citationItems":[{"id":"ITEM-1","itemData":{"DOI":"10.3390/su10020555","ISSN":"20711050","abstract":"The adoption of conservation agriculture among small-scale farmers is still low despite the proven economic and environmental benefits of the technology. This study was conducted in Ingwe Municipality in Kwa-Zashuke, Ward 8, in KwaZulu-Natal province. The main aim of the study was to determine the factors that influence the adoption of no-till conservation agriculture (CA) in the study area and to explore farmers' perceptions of no-till CA and the impact of no-till CA on maize yield. A quantitative approach employing a cross-sectional design was used to gather data. Stratified random sampling was employed and a total of 185 small-scale farmers (97 adopters and 88 non-adopters) were sampled. Data analysis was done through descriptive and inferential statistics and econometric modeling using the logistic regression model. Findings show that farmers' positive perceptions were positively correlated with higher maize yields. While an increase in extension visits, age, education and farmers' positive perceptions significantly increased the likelihood of a farmer adopting no-till CA, an increase in land size was negatively related to no-till CA adoption. The findings confirm the important role of extension in the promotion of no-till CA, particularly the intensity of the extension services. The study recommends a deliberate effort by all stakeholders to promote the participation of young people in farming and tailor-make current no-till CA programs to suit the illiterate households. The capacity of extension programs to adequately support farmers should be enhanced through improvements in extension services. There is also need to change people's mindsets and the way they view no-till CA.","author":[{"dropping-particle":"","family":"Ntshangase","given":"N. L.","non-dropping-particle":"","parse-names":false,"suffix":""},{"dropping-particle":"","family":"Muroyiwa","given":"B.","non-dropping-particle":"","parse-names":false,"suffix":""},{"dropping-particle":"","family":"Sibanda","given":"M.","non-dropping-particle":"","parse-names":false,"suffix":""}],"container-title":"Sustainability (Switzerland)","id":"ITEM-1","issue":"2","issued":{"date-parts":[["2018"]]},"title":"Farmers' perceptions and factors influencing the adoption of no-till conservation agriculture by small-scale farmers in Zashuke, KwaZulu-Natal province","type":"article-journal","volume":"10"},"uris":["http://www.mendeley.com/documents/?uuid=d03d409e-02f5-4c7c-be49-e9cf28c15ef9"]}],"mendeley":{"formattedCitation":"(Ntshangase et al., 2018)","manualFormatting":"Ntshangase et al., 2018)","plainTextFormattedCitation":"(Ntshangase et al., 2018)","previouslyFormattedCitation":"(Ntshangase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Ntshangase et al., 2018)</w:t>
      </w:r>
      <w:r w:rsidRPr="00895D0B">
        <w:rPr>
          <w:rFonts w:cs="Times New Roman"/>
          <w:color w:val="000000" w:themeColor="text1"/>
          <w:szCs w:val="24"/>
        </w:rPr>
        <w:fldChar w:fldCharType="end"/>
      </w:r>
      <w:r w:rsidRPr="00895D0B">
        <w:rPr>
          <w:rFonts w:cs="Times New Roman"/>
          <w:color w:val="000000" w:themeColor="text1"/>
          <w:szCs w:val="24"/>
        </w:rPr>
        <w:t xml:space="preserve">. Education means that urban farmers will have the ability to use recent climate change adaptation strategies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{"citationItems":[{"id":"ITEM-1","itemData":{"DOI":"10.11648/j.jps.20200806.11","ISSN":"2331-0723","abstract":"Agricultural extension work in Ethiopia began in 1931 with the establishment of the Ambo Agricultural School which is one of the oldest institutions and the first agricultural high school offering general education with major emphasis on agriculture. In the recent development of the Ethiopian Agricultural Extension System, the participatory approach is complemented by a scaling“-up” of technologies or the establishing of best practice for technology transfer at larger scales. Agricultural extension staffs are involved in multiple activities of agriculture and rural development. In Ethiopia, for example, the goal of extension goes beyond implementing the national agricultural development goals of achieving food security, improving rural livelihoods, and Natural Resource Management (NRM). In many countries of the world, agricultural extension services had been transformed from training and dissemination of specific innovations to farmers’ group formation and partnership-building with various service providers such as credit institutions. In Ethiopia, despite the massive amount of resources being put into the system by the state, the agricultural extension system faces a number of serious challenges. Improving access to agricultural inputs and technologies that assist farmers in boosting production are among opportunities of Ethiopian agricultural extension system. Agricultural extension service could be the government agency or ministry responsible for promoting the adoption and utilization of new scientific farming practices through educational procedures.","author":[{"dropping-particle":"","family":"Debelo","given":"W. B.","non-dropping-particle":"","parse-names":false,"suffix":""}],"container-title":"Journal of Plant Sciences","id":"ITEM-1","issue":"6","issued":{"date-parts":[["2020"]]},"page":"189","title":"Review on Roles and Challenges of Agricultural Extension System on Growth of Agricultural Production in Ethiopia","type":"article-journal","volume":"8"},"uris":["http://www.mendeley.com/documents/?uuid=5b17a443-6840-4bbe-98a3-fd957da489a8"]}],"mendeley":{"formattedCitation":"(Debelo, 2020)","plainTextFormattedCitation":"(Debelo, 2020)","previouslyFormattedCitation":"(Debelo,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(Debelo, 2020)</w:t>
      </w:r>
      <w:r w:rsidRPr="00895D0B">
        <w:rPr>
          <w:rFonts w:cs="Times New Roman"/>
          <w:color w:val="000000" w:themeColor="text1"/>
          <w:szCs w:val="24"/>
        </w:rPr>
        <w:fldChar w:fldCharType="end"/>
      </w:r>
      <w:r w:rsidRPr="00895D0B">
        <w:rPr>
          <w:rFonts w:cs="Times New Roman"/>
          <w:color w:val="000000" w:themeColor="text1"/>
          <w:szCs w:val="24"/>
        </w:rPr>
        <w:t xml:space="preserve">. To elaborate, the study findings indicate that urban household size influence the participation in agricultural activities. This study finding is similar to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{"citationItems":[{"id":"ITEM-1","itemData":{"DOI":"10.1016/j.asieco.2019.07.002","ISSN":"10490078","abstract":"With the aim of improving rural living standards and strengthening the security of crop production, China has adopted “family farms plus cooperatives” as the preferred mode of organization in agriculture. We investigate technical efficiency in crop production comparing family farms that are members of cooperatives, either as core members who have taken investment stakes or common members who have not, with their nonmember counterparts. To allow for heterogeneity in production technology among nonmembers, core members, and common members, we adopt a metafrontier estimation technique. Our data sample consists of 384 family farms in Anhui province for the year 2015. Heterogeneity among family farms, whether members of cooperatives or not, is found to be highly significant. Nonmember farms show the lowest technical efficiency and the widest gap between observed and potential production. By contrast, core members of cooperatives show the highest technical efficiency and the narrowest gap between observed and potential production. We infer that cooperative membership may allow farmers to learn more advanced technology and take advantage of productivity-enhancing practices. We further find that age and education of farm heads contribute to greater technical efficiency.","author":[{"dropping-particle":"","family":"Gong","given":"T. C.","non-dropping-particle":"","parse-names":false,"suffix":""},{"dropping-particle":"","family":"Battese","given":"G. E.","non-dropping-particle":"","parse-names":false,"suffix":""},{"dropping-particle":"","family":"Villano","given":"R. A.","non-dropping-particle":"","parse-names":false,"suffix":""}],"container-title":"Journal of Asian Economics","id":"ITEM-1","issued":{"date-parts":[["2019"]]},"page":"101129","publisher":"Elsevier Inc.","title":"Family farms plus cooperatives in China: Technical efficiency in crop production","type":"article-journal","volume":"64"},"uris":["http://www.mendeley.com/documents/?uuid=1839f0a2-1c29-4c67-9394-23c86f1af1cd"]}],"mendeley":{"formattedCitation":"(Gong et al., 2019)","manualFormatting":"Gong et al. (2019)","plainTextFormattedCitation":"(Gong et al., 2019)","previouslyFormattedCitation":"(Gong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Gong et al. (2019)</w:t>
      </w:r>
      <w:r w:rsidRPr="00895D0B">
        <w:rPr>
          <w:rFonts w:cs="Times New Roman"/>
          <w:color w:val="000000" w:themeColor="text1"/>
          <w:szCs w:val="24"/>
        </w:rPr>
        <w:fldChar w:fldCharType="end"/>
      </w:r>
      <w:r w:rsidRPr="00895D0B">
        <w:rPr>
          <w:rFonts w:cs="Times New Roman"/>
          <w:color w:val="000000" w:themeColor="text1"/>
          <w:szCs w:val="24"/>
        </w:rPr>
        <w:t xml:space="preserve"> in that large households are more likely to participant in agriculture than smaller households. However, urban agriculture production does not need too much labour as the farms are largely small. Therefore, extant literature had it that households with larger sizes do not encourage labour supply for farming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{"citationItems":[{"id":"ITEM-1","itemData":{"DOI":"10.1016/j.resourpol.2020.101884","ISSN":"03014207","abstract":"With the increasing participation of women in artisanal and small-scale mining (ASM) across many sub-Saharan African countries, the ASM sector offers women artisanal miners considerable income that gives them better opportunities at household decision-making. While the existing literature has widely studied intrahousehold dynamics in domains such as agriculture and health, very little is known about the bargaining power of women in ASM and their household dynamics. Through in-depth interviews with 49 women artisanal miners in Prestea-Bondaye mining area in the Prestea-Huni Valley Municipality of Ghana, this paper considers how women's engagement in ASM changes the dynamics within their households and impacts their bargaining power. Findings showed that most women artisanal miners were not in support of pooling income with their husbands with most of them using their income to alter the dynamics of household decision-making concerning food to cook for the family, children's education and family size. Extended family relations as a form of social norm were found to determine women artisanal miners' decision not to pool income with their husbands. The findings, therefore, problematise the unitary model of household decision-making and provide a nuanced analysis of rural household power dynamics in a mining context, which is grossly unexplored. However, various aspects of intrahousehold bargaining models – cooperative, non-cooperative and collective – were found under different circumstances depending on the household needs and artisanal women miners' relations with husbands and their extended family. Findings also showed that women's participation in ASM was changing household dynamics, particularly sexual interactions with their partners and childcare responsibilities. Although women's participation in ASM results in higher levels of bargaining power, the Minerals Commission of Ghana, gender advocacy institutions and other relevant stakeholders must engage in policy discussions to streamline women's activities and find possible ways of dealing with their challenges in the sector.","author":[{"dropping-particle":"","family":"Arthur-Holmes","given":"F.","non-dropping-particle":"","parse-names":false,"suffix":""},{"dropping-particle":"","family":"Busia","given":"A. K.","non-dropping-particle":"","parse-names":false,"suffix":""}],"container-title":"Resources Policy","id":"ITEM-1","issue":"xxxx","issued":{"date-parts":[["2020"]]},"page":"101884","publisher":"Elsevier Ltd","title":"Household dynamics and the bargaining power of women in artisanal and small-scale mining in sub-Saharan Africa: A Ghanaian case study","type":"article-journal","volume":"69"},"uris":["http://www.mendeley.com/documents/?uuid=013f7bcb-71b3-4691-8b54-da72b7ae1726"]}],"mendeley":{"formattedCitation":"(Arthur-Holmes &amp; Busia, 2020)","manualFormatting":"Arthur-Holmes and Busia (2020)","plainTextFormattedCitation":"(Arthur-Holmes &amp; Busia, 2020)","previouslyFormattedCitation":"(Arthur-Holmes &amp; Busia,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Arthur-Holmes and Busia (2020)</w:t>
      </w:r>
      <w:r w:rsidRPr="00895D0B">
        <w:rPr>
          <w:rFonts w:cs="Times New Roman"/>
          <w:color w:val="000000" w:themeColor="text1"/>
          <w:szCs w:val="24"/>
        </w:rPr>
        <w:fldChar w:fldCharType="end"/>
      </w:r>
      <w:r w:rsidRPr="00895D0B">
        <w:rPr>
          <w:rFonts w:cs="Times New Roman"/>
          <w:color w:val="000000" w:themeColor="text1"/>
          <w:szCs w:val="24"/>
        </w:rPr>
        <w:t xml:space="preserve"> as larger household sizes lead to diversification of livelihood activities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{"citationItems":[{"id":"ITEM-1","itemData":{"DOI":"10.1016/j.jrurstud.2020.08.020","ISSN":"07430167","abstract":"Development policy narratives about gender in African agriculture have often emphasized that women tend to farm more for subsistence while men tend to farm more for cash. This gender division of labour is an important aspect of social inequality and food insecurity. However, gender divisions of labour are neither fixed nor universal. Drawing upon qualitative research conducted in northern Ghana, this article examines assumptions underlying development policy and practice about the gender relations of farming and food. This study argues that gender norms in the case do not neatly align with the prevailing conceptions that have shaped interventions. Male smallholders described their primary farming objective as being to produce enough food to feed their family, while women smallholders tended to describe their farming largely in terms of cash generation. This article also considers some of the negative consequences of this misalignment between projects and gender norms. In particular, projects geared at female farmers to support their subsistence production risk adding to their household responsibilities. Support to women only also risks alienating men, potentially causing conflict around the use of project support because women are not autonomous agents. Women rely on and negotiate their labour, harvests and family landholdings, as well as that of others. This negotiation can be disrupted due to interventions and wider environmental and agrarian changes. In short, programs that differentiate support based on misconceptions of context specific gender relations can have unanticipated negative consequences. This study suggests these consequences can persist even in practice that rectifies the tendency of practice to exclude women. Ultimately, development practice should be context specific and consider how gendered agriculture and food relations may be changing.","author":[{"dropping-particle":"","family":"Vercillo","given":"S.","non-dropping-particle":"","parse-names":false,"suffix":""}],"container-title":"Journal of Rural Studies","id":"ITEM-1","issue":"August","issued":{"date-parts":[["2020"]]},"page":"235-245","publisher":"Elsevier Ltd","title":"The complicated gendering of farming and household food responsibilities in northern Ghana","type":"article-journal","volume":"79"},"uris":["http://www.mendeley.com/documents/?uuid=5a1bad4a-3a04-4b50-8503-e1ffe5d536db"]}],"mendeley":{"formattedCitation":"(Vercillo, 2020)","plainTextFormattedCitation":"(Vercillo, 2020)","previouslyFormattedCitation":"(Vercillo,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(Vercillo, 2020)</w:t>
      </w:r>
      <w:r w:rsidRPr="00895D0B">
        <w:rPr>
          <w:rFonts w:cs="Times New Roman"/>
          <w:color w:val="000000" w:themeColor="text1"/>
          <w:szCs w:val="24"/>
        </w:rPr>
        <w:fldChar w:fldCharType="end"/>
      </w:r>
      <w:r w:rsidRPr="00895D0B">
        <w:rPr>
          <w:rFonts w:cs="Times New Roman"/>
          <w:color w:val="000000" w:themeColor="text1"/>
          <w:szCs w:val="24"/>
        </w:rPr>
        <w:t>.</w:t>
      </w:r>
    </w:p>
    <w:p w14:paraId="7DE61467" w14:textId="77777777" w:rsidR="001B4ED5" w:rsidRPr="00895D0B" w:rsidRDefault="001B4ED5" w:rsidP="009864E3">
      <w:pPr>
        <w:pStyle w:val="NoSpacing"/>
      </w:pPr>
    </w:p>
    <w:p w14:paraId="7EA9A77A" w14:textId="101B4BF3" w:rsidR="001B4ED5" w:rsidRPr="00895D0B" w:rsidRDefault="00F65EAD" w:rsidP="009864E3">
      <w:pPr>
        <w:pStyle w:val="Heading3"/>
      </w:pPr>
      <w:bookmarkStart w:id="156" w:name="_Toc167379943"/>
      <w:r>
        <w:t>6.5.</w:t>
      </w:r>
      <w:r w:rsidR="005D1ECB">
        <w:t>2</w:t>
      </w:r>
      <w:r w:rsidR="006B41C0" w:rsidRPr="00895D0B">
        <w:t xml:space="preserve"> Urban dwellers participation in urban food production</w:t>
      </w:r>
      <w:bookmarkEnd w:id="156"/>
      <w:r w:rsidR="006B41C0" w:rsidRPr="00895D0B">
        <w:t xml:space="preserve"> </w:t>
      </w:r>
    </w:p>
    <w:p w14:paraId="4D8B0175"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color w:val="000000" w:themeColor="text1"/>
          <w:szCs w:val="24"/>
        </w:rPr>
        <w:t xml:space="preserve">Urban farming is dominating in the high and medium classes within the urban neighbourhood. This is an indication that residents within the medium and high-class residential zones in the cities have more interest in urban food production because of the availability of space. This supports the fact that urban agricultural production such as livestock takes place in the inner-cities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{"citationItems":[{"id":"ITEM-1","itemData":{"DOI":"10.1016/j.heliyon.2022.e09347","ISSN":"24058440","abstract":"Rapid urbanization exerts pressure on urban fringe resources in most cities in the global south. The resultant effect of this pressure is the rapid conversion of natural reserves and farmlands into residential and non-residential developments that affects crucial rural livelihoods including the production of small ruminants. However, scientific studies on the production of small ruminants on the fringes of cities in Ghana are limited. This study draws evidence from seven communities in Wa, Ghana to examine how urban fringe development influences the production of small ruminants, the challenges the farmers encounter, and the coping strategies adopted. The study adopted a mixed-methods research design involving 329 respondents to compare small ruminant production in 2009 and 2019. Data were also elicited from community and institutional level participants. A questionnaire-based survey, in-depth interviews, focused group discussions and observation were used to gather both quantitative and qualitative data. The findings revealed that the effects of weedicide use, frequent theft and vehicular downing adversely affected production resulting in a decrease in the number of small ruminants over the study period. Those who adopted the semi-intensive system of rearing were confronted with feeding, housing and security challenges. The study concludes that urban fringe development is detrimental to the production of small ruminants. To sustain production, it is recommended that the city's Livestock Division of the Department of Agriculture support local farmers in constructing low-cost housing using local materials such as thatch, mud bricks and cow-dung and the preparation of low-cost feed using crop residues.","author":[{"dropping-particle":"","family":"Abdulai","given":"I. A.","non-dropping-particle":"","parse-names":false,"suffix":""}],"container-title":"Heliyon","id":"ITEM-1","issue":"4","issued":{"date-parts":[["2022"]]},"page":"e09347","publisher":"The Author(s)","title":"Rearing livestock on the edge of secondary cities: examining small ruminant production on the fringes of Wa, Ghana","type":"article-journal","volume":"8"},"uris":["http://www.mendeley.com/documents/?uuid=932621d1-2a22-448a-ab82-252612d34b4d"]}],"mendeley":{"formattedCitation":"(Abdulai, 2022)","plainTextFormattedCitation":"(Abdulai, 2022)","previouslyFormattedCitation":"(Abdulai,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(Abdulai, 2022)</w:t>
      </w:r>
      <w:r w:rsidRPr="00895D0B">
        <w:rPr>
          <w:rFonts w:cs="Times New Roman"/>
          <w:color w:val="000000" w:themeColor="text1"/>
          <w:szCs w:val="24"/>
        </w:rPr>
        <w:fldChar w:fldCharType="end"/>
      </w:r>
      <w:r w:rsidRPr="00895D0B">
        <w:rPr>
          <w:rFonts w:cs="Times New Roman"/>
          <w:color w:val="000000" w:themeColor="text1"/>
          <w:szCs w:val="24"/>
        </w:rPr>
        <w:t xml:space="preserve">. This is attributed to the fact that the low-class zone is said to be the core or epicentre of urban growth with competing land use for both businesses and residents. Therefore, it is difficult to get following or undeveloped land for urban food production on one hand. On the other hand, the medium-class zone is less dense compared to the low-class zone with more undeveloped places for urban food production. Though the medium-class residential area is a transitional zone between the city core and the outskirt, it shares common characteristics with that of the high and low-class residential zones. The high-class zone, which is well-planned has fallowing lands for agriculture production in the neighbourhood as compared to that of the low-class and medium-class zones. The implication is that high-class residents are more likely to pay attention to urban food production followed by the medium-class zone than the low-class zone because there is the possibility of almost all being educated and formal workers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{"citationItems":[{"id":"ITEM-1","itemData":{"DOI":"10.1016/j.heliyon.2019.e02230","ISSN":"24058440","abstract":"This paper assesses the participation of formal sector employees in urban agriculture and their contributions to food supply in the Wa Municipality, north-western Ghana. A cross-sectional research design was employed with survey as the data collection method. Respondents were randomly selected from various public sector agencies within the Municipality. Logistic regression was employed to identify the factors influencing participation in agriculture. The findings revealed that majority (62.1%) of the respondents were not participating in agriculture. Respondents who participate in urban agriculture practice food crop farming or animal rearing or both. The probability of a formal sector worker participating in agriculture is influenced by sex, age, education, household size, finance and formal workload. Participation in agriculture contributes to household food supply through physical availability of food, income earning and savings. Providing formal sector workers with information about the significance of urban agriculture could be a way of encouraging their participation.","author":[{"dropping-particle":"","family":"Bolang","given":"P. D.","non-dropping-particle":"","parse-names":false,"suffix":""},{"dropping-particle":"","family":"Osumanu","given":"I. K.","non-dropping-particle":"","parse-names":false,"suffix":""}],"container-title":"Heliyon","id":"ITEM-1","issue":"8","issued":{"date-parts":[["2019"]]},"page":"e02230","publisher":"Elsevier Ltd","title":"Formal sector workers’ participation in urban agriculture in Ghana: perspectives from the Wa Municipality","type":"article-journal","volume":"5"},"uris":["http://www.mendeley.com/documents/?uuid=88280e88-67c1-49ca-8187-4f3bdd86847d"]}],"mendeley":{"formattedCitation":"(Bolang &amp; Osumanu, 2019)","plainTextFormattedCitation":"(Bolang &amp; Osumanu, 2019)","previouslyFormattedCitation":"(Bolang &amp; Osumanu,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(Bolang &amp; Osumanu, 2019)</w:t>
      </w:r>
      <w:r w:rsidRPr="00895D0B">
        <w:rPr>
          <w:rFonts w:cs="Times New Roman"/>
          <w:color w:val="000000" w:themeColor="text1"/>
          <w:szCs w:val="24"/>
        </w:rPr>
        <w:fldChar w:fldCharType="end"/>
      </w:r>
      <w:r w:rsidRPr="00895D0B">
        <w:rPr>
          <w:rFonts w:cs="Times New Roman"/>
          <w:color w:val="000000" w:themeColor="text1"/>
          <w:szCs w:val="24"/>
        </w:rPr>
        <w:t xml:space="preserve">. Eventually, land accessibility is critical in urban households’ participation in urban agriculture. This is in line with the claim that urban agricultural production is </w:t>
      </w:r>
      <w:r w:rsidRPr="00895D0B">
        <w:rPr>
          <w:rFonts w:cs="Times New Roman"/>
          <w:color w:val="000000" w:themeColor="text1"/>
          <w:szCs w:val="24"/>
        </w:rPr>
        <w:lastRenderedPageBreak/>
        <w:t xml:space="preserve">affected by land availability and accessibility as land acquisition is mainly by purchasing (Horst et al., 2017). This suggests that urban households who have the interest to participate but do not have the wherewithal will not be able to do so. Again, this mode of acquisition leads to fragmentation, tenure insecurity, and reduction in sizes of urban agricultural lands  (Wubneh, 2018; Bachtiar, 2018; Thi et al., 2021). This supports the finding that land ownership, availability, and accessibility influence sustainable agricultural production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{"citationItems":[{"id":"ITEM-1","itemData":{"DOI":"10.1016/j.worlddev.2019.104692","ISSN":"18735991","abstract":"Climate-smart agriculture (CSA) is increasingly important for advancing rural development and environmental sustainability goals in developing countries. Over the past decade, the international community has committed billions of dollars to support various practices under the banner of CSA. Despite this effort, however, CSA adoption remains low in many contexts. Lack of conceptual clarity about the range of potential farm-level CSA practices across contexts impedes understanding of CSA adoption in developing countries. Here we review relevant literature to develop a typology of farm-level CSA practices to facilitate analyses of CSA adoption. The typology consists of six categories, organized from least to most resource intensive: (1) residue addition, (2) non-woody plant cultivation, (3) assisted regeneration, (4) woody plant cultivation, (5) physical infrastructure, and (6) mixed measures. We use the typology to generate and test hypotheses about CSA adoption using primary household survey data from a large aid-funded CSA intervention area in southern Malawi. We then use recursive bivariate probit regression (controlling for endogeneity and selection bias) to estimate the effect of program participation on adoption across CSA categories. We find positive and statistically significant effects of program participation on adoption of CSA practices generally with the strongest effects on resource-intensive CSA categories. Results demonstrate the potential for wider application of the typology to build knowledge of the effectiveness of CSA promotion efforts across different social and environmental contexts. Our findings also suggest the importance of external support for the adoption of more resource-intensive CSA practices among rural households and communities in Malawi and elsewhere in the developing world.","author":[{"dropping-particle":"","family":"Amadu","given":"F. O.","non-dropping-particle":"","parse-names":false,"suffix":""},{"dropping-particle":"","family":"McNamara","given":"P. E.","non-dropping-particle":"","parse-names":false,"suffix":""},{"dropping-particle":"","family":"Miller","given":"D. C.","non-dropping-particle":"","parse-names":false,"suffix":""}],"container-title":"World Development","id":"ITEM-1","issued":{"date-parts":[["2020"]]},"page":"104692","publisher":"Elsevier Ltd","title":"Understanding the adoption of climate-smart agriculture: A farm-level typology with empirical evidence from southern Malawi","type":"article-journal","volume":"126"},"uris":["http://www.mendeley.com/documents/?uuid=2e2fb2bb-1a68-4d61-81ea-94c994b8ea40"]}],"mendeley":{"formattedCitation":"(Amadu et al., 2020)","plainTextFormattedCitation":"(Amadu et al., 2020)","previouslyFormattedCitation":"(Amadu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(Amadu et al., 2020)</w:t>
      </w:r>
      <w:r w:rsidRPr="00895D0B">
        <w:rPr>
          <w:rFonts w:cs="Times New Roman"/>
          <w:color w:val="000000" w:themeColor="text1"/>
          <w:szCs w:val="24"/>
        </w:rPr>
        <w:fldChar w:fldCharType="end"/>
      </w:r>
      <w:r w:rsidRPr="00895D0B">
        <w:rPr>
          <w:rFonts w:cs="Times New Roman"/>
          <w:color w:val="000000" w:themeColor="text1"/>
          <w:szCs w:val="24"/>
        </w:rPr>
        <w:t xml:space="preserve">. As such, extant literature points to a positive relationship between land ownership and successful agricultural production despite climate influence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{"citationItems":[{"id":"ITEM-1","itemData":{"DOI":"10.1080/23311886.2019.1663691","author":[{"dropping-particle":"","family":"Akinyemi","given":"B. E.","non-dropping-particle":"","parse-names":false,"suffix":""},{"dropping-particle":"","family":"Mushunje","given":"A.","non-dropping-particle":"","parse-names":false,"suffix":""}],"container-title":"Cogent Social Sciences","id":"ITEM-1","issue":"1","issued":{"date-parts":[["2019"]]},"publisher":"Cogent","title":"Land ownership and usage for agriculture : Empirical evidence from South African Living Conditions Survey Land ownership and usage for agriculture : Empirical evidence from South African Living Conditions Survey","type":"article-journal","volume":"5"},"uris":["http://www.mendeley.com/documents/?uuid=ac92859b-379f-495d-93d7-2194dc5037de"]},{"id":"ITEM-2","itemData":{"DOI":"10.1016/j.landusepol.2019.104317","ISSN":"0264-8377","author":[{"dropping-particle":"","family":"Ali","given":"D. A.","non-dropping-particle":"","parse-names":false,"suffix":""},{"dropping-particle":"","family":"Deininger","given":"K.","non-dropping-particle":"","parse-names":false,"suffix":""},{"dropping-particle":"","family":"Mahofa","given":"G.","non-dropping-particle":"","parse-names":false,"suffix":""},{"dropping-particle":"","family":"Nyakulama","given":"R.","non-dropping-particle":"","parse-names":false,"suffix":""}],"container-title":"Land Use Policy","id":"ITEM-2","issue":"October","issued":{"date-parts":[["2019"]]},"page":"104317","publisher":"Elsevier","title":"Land Use Policy Sustaining land registration benefits by addressing the challenges of reversion to informality in Rwanda","type":"article-journal"},"uris":["http://www.mendeley.com/documents/?uuid=e04b6d2d-0589-43de-baf7-7f859c04f7fa"]},{"id":"ITEM-3","itemData":{"DOI":"10.1007/s10668-020-00719-9","ISBN":"0123456789","author":[{"dropping-particle":"","family":"Alhassan","given":"S. I.","non-dropping-particle":"","parse-names":false,"suffix":""},{"dropping-particle":"","family":"Shaibu","given":"T.","non-dropping-particle":"","parse-names":false,"suffix":""},{"dropping-particle":"","family":"Kuwornu","given":"J. K. M.","non-dropping-particle":"","parse-names":false,"suffix":""},{"dropping-particle":"","family":"Damba","given":"T.","non-dropping-particle":"","parse-names":false,"suffix":""},{"dropping-particle":"","family":"Amikuzuno","given":"J.","non-dropping-particle":"","parse-names":false,"suffix":""}],"id":"ITEM-3","issued":{"date-parts":[["2020"]]},"publisher":"Springer Netherlands","title":"The nexus of land grabbing and livelihood of farming households in Ghana","type":"book"},"uris":["http://www.mendeley.com/documents/?uuid=6002ca27-35f2-40fd-8afd-29e68ef74123"]}],"mendeley":{"formattedCitation":"(Akinyemi &amp; Mushunje, 2019; Alhassan et al., 2020; Ali et al., 2019)","plainTextFormattedCitation":"(Akinyemi &amp; Mushunje, 2019; Alhassan et al., 2020; Ali et al., 2019)","previouslyFormattedCitation":"(Akinyemi &amp; Mushunje, 2019; Alhassan et al., 2020; Ali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(Akinyemi &amp; Mushunje, 2019; Alhassan et al., 2020; Ali et al., 2019)</w:t>
      </w:r>
      <w:r w:rsidRPr="00895D0B">
        <w:rPr>
          <w:rFonts w:cs="Times New Roman"/>
          <w:color w:val="000000" w:themeColor="text1"/>
          <w:szCs w:val="24"/>
        </w:rPr>
        <w:fldChar w:fldCharType="end"/>
      </w:r>
      <w:r w:rsidRPr="00895D0B">
        <w:rPr>
          <w:rFonts w:cs="Times New Roman"/>
          <w:color w:val="000000" w:themeColor="text1"/>
          <w:szCs w:val="24"/>
        </w:rPr>
        <w:t xml:space="preserve">. In line with the above findings,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{"citationItems":[{"id":"ITEM-1","itemData":{"DOI":"10.1016/j.jssas.2017.06.001","ISSN":"1658077X","abstract":"This study is designed to assess the factors that affect smallholder rice farmer's participation in market. In addition it also examines the effect of commercialization on the welfare of smallholder farmers. The method of Heckman two-stage model is used to obtain the desired objectives. Random sampling technique is used to collect data from 249 smallholder farmers. Result of the study indicates that gender of the household head, age, number of family member who assist in farming, household size, vocational training, and the farmer being landlord and farm size were the major determinants of market participation. The welfare of the farmer depends whether the farmer participate in the rice output market. The result also indicated that rice output, off-farm income, access to credit, and income from the sale of rice were important factors influencing the welfare of the household. The participation in market can be increased by providing subsidized prices for their production, cold storage houses, vocational training, introducing new technology, increasing contact with extension agent and providing genetically modified seeds.","author":[{"dropping-particle":"","family":"Abdullah","given":"R. F.","non-dropping-particle":"","parse-names":false,"suffix":""},{"dropping-particle":"","family":"Ahamad","given":"R.","non-dropping-particle":"","parse-names":false,"suffix":""},{"dropping-particle":"","family":"Ali","given":"S.","non-dropping-particle":"","parse-names":false,"suffix":""},{"dropping-particle":"","family":"Chandio","given":"A. A.","non-dropping-particle":"","parse-names":false,"suffix":""},{"dropping-particle":"","family":"Ahmad","given":"W.","non-dropping-particle":"","parse-names":false,"suffix":""},{"dropping-particle":"","family":"Ilyas","given":"A.","non-dropping-particle":"","parse-names":false,"suffix":""},{"dropping-particle":"","family":"Din","given":"I. U.","non-dropping-particle":"","parse-names":false,"suffix":""}],"container-title":"Journal of the Saudi Society of Agricultural Sciences","id":"ITEM-1","issue":"2","issued":{"date-parts":[["2019"]]},"page":"224-233","publisher":"King Saud University &amp; Saudi Society of Agricultural Sciences","title":"Determinants of commercialization and its impact on the welfare of smallholder rice farmers by using Heckman's two-stage approach","type":"article-journal","volume":"18"},"uris":["http://www.mendeley.com/documents/?uuid=ad891ff9-9198-490f-9466-34b88b1cf1ad"]}],"mendeley":{"formattedCitation":"(Abdullah et al., 2019)","manualFormatting":"Abdullah et al. (2019)","plainTextFormattedCitation":"(Abdullah et al., 2019)","previouslyFormattedCitation":"(Abdullah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Abdullah et al. (2019)</w:t>
      </w:r>
      <w:r w:rsidRPr="00895D0B">
        <w:rPr>
          <w:rFonts w:cs="Times New Roman"/>
          <w:color w:val="000000" w:themeColor="text1"/>
          <w:szCs w:val="24"/>
        </w:rPr>
        <w:fldChar w:fldCharType="end"/>
      </w:r>
      <w:r w:rsidRPr="00895D0B">
        <w:rPr>
          <w:rFonts w:cs="Times New Roman"/>
          <w:color w:val="000000" w:themeColor="text1"/>
          <w:szCs w:val="24"/>
        </w:rPr>
        <w:t xml:space="preserve"> concluded that land ownership is strongly associated with participation in agriculture as landlords are more likely to engage in agricultural production than those who do not own lands. Almost all lands used for urban agriculture are undeveloped land acquired for residential development. This supports the idea that land acquired in the urban neighbourhood is basically for residential purposes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{"citationItems":[{"id":"ITEM-1","itemData":{"DOI":"10.1016/j.landusepol.2018.11.028","ISSN":"02648377","abstract":"The conventional and state controlled expropriation is the sole urban land acquisition method for housing and other urban development purposes in Ethiopia. Transitional peri-urban areas are those places where state controlled expropriation measures are largely executed as a response to the growing land and housing demands induced by rapid urbanization. Thus, the aim of this study is to review the deficiencies associated with the existing urban land acquisition and delivery method with a view of arriving at an alternative means of mitigating the challenges associated with it. A mixture of desk review and case study approaches were employed to achieve the objective of the study. The findings of the study shows that the urban land acquisition strategy employed by the government has been exerting unnecessary pressure on peri-urban land and it is also largely criticized for inducing displacement and disruption to the local farming peri-urban communities. The challenges seen in the peri-urban areas stipulate policy makers and researchers and other stakeholders to think outside the box and bring alternative solutions for it. In line with this, the reviews of international experiences on urbanization and associated growing demand of land, land readjustment has largely been implemented as alternative and emerging land acquisition and delivery tool. Therefore, government led land readjustment is recommended to be introduced in the Ethiopian urban land development system as a mechanism to revert the unpleasant urban development practices and trends seen in the peri-urban areas of Ethiopia.","author":[{"dropping-particle":"","family":"Adam","given":"A. G.","non-dropping-particle":"","parse-names":false,"suffix":""}],"container-title":"Land Use Policy","id":"ITEM-1","issue":"August 2017","issued":{"date-parts":[["2019"]]},"page":"624-631","publisher":"Elsevier","title":"Thinking outside the box and introducing land readjustment against the conventional urban land acquisition and delivery method in Ethiopia","type":"article-journal","volume":"81"},"uris":["http://www.mendeley.com/documents/?uuid=1462e629-9a55-412e-8ac8-7df250f5dba3"]},{"id":"ITEM-2","itemData":{"DOI":"10.1016/j.compenvurbsys.2020.101504","ISSN":"01989715","abstract":"As a major method to serve the demand for land requirement in Chinese urban construction, land acquisition has been intensified since the speeding up of urbanization. However, clashes arise during the process of land acquisition, out of conflicts of interests, which to some extent have affected the development and direction of urban expansion, as well as social harmony and stability. Therefore, the urban expansion simulation should be based on smooth land acquisition technique. In this study, urban expansion was simulated from the perspective of land acquisition, based on coupled bargaining model and modified ant colony optimization (ACO) algorithm. First, the bargaining model with fairness preferences should be set up for the government and farmers, to search for the candidate areas for urban expansion, both sides of which could reach a consensus without conflicts of interest. Then, urban expansion simulation is applied to all the candidate areas, taking advantage of the modified ACO algorithm. The model considered the built-up area in Wuhan city as the demonstration area and simulated conditions of land use in 2016 and 2026. The result showed that the coupled model could simulate decision-making behavior of the government and farmers in land acquisition veritably, so as to protect farmers' economic interests, with an increase of over 50% on average, and ensure government's appropriate profit. Moreover, the simulation accuracies of the coupled model was found to be better than that of the traditional cellular automata model, and the Kappa coefficient was 0.65, which supports the effectiveness of the model in simulating urban expansion. Further, it was estimated that the urban land use of Wuhan will cover 516.22 km2 in 2026, and the southeastern part of the city will be the hot spot area of urban expansion.","author":[{"dropping-particle":"","family":"Tang","given":"D.","non-dropping-particle":"","parse-names":false,"suffix":""},{"dropping-particle":"","family":"Liu","given":"H.","non-dropping-particle":"","parse-names":false,"suffix":""},{"dropping-particle":"","family":"Song","given":"E.","non-dropping-particle":"","parse-names":false,"suffix":""},{"dropping-particle":"","family":"Chang","given":"S.","non-dropping-particle":"","parse-names":false,"suffix":""}],"container-title":"Computers, Environment and Urban Systems","id":"ITEM-2","issue":"December 2019","issued":{"date-parts":[["2020"]]},"page":"101504","publisher":"Elsevier","title":"Urban expansion simulation from the perspective of land acquisition-based on bargaining model and ant colony optimization","type":"article-journal","volume":"82"},"uris":["http://www.mendeley.com/documents/?uuid=f0c9e5d3-d922-40a8-8823-da221664e580"]}],"mendeley":{"formattedCitation":"(Adam, 2019; Tang et al., 2020)","manualFormatting":"Adam (2019)","plainTextFormattedCitation":"(Adam, 2019; Tang et al., 2020)","previouslyFormattedCitation":"(Adam, 2019; Tang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Adam (2019)</w:t>
      </w:r>
      <w:r w:rsidRPr="00895D0B">
        <w:rPr>
          <w:rFonts w:cs="Times New Roman"/>
          <w:color w:val="000000" w:themeColor="text1"/>
          <w:szCs w:val="24"/>
        </w:rPr>
        <w:fldChar w:fldCharType="end"/>
      </w:r>
      <w:r w:rsidRPr="00895D0B">
        <w:rPr>
          <w:rFonts w:cs="Times New Roman"/>
          <w:color w:val="000000" w:themeColor="text1"/>
          <w:szCs w:val="24"/>
        </w:rPr>
        <w:t xml:space="preserve"> and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{"citationItems":[{"id":"ITEM-1","itemData":{"DOI":"10.1016/j.compenvurbsys.2020.101504","ISSN":"01989715","abstract":"As a major method to serve the demand for land requirement in Chinese urban construction, land acquisition has been intensified since the speeding up of urbanization. However, clashes arise during the process of land acquisition, out of conflicts of interests, which to some extent have affected the development and direction of urban expansion, as well as social harmony and stability. Therefore, the urban expansion simulation should be based on smooth land acquisition technique. In this study, urban expansion was simulated from the perspective of land acquisition, based on coupled bargaining model and modified ant colony optimization (ACO) algorithm. First, the bargaining model with fairness preferences should be set up for the government and farmers, to search for the candidate areas for urban expansion, both sides of which could reach a consensus without conflicts of interest. Then, urban expansion simulation is applied to all the candidate areas, taking advantage of the modified ACO algorithm. The model considered the built-up area in Wuhan city as the demonstration area and simulated conditions of land use in 2016 and 2026. The result showed that the coupled model could simulate decision-making behavior of the government and farmers in land acquisition veritably, so as to protect farmers' economic interests, with an increase of over 50% on average, and ensure government's appropriate profit. Moreover, the simulation accuracies of the coupled model was found to be better than that of the traditional cellular automata model, and the Kappa coefficient was 0.65, which supports the effectiveness of the model in simulating urban expansion. Further, it was estimated that the urban land use of Wuhan will cover 516.22 km2 in 2026, and the southeastern part of the city will be the hot spot area of urban expansion.","author":[{"dropping-particle":"","family":"Tang","given":"D.","non-dropping-particle":"","parse-names":false,"suffix":""},{"dropping-particle":"","family":"Liu","given":"H.","non-dropping-particle":"","parse-names":false,"suffix":""},{"dropping-particle":"","family":"Song","given":"E.","non-dropping-particle":"","parse-names":false,"suffix":""},{"dropping-particle":"","family":"Chang","given":"S.","non-dropping-particle":"","parse-names":false,"suffix":""}],"container-title":"Computers, Environment and Urban Systems","id":"ITEM-1","issue":"December 2019","issued":{"date-parts":[["2020"]]},"page":"101504","publisher":"Elsevier","title":"Urban expansion simulation from the perspective of land acquisition-based on bargaining model and ant colony optimization","type":"article-journal","volume":"82"},"uris":["http://www.mendeley.com/documents/?uuid=f0c9e5d3-d922-40a8-8823-da221664e580"]}],"mendeley":{"formattedCitation":"(Tang et al., 2020)","manualFormatting":"Tang et al. (2020)","plainTextFormattedCitation":"(Tang et al., 2020)","previouslyFormattedCitation":"(Tang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Tang et al. (2020)</w:t>
      </w:r>
      <w:r w:rsidRPr="00895D0B">
        <w:rPr>
          <w:rFonts w:cs="Times New Roman"/>
          <w:color w:val="000000" w:themeColor="text1"/>
          <w:szCs w:val="24"/>
        </w:rPr>
        <w:fldChar w:fldCharType="end"/>
      </w:r>
      <w:r w:rsidRPr="00895D0B">
        <w:rPr>
          <w:rFonts w:cs="Times New Roman"/>
          <w:color w:val="000000" w:themeColor="text1"/>
          <w:szCs w:val="24"/>
        </w:rPr>
        <w:t>.</w:t>
      </w:r>
    </w:p>
    <w:p w14:paraId="68C3D55F" w14:textId="77777777" w:rsidR="001B4ED5" w:rsidRPr="00895D0B" w:rsidRDefault="001B4ED5" w:rsidP="009864E3">
      <w:pPr>
        <w:pStyle w:val="NoSpacing"/>
      </w:pPr>
    </w:p>
    <w:p w14:paraId="3BDD7E9F" w14:textId="1A94BB44"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color w:val="000000" w:themeColor="text1"/>
          <w:szCs w:val="24"/>
        </w:rPr>
        <w:t xml:space="preserve">The study </w:t>
      </w:r>
      <w:r w:rsidR="00AA6EA3" w:rsidRPr="00895D0B">
        <w:rPr>
          <w:rFonts w:cs="Times New Roman"/>
          <w:color w:val="000000" w:themeColor="text1"/>
          <w:szCs w:val="24"/>
        </w:rPr>
        <w:t>found</w:t>
      </w:r>
      <w:r w:rsidRPr="00895D0B">
        <w:rPr>
          <w:rFonts w:cs="Times New Roman"/>
          <w:color w:val="000000" w:themeColor="text1"/>
          <w:szCs w:val="24"/>
        </w:rPr>
        <w:t xml:space="preserve"> that the age of the head of the urban household influences their participation in urban agriculture. In line with this,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{"citationItems":[{"id":"ITEM-1","itemData":{"DOI":"10.1007/s10708-019-09974-4","ISBN":"1070801909","ISSN":"15729893","abstract":"Climate change has diverse physical and socio-economic implications for communities in semi-arid areas. While several studies have sought to understand the underlying power relations that shape adaptive capacities of rural farmers, fewer studies have focused on unpacking the differences within the different social groups. In this paper, we present a case study based on women smallholder farmers from semi-arid Ghana. It explores their nuanced perceptions of climate variability and highlights how gender intersects with other identities, roles and responsibilities to influence adaptation strategies and barriers to adaptation in the semi-arid context. Farm-level data was collected from 103 women farmers using semi-structured interviews, focus group discussions and key informant interviews. Rainfall patterns were perceived by the women farmers to be increasingly erratic and perceptions of average temperatures were that they are increasing. Adoption of adaptation strategies were influenced by socio-demographic factors such as age, marital and residential status, which also influenced decision-making and power dynamics within the household. The paper highlighted the complex relationships that mediate women farmers’ access to resources and influence their vulnerability to climate variability and change. Highlighting the intra-gender differences that shaped the adaptation options and adaptive capacity is a prerequisite for proper adaptation policy planning and targeting.","author":[{"dropping-particle":"","family":"Lawson","given":"E. T.","non-dropping-particle":"","parse-names":false,"suffix":""},{"dropping-particle":"","family":"Alare","given":"R. S.","non-dropping-particle":"","parse-names":false,"suffix":""},{"dropping-particle":"","family":"Salifu","given":"A. R. Z.","non-dropping-particle":"","parse-names":false,"suffix":""},{"dropping-particle":"","family":"Thompson-Hall","given":"M.","non-dropping-particle":"","parse-names":false,"suffix":""}],"container-title":"GeoJournal","id":"ITEM-1","issue":"2","issued":{"date-parts":[["2020"]]},"page":"439-452","publisher":"Springer Netherlands","title":"Dealing with climate change in semi-arid Ghana: understanding intersectional perceptions and adaptation strategies of women farmers","type":"article-journal","volume":"85"},"uris":["http://www.mendeley.com/documents/?uuid=fb6f70f3-af4e-42d7-80b4-cfe2a5689aae"]},{"id":"ITEM-2","itemData":{"DOI":"10.1016/j.heliyon.2020.e03867","ISSN":"24058440","abstract":"Climate change is a major environmental and socioeconomic challenge in Ethiopia in recent decades. The study site is one of the climate change prone areas affected by climate variability and extreme events. Therefore, a better understanding of area-specific and adaptation is crucial to develop and implement proper adaptation strategies that can alleviate the adverse effects of climate change. Therefore, this work was aimed to identify determinants of farmers' adoption of climate change adaptation strategies in Gondar Zuria District of northwestern Ethiopia. Primary data were collected through semi-structured questionnaires, observation, and interviews. Besides, the secondary data were also obtained from journal articles, reports, governmental offices, and the internet. The Multinomial and Binary logistic regression models with the help of the Statistical Package for Social Sciences (SPSS) (21th edition) were used to analyze the data. The multinomial logistic regression model was used to estimate the influence of the socioeconomic characteristics of sample households on the farmer's decision to choose climate change adaptation strategies. The result showed that age, gender, family size, farm income, and farm size had a significant influence on the farmers' choice of climate change adaptation strategies. The result also revealed that crop failure, severe soil erosion and shortages of water are major climate change-related problems than others. In order to alleviate these problems, farmers have implemented mixed farming, mixed cropping, early and late planting (changing sowing period), use of drought-resistant crop varieties, application of soil and water conservation techniques, shifting to non-farm income activities and use of irrigation. In contrast, access to climate information, total annual farm income, and market access variables are significant adoption determinants of climate change adaptation strategies by farmers' in the study site. Therefore, we recommend future adaptation-related plans should focus on improving climate change information access, improving market access and enhancing research on the use of rainwater harvesting technology.","author":[{"dropping-particle":"","family":"Marie","given":"M.","non-dropping-particle":"","parse-names":false,"suffix":""},{"dropping-particle":"","family":"Yirga","given":"F.","non-dropping-particle":"","parse-names":false,"suffix":""},{"dropping-particle":"","family":"Haile","given":"M.","non-dropping-particle":"","parse-names":false,"suffix":""},{"dropping-particle":"","family":"Tquabo","given":"F.","non-dropping-particle":"","parse-names":false,"suffix":""}],"container-title":"Heliyon","id":"ITEM-2","issue":"4","issued":{"date-parts":[["2020"]]},"page":"e03867","publisher":"Elsevier Ltd","title":"Farmers' choices and factors affecting adoption of climate change adaptation strategies: evidence from northwestern Ethiopia","type":"article-journal","volume":"6"},"uris":["http://www.mendeley.com/documents/?uuid=991a13ab-f1e3-4817-9b80-579de785cd13"]}],"mendeley":{"formattedCitation":"(Lawson et al., 2020; Marie et al., 2020)","manualFormatting":"Lawson et al. (2020) ","plainTextFormattedCitation":"(Lawson et al., 2020; Marie et al., 2020)","previouslyFormattedCitation":"(Lawson et al., 2020; Marie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 xml:space="preserve">Lawson et al. (2020) </w:t>
      </w:r>
      <w:r w:rsidRPr="00895D0B">
        <w:rPr>
          <w:rFonts w:cs="Times New Roman"/>
          <w:color w:val="000000" w:themeColor="text1"/>
          <w:szCs w:val="24"/>
        </w:rPr>
        <w:fldChar w:fldCharType="end"/>
      </w:r>
      <w:r w:rsidRPr="00895D0B">
        <w:rPr>
          <w:rFonts w:cs="Times New Roman"/>
          <w:color w:val="000000" w:themeColor="text1"/>
          <w:szCs w:val="24"/>
        </w:rPr>
        <w:t xml:space="preserve">and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{"citationItems":[{"id":"ITEM-1","itemData":{"DOI":"10.1016/j.heliyon.2020.e03867","ISSN":"24058440","abstract":"Climate change is a major environmental and socioeconomic challenge in Ethiopia in recent decades. The study site is one of the climate change prone areas affected by climate variability and extreme events. Therefore, a better understanding of area-specific and adaptation is crucial to develop and implement proper adaptation strategies that can alleviate the adverse effects of climate change. Therefore, this work was aimed to identify determinants of farmers' adoption of climate change adaptation strategies in Gondar Zuria District of northwestern Ethiopia. Primary data were collected through semi-structured questionnaires, observation, and interviews. Besides, the secondary data were also obtained from journal articles, reports, governmental offices, and the internet. The Multinomial and Binary logistic regression models with the help of the Statistical Package for Social Sciences (SPSS) (21th edition) were used to analyze the data. The multinomial logistic regression model was used to estimate the influence of the socioeconomic characteristics of sample households on the farmer's decision to choose climate change adaptation strategies. The result showed that age, gender, family size, farm income, and farm size had a significant influence on the farmers' choice of climate change adaptation strategies. The result also revealed that crop failure, severe soil erosion and shortages of water are major climate change-related problems than others. In order to alleviate these problems, farmers have implemented mixed farming, mixed cropping, early and late planting (changing sowing period), use of drought-resistant crop varieties, application of soil and water conservation techniques, shifting to non-farm income activities and use of irrigation. In contrast, access to climate information, total annual farm income, and market access variables are significant adoption determinants of climate change adaptation strategies by farmers' in the study site. Therefore, we recommend future adaptation-related plans should focus on improving climate change information access, improving market access and enhancing research on the use of rainwater harvesting technology.","author":[{"dropping-particle":"","family":"Marie","given":"M.","non-dropping-particle":"","parse-names":false,"suffix":""},{"dropping-particle":"","family":"Yirga","given":"F.","non-dropping-particle":"","parse-names":false,"suffix":""},{"dropping-particle":"","family":"Haile","given":"M.","non-dropping-particle":"","parse-names":false,"suffix":""},{"dropping-particle":"","family":"Tquabo","given":"F.","non-dropping-particle":"","parse-names":false,"suffix":""}],"container-title":"Heliyon","id":"ITEM-1","issue":"4","issued":{"date-parts":[["2020"]]},"page":"e03867","publisher":"Elsevier Ltd","title":"Farmers' choices and factors affecting adoption of climate change adaptation strategies: evidence from northwestern Ethiopia","type":"article-journal","volume":"6"},"uris":["http://www.mendeley.com/documents/?uuid=991a13ab-f1e3-4817-9b80-579de785cd13"]}],"mendeley":{"formattedCitation":"(Marie et al., 2020)","manualFormatting":"Marie et al. (2020)","plainTextFormattedCitation":"(Marie et al., 2020)","previouslyFormattedCitation":"(Marie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Marie et al. (2020)</w:t>
      </w:r>
      <w:r w:rsidRPr="00895D0B">
        <w:rPr>
          <w:rFonts w:cs="Times New Roman"/>
          <w:color w:val="000000" w:themeColor="text1"/>
          <w:szCs w:val="24"/>
        </w:rPr>
        <w:fldChar w:fldCharType="end"/>
      </w:r>
      <w:r w:rsidRPr="00895D0B">
        <w:rPr>
          <w:rFonts w:cs="Times New Roman"/>
          <w:color w:val="000000" w:themeColor="text1"/>
          <w:szCs w:val="24"/>
        </w:rPr>
        <w:t xml:space="preserve"> said that the age of an individual determines their decision to engage in agriculture and the use of modern agricultural methods including climate change. It also supports the fact that older farmers aside from their experience could have resources to increase agricultural production by adapting their activities to climate change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{"citationItems":[{"id":"ITEM-1","itemData":{"DOI":"10.1080/13669877.2017.1351476","ISSN":"14664461","abstract":"We analyze the factors affecting farmers’ choice accounting for farm, farmer, and household characteristics as well as elicited risk perception and risk preferences. We consider three alternative hypothetical methods for assessing risk preferences to test the stability and behavioral validity of them. Our case study focuses on livestock farmers in the German region North Rhine-Westphalia. We find that risk preferences are context depending, i.e. differ across different fields of farm-level decision-making. Furthermore, our analysis shows that risk-averse farmers are more likely to prioritize on-farm risk management strategies over off-farm strategies. Moreover, higher risk perception, age, subjective numeracy, farm succession, farm size, and the proportion of rented land show a significant impact on farmers’ risk behavior.","author":[{"dropping-particle":"","family":"Meraner","given":"M.","non-dropping-particle":"","parse-names":false,"suffix":""},{"dropping-particle":"","family":"Finger","given":"R.","non-dropping-particle":"","parse-names":false,"suffix":""}],"container-title":"Journal of Risk Research","id":"ITEM-1","issue":"1","issued":{"date-parts":[["2019"]]},"page":"110-135","publisher":"Routledge","title":"Risk perceptions, preferences and management strategies: evidence from a case study using German livestock farmers","type":"article-journal","volume":"22"},"uris":["http://www.mendeley.com/documents/?uuid=e07b4665-3b95-4bc1-9757-75401052c558"]}],"mendeley":{"formattedCitation":"(Meraner &amp; Finger, 2019)","plainTextFormattedCitation":"(Meraner &amp; Finger, 2019)","previouslyFormattedCitation":"(Meraner &amp; Finger,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(Meraner &amp; Finger, 2019)</w:t>
      </w:r>
      <w:r w:rsidRPr="00895D0B">
        <w:rPr>
          <w:rFonts w:cs="Times New Roman"/>
          <w:color w:val="000000" w:themeColor="text1"/>
          <w:szCs w:val="24"/>
        </w:rPr>
        <w:fldChar w:fldCharType="end"/>
      </w:r>
      <w:r w:rsidRPr="00895D0B">
        <w:rPr>
          <w:rFonts w:cs="Times New Roman"/>
          <w:color w:val="000000" w:themeColor="text1"/>
          <w:szCs w:val="24"/>
        </w:rPr>
        <w:t xml:space="preserve">. The gender of the household head also determines the participation in urban agriculture. This supports the finding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{"citationItems":[{"id":"ITEM-1","itemData":{"DOI":"10.1017/S1742170518000017","ISSN":"17421713","abstract":"Climate change is projected to have severe implications for smallholder agriculture in Africa, with increased temperatures, increased drought and flooding occurrence, and increased rainfall variability. Given these projections, there is a need to identify effective strategies to help rural communities adapt to climatic risks. Yet, relatively little research has examined the politics and social dynamics around knowledge and sources of information about climate-change adaptation with smallholder farming communities. This paper uses a political ecology approach to historically situate rural people's experiences with a changing climate. Using the concept of the co-production of knowledge, we examine how Malawian smallholder farmers learn, perceive, share and apply knowledge about a changing climate, and what sources they draw on for agroecological methods in this context. As well, we pay particular attention to agricultural knowledge flows within and between households. We ask two main questions: Whose knowledge counts in relation to climate-change adaptation? What are the political, social and environmental implications of these knowledge dynamics? We draw upon a long-term action research project on climate-change adaptation that involved focus groups, interviews, observations, surveys, and participatory agroecology experiments with 425 farmers. Our findings are consistent with other studies, which found that agricultural knowledge sources were shaped by gender and other social inequalities, with women more reliant on informal networks than men. Farmers initially ranked extension services as important sources of knowledge about farming and climate change. After farmers carried out participatory agroecological research, they ranked their own observation and informal farmer networks as more important sources of knowledge. Contradictory ideas about climate-change adaptation, linked to various positions of power, gaps of knowledge and social inequalities make it challenging for farmers to know how to act despite observing changes in rainfall. Participatory agroecological approaches influenced adaptation strategies used by smallholder farmers in Malawi, but most still maintained the dominant narrative about climate-change causes, which focused on local deforestation by rural communities. Smallholder farmers in Malawi are responsible for &lt;1% of global greenhouse gas emissions, yet our results show that the farmers often blame their own rural communities for chan…","author":[{"dropping-particle":"","family":"Kerr","given":"B. R.","non-dropping-particle":"","parse-names":false,"suffix":""},{"dropping-particle":"","family":"Nyantakyi-Frimpong","given":"H.","non-dropping-particle":"","parse-names":false,"suffix":""},{"dropping-particle":"","family":"Dakishoni","given":"L.","non-dropping-particle":"","parse-names":false,"suffix":""},{"dropping-particle":"","family":"Lupafya","given":"E.","non-dropping-particle":"","parse-names":false,"suffix":""},{"dropping-particle":"","family":"Shumba","given":"L.","non-dropping-particle":"","parse-names":false,"suffix":""},{"dropping-particle":"","family":"Luginaah","given":"I.","non-dropping-particle":"","parse-names":false,"suffix":""},{"dropping-particle":"","family":"Snapp","given":"S. S.","non-dropping-particle":"","parse-names":false,"suffix":""}],"container-title":"Renewable Agriculture and Food Systems","id":"ITEM-1","issue":"3","issued":{"date-parts":[["2018"]]},"page":"238-251","title":"Knowledge politics in participatory climate change adaptation research on agroecology in Malawi","type":"article-journal","volume":"33"},"uris":["http://www.mendeley.com/documents/?uuid=2b960031-cee4-496a-987d-3468b8748584"]}],"mendeley":{"formattedCitation":"(Kerr et al., 2018)","manualFormatting":"Kerr et al. (2018)","plainTextFormattedCitation":"(Kerr et al., 2018)","previouslyFormattedCitation":"(Kerr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Kerr et al. (2018)</w:t>
      </w:r>
      <w:r w:rsidRPr="00895D0B">
        <w:rPr>
          <w:rFonts w:cs="Times New Roman"/>
          <w:color w:val="000000" w:themeColor="text1"/>
          <w:szCs w:val="24"/>
        </w:rPr>
        <w:fldChar w:fldCharType="end"/>
      </w:r>
      <w:r w:rsidRPr="00895D0B">
        <w:rPr>
          <w:rFonts w:cs="Times New Roman"/>
          <w:color w:val="000000" w:themeColor="text1"/>
          <w:szCs w:val="24"/>
        </w:rPr>
        <w:t xml:space="preserve"> that gender is a determinant of taking up agricultural activity; especially in climate change adaptation strategies, ladies get climate information from informal networks more than men. The gender of farmers influences their ability to practice climate change adaptation in farming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{"citationItems":[{"id":"ITEM-1","itemData":{"DOI":"10.1016/j.heliyon.2020.e03867","ISSN":"24058440","abstract":"Climate change is a major environmental and socioeconomic challenge in Ethiopia in recent decades. The study site is one of the climate change prone areas affected by climate variability and extreme events. Therefore, a better understanding of area-specific and adaptation is crucial to develop and implement proper adaptation strategies that can alleviate the adverse effects of climate change. Therefore, this work was aimed to identify determinants of farmers' adoption of climate change adaptation strategies in Gondar Zuria District of northwestern Ethiopia. Primary data were collected through semi-structured questionnaires, observation, and interviews. Besides, the secondary data were also obtained from journal articles, reports, governmental offices, and the internet. The Multinomial and Binary logistic regression models with the help of the Statistical Package for Social Sciences (SPSS) (21th edition) were used to analyze the data. The multinomial logistic regression model was used to estimate the influence of the socioeconomic characteristics of sample households on the farmer's decision to choose climate change adaptation strategies. The result showed that age, gender, family size, farm income, and farm size had a significant influence on the farmers' choice of climate change adaptation strategies. The result also revealed that crop failure, severe soil erosion and shortages of water are major climate change-related problems than others. In order to alleviate these problems, farmers have implemented mixed farming, mixed cropping, early and late planting (changing sowing period), use of drought-resistant crop varieties, application of soil and water conservation techniques, shifting to non-farm income activities and use of irrigation. In contrast, access to climate information, total annual farm income, and market access variables are significant adoption determinants of climate change adaptation strategies by farmers' in the study site. Therefore, we recommend future adaptation-related plans should focus on improving climate change information access, improving market access and enhancing research on the use of rainwater harvesting technology.","author":[{"dropping-particle":"","family":"Marie","given":"M.","non-dropping-particle":"","parse-names":false,"suffix":""},{"dropping-particle":"","family":"Yirga","given":"F.","non-dropping-particle":"","parse-names":false,"suffix":""},{"dropping-particle":"","family":"Haile","given":"M.","non-dropping-particle":"","parse-names":false,"suffix":""},{"dropping-particle":"","family":"Tquabo","given":"F.","non-dropping-particle":"","parse-names":false,"suffix":""}],"container-title":"Heliyon","id":"ITEM-1","issue":"4","issued":{"date-parts":[["2020"]]},"page":"e03867","publisher":"Elsevier Ltd","title":"Farmers' choices and factors affecting adoption of climate change adaptation strategies: evidence from northwestern Ethiopia","type":"article-journal","volume":"6"},"uris":["http://www.mendeley.com/documents/?uuid=991a13ab-f1e3-4817-9b80-579de785cd13"]}],"mendeley":{"formattedCitation":"(Marie et al., 2020)","manualFormatting":"Marie et al., 2020)","plainTextFormattedCitation":"(Marie et al., 2020)","previouslyFormattedCitation":"(Marie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Marie et al., 2020)</w:t>
      </w:r>
      <w:r w:rsidRPr="00895D0B">
        <w:rPr>
          <w:rFonts w:cs="Times New Roman"/>
          <w:color w:val="000000" w:themeColor="text1"/>
          <w:szCs w:val="24"/>
        </w:rPr>
        <w:fldChar w:fldCharType="end"/>
      </w:r>
      <w:r w:rsidRPr="00895D0B">
        <w:rPr>
          <w:rFonts w:cs="Times New Roman"/>
          <w:color w:val="000000" w:themeColor="text1"/>
          <w:szCs w:val="24"/>
        </w:rPr>
        <w:t xml:space="preserve">. The study finds that marriage also determines a household participation in urban agricultural production. This supports the findings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{"citationItems":[{"id":"ITEM-1","itemData":{"DOI":"10.1007/s10708-019-09974-4","ISBN":"1070801909","ISSN":"15729893","abstract":"Climate change has diverse physical and socio-economic implications for communities in semi-arid areas. While several studies have sought to understand the underlying power relations that shape adaptive capacities of rural farmers, fewer studies have focused on unpacking the differences within the different social groups. In this paper, we present a case study based on women smallholder farmers from semi-arid Ghana. It explores their nuanced perceptions of climate variability and highlights how gender intersects with other identities, roles and responsibilities to influence adaptation strategies and barriers to adaptation in the semi-arid context. Farm-level data was collected from 103 women farmers using semi-structured interviews, focus group discussions and key informant interviews. Rainfall patterns were perceived by the women farmers to be increasingly erratic and perceptions of average temperatures were that they are increasing. Adoption of adaptation strategies were influenced by socio-demographic factors such as age, marital and residential status, which also influenced decision-making and power dynamics within the household. The paper highlighted the complex relationships that mediate women farmers’ access to resources and influence their vulnerability to climate variability and change. Highlighting the intra-gender differences that shaped the adaptation options and adaptive capacity is a prerequisite for proper adaptation policy planning and targeting.","author":[{"dropping-particle":"","family":"Lawson","given":"E. T.","non-dropping-particle":"","parse-names":false,"suffix":""},{"dropping-particle":"","family":"Alare","given":"R. S.","non-dropping-particle":"","parse-names":false,"suffix":""},{"dropping-particle":"","family":"Salifu","given":"A. R. Z.","non-dropping-particle":"","parse-names":false,"suffix":""},{"dropping-particle":"","family":"Thompson-Hall","given":"M.","non-dropping-particle":"","parse-names":false,"suffix":""}],"container-title":"GeoJournal","id":"ITEM-1","issue":"2","issued":{"date-parts":[["2020"]]},"page":"439-452","publisher":"Springer Netherlands","title":"Dealing with climate change in semi-arid Ghana: understanding intersectional perceptions and adaptation strategies of women farmers","type":"article-journal","volume":"85"},"uris":["http://www.mendeley.com/documents/?uuid=fb6f70f3-af4e-42d7-80b4-cfe2a5689aae"]},{"id":"ITEM-2","itemData":{"DOI":"10.1016/j.heliyon.2020.e03867","ISSN":"24058440","abstract":"Climate change is a major environmental and socioeconomic challenge in Ethiopia in recent decades. The study site is one of the climate change prone areas affected by climate variability and extreme events. Therefore, a better understanding of area-specific and adaptation is crucial to develop and implement proper adaptation strategies that can alleviate the adverse effects of climate change. Therefore, this work was aimed to identify determinants of farmers' adoption of climate change adaptation strategies in Gondar Zuria District of northwestern Ethiopia. Primary data were collected through semi-structured questionnaires, observation, and interviews. Besides, the secondary data were also obtained from journal articles, reports, governmental offices, and the internet. The Multinomial and Binary logistic regression models with the help of the Statistical Package for Social Sciences (SPSS) (21th edition) were used to analyze the data. The multinomial logistic regression model was used to estimate the influence of the socioeconomic characteristics of sample households on the farmer's decision to choose climate change adaptation strategies. The result showed that age, gender, family size, farm income, and farm size had a significant influence on the farmers' choice of climate change adaptation strategies. The result also revealed that crop failure, severe soil erosion and shortages of water are major climate change-related problems than others. In order to alleviate these problems, farmers have implemented mixed farming, mixed cropping, early and late planting (changing sowing period), use of drought-resistant crop varieties, application of soil and water conservation techniques, shifting to non-farm income activities and use of irrigation. In contrast, access to climate information, total annual farm income, and market access variables are significant adoption determinants of climate change adaptation strategies by farmers' in the study site. Therefore, we recommend future adaptation-related plans should focus on improving climate change information access, improving market access and enhancing research on the use of rainwater harvesting technology.","author":[{"dropping-particle":"","family":"Marie","given":"M.","non-dropping-particle":"","parse-names":false,"suffix":""},{"dropping-particle":"","family":"Yirga","given":"F.","non-dropping-particle":"","parse-names":false,"suffix":""},{"dropping-particle":"","family":"Haile","given":"M.","non-dropping-particle":"","parse-names":false,"suffix":""},{"dropping-particle":"","family":"Tquabo","given":"F.","non-dropping-particle":"","parse-names":false,"suffix":""}],"container-title":"Heliyon","id":"ITEM-2","issue":"4","issued":{"date-parts":[["2020"]]},"page":"e03867","publisher":"Elsevier Ltd","title":"Farmers' choices and factors affecting adoption of climate change adaptation strategies: evidence from northwestern Ethiopia","type":"article-journal","volume":"6"},"uris":["http://www.mendeley.com/documents/?uuid=991a13ab-f1e3-4817-9b80-579de785cd13"]}],"mendeley":{"formattedCitation":"(Lawson et al., 2020; Marie et al., 2020)","manualFormatting":"Lawson et al. (2020) ","plainTextFormattedCitation":"(Lawson et al., 2020; Marie et al., 2020)","previouslyFormattedCitation":"(Lawson et al., 2020; Marie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 xml:space="preserve">Lawson et al. (2020) </w:t>
      </w:r>
      <w:r w:rsidRPr="00895D0B">
        <w:rPr>
          <w:rFonts w:cs="Times New Roman"/>
          <w:color w:val="000000" w:themeColor="text1"/>
          <w:szCs w:val="24"/>
        </w:rPr>
        <w:fldChar w:fldCharType="end"/>
      </w:r>
      <w:r w:rsidRPr="00895D0B">
        <w:rPr>
          <w:rFonts w:cs="Times New Roman"/>
          <w:color w:val="000000" w:themeColor="text1"/>
          <w:szCs w:val="24"/>
        </w:rPr>
        <w:t xml:space="preserve">who asserted that farmers' engagement in agriculture is influenced by their marital status, married individuals easily go into agricultural activities to meet their family needs. Some studies,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{"citationItems":[{"id":"ITEM-1","itemData":{"DOI":"10.1080/17565529.2018.1562866","ISSN":"17565537","abstract":"This paper aims to review empirical studies regarding factors influencing farmers’ adaptation to climate change and document those factors in a systematic manner. Adaptation to climate change is an important research topic, especially in agriculture, a sector reliant on climate-sensitive resources. Several studies have examined the adaptation issues and identified factors that influence the adaptive responses of farmers in specific contexts or regions. However, little research effort has been paid to collecting and categorizing those factors. Whilst a number of demographic, socio-economic, technological, cultural and psychological factors, and resources have been reported, the use of social, cultural and psychological factors remains relatively limited. The review provides useful knowledge for future research on factors affecting farmers’ adaptation to climate change. It highlights the importance of a series of factors, including both socio-economic and psychological considerations, in explaining farmers’ adaptive responses. It is also a relevant reference for planning effective adaptation strategies in the agricultural sector.","author":[{"dropping-particle":"","family":"Dang","given":"H. L.","non-dropping-particle":"","parse-names":false,"suffix":""},{"dropping-particle":"","family":"Li","given":"E.","non-dropping-particle":"","parse-names":false,"suffix":""},{"dropping-particle":"","family":"Nuberg","given":"I.","non-dropping-particle":"","parse-names":false,"suffix":""},{"dropping-particle":"","family":"Bruwer","given":"J.","non-dropping-particle":"","parse-names":false,"suffix":""}],"container-title":"Climate and Development","id":"ITEM-1","issue":"9","issued":{"date-parts":[["2019"]]},"page":"765-774","publisher":"Taylor &amp; Francis","title":"Factors influencing the adaptation of farmers in response to climate change: a review","type":"article-journal","volume":"11"},"uris":["http://www.mendeley.com/documents/?uuid=a80a69f0-dcba-4cf9-a3be-1e5184c2a0de"]}],"mendeley":{"formattedCitation":"(Dang et al., 2019)","manualFormatting":"Dang et al. (2019)","plainTextFormattedCitation":"(Dang et al., 2019)","previouslyFormattedCitation":"(Dang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Dang et al. (2019)</w:t>
      </w:r>
      <w:r w:rsidRPr="00895D0B">
        <w:rPr>
          <w:rFonts w:cs="Times New Roman"/>
          <w:color w:val="000000" w:themeColor="text1"/>
          <w:szCs w:val="24"/>
        </w:rPr>
        <w:fldChar w:fldCharType="end"/>
      </w:r>
      <w:r w:rsidRPr="00895D0B">
        <w:rPr>
          <w:rFonts w:cs="Times New Roman"/>
          <w:color w:val="000000" w:themeColor="text1"/>
          <w:szCs w:val="24"/>
        </w:rPr>
        <w:t xml:space="preserve"> and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{"citationItems":[{"id":"ITEM-1","itemData":{"DOI":"10.1007/s10708-019-09974-4","ISBN":"1070801909","ISSN":"15729893","abstract":"Climate change has diverse physical and socio-economic implications for communities in semi-arid areas. While several studies have sought to understand the underlying power relations that shape adaptive capacities of rural farmers, fewer studies have focused on unpacking the differences within the different social groups. In this paper, we present a case study based on women smallholder farmers from semi-arid Ghana. It explores their nuanced perceptions of climate variability and highlights how gender intersects with other identities, roles and responsibilities to influence adaptation strategies and barriers to adaptation in the semi-arid context. Farm-level data was collected from 103 women farmers using semi-structured interviews, focus group discussions and key informant interviews. Rainfall patterns were perceived by the women farmers to be increasingly erratic and perceptions of average temperatures were that they are increasing. Adoption of adaptation strategies were influenced by socio-demographic factors such as age, marital and residential status, which also influenced decision-making and power dynamics within the household. The paper highlighted the complex relationships that mediate women farmers’ access to resources and influence their vulnerability to climate variability and change. Highlighting the intra-gender differences that shaped the adaptation options and adaptive capacity is a prerequisite for proper adaptation policy planning and targeting.","author":[{"dropping-particle":"","family":"Lawson","given":"E. T.","non-dropping-particle":"","parse-names":false,"suffix":""},{"dropping-particle":"","family":"Alare","given":"R. S.","non-dropping-particle":"","parse-names":false,"suffix":""},{"dropping-particle":"","family":"Salifu","given":"A. R. Z.","non-dropping-particle":"","parse-names":false,"suffix":""},{"dropping-particle":"","family":"Thompson-Hall","given":"M.","non-dropping-particle":"","parse-names":false,"suffix":""}],"container-title":"GeoJournal","id":"ITEM-1","issue":"2","issued":{"date-parts":[["2020"]]},"page":"439-452","publisher":"Springer Netherlands","title":"Dealing with climate change in semi-arid Ghana: understanding intersectional perceptions and adaptation strategies of women farmers","type":"article-journal","volume":"85"},"uris":["http://www.mendeley.com/documents/?uuid=fb6f70f3-af4e-42d7-80b4-cfe2a5689aae"]},{"id":"ITEM-2","itemData":{"DOI":"10.1016/j.heliyon.2020.e03867","ISSN":"24058440","abstract":"Climate change is a major environmental and socioeconomic challenge in Ethiopia in recent decades. The study site is one of the climate change prone areas affected by climate variability and extreme events. Therefore, a better understanding of area-specific and adaptation is crucial to develop and implement proper adaptation strategies that can alleviate the adverse effects of climate change. Therefore, this work was aimed to identify determinants of farmers' adoption of climate change adaptation strategies in Gondar Zuria District of northwestern Ethiopia. Primary data were collected through semi-structured questionnaires, observation, and interviews. Besides, the secondary data were also obtained from journal articles, reports, governmental offices, and the internet. The Multinomial and Binary logistic regression models with the help of the Statistical Package for Social Sciences (SPSS) (21th edition) were used to analyze the data. The multinomial logistic regression model was used to estimate the influence of the socioeconomic characteristics of sample households on the farmer's decision to choose climate change adaptation strategies. The result showed that age, gender, family size, farm income, and farm size had a significant influence on the farmers' choice of climate change adaptation strategies. The result also revealed that crop failure, severe soil erosion and shortages of water are major climate change-related problems than others. In order to alleviate these problems, farmers have implemented mixed farming, mixed cropping, early and late planting (changing sowing period), use of drought-resistant crop varieties, application of soil and water conservation techniques, shifting to non-farm income activities and use of irrigation. In contrast, access to climate information, total annual farm income, and market access variables are significant adoption determinants of climate change adaptation strategies by farmers' in the study site. Therefore, we recommend future adaptation-related plans should focus on improving climate change information access, improving market access and enhancing research on the use of rainwater harvesting technology.","author":[{"dropping-particle":"","family":"Marie","given":"M.","non-dropping-particle":"","parse-names":false,"suffix":""},{"dropping-particle":"","family":"Yirga","given":"F.","non-dropping-particle":"","parse-names":false,"suffix":""},{"dropping-particle":"","family":"Haile","given":"M.","non-dropping-particle":"","parse-names":false,"suffix":""},{"dropping-particle":"","family":"Tquabo","given":"F.","non-dropping-particle":"","parse-names":false,"suffix":""}],"container-title":"Heliyon","id":"ITEM-2","issue":"4","issued":{"date-parts":[["2020"]]},"page":"e03867","publisher":"Elsevier Ltd","title":"Farmers' choices and factors affecting adoption of climate change adaptation strategies: evidence from northwestern Ethiopia","type":"article-journal","volume":"6"},"uris":["http://www.mendeley.com/documents/?uuid=991a13ab-f1e3-4817-9b80-579de785cd13"]}],"mendeley":{"formattedCitation":"(Lawson et al., 2020; Marie et al., 2020)","manualFormatting":"Lawson et al. (2020) ","plainTextFormattedCitation":"(Lawson et al., 2020; Marie et al., 2020)","previouslyFormattedCitation":"(Lawson et al., 2020; Marie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 xml:space="preserve">Lawson et al. (2020) </w:t>
      </w:r>
      <w:r w:rsidRPr="00895D0B">
        <w:rPr>
          <w:rFonts w:cs="Times New Roman"/>
          <w:color w:val="000000" w:themeColor="text1"/>
          <w:szCs w:val="24"/>
        </w:rPr>
        <w:fldChar w:fldCharType="end"/>
      </w:r>
      <w:r w:rsidRPr="00895D0B">
        <w:rPr>
          <w:rFonts w:cs="Times New Roman"/>
          <w:color w:val="000000" w:themeColor="text1"/>
          <w:szCs w:val="24"/>
        </w:rPr>
        <w:t xml:space="preserve"> have argued that farmers' participation in agriculture is influenced by socio-economic factors like </w:t>
      </w:r>
      <w:r w:rsidRPr="00895D0B">
        <w:rPr>
          <w:rFonts w:cs="Times New Roman"/>
          <w:color w:val="000000" w:themeColor="text1"/>
          <w:szCs w:val="24"/>
        </w:rPr>
        <w:lastRenderedPageBreak/>
        <w:t xml:space="preserve">their type and status of employment. Again, an urban household head’s educational status does not influence ones participation in urban agricultural production. This finding does not conform to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{"citationItems":[{"id":"ITEM-1","itemData":{"DOI":"10.1016/j.jrurstud.2017.01.020","ISSN":"07430167","abstract":"The widespread transformations in farming practices during recent decades across many parts of Europe – increased capital intensity, scale enlargement, specialization, intensification and mechanization have been accompanied by a quite dramatic shift towards more standardized agricultural information and knowledge. Previous research reveals that transition towards more sustainable agriculture requires a new knowledge base, with new content and forms of knowledge and new processes of learning. In this paper, we explore the relevance of informal farmer knowledge and learning practices in constructing alternative pathways in sustainable agriculture and strengthening agricultural resilience. It is based on 11 case studies carried out within the international RETHINK research programme. The cases reveal the diversity of knowledge sources and learning forms that farmers use and the particular role of farmers’ experience-based knowledge. Farmers greatly value local experiential knowledge as they see it as having practical, personal and local relevance. Given the limitations of more standardized information and knowledge, and the urgent need for a transition towards more sustainable and resource-efficient practices, we argue that the potential of local farmer knowledge is not being optimally used and that a better integration of various forms of knowledge is needed. We identify several ways in which different kinds of knowledge can be integrated. For the individual farmer this can be done by synthesising knowledge from different sources. It can also be done through farmer networking – whether or not facilitated by formal agricultural knowledge institutions, through collaboration between farmers and researchers as knowledge co-generators, and through multi-actor knowledge networks that bring together participants from various fields. We conclude that the dynamic contexts, complexity and the local specificity of the current challenges facing agriculture and the many roles it is being asked to fulfil require more inclusive, flexible modes of governing the generation, integration and sharing of knowledge. All stakeholders, including farmers, need to be recognised as equal co-authors of knowledge generation, and all kinds of knowledge, both formal and informal, need be brought together in innovation processes. Knowledge networking and multi-actor knowledge networks that facilitate knowledge exchanges, joint learning and the generation of new more integrated solutions…","author":[{"dropping-particle":"","family":"Šūmane","given":"S.","non-dropping-particle":"","parse-names":false,"suffix":""},{"dropping-particle":"","family":"Kunda","given":"I.","non-dropping-particle":"","parse-names":false,"suffix":""},{"dropping-particle":"","family":"Knickel","given":"K.","non-dropping-particle":"","parse-names":false,"suffix":""},{"dropping-particle":"","family":"Strauss","given":"A.","non-dropping-particle":"","parse-names":false,"suffix":""},{"dropping-particle":"","family":"Tisenkopfs","given":"T.","non-dropping-particle":"","parse-names":false,"suffix":""},{"dropping-particle":"","family":"Rios","given":"I. I.","non-dropping-particle":"","parse-names":false,"suffix":""},{"dropping-particle":"","family":"Rivera","given":"M.","non-dropping-particle":"","parse-names":false,"suffix":""},{"dropping-particle":"","family":"Chebach","given":"T.","non-dropping-particle":"","parse-names":false,"suffix":""},{"dropping-particle":"","family":"Ashkenazy","given":"A.","non-dropping-particle":"","parse-names":false,"suffix":""}],"container-title":"Journal of Rural Studies","id":"ITEM-1","issued":{"date-parts":[["2018"]]},"page":"232-241","title":"Local and farmers' knowledge matters! How integrating informal and formal knowledge enhances sustainable and resilient agriculture","type":"article-journal","volume":"59"},"uris":["http://www.mendeley.com/documents/?uuid=6658fef0-87da-4ff9-977a-01ca4521cd80"]}],"mendeley":{"formattedCitation":"(Šūmane et al., 2018)","manualFormatting":"Šūmane et al. (2018)","plainTextFormattedCitation":"(Šūmane et al., 2018)","previouslyFormattedCitation":"(Šūmane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Šūmane et al. (2018)</w:t>
      </w:r>
      <w:r w:rsidRPr="00895D0B">
        <w:rPr>
          <w:rFonts w:cs="Times New Roman"/>
          <w:color w:val="000000" w:themeColor="text1"/>
          <w:szCs w:val="24"/>
        </w:rPr>
        <w:fldChar w:fldCharType="end"/>
      </w:r>
      <w:r w:rsidRPr="00895D0B">
        <w:rPr>
          <w:rFonts w:cs="Times New Roman"/>
          <w:color w:val="000000" w:themeColor="text1"/>
          <w:szCs w:val="24"/>
        </w:rPr>
        <w:t xml:space="preserve"> whose assertion is that education is an influential factor in engaging in agriculture. Therefore, urban residents go into urban agriculture independent of their level of education. This implies that if the adoption of climate change adaptation strategies is based on farmers level of education, urban farmers climate change adoption is likely to be low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{"citationItems":[{"id":"ITEM-1","itemData":{"DOI":"10.11648/j.jps.20200806.11","ISSN":"2331-0723","abstract":"Agricultural extension work in Ethiopia began in 1931 with the establishment of the Ambo Agricultural School which is one of the oldest institutions and the first agricultural high school offering general education with major emphasis on agriculture. In the recent development of the Ethiopian Agricultural Extension System, the participatory approach is complemented by a scaling“-up” of technologies or the establishing of best practice for technology transfer at larger scales. Agricultural extension staffs are involved in multiple activities of agriculture and rural development. In Ethiopia, for example, the goal of extension goes beyond implementing the national agricultural development goals of achieving food security, improving rural livelihoods, and Natural Resource Management (NRM). In many countries of the world, agricultural extension services had been transformed from training and dissemination of specific innovations to farmers’ group formation and partnership-building with various service providers such as credit institutions. In Ethiopia, despite the massive amount of resources being put into the system by the state, the agricultural extension system faces a number of serious challenges. Improving access to agricultural inputs and technologies that assist farmers in boosting production are among opportunities of Ethiopian agricultural extension system. Agricultural extension service could be the government agency or ministry responsible for promoting the adoption and utilization of new scientific farming practices through educational procedures.","author":[{"dropping-particle":"","family":"Debelo","given":"W. B.","non-dropping-particle":"","parse-names":false,"suffix":""}],"container-title":"Journal of Plant Sciences","id":"ITEM-1","issue":"6","issued":{"date-parts":[["2020"]]},"page":"189","title":"Review on Roles and Challenges of Agricultural Extension System on Growth of Agricultural Production in Ethiopia","type":"article-journal","volume":"8"},"uris":["http://www.mendeley.com/documents/?uuid=5b17a443-6840-4bbe-98a3-fd957da489a8"]}],"mendeley":{"formattedCitation":"(Debelo, 2020)","plainTextFormattedCitation":"(Debelo, 2020)","previouslyFormattedCitation":"(Debelo,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(Debelo, 2020)</w:t>
      </w:r>
      <w:r w:rsidRPr="00895D0B">
        <w:rPr>
          <w:rFonts w:cs="Times New Roman"/>
          <w:color w:val="000000" w:themeColor="text1"/>
          <w:szCs w:val="24"/>
        </w:rPr>
        <w:fldChar w:fldCharType="end"/>
      </w:r>
      <w:r w:rsidRPr="00895D0B">
        <w:rPr>
          <w:rFonts w:cs="Times New Roman"/>
          <w:color w:val="000000" w:themeColor="text1"/>
          <w:szCs w:val="24"/>
        </w:rPr>
        <w:t xml:space="preserve">. However, educational programmes in the informal systems can help promote urban farmer interest in agriculture production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{"citationItems":[{"id":"ITEM-1","itemData":{"DOI":"10.1016/j.eatbeh.2016.10.009","ISSN":"18737358","PMID":"27816856","abstract":"Purpose The purpose of this operational study was to assess the effectiveness school-based health and nutrition intervention supported with backyard gardening on the dietary diversity among school adolescents. Methods A total of 1000 school adolescents from 10 to 19 years were selected randomly. The intervention involved peer-led behavior change communication and health promotion through school media and health clubs. Data were collected at baseline, midline and end-line using structured questionnaires. Multivariable logistic regression analyses were used to determine the independent effect of interventions. Results There was a significant increment of proportion of school children consuming diversified diet among the intervention group from 34.8% at baseline through 65.6% at midline to 74.7% at the end-line (p &lt; 0.001). Among control group, there was no change from midline (49.4%) to endline (48.8%), though there was a change from baseline (32.1%) to midline (49.4%). A significant difference of dietary diversity intake was observed between intervention and control groups at midline (F = 5.64, p = 0.042) and endline (F = 5.85, p &lt; 0.001) survey. Being in the intervention school (OR = 2.55 [1.55, 3.50]), being a boy (OR = 1.75 [1.91, 2.56]) and having farmer mothers (OR = 2.58 [1.01, 6.87]) were independent positive predictors of a diversified diet intake. However, having a mother who attended secondary schools were inversely associated (OR = 0.25 [0.06, 0.97]) with consuming a diversified diet. Conclusion Findings of this study demonstrated that there was a significant improvement in dietary diversity of adolescents in intervention schools. The results imply that school based nutrition education should be a part of comprehensive school health programs to reach students and potentially their families.","author":[{"dropping-particle":"","family":"Tamiru","given":"D.","non-dropping-particle":"","parse-names":false,"suffix":""},{"dropping-particle":"","family":"Argaw","given":"A.","non-dropping-particle":"","parse-names":false,"suffix":""},{"dropping-particle":"","family":"Gerbaba","given":"M.","non-dropping-particle":"","parse-names":false,"suffix":""},{"dropping-particle":"","family":"Nigussie","given":"A.","non-dropping-particle":"","parse-names":false,"suffix":""},{"dropping-particle":"","family":"Ayana","given":"G.","non-dropping-particle":"","parse-names":false,"suffix":""},{"dropping-particle":"","family":"Belachew","given":"T.","non-dropping-particle":"","parse-names":false,"suffix":""}],"container-title":"Eating Behaviors","id":"ITEM-1","issued":{"date-parts":[["2016"]]},"page":"180-186","publisher":"Elsevier Ltd","title":"Improving dietary diversity of school adolescents through school based nutrition education and home gardening in Jimma Zone: Quasi-experimental design","type":"article-journal","volume":"23"},"uris":["http://www.mendeley.com/documents/?uuid=c9f7b219-3451-4032-b9cd-a8aeae05019c"]}],"mendeley":{"formattedCitation":"(Tamiru et al., 2016)","plainTextFormattedCitation":"(Tamiru et al., 2016)","previouslyFormattedCitation":"(Tamiru et al., 2016)"},"properties":{"noteIndex":0},"schema":"https://github.com/citation-style-language/schema/raw/master/csl-citation.json"}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(Tamiru et al., 2016)</w:t>
      </w:r>
      <w:r w:rsidRPr="00895D0B">
        <w:rPr>
          <w:rFonts w:cs="Times New Roman"/>
          <w:color w:val="000000" w:themeColor="text1"/>
          <w:szCs w:val="24"/>
        </w:rPr>
        <w:fldChar w:fldCharType="end"/>
      </w:r>
      <w:r w:rsidRPr="00895D0B">
        <w:rPr>
          <w:rFonts w:cs="Times New Roman"/>
          <w:color w:val="000000" w:themeColor="text1"/>
          <w:szCs w:val="24"/>
        </w:rPr>
        <w:t xml:space="preserve">. In similar ways, the residential status does not determine a household’s participation in urban agricultural production activity. This does not support the findings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{"citationItems":[{"id":"ITEM-1","itemData":{"DOI":"10.1007/s10708-019-09974-4","ISBN":"1070801909","ISSN":"15729893","abstract":"Climate change has diverse physical and socio-economic implications for communities in semi-arid areas. While several studies have sought to understand the underlying power relations that shape adaptive capacities of rural farmers, fewer studies have focused on unpacking the differences within the different social groups. In this paper, we present a case study based on women smallholder farmers from semi-arid Ghana. It explores their nuanced perceptions of climate variability and highlights how gender intersects with other identities, roles and responsibilities to influence adaptation strategies and barriers to adaptation in the semi-arid context. Farm-level data was collected from 103 women farmers using semi-structured interviews, focus group discussions and key informant interviews. Rainfall patterns were perceived by the women farmers to be increasingly erratic and perceptions of average temperatures were that they are increasing. Adoption of adaptation strategies were influenced by socio-demographic factors such as age, marital and residential status, which also influenced decision-making and power dynamics within the household. The paper highlighted the complex relationships that mediate women farmers’ access to resources and influence their vulnerability to climate variability and change. Highlighting the intra-gender differences that shaped the adaptation options and adaptive capacity is a prerequisite for proper adaptation policy planning and targeting.","author":[{"dropping-particle":"","family":"Lawson","given":"E. T.","non-dropping-particle":"","parse-names":false,"suffix":""},{"dropping-particle":"","family":"Alare","given":"R. S.","non-dropping-particle":"","parse-names":false,"suffix":""},{"dropping-particle":"","family":"Salifu","given":"A. R. Z.","non-dropping-particle":"","parse-names":false,"suffix":""},{"dropping-particle":"","family":"Thompson-Hall","given":"M.","non-dropping-particle":"","parse-names":false,"suffix":""}],"container-title":"GeoJournal","id":"ITEM-1","issue":"2","issued":{"date-parts":[["2020"]]},"page":"439-452","publisher":"Springer Netherlands","title":"Dealing with climate change in semi-arid Ghana: understanding intersectional perceptions and adaptation strategies of women farmers","type":"article-journal","volume":"85"},"uris":["http://www.mendeley.com/documents/?uuid=fb6f70f3-af4e-42d7-80b4-cfe2a5689aae"]},{"id":"ITEM-2","itemData":{"DOI":"10.1016/j.heliyon.2020.e03867","ISSN":"24058440","abstract":"Climate change is a major environmental and socioeconomic challenge in Ethiopia in recent decades. The study site is one of the climate change prone areas affected by climate variability and extreme events. Therefore, a better understanding of area-specific and adaptation is crucial to develop and implement proper adaptation strategies that can alleviate the adverse effects of climate change. Therefore, this work was aimed to identify determinants of farmers' adoption of climate change adaptation strategies in Gondar Zuria District of northwestern Ethiopia. Primary data were collected through semi-structured questionnaires, observation, and interviews. Besides, the secondary data were also obtained from journal articles, reports, governmental offices, and the internet. The Multinomial and Binary logistic regression models with the help of the Statistical Package for Social Sciences (SPSS) (21th edition) were used to analyze the data. The multinomial logistic regression model was used to estimate the influence of the socioeconomic characteristics of sample households on the farmer's decision to choose climate change adaptation strategies. The result showed that age, gender, family size, farm income, and farm size had a significant influence on the farmers' choice of climate change adaptation strategies. The result also revealed that crop failure, severe soil erosion and shortages of water are major climate change-related problems than others. In order to alleviate these problems, farmers have implemented mixed farming, mixed cropping, early and late planting (changing sowing period), use of drought-resistant crop varieties, application of soil and water conservation techniques, shifting to non-farm income activities and use of irrigation. In contrast, access to climate information, total annual farm income, and market access variables are significant adoption determinants of climate change adaptation strategies by farmers' in the study site. Therefore, we recommend future adaptation-related plans should focus on improving climate change information access, improving market access and enhancing research on the use of rainwater harvesting technology.","author":[{"dropping-particle":"","family":"Marie","given":"M.","non-dropping-particle":"","parse-names":false,"suffix":""},{"dropping-particle":"","family":"Yirga","given":"F.","non-dropping-particle":"","parse-names":false,"suffix":""},{"dropping-particle":"","family":"Haile","given":"M.","non-dropping-particle":"","parse-names":false,"suffix":""},{"dropping-particle":"","family":"Tquabo","given":"F.","non-dropping-particle":"","parse-names":false,"suffix":""}],"container-title":"Heliyon","id":"ITEM-2","issue":"4","issued":{"date-parts":[["2020"]]},"page":"e03867","publisher":"Elsevier Ltd","title":"Farmers' choices and factors affecting adoption of climate change adaptation strategies: evidence from northwestern Ethiopia","type":"article-journal","volume":"6"},"uris":["http://www.mendeley.com/documents/?uuid=991a13ab-f1e3-4817-9b80-579de785cd13"]}],"mendeley":{"formattedCitation":"(Lawson et al., 2020; Marie et al., 2020)","manualFormatting":"Lawson et al. (2020) ","plainTextFormattedCitation":"(Lawson et al., 2020; Marie et al., 2020)","previouslyFormattedCitation":"(Lawson et al., 2020; Marie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 xml:space="preserve">Lawson et al. (2020) </w:t>
      </w:r>
      <w:r w:rsidRPr="00895D0B">
        <w:rPr>
          <w:rFonts w:cs="Times New Roman"/>
          <w:color w:val="000000" w:themeColor="text1"/>
          <w:szCs w:val="24"/>
        </w:rPr>
        <w:fldChar w:fldCharType="end"/>
      </w:r>
      <w:r w:rsidRPr="00895D0B">
        <w:rPr>
          <w:rFonts w:cs="Times New Roman"/>
          <w:color w:val="000000" w:themeColor="text1"/>
          <w:szCs w:val="24"/>
        </w:rPr>
        <w:t xml:space="preserve"> that residential status influences households participation in agriculture such that natives easy access land for agriculture than settlers. The reason is that in this study, many of the households who are into agricultural production are settlers. Even though urban farmers are predominantly settlers they are the group that has the purchasing power to acquire land for various developmental activities including urban agriculture. This means that the promotion of urban agriculture in the era of climate change and variability, calls for focusing on settlers who are urban farmers. </w:t>
      </w:r>
    </w:p>
    <w:p w14:paraId="3B4F5CD3" w14:textId="77777777" w:rsidR="001B4ED5" w:rsidRPr="00895D0B" w:rsidRDefault="001B4ED5" w:rsidP="009864E3">
      <w:pPr>
        <w:pStyle w:val="NoSpacing"/>
      </w:pPr>
    </w:p>
    <w:p w14:paraId="6EA8D3EE"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color w:val="000000" w:themeColor="text1"/>
          <w:szCs w:val="24"/>
        </w:rPr>
        <w:t xml:space="preserve">Besides, urban agricultural production is influenced by the household size. Literature has indicated the influence of household size and participation in agriculture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{"citationItems":[{"id":"ITEM-1","itemData":{"DOI":"10.1016/j.jssas.2017.06.001","ISSN":"1658077X","abstract":"This study is designed to assess the factors that affect smallholder rice farmer's participation in market. In addition it also examines the effect of commercialization on the welfare of smallholder farmers. The method of Heckman two-stage model is used to obtain the desired objectives. Random sampling technique is used to collect data from 249 smallholder farmers. Result of the study indicates that gender of the household head, age, number of family member who assist in farming, household size, vocational training, and the farmer being landlord and farm size were the major determinants of market participation. The welfare of the farmer depends whether the farmer participate in the rice output market. The result also indicated that rice output, off-farm income, access to credit, and income from the sale of rice were important factors influencing the welfare of the household. The participation in market can be increased by providing subsidized prices for their production, cold storage houses, vocational training, introducing new technology, increasing contact with extension agent and providing genetically modified seeds.","author":[{"dropping-particle":"","family":"Abdullah","given":"R. F.","non-dropping-particle":"","parse-names":false,"suffix":""},{"dropping-particle":"","family":"Ahamad","given":"R.","non-dropping-particle":"","parse-names":false,"suffix":""},{"dropping-particle":"","family":"Ali","given":"S.","non-dropping-particle":"","parse-names":false,"suffix":""},{"dropping-particle":"","family":"Chandio","given":"A. A.","non-dropping-particle":"","parse-names":false,"suffix":""},{"dropping-particle":"","family":"Ahmad","given":"W.","non-dropping-particle":"","parse-names":false,"suffix":""},{"dropping-particle":"","family":"Ilyas","given":"A.","non-dropping-particle":"","parse-names":false,"suffix":""},{"dropping-particle":"","family":"Din","given":"I. U.","non-dropping-particle":"","parse-names":false,"suffix":""}],"container-title":"Journal of the Saudi Society of Agricultural Sciences","id":"ITEM-1","issue":"2","issued":{"date-parts":[["2019"]]},"page":"224-233","publisher":"King Saud University &amp; Saudi Society of Agricultural Sciences","title":"Determinants of commercialization and its impact on the welfare of smallholder rice farmers by using Heckman's two-stage approach","type":"article-journal","volume":"18"},"uris":["http://www.mendeley.com/documents/?uuid=ad891ff9-9198-490f-9466-34b88b1cf1ad"]},{"id":"ITEM-2","itemData":{"DOI":"10.1016/j.techsoc.2018.11.003","ISSN":"0160791X","abstract":"This paper examines the determinants of participation in an outsourced extension programs and its impact of smallholder farmers' net farm income in Msinga, KwaZulu-Natal, South Africa. A multi-stage sampling technique was used to obtain cross-sectional farm-level data from a sample of 300 farm households, using a structured questionnaire for the interview. The determinants and impacts of participation were estimated using the propensity score matching (PSM)to account for sample selection bias. The results show that participation in an outsourced extension program is influenced by age, education, membership of a farmers’ group, and off-farm income, farm size, awareness, trust and participation incentives. Participation in an outsourced extension program was found to have significantly contributed to an increase in net farm income of the participants by about R2700. Policy implications for scaling up outsourced extension service delivery are discussed.","author":[{"dropping-particle":"","family":"Baiyegunhi","given":"L. J.S.","non-dropping-particle":"","parse-names":false,"suffix":""},{"dropping-particle":"","family":"Majokweni","given":"Z. P.","non-dropping-particle":"","parse-names":false,"suffix":""},{"dropping-particle":"","family":"Ferrer","given":"S. R.D.","non-dropping-particle":"","parse-names":false,"suffix":""}],"container-title":"Technology in Society","id":"ITEM-2","issued":{"date-parts":[["2019"]]},"page":"1-7","publisher":"Elsevier Ltd","title":"Impact of outsourced agricultural extension program on smallholder farmers’ net farm income in Msinga, KwaZulu-Natal, South Africa","type":"article-journal","volume":"57"},"uris":["http://www.mendeley.com/documents/?uuid=047a6864-01a7-4311-a263-78436f923fb0"]}],"mendeley":{"formattedCitation":"(Abdullah et al., 2019; Baiyegunhi et al., 2019)","plainTextFormattedCitation":"(Abdullah et al., 2019; Baiyegunhi et al., 2019)","previouslyFormattedCitation":"(Abdullah et al., 2019; Baiyegunhi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(Abdullah et al., 2019; Baiyegunhi et al., 2019)</w:t>
      </w:r>
      <w:r w:rsidRPr="00895D0B">
        <w:rPr>
          <w:rFonts w:cs="Times New Roman"/>
          <w:color w:val="000000" w:themeColor="text1"/>
          <w:szCs w:val="24"/>
        </w:rPr>
        <w:fldChar w:fldCharType="end"/>
      </w:r>
      <w:r w:rsidRPr="00895D0B">
        <w:rPr>
          <w:rFonts w:cs="Times New Roman"/>
          <w:color w:val="000000" w:themeColor="text1"/>
          <w:szCs w:val="24"/>
        </w:rPr>
        <w:t xml:space="preserve">. Liberally, the understanding is that the larger the household size the greater the available labour, and the smaller the household size, the smaller the labour available to work, particularly on family farms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{"citationItems":[{"id":"ITEM-1","itemData":{"DOI":"10.1016/j.resourpol.2020.101884","ISSN":"03014207","abstract":"With the increasing participation of women in artisanal and small-scale mining (ASM) across many sub-Saharan African countries, the ASM sector offers women artisanal miners considerable income that gives them better opportunities at household decision-making. While the existing literature has widely studied intrahousehold dynamics in domains such as agriculture and health, very little is known about the bargaining power of women in ASM and their household dynamics. Through in-depth interviews with 49 women artisanal miners in Prestea-Bondaye mining area in the Prestea-Huni Valley Municipality of Ghana, this paper considers how women's engagement in ASM changes the dynamics within their households and impacts their bargaining power. Findings showed that most women artisanal miners were not in support of pooling income with their husbands with most of them using their income to alter the dynamics of household decision-making concerning food to cook for the family, children's education and family size. Extended family relations as a form of social norm were found to determine women artisanal miners' decision not to pool income with their husbands. The findings, therefore, problematise the unitary model of household decision-making and provide a nuanced analysis of rural household power dynamics in a mining context, which is grossly unexplored. However, various aspects of intrahousehold bargaining models – cooperative, non-cooperative and collective – were found under different circumstances depending on the household needs and artisanal women miners' relations with husbands and their extended family. Findings also showed that women's participation in ASM was changing household dynamics, particularly sexual interactions with their partners and childcare responsibilities. Although women's participation in ASM results in higher levels of bargaining power, the Minerals Commission of Ghana, gender advocacy institutions and other relevant stakeholders must engage in policy discussions to streamline women's activities and find possible ways of dealing with their challenges in the sector.","author":[{"dropping-particle":"","family":"Arthur-Holmes","given":"F.","non-dropping-particle":"","parse-names":false,"suffix":""},{"dropping-particle":"","family":"Busia","given":"A. K.","non-dropping-particle":"","parse-names":false,"suffix":""}],"container-title":"Resources Policy","id":"ITEM-1","issue":"xxxx","issued":{"date-parts":[["2020"]]},"page":"101884","publisher":"Elsevier Ltd","title":"Household dynamics and the bargaining power of women in artisanal and small-scale mining in sub-Saharan Africa: A Ghanaian case study","type":"article-journal","volume":"69"},"uris":["http://www.mendeley.com/documents/?uuid=013f7bcb-71b3-4691-8b54-da72b7ae1726"]},{"id":"ITEM-2","itemData":{"DOI":"10.1016/j.heliyon.2020.e03867","ISSN":"24058440","abstract":"Climate change is a major environmental and socioeconomic challenge in Ethiopia in recent decades. The study site is one of the climate change prone areas affected by climate variability and extreme events. Therefore, a better understanding of area-specific and adaptation is crucial to develop and implement proper adaptation strategies that can alleviate the adverse effects of climate change. Therefore, this work was aimed to identify determinants of farmers' adoption of climate change adaptation strategies in Gondar Zuria District of northwestern Ethiopia. Primary data were collected through semi-structured questionnaires, observation, and interviews. Besides, the secondary data were also obtained from journal articles, reports, governmental offices, and the internet. The Multinomial and Binary logistic regression models with the help of the Statistical Package for Social Sciences (SPSS) (21th edition) were used to analyze the data. The multinomial logistic regression model was used to estimate the influence of the socioeconomic characteristics of sample households on the farmer's decision to choose climate change adaptation strategies. The result showed that age, gender, family size, farm income, and farm size had a significant influence on the farmers' choice of climate change adaptation strategies. The result also revealed that crop failure, severe soil erosion and shortages of water are major climate change-related problems than others. In order to alleviate these problems, farmers have implemented mixed farming, mixed cropping, early and late planting (changing sowing period), use of drought-resistant crop varieties, application of soil and water conservation techniques, shifting to non-farm income activities and use of irrigation. In contrast, access to climate information, total annual farm income, and market access variables are significant adoption determinants of climate change adaptation strategies by farmers' in the study site. Therefore, we recommend future adaptation-related plans should focus on improving climate change information access, improving market access and enhancing research on the use of rainwater harvesting technology.","author":[{"dropping-particle":"","family":"Marie","given":"M.","non-dropping-particle":"","parse-names":false,"suffix":""},{"dropping-particle":"","family":"Yirga","given":"F.","non-dropping-particle":"","parse-names":false,"suffix":""},{"dropping-particle":"","family":"Haile","given":"M.","non-dropping-particle":"","parse-names":false,"suffix":""},{"dropping-particle":"","family":"Tquabo","given":"F.","non-dropping-particle":"","parse-names":false,"suffix":""}],"container-title":"Heliyon","id":"ITEM-2","issue":"4","issued":{"date-parts":[["2020"]]},"page":"e03867","publisher":"Elsevier Ltd","title":"Farmers' choices and factors affecting adoption of climate change adaptation strategies: evidence from northwestern Ethiopia","type":"article-journal","volume":"6"},"uris":["http://www.mendeley.com/documents/?uuid=991a13ab-f1e3-4817-9b80-579de785cd13"]}],"mendeley":{"formattedCitation":"(Arthur-Holmes &amp; Busia, 2020; Marie et al., 2020)","manualFormatting":"(Gong et al., 2019; Arthur-Holmes &amp; Busia, 2020; Marie et al., 2020)","plainTextFormattedCitation":"(Arthur-Holmes &amp; Busia, 2020; Marie et al., 2020)","previouslyFormattedCitation":"(Arthur-Holmes &amp; Busia, 2020; Marie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(Gong et al., 2019; Arthur-Holmes &amp; Busia, 2020; Marie et al., 2020)</w:t>
      </w:r>
      <w:r w:rsidRPr="00895D0B">
        <w:rPr>
          <w:rFonts w:cs="Times New Roman"/>
          <w:color w:val="000000" w:themeColor="text1"/>
          <w:szCs w:val="24"/>
        </w:rPr>
        <w:fldChar w:fldCharType="end"/>
      </w:r>
      <w:r w:rsidRPr="00895D0B">
        <w:rPr>
          <w:rFonts w:cs="Times New Roman"/>
          <w:color w:val="000000" w:themeColor="text1"/>
          <w:szCs w:val="24"/>
        </w:rPr>
        <w:t xml:space="preserve">. In contrast, the relationship between people's participation in urban food production and their household income is statistically insignificant. This also supports the argument that socio-economic factors influence individual participation in agricultural production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{"citationItems":[{"id":"ITEM-1","itemData":{"DOI":"10.1016/j.landusepol.2019.04.007","ISSN":"02648377","abstract":"A multivariate probit (MVP) model was used to analyse the determinants of strategies adopted for adapting to climate change in a sample of smallholder rice farmers in south-west Nigeria. An efficient endogenous switching regression model (ESRM) was used to estimate the impact of climate change adaptation strategy on the net income of rice farmers. The MVP results show that the socio-economic factors, the institutional factors, and locational variables of some households statistically influenced the choice of climate change adaptation strategies employed. Complementarities among all the adaptation strategies used by the farmers were revealed by the positive pair-wise correlation matrix of the MVP model. The study also indicated that farmers affected by prolonged drought and incidences of flood were more likely to adopt adaptation strategies on their farmlands. The ESRM treatment effect indicated that the average net income per rice farm of those who adopted the strategies was significantly higher than that of those who did not. Thus, the government, stakeholders, and donor agencies must provide capacity-building innovations related to agricultural extension systems and climate change education through information and communication technologies. This investment in education is essential for development and would encourage farmers to adopt appropriate climate change adaptation strategies.","author":[{"dropping-particle":"","family":"Ojo","given":"T. O.","non-dropping-particle":"","parse-names":false,"suffix":""},{"dropping-particle":"","family":"Baiyegunhi","given":"L. J. S.","non-dropping-particle":"","parse-names":false,"suffix":""}],"container-title":"Land Use Policy","id":"ITEM-1","issue":"April","issued":{"date-parts":[["2020"]]},"page":"103946","publisher":"Elsevier","title":"Determinants of climate change adaptation strategies and its impact on the net farm income of rice farmers in south-west Nigeria","type":"article-journal","volume":"95"},"uris":["http://www.mendeley.com/documents/?uuid=482b1746-820f-4a21-ba4e-d26fe5c2acc6"]}],"mendeley":{"formattedCitation":"(Ojo &amp; Baiyegunhi, 2020)","plainTextFormattedCitation":"(Ojo &amp; Baiyegunhi, 2020)","previouslyFormattedCitation":"(Ojo &amp; Baiyegunhi,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(Ojo &amp; Baiyegunhi, 2020)</w:t>
      </w:r>
      <w:r w:rsidRPr="00895D0B">
        <w:rPr>
          <w:rFonts w:cs="Times New Roman"/>
          <w:color w:val="000000" w:themeColor="text1"/>
          <w:szCs w:val="24"/>
        </w:rPr>
        <w:fldChar w:fldCharType="end"/>
      </w:r>
      <w:r w:rsidRPr="00895D0B">
        <w:rPr>
          <w:rFonts w:cs="Times New Roman"/>
          <w:color w:val="000000" w:themeColor="text1"/>
          <w:szCs w:val="24"/>
        </w:rPr>
        <w:t xml:space="preserve">. This supports the work of Marie et al. (2020) that the income of the households determines farmers' ability to practice one climate change adaptation measure over the other. </w:t>
      </w:r>
    </w:p>
    <w:p w14:paraId="5DD74406" w14:textId="77777777" w:rsidR="001B4ED5" w:rsidRPr="00895D0B" w:rsidRDefault="001B4ED5">
      <w:pPr>
        <w:spacing w:line="360" w:lineRule="auto"/>
        <w:rPr>
          <w:rFonts w:cs="Times New Roman"/>
          <w:color w:val="000000" w:themeColor="text1"/>
          <w:szCs w:val="24"/>
        </w:rPr>
      </w:pPr>
    </w:p>
    <w:p w14:paraId="2659900B" w14:textId="0727A946" w:rsidR="001B4ED5" w:rsidRPr="00895D0B" w:rsidRDefault="006B41C0" w:rsidP="009864E3">
      <w:pPr>
        <w:pStyle w:val="Heading3"/>
      </w:pPr>
      <w:bookmarkStart w:id="157" w:name="_Toc167379944"/>
      <w:r w:rsidRPr="00895D0B">
        <w:lastRenderedPageBreak/>
        <w:t>6.5.</w:t>
      </w:r>
      <w:r w:rsidR="005D1ECB">
        <w:t>3</w:t>
      </w:r>
      <w:r w:rsidRPr="00895D0B">
        <w:t xml:space="preserve"> </w:t>
      </w:r>
      <w:r w:rsidR="009006C4" w:rsidRPr="00895D0B">
        <w:t>Demographic</w:t>
      </w:r>
      <w:r w:rsidRPr="00895D0B">
        <w:t xml:space="preserve"> determinants of participation in urban food production</w:t>
      </w:r>
      <w:bookmarkEnd w:id="157"/>
    </w:p>
    <w:p w14:paraId="54F7C51F"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The regression analysis further indicates that the age of a household head is insignificant at an alpha 0.05 (p-value = 0.999, 0.742, 0.627 and 0.461 &gt; 0.05) for the age categories; 60 years and above, 31 – 40 years, 41 – 50 years, and 51 – 60 years respectively. This suggests that age is not a determining factor to participate in urban agricultural production.</w:t>
      </w:r>
      <w:r w:rsidRPr="00895D0B">
        <w:rPr>
          <w:rFonts w:cs="Times New Roman"/>
          <w:b/>
          <w:color w:val="000000" w:themeColor="text1"/>
          <w:szCs w:val="24"/>
        </w:rPr>
        <w:t xml:space="preserve"> </w:t>
      </w:r>
      <w:r w:rsidRPr="00895D0B">
        <w:rPr>
          <w:rFonts w:cs="Times New Roman"/>
          <w:color w:val="000000" w:themeColor="text1"/>
          <w:szCs w:val="24"/>
        </w:rPr>
        <w:t xml:space="preserve">Therefore, age does not determine a household's interest in participating in urban agricultural production or not. This supports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{"citationItems":[{"id":"ITEM-1","itemData":{"DOI":"10.1038/s41477-020-00783-z","ISSN":"20550278","PMID":"33051616","abstract":"Climate-resilient crops and crop varieties have been recommended as a way for farmers to cope with or adapt to climate change, but despite the apparent benefits, rates of adoption by smallholder farmers are highly variable. Here we present a scoping review, using PRISMA-P (Preferred Reporting Items for Systematic review and Meta-Analysis Protocols), examining the conditions that have led to the adoption of climate-resilient crops over the past 30 years in lower- and middle-income countries. The descriptive analysis performed on 202 papers shows that small-scale producers adopted climate-resilient crops and varieties to cope with abiotic stresses such as drought, heat, flooding and salinity. The most prevalent trait in our dataset was drought tolerance, followed by water-use efficiency. Our analysis found that the most important determinants of adoption of climate-resilient crops were the availability and effectiveness of extension services and outreach, followed by education levels of heads of households, farmers’ access to inputs—especially seeds and fertilizers—and socio-economic status of farming families. About 53% of studies reported that social differences such as sex, age, marital status and ethnicity affected the adoption of varieties or crops as climate change-adaptation strategies. On the basis of the collected evidence, this study presents a series of pathways and interventions that could contribute to higher adoption rates of climate-resilient crops and reduce dis-adoption.","author":[{"dropping-particle":"","family":"Acevedo","given":"M.","non-dropping-particle":"","parse-names":false,"suffix":""},{"dropping-particle":"","family":"Pixley","given":"K/","non-dropping-particle":"","parse-names":false,"suffix":""},{"dropping-particle":"","family":"Zinyengere","given":"N.","non-dropping-particle":"","parse-names":false,"suffix":""},{"dropping-particle":"","family":"Meng","given":"S.","non-dropping-particle":"","parse-names":false,"suffix":""},{"dropping-particle":"","family":"Tufan","given":"H.","non-dropping-particle":"","parse-names":false,"suffix":""},{"dropping-particle":"","family":"Cichy","given":"K.","non-dropping-particle":"","parse-names":false,"suffix":""},{"dropping-particle":"","family":"Bizikova","given":"L.","non-dropping-particle":"","parse-names":false,"suffix":""},{"dropping-particle":"","family":"Isaacs","given":"K.","non-dropping-particle":"","parse-names":false,"suffix":""},{"dropping-particle":"","family":"Ghezzi-Kopel","given":"K.","non-dropping-particle":"","parse-names":false,"suffix":""},{"dropping-particle":"","family":"Porciello","given":"J.","non-dropping-particle":"","parse-names":false,"suffix":""}],"container-title":"Nature Plants","id":"ITEM-1","issue":"10","issued":{"date-parts":[["2020"]]},"page":"1231-1241","publisher":"Springer US","title":"A scoping review of adoption of climate-resilient crops by small-scale producers in low- and middle-income countries","type":"article-journal","volume":"6"},"uris":["http://www.mendeley.com/documents/?uuid=3b7b7e71-88d6-46bc-8120-529ca2192e9c"]}],"mendeley":{"formattedCitation":"(Acevedo et al., 2020)","manualFormatting":"Acevedo et al. (2020)","plainTextFormattedCitation":"(Acevedo et al., 2020)","previouslyFormattedCitation":"(Acevedo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Acevedo et al. (2020)</w:t>
      </w:r>
      <w:r w:rsidRPr="00895D0B">
        <w:rPr>
          <w:rFonts w:cs="Times New Roman"/>
          <w:color w:val="000000" w:themeColor="text1"/>
          <w:szCs w:val="24"/>
        </w:rPr>
        <w:fldChar w:fldCharType="end"/>
      </w:r>
      <w:r w:rsidRPr="00895D0B">
        <w:rPr>
          <w:rFonts w:cs="Times New Roman"/>
          <w:color w:val="000000" w:themeColor="text1"/>
          <w:szCs w:val="24"/>
        </w:rPr>
        <w:t xml:space="preserve"> who said farmers' ages do not matter in their bid to scale up agricultural production adaptation to climate change. However, these findings disagreed with the findings from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{"citationItems":[{"id":"ITEM-1","itemData":{"DOI":"10.1016/j.jssas.2017.06.001","ISSN":"1658077X","abstract":"This study is designed to assess the factors that affect smallholder rice farmer's participation in market. In addition it also examines the effect of commercialization on the welfare of smallholder farmers. The method of Heckman two-stage model is used to obtain the desired objectives. Random sampling technique is used to collect data from 249 smallholder farmers. Result of the study indicates that gender of the household head, age, number of family member who assist in farming, household size, vocational training, and the farmer being landlord and farm size were the major determinants of market participation. The welfare of the farmer depends whether the farmer participate in the rice output market. The result also indicated that rice output, off-farm income, access to credit, and income from the sale of rice were important factors influencing the welfare of the household. The participation in market can be increased by providing subsidized prices for their production, cold storage houses, vocational training, introducing new technology, increasing contact with extension agent and providing genetically modified seeds.","author":[{"dropping-particle":"","family":"Abdullah","given":"R. F.","non-dropping-particle":"","parse-names":false,"suffix":""},{"dropping-particle":"","family":"Ahamad","given":"R.","non-dropping-particle":"","parse-names":false,"suffix":""},{"dropping-particle":"","family":"Ali","given":"S.","non-dropping-particle":"","parse-names":false,"suffix":""},{"dropping-particle":"","family":"Chandio","given":"A. A.","non-dropping-particle":"","parse-names":false,"suffix":""},{"dropping-particle":"","family":"Ahmad","given":"W.","non-dropping-particle":"","parse-names":false,"suffix":""},{"dropping-particle":"","family":"Ilyas","given":"A.","non-dropping-particle":"","parse-names":false,"suffix":""},{"dropping-particle":"","family":"Din","given":"I. U.","non-dropping-particle":"","parse-names":false,"suffix":""}],"container-title":"Journal of the Saudi Society of Agricultural Sciences","id":"ITEM-1","issue":"2","issued":{"date-parts":[["2019"]]},"page":"224-233","publisher":"King Saud University &amp; Saudi Society of Agricultural Sciences","title":"Determinants of commercialization and its impact on the welfare of smallholder rice farmers by using Heckman's two-stage approach","type":"article-journal","volume":"18"},"uris":["http://www.mendeley.com/documents/?uuid=ad891ff9-9198-490f-9466-34b88b1cf1ad"]}],"mendeley":{"formattedCitation":"(Abdullah et al., 2019)","manualFormatting":"Abdullah et al. (2019)","plainTextFormattedCitation":"(Abdullah et al., 2019)","previouslyFormattedCitation":"(Abdullah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Abdullah et al. (2019)</w:t>
      </w:r>
      <w:r w:rsidRPr="00895D0B">
        <w:rPr>
          <w:rFonts w:cs="Times New Roman"/>
          <w:color w:val="000000" w:themeColor="text1"/>
          <w:szCs w:val="24"/>
        </w:rPr>
        <w:fldChar w:fldCharType="end"/>
      </w:r>
      <w:r w:rsidRPr="00895D0B">
        <w:rPr>
          <w:rFonts w:cs="Times New Roman"/>
          <w:color w:val="000000" w:themeColor="text1"/>
          <w:szCs w:val="24"/>
        </w:rPr>
        <w:t xml:space="preserve"> that the age of a household head is a determinant of individual participation in agriculture. The age of a farmer is important in terms of climate change knowledge and the need to use climate-friendly agronomic practices. In similar ways,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{"citationItems":[{"id":"ITEM-1","itemData":{"DOI":"10.1016/j.techsoc.2018.11.003","ISSN":"0160791X","abstract":"This paper examines the determinants of participation in an outsourced extension programs and its impact of smallholder farmers' net farm income in Msinga, KwaZulu-Natal, South Africa. A multi-stage sampling technique was used to obtain cross-sectional farm-level data from a sample of 300 farm households, using a structured questionnaire for the interview. The determinants and impacts of participation were estimated using the propensity score matching (PSM)to account for sample selection bias. The results show that participation in an outsourced extension program is influenced by age, education, membership of a farmers’ group, and off-farm income, farm size, awareness, trust and participation incentives. Participation in an outsourced extension program was found to have significantly contributed to an increase in net farm income of the participants by about R2700. Policy implications for scaling up outsourced extension service delivery are discussed.","author":[{"dropping-particle":"","family":"Baiyegunhi","given":"L. J.S.","non-dropping-particle":"","parse-names":false,"suffix":""},{"dropping-particle":"","family":"Majokweni","given":"Z. P.","non-dropping-particle":"","parse-names":false,"suffix":""},{"dropping-particle":"","family":"Ferrer","given":"S. R.D.","non-dropping-particle":"","parse-names":false,"suffix":""}],"container-title":"Technology in Society","id":"ITEM-1","issued":{"date-parts":[["2019"]]},"page":"1-7","publisher":"Elsevier Ltd","title":"Impact of outsourced agricultural extension program on smallholder farmers’ net farm income in Msinga, KwaZulu-Natal, South Africa","type":"article-journal","volume":"57"},"uris":["http://www.mendeley.com/documents/?uuid=047a6864-01a7-4311-a263-78436f923fb0"]},{"id":"ITEM-2","itemData":{"DOI":"10.1016/j.worlddev.2018.08.021","ISSN":"18735991","abstract":"This article traces smallholder peasant household production and reproduction trends against the background of profound change in African agriculture's terms of trade between 1980 and 2015. The gender and generational dynamics of African peasant households, which evolved under European colonial policies from the late 19th century and largely persisted in the early post-independence era, were disrupted by the 1970s oil crises. By the 1980s, peasant labor displacement was gaining momentum, as evidenced by declining smallholder commercial agriculture, often but not always accompanied by rural out-migration. Ensuing differentiated involvement of peasant smallholder family members in unfolding processes of deagrarianization and depeasantization are explored on the basis of statistical data and qualitative case studies. The article's broad spatial focus and 35-year overview are accommodated in a human geography methodology, which synthesizes multi-disciplinary social scientists’ research findings on the gender/age division of labor, allocation of decision-making power and welfare provisioning patterns within smallholder households. Spatial and temporal analysis of sex/age ratios derived from published data on sectoral labour force participation, quantitative surveys of intra-household labour time allocation and national census population data provide insight into the differential effects of deagrarianization on household members. Salient trends are: labor contraction in male commercial peasant family farming, smallholder subsistence-based land cultivation squeezed by medium-scale commercial farmers, female resource control and labor autonomy continuing to be impinged by male patriarchal attitudes, and an emerging tendency for “older women left behind” in the countryside, who provide an agrarian fallback for returned migrant family members and other members engaged in local non-agricultural occupations needing subsistence food support.","author":[{"dropping-particle":"","family":"Bryceson","given":"D. F.","non-dropping-particle":"","parse-names":false,"suffix":""}],"container-title":"World Development","id":"ITEM-2","issued":{"date-parts":[["2019"]]},"page":"60-72","publisher":"Elsevier Ltd","title":"Gender and generational patterns of African deagrarianization: Evolving labour and land allocation in smallholder peasant household farming, 1980–2015","type":"article-journal","volume":"113"},"uris":["http://www.mendeley.com/documents/?uuid=e61f7c1d-b72c-4440-bd81-9cf345ad623e"]}],"mendeley":{"formattedCitation":"(Baiyegunhi et al., 2019; Bryceson, 2019)","manualFormatting":"Baiyegunhi et al. (2019) ","plainTextFormattedCitation":"(Baiyegunhi et al., 2019; Bryceson, 2019)","previouslyFormattedCitation":"(Baiyegunhi et al., 2019; Bryceson,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 xml:space="preserve">Baiyegunhi et al. (2019) </w:t>
      </w:r>
      <w:r w:rsidRPr="00895D0B">
        <w:rPr>
          <w:rFonts w:cs="Times New Roman"/>
          <w:color w:val="000000" w:themeColor="text1"/>
          <w:szCs w:val="24"/>
        </w:rPr>
        <w:fldChar w:fldCharType="end"/>
      </w:r>
      <w:r w:rsidRPr="00895D0B">
        <w:rPr>
          <w:rFonts w:cs="Times New Roman"/>
          <w:color w:val="000000" w:themeColor="text1"/>
          <w:szCs w:val="24"/>
          <w:shd w:val="clear" w:color="auto" w:fill="FFFFFF"/>
        </w:rPr>
        <w:t xml:space="preserve"> and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{"citationItems":[{"id":"ITEM-1","itemData":{"DOI":"10.1016/j.worlddev.2018.08.021","ISSN":"18735991","abstract":"This article traces smallholder peasant household production and reproduction trends against the background of profound change in African agriculture's terms of trade between 1980 and 2015. The gender and generational dynamics of African peasant households, which evolved under European colonial policies from the late 19th century and largely persisted in the early post-independence era, were disrupted by the 1970s oil crises. By the 1980s, peasant labor displacement was gaining momentum, as evidenced by declining smallholder commercial agriculture, often but not always accompanied by rural out-migration. Ensuing differentiated involvement of peasant smallholder family members in unfolding processes of deagrarianization and depeasantization are explored on the basis of statistical data and qualitative case studies. The article's broad spatial focus and 35-year overview are accommodated in a human geography methodology, which synthesizes multi-disciplinary social scientists’ research findings on the gender/age division of labor, allocation of decision-making power and welfare provisioning patterns within smallholder households. Spatial and temporal analysis of sex/age ratios derived from published data on sectoral labour force participation, quantitative surveys of intra-household labour time allocation and national census population data provide insight into the differential effects of deagrarianization on household members. Salient trends are: labor contraction in male commercial peasant family farming, smallholder subsistence-based land cultivation squeezed by medium-scale commercial farmers, female resource control and labor autonomy continuing to be impinged by male patriarchal attitudes, and an emerging tendency for “older women left behind” in the countryside, who provide an agrarian fallback for returned migrant family members and other members engaged in local non-agricultural occupations needing subsistence food support.","author":[{"dropping-particle":"","family":"Bryceson","given":"D. F.","non-dropping-particle":"","parse-names":false,"suffix":""}],"container-title":"World Development","id":"ITEM-1","issued":{"date-parts":[["2019"]]},"page":"60-72","publisher":"Elsevier Ltd","title":"Gender and generational patterns of African deagrarianization: Evolving labour and land allocation in smallholder peasant household farming, 1980–2015","type":"article-journal","volume":"113"},"uris":["http://www.mendeley.com/documents/?uuid=e61f7c1d-b72c-4440-bd81-9cf345ad623e"]}],"mendeley":{"formattedCitation":"(Bryceson, 2019)","manualFormatting":"Bryceson (2019)","plainTextFormattedCitation":"(Bryceson, 2019)","previouslyFormattedCitation":"(Bryceson, 2019)"},"properties":{"noteIndex":0},"schema":"https://github.com/citation-style-language/schema/raw/master/csl-citation.json"}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Bryceson (2019)</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had it that farmers' ability to take up the needed climate change adaptation strategies depends on their age as the older age hardly adopt new climate change measures. Additionally, marital status is statistically insignificant (</w:t>
      </w:r>
      <w:r w:rsidRPr="00895D0B">
        <w:rPr>
          <w:rFonts w:cs="Times New Roman"/>
          <w:color w:val="000000" w:themeColor="text1"/>
          <w:szCs w:val="24"/>
        </w:rPr>
        <w:t xml:space="preserve">p-value = 1.324, 2.168, and 11.813 &gt; 0.05) for separated, married, or widows/widowers. This result does not support the assertion that marital status influences one's ability to uptake agronomic practices on their own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{"citationItems":[{"id":"ITEM-1","itemData":{"DOI":"10.1007/s10584-018-2350-8","ISBN":"1058401823","ISSN":"15731480","abstract":"Climate-smart agriculture (CSA) has a significant role to play in reducing the gender gap in labor burden for women in agriculture. A targeted approach to address this gap can be useful in developing a women-responsive climatic risk management plan focused on reducing their labor burden in agriculture, especially in areas with high climate risks. The paper therefore presents a top–down approach to identify potential labor-saving CSA technologies for women farmers in areas facing high climate risks. It involves mapping women in agriculture, climate risks, and poverty hotspots and entails understanding the role of women in agricultural activities to identify the suitable CSA options for reducing the levels of labor drudgery. The study is illustrated for Nepal where feminization of agriculture is rapidly increasing, a high level of climatic risks persists, and adaptive capacity to climate change is very low, especially among women in agriculture. Results are presented for two hotspot districts, Rupandehi and Chitwan. Household socioeconomic characteristics were found to play a major role in women’s labor contribution in different crop production activities. Discussions with farmers provided a list of more than 15 CSA interventions with labor reduction as well as yield-improving potential. Accordingly, considering the local crop, agro-climate, and social conditions, and women’s participation in different agricultural activities, CSA technologies and practices such as direct seeded rice (zero tillage and low tillage using machine), green manuring (GM), laser land leveling (LLL), and system of rice intensification (SRI) were found to potentially reduce women’s drudgery in agriculture along with improvement in productivity and farm income.","author":[{"dropping-particle":"","family":"Khatri-Chhetri","given":"A.","non-dropping-particle":"","parse-names":false,"suffix":""},{"dropping-particle":"","family":"Regmi","given":"P. P.","non-dropping-particle":"","parse-names":false,"suffix":""},{"dropping-particle":"","family":"Chanana","given":"N.","non-dropping-particle":"","parse-names":false,"suffix":""},{"dropping-particle":"","family":"Aggarwal","given":"P. K.","non-dropping-particle":"","parse-names":false,"suffix":""}],"container-title":"Climatic Change","id":"ITEM-1","issue":"1","issued":{"date-parts":[["2020"]]},"page":"29-42","title":"Potential of climate-smart agriculture in reducing women farmers’ drudgery in high climatic risk areas","type":"article-journal","volume":"158"},"uris":["http://www.mendeley.com/documents/?uuid=784a3914-f7c6-4b46-8024-7f67ea72a14a"]}],"mendeley":{"formattedCitation":"(Khatri-Chhetri et al., 2020)","plainTextFormattedCitation":"(Khatri-Chhetri et al., 2020)","previouslyFormattedCitation":"(Khatri-Chhetri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(Khatri-Chhetri et al., 2020)</w:t>
      </w:r>
      <w:r w:rsidRPr="00895D0B">
        <w:rPr>
          <w:rFonts w:cs="Times New Roman"/>
          <w:color w:val="000000" w:themeColor="text1"/>
          <w:szCs w:val="24"/>
        </w:rPr>
        <w:fldChar w:fldCharType="end"/>
      </w:r>
      <w:r w:rsidRPr="00895D0B">
        <w:rPr>
          <w:rFonts w:cs="Times New Roman"/>
          <w:color w:val="000000" w:themeColor="text1"/>
          <w:szCs w:val="24"/>
        </w:rPr>
        <w:t xml:space="preserve">. This means that a household's participation in urban agriculture is not determined by the employment status of the household head as stated in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{"citationItems":[{"id":"ITEM-1","itemData":{"DOI":"10.1038/s41477-020-00783-z","ISSN":"20550278","PMID":"33051616","abstract":"Climate-resilient crops and crop varieties have been recommended as a way for farmers to cope with or adapt to climate change, but despite the apparent benefits, rates of adoption by smallholder farmers are highly variable. Here we present a scoping review, using PRISMA-P (Preferred Reporting Items for Systematic review and Meta-Analysis Protocols), examining the conditions that have led to the adoption of climate-resilient crops over the past 30 years in lower- and middle-income countries. The descriptive analysis performed on 202 papers shows that small-scale producers adopted climate-resilient crops and varieties to cope with abiotic stresses such as drought, heat, flooding and salinity. The most prevalent trait in our dataset was drought tolerance, followed by water-use efficiency. Our analysis found that the most important determinants of adoption of climate-resilient crops were the availability and effectiveness of extension services and outreach, followed by education levels of heads of households, farmers’ access to inputs—especially seeds and fertilizers—and socio-economic status of farming families. About 53% of studies reported that social differences such as sex, age, marital status and ethnicity affected the adoption of varieties or crops as climate change-adaptation strategies. On the basis of the collected evidence, this study presents a series of pathways and interventions that could contribute to higher adoption rates of climate-resilient crops and reduce dis-adoption.","author":[{"dropping-particle":"","family":"Acevedo","given":"M.","non-dropping-particle":"","parse-names":false,"suffix":""},{"dropping-particle":"","family":"Pixley","given":"K/","non-dropping-particle":"","parse-names":false,"suffix":""},{"dropping-particle":"","family":"Zinyengere","given":"N.","non-dropping-particle":"","parse-names":false,"suffix":""},{"dropping-particle":"","family":"Meng","given":"S.","non-dropping-particle":"","parse-names":false,"suffix":""},{"dropping-particle":"","family":"Tufan","given":"H.","non-dropping-particle":"","parse-names":false,"suffix":""},{"dropping-particle":"","family":"Cichy","given":"K.","non-dropping-particle":"","parse-names":false,"suffix":""},{"dropping-particle":"","family":"Bizikova","given":"L.","non-dropping-particle":"","parse-names":false,"suffix":""},{"dropping-particle":"","family":"Isaacs","given":"K.","non-dropping-particle":"","parse-names":false,"suffix":""},{"dropping-particle":"","family":"Ghezzi-Kopel","given":"K.","non-dropping-particle":"","parse-names":false,"suffix":""},{"dropping-particle":"","family":"Porciello","given":"J.","non-dropping-particle":"","parse-names":false,"suffix":""}],"container-title":"Nature Plants","id":"ITEM-1","issue":"10","issued":{"date-parts":[["2020"]]},"page":"1231-1241","publisher":"Springer US","title":"A scoping review of adoption of climate-resilient crops by small-scale producers in low- and middle-income countries","type":"article-journal","volume":"6"},"uris":["http://www.mendeley.com/documents/?uuid=3b7b7e71-88d6-46bc-8120-529ca2192e9c"]}],"mendeley":{"formattedCitation":"(Acevedo et al., 2020)","manualFormatting":"Acevedo et al. (2020)","plainTextFormattedCitation":"(Acevedo et al., 2020)","previouslyFormattedCitation":"(Acevedo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Acevedo et al. (2020)</w:t>
      </w:r>
      <w:r w:rsidRPr="00895D0B">
        <w:rPr>
          <w:rFonts w:cs="Times New Roman"/>
          <w:color w:val="000000" w:themeColor="text1"/>
          <w:szCs w:val="24"/>
        </w:rPr>
        <w:fldChar w:fldCharType="end"/>
      </w:r>
      <w:r w:rsidRPr="00895D0B">
        <w:rPr>
          <w:rFonts w:cs="Times New Roman"/>
          <w:color w:val="000000" w:themeColor="text1"/>
          <w:szCs w:val="24"/>
        </w:rPr>
        <w:t>. In the same way, the urban household head’s interest in participating in urban agricultural production is not determined by the household head’s type of employment.</w:t>
      </w:r>
    </w:p>
    <w:p w14:paraId="405208E8" w14:textId="77777777" w:rsidR="001B4ED5" w:rsidRPr="00895D0B" w:rsidRDefault="001B4ED5" w:rsidP="00166F50">
      <w:pPr>
        <w:pStyle w:val="NoSpacing"/>
      </w:pPr>
    </w:p>
    <w:p w14:paraId="262C9389" w14:textId="5D440871"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shd w:val="clear" w:color="auto" w:fill="FFFFFF"/>
        </w:rPr>
        <w:t xml:space="preserve">Urban household educational status does not determined one’s participation in agricultural production. The statistical analysis revealed that </w:t>
      </w:r>
      <w:r w:rsidRPr="00895D0B">
        <w:rPr>
          <w:rFonts w:cs="Times New Roman"/>
          <w:color w:val="000000" w:themeColor="text1"/>
          <w:szCs w:val="24"/>
        </w:rPr>
        <w:t xml:space="preserve">(p-value = 0.3, 0.865, and 0.283 &gt; 0.05) for basic/middle school, senior high school (SHS)/secondary/vocational schools, and tertiary respectively. These results were expected as it is generally believed that most farmers do not have formal education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Anwarudin","given":"O.","non-dropping-particle":"","parse-names":false,"suffix":""},{"dropping-particle":"","family":"Dayat","given":"D.","non-dropping-particle":"","parse-names":false,"suffix":""}],"id":"ITEM-1","issued":{"date-parts":[["2019"]]},"page":"1061-1072","title":"The Effect of Farmer Participation in Agricultural Extension on Agribusiness Sustainability in Bogor , Indonesia","type":"article-journal"},"uris":["http://www.mendeley.com/documents/?uuid=c78f2661-8f87-49b6-b35e-f78b84d585f3"]}],"mendeley":{"formattedCitation":"(Anwarudin &amp; Dayat, 2019)","plainTextFormattedCitation":"(Anwarudin &amp; Dayat, 2019)","previouslyFormattedCitation":"(Anwarudin &amp; Dayat,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(Anwarudin &amp; Dayat, 2019)</w:t>
      </w:r>
      <w:r w:rsidRPr="00895D0B">
        <w:rPr>
          <w:rFonts w:cs="Times New Roman"/>
          <w:color w:val="000000" w:themeColor="text1"/>
          <w:szCs w:val="24"/>
        </w:rPr>
        <w:fldChar w:fldCharType="end"/>
      </w:r>
      <w:r w:rsidRPr="00895D0B">
        <w:rPr>
          <w:rFonts w:cs="Times New Roman"/>
          <w:color w:val="000000" w:themeColor="text1"/>
          <w:szCs w:val="24"/>
        </w:rPr>
        <w:t xml:space="preserve">. This means that urban agricultural policies should target all households within the urban setting without necessarily considering the household head’s educational attainments. The findings do not support the assertion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{"citationItems":[{"id":"ITEM-1","itemData":{"DOI":"10.1080/07900627.2020.1760799","ISSN":"13600648","abstract":"Over four years, a research-for-development project was implemented at the 25 de Setembro irrigation scheme in Mozambique. The project introduced agricultural innovation platforms to overcome barriers to production such as input and output supply chains and poorly maintained irrigation canals. Soil moisture and nutrient monitoring tools were provided so that farmers could improve their irrigation and fertilizer management. The farmers increased their crop production through the use of the tools and better irrigation infrastructure, and increased their income and overall well-being through better links to markets and new information sources facilitated by the agricultural innovation platforms.","author":[{"dropping-particle":"","family":"Chilundo","given":"M.","non-dropping-particle":"","parse-names":false,"suffix":""},{"dropping-particle":"","family":"Sousa","given":"W.","non-dropping-particle":"de","parse-names":false,"suffix":""},{"dropping-particle":"","family":"Christen","given":"E. W.","non-dropping-particle":"","parse-names":false,"suffix":""},{"dropping-particle":"","family":"Faduco","given":"J.","non-dropping-particle":"","parse-names":false,"suffix":""},{"dropping-particle":"","family":"Bjornlund","given":"H.","non-dropping-particle":"","parse-names":false,"suffix":""},{"dropping-particle":"","family":"Cheveia","given":"E.","non-dropping-particle":"","parse-names":false,"suffix":""},{"dropping-particle":"","family":"Munguambe","given":"P.","non-dropping-particle":"","parse-names":false,"suffix":""},{"dropping-particle":"","family":"Jorge","given":"F.","non-dropping-particle":"","parse-names":false,"suffix":""},{"dropping-particle":"","family":"Stirzaker","given":"R.","non-dropping-particle":"","parse-names":false,"suffix":""},{"dropping-particle":"","family":"Rooyen","given":"A. F.","non-dropping-particle":"van","parse-names":false,"suffix":""}],"container-title":"International Journal of Water Resources Development","id":"ITEM-1","issue":"1","issued":{"date-parts":[["2020"]]},"page":"1-21","publisher":"Routledge","title":"Do agricultural innovation platforms and soil moisture and nutrient monitoring tools improve the production and livelihood of smallholder irrigators in Mozambique?","type":"article-journal","volume":"36"},"uris":["http://www.mendeley.com/documents/?uuid=2ab1a30e-d1f5-4b82-a69e-7b9662a3d624"]}],"mendeley":{"formattedCitation":"(Chilundo et al., 2020)","manualFormatting":"Chilundo et al. (2020)","plainTextFormattedCitation":"(Chilundo et al., 2020)","previouslyFormattedCitation":"(Chilundo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Chilundo et al. (2020)</w:t>
      </w:r>
      <w:r w:rsidRPr="00895D0B">
        <w:rPr>
          <w:rFonts w:cs="Times New Roman"/>
          <w:color w:val="000000" w:themeColor="text1"/>
          <w:szCs w:val="24"/>
        </w:rPr>
        <w:fldChar w:fldCharType="end"/>
      </w:r>
      <w:r w:rsidRPr="00895D0B">
        <w:rPr>
          <w:rFonts w:cs="Times New Roman"/>
          <w:color w:val="000000" w:themeColor="text1"/>
          <w:szCs w:val="24"/>
        </w:rPr>
        <w:t xml:space="preserve"> that to increase people's involvement in agricultural production, there is a need to increase formal education. The result again is not in line with the view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{"citationItems":[{"id":"ITEM-1","itemData":{"DOI":"10.3390/su10020555","ISSN":"20711050","abstract":"The adoption of conservation agriculture among small-scale farmers is still low despite the proven economic and environmental benefits of the technology. This study was conducted in Ingwe Municipality in Kwa-Zashuke, Ward 8, in KwaZulu-Natal province. The main aim of the study was to determine the factors that influence the adoption of no-till conservation agriculture (CA) in the study area and to explore farmers' perceptions of no-till CA and the impact of no-till CA on maize yield. A quantitative approach employing a cross-sectional design was used to gather data. Stratified random sampling was employed and a total of 185 small-scale farmers (97 adopters and 88 non-adopters) were sampled. Data analysis was done through descriptive and inferential statistics and econometric modeling using the logistic regression model. Findings show that farmers' positive perceptions were positively correlated with higher maize yields. While an increase in extension visits, age, education and farmers' positive perceptions significantly increased the likelihood of a farmer adopting no-till CA, an increase in land size was negatively related to no-till CA adoption. The findings confirm the important role of extension in the promotion of no-till CA, particularly the intensity of the extension services. The study recommends a deliberate effort by all stakeholders to promote the participation of young people in farming and tailor-make current no-till CA programs to suit the illiterate households. The capacity of extension programs to adequately support farmers should be enhanced through improvements in extension services. There is also need to change people's mindsets and the way they view no-till CA.","author":[{"dropping-particle":"","family":"Ntshangase","given":"N. L.","non-dropping-particle":"","parse-names":false,"suffix":""},{"dropping-particle":"","family":"Muroyiwa","given":"B.","non-dropping-particle":"","parse-names":false,"suffix":""},{"dropping-particle":"","family":"Sibanda","given":"M.","non-dropping-particle":"","parse-names":false,"suffix":""}],"container-title":"Sustainability (Switzerland)","id":"ITEM-1","issue":"2","issued":{"date-parts":[["2018"]]},"title":"Farmers' perceptions and factors influencing the adoption of no-till conservation agriculture by small-scale farmers in Zashuke, KwaZulu-Natal province","type":"article-journal","volume":"10"},"uris":["http://www.mendeley.com/documents/?uuid=d03d409e-02f5-4c7c-be49-e9cf28c15ef9"]}],"mendeley":{"formattedCitation":"(Ntshangase et al., 2018)","manualFormatting":"Ntshangase et al. (2018)","plainTextFormattedCitation":"(Ntshangase et al., 2018)","previouslyFormattedCitation":"(Ntshangase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Ntshangase et al. (2018)</w:t>
      </w:r>
      <w:r w:rsidRPr="00895D0B">
        <w:rPr>
          <w:rFonts w:cs="Times New Roman"/>
          <w:color w:val="000000" w:themeColor="text1"/>
          <w:szCs w:val="24"/>
        </w:rPr>
        <w:fldChar w:fldCharType="end"/>
      </w:r>
      <w:r w:rsidRPr="00895D0B">
        <w:rPr>
          <w:rFonts w:cs="Times New Roman"/>
          <w:color w:val="000000" w:themeColor="text1"/>
          <w:szCs w:val="24"/>
        </w:rPr>
        <w:t xml:space="preserve"> that </w:t>
      </w:r>
      <w:r w:rsidRPr="00895D0B">
        <w:rPr>
          <w:rFonts w:cs="Times New Roman"/>
          <w:color w:val="000000" w:themeColor="text1"/>
          <w:szCs w:val="24"/>
        </w:rPr>
        <w:lastRenderedPageBreak/>
        <w:t xml:space="preserve">people's participation in agricultural production is influenced by higher educational levels. However, the findings support the idea that informal training of farmers has a positive association with agricultural productivity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{"citationItems":[{"id":"ITEM-1","itemData":{"DOI":"10.7176/jcsd/57-03","author":[{"dropping-particle":"V.","family":"Chand","given":"N.","non-dropping-particle":"","parse-names":false,"suffix":""}],"container-title":"Journal of Culture, Society and Development","id":"ITEM-1","issued":{"date-parts":[["2020"]]},"page":"16-25","title":"Women Farmer Participation and Its Determinants in Agricultural Training Programmes, for Central Division Fiji","type":"article-journal","volume":"57"},"uris":["http://www.mendeley.com/documents/?uuid=ae77a1be-12f4-4b00-8c31-3d05aa3c0b3b"]}],"mendeley":{"formattedCitation":"(Chand, 2020)","manualFormatting":"Chand (2020)","plainTextFormattedCitation":"(Chand, 2020)","previouslyFormattedCitation":"(Chand,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Chand (2020)</w:t>
      </w:r>
      <w:r w:rsidRPr="00895D0B">
        <w:rPr>
          <w:rFonts w:cs="Times New Roman"/>
          <w:color w:val="000000" w:themeColor="text1"/>
          <w:szCs w:val="24"/>
        </w:rPr>
        <w:fldChar w:fldCharType="end"/>
      </w:r>
      <w:r w:rsidRPr="00895D0B">
        <w:rPr>
          <w:rFonts w:cs="Times New Roman"/>
          <w:color w:val="000000" w:themeColor="text1"/>
          <w:szCs w:val="24"/>
        </w:rPr>
        <w:t xml:space="preserve">, even though educated farmers are technologically advanced enough to take up climate change adaptation strategies </w:t>
      </w:r>
      <w:r w:rsidRPr="00895D0B">
        <w:rPr>
          <w:rFonts w:cs="Times New Roman"/>
          <w:color w:val="000000" w:themeColor="text1"/>
          <w:szCs w:val="24"/>
        </w:rPr>
        <w:fldChar w:fldCharType="begin" w:fldLock="1"/>
      </w:r>
      <w:r w:rsidR="00184706" w:rsidRPr="00895D0B">
        <w:rPr>
          <w:rFonts w:cs="Times New Roman"/>
          <w:color w:val="000000" w:themeColor="text1"/>
          <w:szCs w:val="24"/>
        </w:rPr>
        <w:instrText>ADDIN CSL_CITATION {"citationItems":[{"id":"ITEM-1","itemData":{"DOI":"10.1016/j.worlddev.2019.104692","ISSN":"18735991","abstract":"Climate-smart agriculture (CSA) is increasingly important for advancing rural development and environmental sustainability goals in developing countries. Over the past decade, the international community has committed billions of dollars to support various practices under the banner of CSA. Despite this effort, however, CSA adoption remains low in many contexts. Lack of conceptual clarity about the range of potential farm-level CSA practices across contexts impedes understanding of CSA adoption in developing countries. Here we review relevant literature to develop a typology of farm-level CSA practices to facilitate analyses of CSA adoption. The typology consists of six categories, organized from least to most resource intensive: (1) residue addition, (2) non-woody plant cultivation, (3) assisted regeneration, (4) woody plant cultivation, (5) physical infrastructure, and (6) mixed measures. We use the typology to generate and test hypotheses about CSA adoption using primary household survey data from a large aid-funded CSA intervention area in southern Malawi. We then use recursive bivariate probit regression (controlling for endogeneity and selection bias) to estimate the effect of program participation on adoption across CSA categories. We find positive and statistically significant effects of program participation on adoption of CSA practices generally with the strongest effects on resource-intensive CSA categories. Results demonstrate the potential for wider application of the typology to build knowledge of the effectiveness of CSA promotion efforts across different social and environmental contexts. Our findings also suggest the importance of external support for the adoption of more resource-intensive CSA practices among rural households and communities in Malawi and elsewhere in the developing world.","author":[{"dropping-particle":"","family":"Amadu","given":"F. O.","non-dropping-particle":"","parse-names":false,"suffix":""},{"dropping-particle":"","family":"McNamara","given":"P. E.","non-dropping-particle":"","parse-names":false,"suffix":""},{"dropping-particle":"","family":"Miller","given":"D. C.","non-dropping-particle":"","parse-names":false,"suffix":""}],"container-title":"World Development","id":"ITEM-1","issued":{"date-parts":[["2020"]]},"page":"104692","publisher":"Elsevier Ltd","title":"Understanding the adoption of climate-smart agriculture: A farm-level typology with empirical evidence from southern Malawi","type":"article-journal","volume":"126"},"uris":["http://www.mendeley.com/documents/?uuid=2e2fb2bb-1a68-4d61-81ea-94c994b8ea40"]},{"id":"ITEM-2","itemData":{"DOI":"10.1016/j.jrurstud.2017.04.012","ISSN":"07430167","abstract":"This paper explores the connections between farm modernisation, rural development and the resilience of agricultural and rural systems. The paper starts by ascertaining why agricultural and food systems need to change systemically. Evidence from case studies in fourteen countries is used to explore the possibilities for, and drivers and limitations of systemic change in four thematic areas: the resilience of farms and rural areas; prosperity and well-being; knowledge and innovation, and; the governance of agriculture and rural areas. In each area, we identify a major mismatch between visions and strategies on the one hand, and market developments, policy measures and outcomes on the other. The first theme is of growing concern as there has been an observable decrease in the social-ecological resilience of farms and of rural communities in recent decades. The second theme emerges as important as the concentration of production in some regions or some farms is directly linked to the marginalisation of others. The third theme illustrates that local farmer-driven innovations can teach us much, especially since farmers focus on efficiently using the resources available to them, including their location-specific experiential knowledge. Through the final theme we show that informal networks can balance different interests and approaches, which is essential for integrated rural development strategies and projects. Our findings in these four thematic areas have implications for the strategic frameworks and policy of the EU (and beyond) and future research agendas. We explicitly draw these out. The 14 case studies show that practitioners, grassroots initiatives and pilot programmes are already generating a wealth of experiences and knowledge that could be fruitfully used to inform higher-level policy development. The paper concludes that systemic change requires more critical reflection of conventional wisdom and approaches, and openness to ideas and practices that are outside the mainstream.","author":[{"dropping-particle":"","family":"Knickel","given":"K.","non-dropping-particle":"","parse-names":false,"suffix":""},{"dropping-particle":"","family":"Redman","given":"M.","non-dropping-particle":"","parse-names":false,"suffix":""},{"dropping-particle":"","family":"Darnhofer","given":"I.","non-dropping-particle":"","parse-names":false,"suffix":""},{"dropping-particle":"","family":"Ashkenazy","given":"A.","non-dropping-particle":"","parse-names":false,"suffix":""},{"dropping-particle":"","family":"Calvão Chebach","given":"T.","non-dropping-particle":"","parse-names":false,"suffix":""},{"dropping-particle":"","family":"Šūmane","given":"S.","non-dropping-particle":"","parse-names":false,"suffix":""},{"dropping-particle":"","family":"Tisenkopfs","given":"T.","non-dropping-particle":"","parse-names":false,"suffix":""},{"dropping-particle":"","family":"Zemeckis","given":"R.","non-dropping-particle":"","parse-names":false,"suffix":""},{"dropping-particle":"","family":"Atkociuniene","given":"V.","non-dropping-particle":"","parse-names":false,"suffix":""},{"dropping-particle":"","family":"Rivera","given":"M.","non-dropping-particle":"","parse-names":false,"suffix":""},{"dropping-particle":"","family":"Strauss","given":"A.","non-dropping-particle":"","parse-names":false,"suffix":""},{"dropping-particle":"","family":"Kristensen","given":"L. S.","non-dropping-particle":"","parse-names":false,"suffix":""},{"dropping-particle":"","family":"Schiller","given":"S.","non-dropping-particle":"","parse-names":false,"suffix":""},{"dropping-particle":"","family":"Koopmans","given":"M. E.","non-dropping-particle":"","parse-names":false,"suffix":""},{"dropping-particle":"","family":"Rogge","given":"E.","non-dropping-particle":"","parse-names":false,"suffix":""}],"container-title":"Journal of Rural Studies","id":"ITEM-2","issued":{"date-parts":[["2018"]]},"page":"197-210","title":"Between aspirations and reality: Making farming, food systems and rural areas more resilient, sustainable and equitable","type":"article-journal","volume":"59"},"uris":["http://www.mendeley.com/documents/?uuid=575e9fa2-acd6-4d6c-95c4-d3daf69bd3e1"]}],"mendeley":{"formattedCitation":"(Amadu et al., 2020; Knickel et al., 2018)","manualFormatting":"(Knickel et al., 2018; Amadu et al., 2020)","plainTextFormattedCitation":"(Amadu et al., 2020; Knickel et al., 2018)","previouslyFormattedCitation":"(Amadu et al., 2020; Knickel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(Knickel et al., 2018; Amadu et al.,</w:t>
      </w:r>
      <w:r w:rsidR="00A004C8" w:rsidRPr="00895D0B">
        <w:rPr>
          <w:rFonts w:cs="Times New Roman"/>
          <w:noProof/>
          <w:color w:val="000000" w:themeColor="text1"/>
          <w:szCs w:val="24"/>
        </w:rPr>
        <w:t xml:space="preserve"> </w:t>
      </w:r>
      <w:r w:rsidRPr="00895D0B">
        <w:rPr>
          <w:rFonts w:cs="Times New Roman"/>
          <w:noProof/>
          <w:color w:val="000000" w:themeColor="text1"/>
          <w:szCs w:val="24"/>
        </w:rPr>
        <w:t>2020)</w:t>
      </w:r>
      <w:r w:rsidRPr="00895D0B">
        <w:rPr>
          <w:rFonts w:cs="Times New Roman"/>
          <w:color w:val="000000" w:themeColor="text1"/>
          <w:szCs w:val="24"/>
        </w:rPr>
        <w:fldChar w:fldCharType="end"/>
      </w:r>
      <w:r w:rsidRPr="00895D0B">
        <w:rPr>
          <w:rFonts w:cs="Times New Roman"/>
          <w:color w:val="000000" w:themeColor="text1"/>
          <w:szCs w:val="24"/>
        </w:rPr>
        <w:t xml:space="preserve">. In dealing with uneducated farmers, training systems increase agricultural production as they foster knowledge transfer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{"citationItems":[{"id":"ITEM-1","itemData":{"DOI":"10.1007/s13593-020-00636-1","ISSN":"17730155","abstract":"Participatory research can improve the efficiency, effectiveness, and scope of research processes, and foster social inclusion, empowerment, and sustainability. Yet despite four decades of agricultural research institutions exploring and developing methods for participatory research, it has never become mainstream in the agricultural technology development cycle. Citizen science promises an innovative approach to participation in research, using the unique facilities of new digital technologies, but its potential in agricultural research participation has not been systematically probed. To this end, we conducted a critical literature review. We found that citizen science opens up four opportunities for creatively reshaping research: (i) new possibilities for interdisciplinary collaboration, (ii) rethinking configurations of socio-computational systems, (iii) research on democratization of science more broadly, and (iv) new accountabilities. Citizen science also brings a fresh perspective on the barriers to institutionalizing participation in the agricultural sciences. Specifically, we show how citizen science can reconfigure cost-motivation-accountability combinations using digital tools, open up a larger conceptual space of experimentation, and stimulate new collaborations. With appropriate and persistent institutional support and investment, citizen science can therefore have a lasting impact on how agricultural science engages with farming communities and wider society, and more fully realize the promises of participation.","author":[{"dropping-particle":"","family":"Gevel","given":"J.","non-dropping-particle":"van de","parse-names":false,"suffix":""},{"dropping-particle":"","family":"Etten","given":"J.","non-dropping-particle":"van","parse-names":false,"suffix":""},{"dropping-particle":"","family":"Deterding","given":"S.","non-dropping-particle":"","parse-names":false,"suffix":""}],"container-title":"Agronomy for Sustainable Development","id":"ITEM-1","issue":"5","issued":{"date-parts":[["2020"]]},"page":"1-17","publisher":"Agronomy for Sustainable Development","title":"Citizen science breathes new life into participatory agricultural research. A review","type":"article-journal","volume":"40"},"uris":["http://www.mendeley.com/documents/?uuid=027d8306-2d1c-4658-82d8-5b8ae4ddf764"]}],"mendeley":{"formattedCitation":"(van de Gevel et al., 2020)","plainTextFormattedCitation":"(van de Gevel et al., 2020)","previouslyFormattedCitation":"(van de Gevel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(van de Gevel et al., 2020)</w:t>
      </w:r>
      <w:r w:rsidRPr="00895D0B">
        <w:rPr>
          <w:rFonts w:cs="Times New Roman"/>
          <w:color w:val="000000" w:themeColor="text1"/>
          <w:szCs w:val="24"/>
        </w:rPr>
        <w:fldChar w:fldCharType="end"/>
      </w:r>
      <w:r w:rsidRPr="00895D0B">
        <w:rPr>
          <w:rFonts w:cs="Times New Roman"/>
          <w:color w:val="000000" w:themeColor="text1"/>
          <w:szCs w:val="24"/>
        </w:rPr>
        <w:t xml:space="preserve">. This is true because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10.37138/1425-032-001-012","author":[{"dropping-particle":"","family":"Bounds","given":"M.","non-dropping-particle":"","parse-names":false,"suffix":""},{"dropping-particle":"","family":"Zinyemba","given":"O.","non-dropping-particle":"","parse-names":false,"suffix":""}],"container-title":"</w:instrText>
      </w:r>
      <w:r w:rsidRPr="00895D0B">
        <w:rPr>
          <w:rFonts w:cs="Times New Roman"/>
          <w:color w:val="000000" w:themeColor="text1"/>
          <w:szCs w:val="24"/>
          <w:rtl/>
        </w:rPr>
        <w:instrText>مجلة جامعة الأمير عبد القادر للعلوم الإسلامية</w:instrText>
      </w:r>
      <w:r w:rsidRPr="00895D0B">
        <w:rPr>
          <w:rFonts w:cs="Times New Roman"/>
          <w:color w:val="000000" w:themeColor="text1"/>
          <w:szCs w:val="24"/>
        </w:rPr>
        <w:instrText>","id":"ITEM-1","issue":"1","issued":{"date-parts":[["2018"]]},"page":"328","title":"Poultry farming: Lessening poverty in rural areas","type":"article-journal","volume":"46"},"uris":["http://www.mendeley.com/documents/?uuid=56fd97aa-92ce-483f-9ba6-32933f0f607b"]}],"mendeley":{"formattedCitation":"(Bounds &amp; Zinyemba, 2018)","manualFormatting":"Bounds and Zinyemba (2018)","plainTextFormattedCitation":"(Bounds &amp; Zinyemba, 2018)","previouslyFormattedCitation":"(Bounds &amp; Zinyemba,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Bounds and Zinyemba (2018)</w:t>
      </w:r>
      <w:r w:rsidRPr="00895D0B">
        <w:rPr>
          <w:rFonts w:cs="Times New Roman"/>
          <w:color w:val="000000" w:themeColor="text1"/>
          <w:szCs w:val="24"/>
        </w:rPr>
        <w:fldChar w:fldCharType="end"/>
      </w:r>
      <w:r w:rsidRPr="00895D0B">
        <w:rPr>
          <w:rFonts w:cs="Times New Roman"/>
          <w:color w:val="000000" w:themeColor="text1"/>
          <w:szCs w:val="24"/>
        </w:rPr>
        <w:t xml:space="preserve"> revealed that training farmers in veterinary services encourages them to move into animal production. Similarly, the farmers get the required skills in feeding and breeding animals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{"citationItems":[{"id":"ITEM-1","itemData":{"author":[{"dropping-particle":"","family":"Tselaesele","given":"N. M.","non-dropping-particle":"","parse-names":false,"suffix":""},{"dropping-particle":"","family":"Bagwasi","given":"N.","non-dropping-particle":"","parse-names":false,"suffix":""},{"dropping-particle":"","family":"Lepetu","given":"J.","non-dropping-particle":"","parse-names":false,"suffix":""},{"dropping-particle":"","family":"Bahta","given":"S.","non-dropping-particle":"","parse-names":false,"suffix":""},{"dropping-particle":"","family":"Oladele","given":"I. O.","non-dropping-particle":"","parse-names":false,"suffix":""}],"id":"ITEM-1","issue":"1","issued":{"date-parts":[["2018"]]},"page":"92-105","title":"Training needs assessment for transformation of smallholder livestock farming in Batswana","type":"article-journal","volume":"46"},"uris":["http://www.mendeley.com/documents/?uuid=93a48bfa-7134-499a-ad7a-0ee3670e65e9"]}],"mendeley":{"formattedCitation":"(Tselaesele et al., 2018)","plainTextFormattedCitation":"(Tselaesele et al., 2018)","previouslyFormattedCitation":"(Tselaesele et al.,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(Tselaesele et al., 2018)</w:t>
      </w:r>
      <w:r w:rsidRPr="00895D0B">
        <w:rPr>
          <w:rFonts w:cs="Times New Roman"/>
          <w:color w:val="000000" w:themeColor="text1"/>
          <w:szCs w:val="24"/>
        </w:rPr>
        <w:fldChar w:fldCharType="end"/>
      </w:r>
      <w:r w:rsidRPr="00895D0B">
        <w:rPr>
          <w:rFonts w:cs="Times New Roman"/>
          <w:color w:val="000000" w:themeColor="text1"/>
          <w:szCs w:val="24"/>
        </w:rPr>
        <w:t xml:space="preserve">, especially under the current climate change conditions. </w:t>
      </w:r>
    </w:p>
    <w:p w14:paraId="1724ADC9" w14:textId="77777777" w:rsidR="001B4ED5" w:rsidRPr="00895D0B" w:rsidRDefault="001B4ED5" w:rsidP="009864E3">
      <w:pPr>
        <w:pStyle w:val="NoSpacing"/>
        <w:rPr>
          <w:shd w:val="clear" w:color="auto" w:fill="FFFFFF"/>
        </w:rPr>
      </w:pPr>
    </w:p>
    <w:p w14:paraId="752BC8A4"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Urban household size is a determining factor for participating in urban agricultural production in the era of climate change and variability as at an alpha 0.05 (p-value = 0.011 &lt; 0.05) for urban households with 1 – 5 members. To provide for the needs such as food of large households, there is a need to produce their food using any available space within the urban neighbourhood to reduce households' expenditure on food. This makes it possible for households to meet other basic needs such as shelter and clothing. It is widely known that larger household size means the availability of labour to undertake agricultural productive activities relating to climate. This is in line with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{"citationItems":[{"id":"ITEM-1","itemData":{"DOI":"10.1016/j.econlet.2018.09.003","ISSN":"01651765","abstract":"Utilizing a micro-level dataset of 900 firms for the period 2000–2016 from Indian manufacturing, this paper explores the effects of technological investments on labour productivity performance of firms by looking at investments in Information Technology (IT) and Research &amp; Development (R&amp;D). The present study is the first to assess the role of IT and R&amp;D jointly for Indian manufacturing. To control for transmission bias in production function estimation, a GMM-based one step control function estimator is applied. We find large effects of both IT and R&amp;D across various sub-samples. Further, our results imply that there is a complementarity between IT and R&amp;D in generating labour productivity growth.","author":[{"dropping-particle":"","family":"Khanna","given":"R.","non-dropping-particle":"","parse-names":false,"suffix":""},{"dropping-particle":"","family":"Sharma","given":"C.","non-dropping-particle":"","parse-names":false,"suffix":""}],"container-title":"Economics Letters","id":"ITEM-1","issued":{"date-parts":[["2018"]]},"page":"30-34","publisher":"Elsevier B.V.","title":"Testing the effect of investments in IT and R&amp;D on labour productivity: New method and evidence for Indian firms","type":"article-journal","volume":"173"},"uris":["http://www.mendeley.com/documents/?uuid=1d767191-8426-49d6-8165-d29668959f6a"]}],"mendeley":{"formattedCitation":"(Khanna &amp; Sharma, 2018)","manualFormatting":"Khanna and Sharma (2018)","plainTextFormattedCitation":"(Khanna &amp; Sharma, 2018)","previouslyFormattedCitation":"(Khanna &amp; Sharma,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Khanna and Sharma (2018)</w:t>
      </w:r>
      <w:r w:rsidRPr="00895D0B">
        <w:rPr>
          <w:rFonts w:cs="Times New Roman"/>
          <w:color w:val="000000" w:themeColor="text1"/>
          <w:szCs w:val="24"/>
        </w:rPr>
        <w:fldChar w:fldCharType="end"/>
      </w:r>
      <w:r w:rsidRPr="00895D0B">
        <w:rPr>
          <w:rFonts w:cs="Times New Roman"/>
          <w:color w:val="000000" w:themeColor="text1"/>
          <w:szCs w:val="24"/>
        </w:rPr>
        <w:t xml:space="preserve"> that in agricultural production, labour is needed to prepare the land, to control weeds  and for harvesting of the produce. There are labour considerations when an individual wants to participate in agriculture especially urban farming in these difficult times of climatic situations. It is for this reason that,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{"citationItems":[{"id":"ITEM-1","itemData":{"DOI":"10.1002/pa.2342","ISSN":"14791854","abstract":"This study aims to examine the impact of financial development on agricultural production in the case of China. The study used country level time-series data for the period 1989 to 2016. We applied the autoregressive distributed lag (ARDL) approach to investigate the long-term cointegration relationship between underlying variables and the fully modified ordinary least squares (FMOLS) for robustness check. Results of this study confirm the existence of a long-term relationship among the variables. The ARDL estimation results reveal that financial development has a significantly positive impact on agricultural production in both long-run and short-run. The fully modified OLS confirm the robustness of the findings. This study suggests that the Chinese government should pay more attention on long-run policies to enhance agricultural growth through improving banking sectors, efficient rural credit markets, and increasing township banking infrastructures in the country.","author":[{"dropping-particle":"","family":"Chandio","given":"A. A.","non-dropping-particle":"","parse-names":false,"suffix":""},{"dropping-particle":"","family":"Jiang","given":"Y.","non-dropping-particle":"","parse-names":false,"suffix":""},{"dropping-particle":"","family":"Abbas","given":"Q.","non-dropping-particle":"","parse-names":false,"suffix":""},{"dropping-particle":"","family":"Amin","given":"A.","non-dropping-particle":"","parse-names":false,"suffix":""},{"dropping-particle":"","family":"Mohsin","given":"M.","non-dropping-particle":"","parse-names":false,"suffix":""}],"container-title":"Journal of Public Affairs","id":"ITEM-1","issue":"2","issued":{"date-parts":[["2022"]]},"page":"1-14","title":"Does financial development enhance agricultural production in the long-run? Evidence from China","type":"article-journal","volume":"22"},"uris":["http://www.mendeley.com/documents/?uuid=d6aef35a-705e-4452-9611-94a4f103504d"]}],"mendeley":{"formattedCitation":"(Chandio et al., 2022)","manualFormatting":"Chandio et al. (2022)","plainTextFormattedCitation":"(Chandio et al., 2022)","previouslyFormattedCitation":"(Chandio et al., 2022)"},"properties":{"noteIndex":0},"schema":"https://github.com/citation-style-language/schema/raw/master/csl-citation.json"}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Chandio et al. (2022)</w:t>
      </w:r>
      <w:r w:rsidRPr="00895D0B">
        <w:rPr>
          <w:rFonts w:cs="Times New Roman"/>
          <w:color w:val="000000" w:themeColor="text1"/>
          <w:szCs w:val="24"/>
        </w:rPr>
        <w:fldChar w:fldCharType="end"/>
      </w:r>
      <w:r w:rsidRPr="00895D0B">
        <w:rPr>
          <w:rFonts w:cs="Times New Roman"/>
          <w:color w:val="000000" w:themeColor="text1"/>
          <w:szCs w:val="24"/>
        </w:rPr>
        <w:t xml:space="preserve"> all saw labour being significant in agricultural production activities among farmers. The more the labour especially from households, the more the interest to engage in agriculture as in family farming. As such the results agreed with the assertion by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{"citationItems":[{"id":"ITEM-1","itemData":{"DOI":"10.1016/j.jssas.2017.06.001","ISSN":"1658077X","abstract":"This study is designed to assess the factors that affect smallholder rice farmer's participation in market. In addition it also examines the effect of commercialization on the welfare of smallholder farmers. The method of Heckman two-stage model is used to obtain the desired objectives. Random sampling technique is used to collect data from 249 smallholder farmers. Result of the study indicates that gender of the household head, age, number of family member who assist in farming, household size, vocational training, and the farmer being landlord and farm size were the major determinants of market participation. The welfare of the farmer depends whether the farmer participate in the rice output market. The result also indicated that rice output, off-farm income, access to credit, and income from the sale of rice were important factors influencing the welfare of the household. The participation in market can be increased by providing subsidized prices for their production, cold storage houses, vocational training, introducing new technology, increasing contact with extension agent and providing genetically modified seeds.","author":[{"dropping-particle":"","family":"Abdullah","given":"R. F.","non-dropping-particle":"","parse-names":false,"suffix":""},{"dropping-particle":"","family":"Ahamad","given":"R.","non-dropping-particle":"","parse-names":false,"suffix":""},{"dropping-particle":"","family":"Ali","given":"S.","non-dropping-particle":"","parse-names":false,"suffix":""},{"dropping-particle":"","family":"Chandio","given":"A. A.","non-dropping-particle":"","parse-names":false,"suffix":""},{"dropping-particle":"","family":"Ahmad","given":"W.","non-dropping-particle":"","parse-names":false,"suffix":""},{"dropping-particle":"","family":"Ilyas","given":"A.","non-dropping-particle":"","parse-names":false,"suffix":""},{"dropping-particle":"","family":"Din","given":"I. U.","non-dropping-particle":"","parse-names":false,"suffix":""}],"container-title":"Journal of the Saudi Society of Agricultural Sciences","id":"ITEM-1","issue":"2","issued":{"date-parts":[["2019"]]},"page":"224-233","publisher":"King Saud University &amp; Saudi Society of Agricultural Sciences","title":"Determinants of commercialization and its impact on the welfare of smallholder rice farmers by using Heckman's two-stage approach","type":"article-journal","volume":"18"},"uris":["http://www.mendeley.com/documents/?uuid=ad891ff9-9198-490f-9466-34b88b1cf1ad"]}],"mendeley":{"formattedCitation":"(Abdullah et al., 2019)","manualFormatting":"Abdullah et al. (2019)","plainTextFormattedCitation":"(Abdullah et al., 2019)","previouslyFormattedCitation":"(Abdullah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Abdullah et al. (2019)</w:t>
      </w:r>
      <w:r w:rsidRPr="00895D0B">
        <w:rPr>
          <w:rFonts w:cs="Times New Roman"/>
          <w:color w:val="000000" w:themeColor="text1"/>
          <w:szCs w:val="24"/>
        </w:rPr>
        <w:fldChar w:fldCharType="end"/>
      </w:r>
      <w:r w:rsidRPr="00895D0B">
        <w:rPr>
          <w:rFonts w:cs="Times New Roman"/>
          <w:color w:val="000000" w:themeColor="text1"/>
          <w:szCs w:val="24"/>
        </w:rPr>
        <w:t xml:space="preserve"> and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{"citationItems":[{"id":"ITEM-1","itemData":{"DOI":"10.1038/s41477-020-00783-z","ISSN":"20550278","PMID":"33051616","abstract":"Climate-resilient crops and crop varieties have been recommended as a way for farmers to cope with or adapt to climate change, but despite the apparent benefits, rates of adoption by smallholder farmers are highly variable. Here we present a scoping review, using PRISMA-P (Preferred Reporting Items for Systematic review and Meta-Analysis Protocols), examining the conditions that have led to the adoption of climate-resilient crops over the past 30 years in lower- and middle-income countries. The descriptive analysis performed on 202 papers shows that small-scale producers adopted climate-resilient crops and varieties to cope with abiotic stresses such as drought, heat, flooding and salinity. The most prevalent trait in our dataset was drought tolerance, followed by water-use efficiency. Our analysis found that the most important determinants of adoption of climate-resilient crops were the availability and effectiveness of extension services and outreach, followed by education levels of heads of households, farmers’ access to inputs—especially seeds and fertilizers—and socio-economic status of farming families. About 53% of studies reported that social differences such as sex, age, marital status and ethnicity affected the adoption of varieties or crops as climate change-adaptation strategies. On the basis of the collected evidence, this study presents a series of pathways and interventions that could contribute to higher adoption rates of climate-resilient crops and reduce dis-adoption.","author":[{"dropping-particle":"","family":"Acevedo","given":"M.","non-dropping-particle":"","parse-names":false,"suffix":""},{"dropping-particle":"","family":"Pixley","given":"K/","non-dropping-particle":"","parse-names":false,"suffix":""},{"dropping-particle":"","family":"Zinyengere","given":"N.","non-dropping-particle":"","parse-names":false,"suffix":""},{"dropping-particle":"","family":"Meng","given":"S.","non-dropping-particle":"","parse-names":false,"suffix":""},{"dropping-particle":"","family":"Tufan","given":"H.","non-dropping-particle":"","parse-names":false,"suffix":""},{"dropping-particle":"","family":"Cichy","given":"K.","non-dropping-particle":"","parse-names":false,"suffix":""},{"dropping-particle":"","family":"Bizikova","given":"L.","non-dropping-particle":"","parse-names":false,"suffix":""},{"dropping-particle":"","family":"Isaacs","given":"K.","non-dropping-particle":"","parse-names":false,"suffix":""},{"dropping-particle":"","family":"Ghezzi-Kopel","given":"K.","non-dropping-particle":"","parse-names":false,"suffix":""},{"dropping-particle":"","family":"Porciello","given":"J.","non-dropping-particle":"","parse-names":false,"suffix":""}],"container-title":"Nature Plants","id":"ITEM-1","issue":"10","issued":{"date-parts":[["2020"]]},"page":"1231-1241","publisher":"Springer US","title":"A scoping review of adoption of climate-resilient crops by small-scale producers in low- and middle-income countries","type":"article-journal","volume":"6"},"uris":["http://www.mendeley.com/documents/?uuid=3b7b7e71-88d6-46bc-8120-529ca2192e9c"]}],"mendeley":{"formattedCitation":"(Acevedo et al., 2020)","manualFormatting":"Acevedo et al. (2020)","plainTextFormattedCitation":"(Acevedo et al., 2020)","previouslyFormattedCitation":"(Acevedo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Acevedo et al. (2020)</w:t>
      </w:r>
      <w:r w:rsidRPr="00895D0B">
        <w:rPr>
          <w:rFonts w:cs="Times New Roman"/>
          <w:color w:val="000000" w:themeColor="text1"/>
          <w:szCs w:val="24"/>
        </w:rPr>
        <w:fldChar w:fldCharType="end"/>
      </w:r>
      <w:r w:rsidRPr="00895D0B">
        <w:rPr>
          <w:rFonts w:cs="Times New Roman"/>
          <w:color w:val="000000" w:themeColor="text1"/>
          <w:szCs w:val="24"/>
        </w:rPr>
        <w:t xml:space="preserve"> that household size is a determinant factor in the household member participation in agricultural activities.</w:t>
      </w:r>
    </w:p>
    <w:p w14:paraId="2BBD2681" w14:textId="77777777" w:rsidR="001B4ED5" w:rsidRPr="00895D0B" w:rsidRDefault="001B4ED5" w:rsidP="009864E3">
      <w:pPr>
        <w:pStyle w:val="NoSpacing"/>
      </w:pPr>
    </w:p>
    <w:p w14:paraId="127ADE22" w14:textId="44AEC17E"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The monthly income of an urban household determines the household’s participation in urban agricultural production activity as households with income &lt; GHS1000.00</w:t>
      </w:r>
      <w:r w:rsidR="00764966" w:rsidRPr="00895D0B">
        <w:rPr>
          <w:rFonts w:cs="Times New Roman"/>
          <w:color w:val="000000" w:themeColor="text1"/>
          <w:szCs w:val="24"/>
        </w:rPr>
        <w:t xml:space="preserve"> (at the time $1</w:t>
      </w:r>
      <w:r w:rsidR="008A48F9" w:rsidRPr="00895D0B">
        <w:rPr>
          <w:rFonts w:cs="Times New Roman"/>
          <w:color w:val="000000" w:themeColor="text1"/>
          <w:szCs w:val="24"/>
        </w:rPr>
        <w:t>.00</w:t>
      </w:r>
      <w:r w:rsidR="00764966" w:rsidRPr="00895D0B">
        <w:rPr>
          <w:rFonts w:cs="Times New Roman"/>
          <w:color w:val="000000" w:themeColor="text1"/>
          <w:szCs w:val="24"/>
        </w:rPr>
        <w:t xml:space="preserve"> = GHS11.54)</w:t>
      </w:r>
      <w:r w:rsidRPr="00895D0B">
        <w:rPr>
          <w:rFonts w:cs="Times New Roman"/>
          <w:color w:val="000000" w:themeColor="text1"/>
          <w:szCs w:val="24"/>
        </w:rPr>
        <w:t xml:space="preserve"> are more likely to engage in urban agriculture. The result </w:t>
      </w:r>
      <w:r w:rsidR="008919B0" w:rsidRPr="00895D0B">
        <w:rPr>
          <w:rFonts w:cs="Times New Roman"/>
          <w:color w:val="000000" w:themeColor="text1"/>
          <w:szCs w:val="24"/>
        </w:rPr>
        <w:t>reflects</w:t>
      </w:r>
      <w:r w:rsidRPr="00895D0B">
        <w:rPr>
          <w:rFonts w:cs="Times New Roman"/>
          <w:color w:val="000000" w:themeColor="text1"/>
          <w:szCs w:val="24"/>
        </w:rPr>
        <w:t xml:space="preserve"> the fact that farming is capital intensive as farmers need money to buy inputs </w:t>
      </w:r>
      <w:r w:rsidRPr="00895D0B">
        <w:rPr>
          <w:rFonts w:cs="Times New Roman"/>
          <w:color w:val="000000" w:themeColor="text1"/>
          <w:szCs w:val="24"/>
        </w:rPr>
        <w:lastRenderedPageBreak/>
        <w:t xml:space="preserve">and take up climate change adaptation farming measures. Therefore, the findings corroborate the work of </w:t>
      </w:r>
      <w:r w:rsidRPr="00895D0B">
        <w:rPr>
          <w:rFonts w:cs="Times New Roman"/>
          <w:color w:val="000000" w:themeColor="text1"/>
          <w:szCs w:val="24"/>
        </w:rPr>
        <w:fldChar w:fldCharType="begin" w:fldLock="1"/>
      </w:r>
      <w:r w:rsidRPr="00895D0B">
        <w:rPr>
          <w:rFonts w:cs="Times New Roman"/>
          <w:color w:val="000000" w:themeColor="text1"/>
          <w:szCs w:val="24"/>
        </w:rPr>
        <w:instrText xml:space="preserve">ADDIN CSL_CITATION {"citationItems":[{"id":"ITEM-1","itemData":{"author":[{"dropping-particle":"","family":"Rogito","given":"J. M.","non-dropping-particle":"","parse-names":false,"suffix":""},{"dropping-particle":"","family":"Makhanu","given":"E.","non-dropping-particle":"","parse-names":false,"suffix":""},{"dropping-particle":"","family":"Mombinya","given":"B. K.","non-dropping-particle":"","parse-names":false,"suffix":""},{"dropping-particle":"","family":"Nyamota","given":"G.","non-dropping-particle":"","parse-names":false,"suffix":""}],"container-title":"AgEcon Search","id":"ITEM-1","issued":{"date-parts":[["2020"]]},"page":"11","title":"This document is discoverable and free to researchers across the globe due to the work of AgEcon Search . Help ensure our sustainability . </w:instrText>
      </w:r>
      <w:r w:rsidRPr="00895D0B">
        <w:rPr>
          <w:rFonts w:eastAsia="MS Gothic" w:cs="Times New Roman"/>
          <w:color w:val="000000" w:themeColor="text1"/>
          <w:szCs w:val="24"/>
          <w:lang w:val="en-US"/>
        </w:rPr>
        <w:instrText>ａ</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ｃ</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ｔ</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ｏ</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ｒ</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ｓＩ</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ｎ</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ｆ</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ｌ</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ｕ</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ｅ</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ｎ</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ｃ</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ｉ</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ｎ</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ｇＰ</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ｒ</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ｉ</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ｃ</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ｅｏ</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ｆＡ</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ｇ</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ｒ</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ｉ</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ｃ</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ｕ</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ｌ</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ｔ</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ｕ</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ｒ</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ａ</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ｌＰ</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ｒ</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ｏ</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ｄ</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ｕ</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ｃ</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ｔ</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ｓ</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ａ</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ｎ</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ｄＳ</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ｔ</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ａ</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ｂ</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ｉ</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ｌ</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ｉ</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ｔ</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ｙＣ</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ｏ</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ｕ</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ｎ</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ｔ</w:instrText>
      </w:r>
      <w:r w:rsidRPr="00895D0B">
        <w:rPr>
          <w:rFonts w:cs="Times New Roman"/>
          <w:color w:val="000000" w:themeColor="text1"/>
          <w:szCs w:val="24"/>
          <w:lang w:val="en-US"/>
        </w:rPr>
        <w:instrText xml:space="preserve"> </w:instrText>
      </w:r>
      <w:r w:rsidRPr="00895D0B">
        <w:rPr>
          <w:rFonts w:eastAsia="MS Gothic" w:cs="Times New Roman"/>
          <w:color w:val="000000" w:themeColor="text1"/>
          <w:szCs w:val="24"/>
          <w:lang w:val="en-US"/>
        </w:rPr>
        <w:instrText>ｅ</w:instrText>
      </w:r>
      <w:r w:rsidRPr="00895D0B">
        <w:rPr>
          <w:rFonts w:cs="Times New Roman"/>
          <w:color w:val="000000" w:themeColor="text1"/>
          <w:szCs w:val="24"/>
        </w:rPr>
        <w:instrText>","type":"article-journal"},"uris":["http://www.mendeley.com/documents/?uuid=56124007-6098-43c5-ada0-bc0892a2659a"]}],"mendeley":{"formattedCitation":"(Rogito et al., 2020)","manualFormatting":"Rogito et al. (2020)","plainTextFormattedCitation":"(Rogito et al., 2020)","previouslyFormattedCitation":"(Rogito et al.,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Rogito et al. (2020)</w:t>
      </w:r>
      <w:r w:rsidRPr="00895D0B">
        <w:rPr>
          <w:rFonts w:cs="Times New Roman"/>
          <w:color w:val="000000" w:themeColor="text1"/>
          <w:szCs w:val="24"/>
        </w:rPr>
        <w:fldChar w:fldCharType="end"/>
      </w:r>
      <w:r w:rsidRPr="00895D0B">
        <w:rPr>
          <w:rFonts w:cs="Times New Roman"/>
          <w:color w:val="000000" w:themeColor="text1"/>
          <w:szCs w:val="24"/>
        </w:rPr>
        <w:t xml:space="preserve"> that people without the needed financial muscle and access to credit will not engage in agricultural production. In the urban agricultural production system, land is acquired mainly through buying as people with limited financial capability cannot take up urban agriculture though they may be willing to do so. The study also supports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{"citationItems":[{"id":"ITEM-1","itemData":{"DOI":"10.1007/s11119-016-9491-4","ISBN":"1111901694","ISSN":"15731618","abstract":"Precision agriculture provides important issues toward a more sustainable agriculture. Many farmers have the necessary technology to operate site-specifically, but they do not use it in practice, and thus available information and communications technology (ICT) systems are not used to their full potential. This paper addresses how to reduce the so-called “problem of implementation”, based on the knowledge that participatory approaches during the design and development process is one of the most important factors to frame technology adoption. The development of sustainable ICT systems through theories and methodologies from the fields of human computer interaction and user-centered design (UCD) is presented and an ongoing Swedish project for development of an agricultural decision support system (AgriDSS) for nitrogen fertilization is used as an example to frame the issue. The overreaching aim is to develop AgriDSSs that are sustainable in design as well as through design by stressing the importance of participatory approaches for the successful development of AgriDSSs. The Swedish project has the intention to apply a UCD approach, and some pitfalls on starting to use this way of working is identified as well as some suggestions on how to reduce them through co-learning processes. Despite the challenges presented in this paper, ICT can contribute significantly to long-term sustainable development. Thus, several competences and scientific disciplines need to act in concert to help develop a sustainable development of agriculture via a transdisciplinary approach that can make an impact on society at many levels.","author":[{"dropping-particle":"","family":"Lindblom","given":"J.","non-dropping-particle":"","parse-names":false,"suffix":""},{"dropping-particle":"","family":"Lundström","given":"C.","non-dropping-particle":"","parse-names":false,"suffix":""},{"dropping-particle":"","family":"Ljung","given":"M.","non-dropping-particle":"","parse-names":false,"suffix":""},{"dropping-particle":"","family":"Jonsson","given":"A.","non-dropping-particle":"","parse-names":false,"suffix":""}],"container-title":"Precision Agriculture","id":"ITEM-1","issue":"3","issued":{"date-parts":[["2017"]]},"page":"309-331","title":"Promoting sustainable intensification in precision agriculture: review of decision support systems development and strategies","type":"article-journal","volume":"18"},"uris":["http://www.mendeley.com/documents/?uuid=2586cadc-3132-4402-8236-572c95dffd2c"]}],"mendeley":{"formattedCitation":"(Lindblom et al., 2017)","manualFormatting":"Lindblom et al. (2017)","plainTextFormattedCitation":"(Lindblom et al., 2017)","previouslyFormattedCitation":"(Lindblom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Lindblom et al. (2017)</w:t>
      </w:r>
      <w:r w:rsidRPr="00895D0B">
        <w:rPr>
          <w:rFonts w:cs="Times New Roman"/>
          <w:color w:val="000000" w:themeColor="text1"/>
          <w:szCs w:val="24"/>
        </w:rPr>
        <w:fldChar w:fldCharType="end"/>
      </w:r>
      <w:r w:rsidRPr="00895D0B">
        <w:rPr>
          <w:rFonts w:cs="Times New Roman"/>
          <w:color w:val="000000" w:themeColor="text1"/>
          <w:szCs w:val="24"/>
        </w:rPr>
        <w:t xml:space="preserve"> who posited that farmers need funds to undertake sustainable agricultural intensification which is a feature of urban agricultural production under climate stressors. Therefore, urban agricultural and climate change policies should target input price subsidies to enable farmers to afford inputs such as chemicals, fertilizers, and seed varieties and mechanized agriculture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{"citationItems":[{"id":"ITEM-1","itemData":{"abstract":"El presente estudio de caso fue realizado en la empresa de Autotransportes “Ticket Center” en la Cd. de Delicias, Chihuahua, la cual ofrece servicios tales como, la venta de boletos a diferentes destinos de la Unión Americana, asesoría para el trámite de visa láser, traslado al consulado Americano en Cd. Juárez. El objetivo del estudio de caso fue implementar el Programa de Calidad Moderniza, que es avalado por la Secretaría de Turismo, esto con la finalidad de introducir a la compañía a un proceso de formalización y profesionalización necesario para incrementar las posibilidades de permanencia y crecimiento en un mercado cada vez más competitivo. Para lograr lo anterior se realizó un curso de capacitación para personal administrativo y operativo con la finalidad de que conocieran las herramientas que permitieron un mejor desempeño tanto personal como colectivo, además se condujo una Planeación Estratégica que tuvo como resultado la formulación de la misión, valores y política de calidad. Otro resultado trascendente es la elaboración del Manual de Calidad, indispensable para obtener la acreditación conocida como el distintivo “M”, el cual fue entregado por el Secretario de Desarrollo Comercial y Turístico del Gobierno de Estado de Chihuahua.Desde su implementación se tiene un control para el cumplimiento de las metas trazadas de manera objetiva y cuantificable a través de los indicadores más trascendentes para el mejoramiento del desempeño de la empresa como los son: incremento de sus utilidades, la satisfacción de sus clientes y productividad.","author":[{"dropping-particle":"","family":"Duniya","given":"K.","non-dropping-particle":"","parse-names":false,"suffix":""}],"container-title":"Journal of Gender, Agriculture and Food Security","id":"ITEM-1","issue":"3","issued":{"date-parts":[["2018"]]},"page":"1-22","title":"This document is discoverable and free to researchers across the globe due to the work of AgEcon Search . Help ensure our sustainability .","type":"article-journal","volume":"1"},"uris":["http://www.mendeley.com/documents/?uuid=1346f28c-8d65-4a49-a8b3-929bc56439bf"]},{"id":"ITEM-2","itemData":{"DOI":"10.1016/j.jrurstud.2018.03.011","ISSN":"07430167","abstract":"This study presents results from a farmer survey conducted with 560 rice farmers from 27 villages spread over five hubs (concentration areas of rice production and processing) in three different countries in Eastern Africa (Ethiopia, Tanzania and Madagascar). The main research objective was to assess women's access to rice technologies and constraints to adoption of technologies. Constraints were analyzed over five different categories: (1) institutional (2) access to agricultural inputs, (3) technology-contextual, (4) household and socio-cultural and (5) extension. Key providers of extension were public (government), Non-Governmental Organizations (NGOs) and international organizations. Our study identifies that the overarching constraints to technology adoption are institutional and cultural impediments and related to the mode of delivery of extension services. Furthermore, the Focus Group Discussions (FGD) with the women, revealed that empowerment of women in decision making at the household level can enhance women's access and engagement in better farming practices suggested under extension advisory services. This is specifically true where women are able to overcome the hurdles of acquisition of extension training and access to the improved technologies.","author":[{"dropping-particle":"","family":"Achandi","given":"E. L.","non-dropping-particle":"","parse-names":false,"suffix":""},{"dropping-particle":"","family":"Mujawamariya","given":"G.","non-dropping-particle":"","parse-names":false,"suffix":""},{"dropping-particle":"","family":"Agboh-Noameshie","given":"A. R.","non-dropping-particle":"","parse-names":false,"suffix":""},{"dropping-particle":"","family":"Gebremariam","given":"S.","non-dropping-particle":"","parse-names":false,"suffix":""},{"dropping-particle":"","family":"Rahalivavololona","given":"N.","non-dropping-particle":"","parse-names":false,"suffix":""},{"dropping-particle":"","family":"Rodenburg","given":"J.","non-dropping-particle":"","parse-names":false,"suffix":""}],"container-title":"Journal of Rural Studies","id":"ITEM-2","issue":"February 2017","issued":{"date-parts":[["2018"]]},"page":"188-198","title":"Women's access to agricultural technologies in rice production and processing hubs: A comparative analysis of Ethiopia, Madagascar and Tanzania","type":"article-journal","volume":"60"},"uris":["http://www.mendeley.com/documents/?uuid=5718040a-cb26-439a-9610-b291208708f2"]}],"mendeley":{"formattedCitation":"(Achandi et al., 2018; Duniya, 2018)","plainTextFormattedCitation":"(Achandi et al., 2018; Duniya, 2018)","previouslyFormattedCitation":"(Achandi et al., 2018; Duniya, 2018)"},"properties":{"noteIndex":0},"schema":"https://github.com/citation-style-language/schema/raw/master/csl-citation.json"}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(Achandi et al., 2018; Duniya, 2018)</w:t>
      </w:r>
      <w:r w:rsidRPr="00895D0B">
        <w:rPr>
          <w:rFonts w:cs="Times New Roman"/>
          <w:color w:val="000000" w:themeColor="text1"/>
          <w:szCs w:val="24"/>
        </w:rPr>
        <w:fldChar w:fldCharType="end"/>
      </w:r>
      <w:r w:rsidRPr="00895D0B">
        <w:rPr>
          <w:rFonts w:cs="Times New Roman"/>
          <w:color w:val="000000" w:themeColor="text1"/>
          <w:szCs w:val="24"/>
        </w:rPr>
        <w:t xml:space="preserve">. The study finding does support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{"citationItems":[{"id":"ITEM-1","itemData":{"DOI":"10.1093/oep/gpy029","ISSN":"14643812","abstract":"This paper proposes an overlapping generations multi-sector model of the labour market for developing countries with four heterogeneities - heterogeneity within self-employment, heterogeneity in job experience, heterogeneity in pathways to self-employment, and heterogeneity in ability. We revisit an iconic paradox in a class of multi-sector labour market models in which the creation of high-wage employment exacerbates unemployment. Our richer setting allows for generational differences in the motivations for job search to be reflected in two distinct inverted-U-shaped relationships between unemployment and high-wage employment, one for youth and another for adults. In turn, the relationship between overall unemployment and high-wage employment is shown to be non-monotonic and multi-peaked. The model also sheds light on the implications of increasing high-wage employment on self-employed workers. Non-monotonicity in unemployment notwithstanding, increasing high-wage employment leads to an unambiguous increase in high-paying self-employment, and an unambiguous decrease in free-entry (low-wage) self-employment.","author":[{"dropping-particle":"","family":"Basu","given":"Arnab K.","non-dropping-particle":"","parse-names":false,"suffix":""},{"dropping-particle":"","family":"Chau","given":"Nancy H.","non-dropping-particle":"","parse-names":false,"suffix":""},{"dropping-particle":"","family":"Fields","given":"Gary S.","non-dropping-particle":"","parse-names":false,"suffix":""},{"dropping-particle":"","family":"Kanbur","given":"Ravi","non-dropping-particle":"","parse-names":false,"suffix":""}],"container-title":"Oxford Economic Papers","id":"ITEM-1","issue":"1","issued":{"date-parts":[["2019"]]},"page":"119-144","title":"Job creation in a multi-sector labour market model for developing economies","type":"article-journal","volume":"71"},"uris":["http://www.mendeley.com/documents/?uuid=9b178dfe-040b-403f-a6da-3bca7bf41ca8"]}],"mendeley":{"formattedCitation":"(Basu et al., 2019)","manualFormatting":"Basu et al. (2019)","plainTextFormattedCitation":"(Basu et al., 2019)","previouslyFormattedCitation":"(Basu et al., 2019)"},"properties":{"noteIndex":0},"schema":"https://github.com/citation-style-language/schema/raw/master/csl-citation.json"}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Basu et al. (2019)</w:t>
      </w:r>
      <w:r w:rsidRPr="00895D0B">
        <w:rPr>
          <w:rFonts w:cs="Times New Roman"/>
          <w:color w:val="000000" w:themeColor="text1"/>
          <w:szCs w:val="24"/>
        </w:rPr>
        <w:fldChar w:fldCharType="end"/>
      </w:r>
      <w:r w:rsidRPr="00895D0B">
        <w:rPr>
          <w:rFonts w:cs="Times New Roman"/>
          <w:color w:val="000000" w:themeColor="text1"/>
          <w:szCs w:val="24"/>
        </w:rPr>
        <w:t xml:space="preserve"> who had it that people with higher income, the high-class employees will not like to take up agricultural productive activity. </w:t>
      </w:r>
    </w:p>
    <w:p w14:paraId="0EA88BD5" w14:textId="77777777" w:rsidR="001B4ED5" w:rsidRPr="00895D0B" w:rsidRDefault="001B4ED5" w:rsidP="009864E3">
      <w:pPr>
        <w:pStyle w:val="NoSpacing"/>
      </w:pPr>
    </w:p>
    <w:p w14:paraId="730916CF" w14:textId="5E1B2B2C" w:rsidR="001B4ED5" w:rsidRPr="00895D0B" w:rsidRDefault="00F65EAD" w:rsidP="009864E3">
      <w:pPr>
        <w:pStyle w:val="Heading3"/>
      </w:pPr>
      <w:bookmarkStart w:id="158" w:name="_Toc167379945"/>
      <w:r>
        <w:t>6.5.</w:t>
      </w:r>
      <w:r w:rsidR="005D1ECB">
        <w:t>4</w:t>
      </w:r>
      <w:r w:rsidR="006B41C0" w:rsidRPr="00895D0B">
        <w:t xml:space="preserve"> Theoretical reflection</w:t>
      </w:r>
      <w:bookmarkEnd w:id="158"/>
      <w:r w:rsidR="006B41C0" w:rsidRPr="00895D0B">
        <w:t xml:space="preserve"> </w:t>
      </w:r>
    </w:p>
    <w:p w14:paraId="3EBCF863"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Drawing from the components of the social practice theory, an individual or group behaviour towards certain situation is subjected to their societal norms. The study realized that socio-economic factors such as the households’ size, households’ monthly income are influential in urban households’ participation in urban agriculture. </w:t>
      </w:r>
      <w:r w:rsidRPr="00895D0B">
        <w:rPr>
          <w:rFonts w:cs="Times New Roman"/>
          <w:color w:val="000000" w:themeColor="text1"/>
          <w:szCs w:val="24"/>
          <w:shd w:val="clear" w:color="auto" w:fill="FFFFFF"/>
        </w:rPr>
        <w:t xml:space="preserve">The socioeconomic factors and norms play a significant role in animal and crop production for farmers. Livestock farming and crop production can contribute to the income and wealth generation of farmers, increasing overall farm productivity and serving as a source of livelihood. This means that the effects of socioeconomic and environmental factors on livestock sales, self-consumption, and production dynamics play crucial role in urban farmers’ interest in engaging in urban agriculture. However, it is worth noting that some farmers may view animals primarily as a means of production, focusing on their economic value rather than their well-being. Additionally, norms can influence farmers' practices and behaviours regarding animal production. Understanding how norms are produced and how they have influenced change in the past is important for addressing socioeconomic and ethical concerns in livestock farming. </w:t>
      </w:r>
    </w:p>
    <w:p w14:paraId="7291CB19" w14:textId="77777777" w:rsidR="001B4ED5" w:rsidRPr="00895D0B" w:rsidRDefault="001B4ED5" w:rsidP="009864E3">
      <w:pPr>
        <w:pStyle w:val="NoSpacing"/>
      </w:pPr>
    </w:p>
    <w:p w14:paraId="5E2975D1" w14:textId="77777777" w:rsidR="001B4ED5" w:rsidRPr="00895D0B" w:rsidRDefault="006B41C0">
      <w:pPr>
        <w:pStyle w:val="Heading2"/>
      </w:pPr>
      <w:bookmarkStart w:id="159" w:name="_Toc167379946"/>
      <w:r w:rsidRPr="00895D0B">
        <w:t>6.6 Summary of the Chapter</w:t>
      </w:r>
      <w:bookmarkEnd w:id="159"/>
    </w:p>
    <w:p w14:paraId="2A1D249A" w14:textId="7F41E86B" w:rsidR="003A7E31" w:rsidRPr="00895D0B" w:rsidRDefault="006B41C0">
      <w:pPr>
        <w:pStyle w:val="NoSpacing"/>
        <w:spacing w:line="360" w:lineRule="auto"/>
        <w:jc w:val="both"/>
        <w:rPr>
          <w:rFonts w:ascii="Times New Roman" w:hAnsi="Times New Roman" w:cs="Times New Roman"/>
          <w:color w:val="000000" w:themeColor="text1"/>
          <w:sz w:val="24"/>
          <w:szCs w:val="24"/>
          <w:lang w:eastAsia="en-GB"/>
        </w:rPr>
      </w:pPr>
      <w:r w:rsidRPr="00895D0B">
        <w:rPr>
          <w:rFonts w:ascii="Times New Roman" w:hAnsi="Times New Roman" w:cs="Times New Roman"/>
          <w:color w:val="000000" w:themeColor="text1"/>
          <w:sz w:val="24"/>
          <w:szCs w:val="24"/>
          <w:lang w:eastAsia="en-GB"/>
        </w:rPr>
        <w:t>This chapter present</w:t>
      </w:r>
      <w:r w:rsidR="002E4A2F" w:rsidRPr="00895D0B">
        <w:rPr>
          <w:rFonts w:ascii="Times New Roman" w:hAnsi="Times New Roman" w:cs="Times New Roman"/>
          <w:color w:val="000000" w:themeColor="text1"/>
          <w:sz w:val="24"/>
          <w:szCs w:val="24"/>
          <w:lang w:eastAsia="en-GB"/>
        </w:rPr>
        <w:t>ed</w:t>
      </w:r>
      <w:r w:rsidRPr="00895D0B">
        <w:rPr>
          <w:rFonts w:ascii="Times New Roman" w:hAnsi="Times New Roman" w:cs="Times New Roman"/>
          <w:color w:val="000000" w:themeColor="text1"/>
          <w:sz w:val="24"/>
          <w:szCs w:val="24"/>
          <w:lang w:eastAsia="en-GB"/>
        </w:rPr>
        <w:t xml:space="preserve"> the socio-demographic characteristics of urban agricultural households and how they influence a households’ participation in urban agriculture. </w:t>
      </w:r>
      <w:r w:rsidRPr="00895D0B">
        <w:rPr>
          <w:rFonts w:ascii="Times New Roman" w:hAnsi="Times New Roman" w:cs="Times New Roman"/>
          <w:color w:val="000000" w:themeColor="text1"/>
          <w:sz w:val="24"/>
          <w:szCs w:val="24"/>
          <w:lang w:eastAsia="en-GB"/>
        </w:rPr>
        <w:lastRenderedPageBreak/>
        <w:t xml:space="preserve">The </w:t>
      </w:r>
      <w:r w:rsidR="003A7E31" w:rsidRPr="00895D0B">
        <w:rPr>
          <w:rFonts w:ascii="Times New Roman" w:hAnsi="Times New Roman" w:cs="Times New Roman"/>
          <w:color w:val="000000" w:themeColor="text1"/>
          <w:sz w:val="24"/>
          <w:szCs w:val="24"/>
          <w:lang w:eastAsia="en-GB"/>
        </w:rPr>
        <w:t xml:space="preserve">key themes consist of the socio-economic characteristics of the urban households, urban households paartcipation in urban agriculture and the socio-economic determinants of urban households participation in urban agriculture. Discussions with literature were done based on the findings of the study where theoretical implications were drawn. </w:t>
      </w:r>
    </w:p>
    <w:p w14:paraId="01AE280C" w14:textId="24D0433F" w:rsidR="001B4ED5" w:rsidRDefault="001B4ED5">
      <w:pPr>
        <w:pStyle w:val="NoSpacing"/>
        <w:spacing w:line="360" w:lineRule="auto"/>
        <w:jc w:val="both"/>
        <w:rPr>
          <w:rFonts w:ascii="Times New Roman" w:hAnsi="Times New Roman" w:cs="Times New Roman"/>
          <w:color w:val="000000" w:themeColor="text1"/>
          <w:sz w:val="24"/>
          <w:szCs w:val="24"/>
          <w:lang w:eastAsia="en-GB"/>
        </w:rPr>
      </w:pPr>
    </w:p>
    <w:p w14:paraId="64B08301" w14:textId="71F21126" w:rsidR="008C1AA9" w:rsidRDefault="008C1AA9">
      <w:pPr>
        <w:pStyle w:val="NoSpacing"/>
        <w:spacing w:line="360" w:lineRule="auto"/>
        <w:jc w:val="both"/>
        <w:rPr>
          <w:rFonts w:ascii="Times New Roman" w:hAnsi="Times New Roman" w:cs="Times New Roman"/>
          <w:color w:val="000000" w:themeColor="text1"/>
          <w:sz w:val="24"/>
          <w:szCs w:val="24"/>
          <w:lang w:eastAsia="en-GB"/>
        </w:rPr>
      </w:pPr>
    </w:p>
    <w:p w14:paraId="6E88DC02" w14:textId="5B404E8F" w:rsidR="008C1AA9" w:rsidRDefault="008C1AA9">
      <w:pPr>
        <w:pStyle w:val="NoSpacing"/>
        <w:spacing w:line="360" w:lineRule="auto"/>
        <w:jc w:val="both"/>
        <w:rPr>
          <w:rFonts w:ascii="Times New Roman" w:hAnsi="Times New Roman" w:cs="Times New Roman"/>
          <w:color w:val="000000" w:themeColor="text1"/>
          <w:sz w:val="24"/>
          <w:szCs w:val="24"/>
          <w:lang w:eastAsia="en-GB"/>
        </w:rPr>
      </w:pPr>
    </w:p>
    <w:p w14:paraId="4D12AE1F" w14:textId="7BE15C8D" w:rsidR="008C1AA9" w:rsidRDefault="008C1AA9">
      <w:pPr>
        <w:pStyle w:val="NoSpacing"/>
        <w:spacing w:line="360" w:lineRule="auto"/>
        <w:jc w:val="both"/>
        <w:rPr>
          <w:rFonts w:ascii="Times New Roman" w:hAnsi="Times New Roman" w:cs="Times New Roman"/>
          <w:color w:val="000000" w:themeColor="text1"/>
          <w:sz w:val="24"/>
          <w:szCs w:val="24"/>
          <w:lang w:eastAsia="en-GB"/>
        </w:rPr>
      </w:pPr>
    </w:p>
    <w:p w14:paraId="0FA89A2B" w14:textId="77777777" w:rsidR="008C1AA9" w:rsidRPr="00895D0B" w:rsidRDefault="008C1AA9">
      <w:pPr>
        <w:pStyle w:val="NoSpacing"/>
        <w:spacing w:line="360" w:lineRule="auto"/>
        <w:jc w:val="both"/>
        <w:rPr>
          <w:rFonts w:ascii="Times New Roman" w:hAnsi="Times New Roman" w:cs="Times New Roman"/>
          <w:color w:val="000000" w:themeColor="text1"/>
          <w:sz w:val="24"/>
          <w:szCs w:val="24"/>
          <w:lang w:eastAsia="en-GB"/>
        </w:rPr>
      </w:pPr>
    </w:p>
    <w:p w14:paraId="114316C0" w14:textId="77777777" w:rsidR="001B4ED5" w:rsidRPr="00895D0B" w:rsidRDefault="001B4ED5">
      <w:pPr>
        <w:pStyle w:val="NoSpacing"/>
        <w:spacing w:line="360" w:lineRule="auto"/>
        <w:jc w:val="both"/>
        <w:rPr>
          <w:rFonts w:ascii="Times New Roman" w:hAnsi="Times New Roman" w:cs="Times New Roman"/>
          <w:color w:val="000000" w:themeColor="text1"/>
          <w:sz w:val="24"/>
          <w:szCs w:val="24"/>
          <w:lang w:eastAsia="en-GB"/>
        </w:rPr>
      </w:pPr>
    </w:p>
    <w:p w14:paraId="55CC74AE" w14:textId="77777777" w:rsidR="001B4ED5" w:rsidRDefault="001B4ED5">
      <w:pPr>
        <w:pStyle w:val="NoSpacing"/>
        <w:spacing w:line="360" w:lineRule="auto"/>
        <w:jc w:val="both"/>
        <w:rPr>
          <w:rFonts w:ascii="Times New Roman" w:hAnsi="Times New Roman" w:cs="Times New Roman"/>
          <w:color w:val="000000" w:themeColor="text1"/>
          <w:sz w:val="24"/>
          <w:szCs w:val="24"/>
          <w:lang w:eastAsia="en-GB"/>
        </w:rPr>
      </w:pPr>
    </w:p>
    <w:p w14:paraId="0BFE4C20"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4B8121BF"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5FF308B0"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05A52074"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20EC9D4D"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3A3169DD"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4C530F6C"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35162CBF"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00FE4F63"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0179A37D"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33E25A56"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42A41142"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724D32FB" w14:textId="77777777" w:rsidR="009864E3" w:rsidRDefault="009864E3">
      <w:pPr>
        <w:pStyle w:val="NoSpacing"/>
        <w:spacing w:line="360" w:lineRule="auto"/>
        <w:jc w:val="both"/>
        <w:rPr>
          <w:rFonts w:ascii="Times New Roman" w:hAnsi="Times New Roman" w:cs="Times New Roman"/>
          <w:color w:val="000000" w:themeColor="text1"/>
          <w:sz w:val="24"/>
          <w:szCs w:val="24"/>
          <w:lang w:eastAsia="en-GB"/>
        </w:rPr>
      </w:pPr>
    </w:p>
    <w:p w14:paraId="06819EB0" w14:textId="77777777" w:rsidR="009864E3" w:rsidRPr="00895D0B" w:rsidRDefault="009864E3">
      <w:pPr>
        <w:pStyle w:val="NoSpacing"/>
        <w:spacing w:line="360" w:lineRule="auto"/>
        <w:jc w:val="both"/>
        <w:rPr>
          <w:rFonts w:ascii="Times New Roman" w:hAnsi="Times New Roman" w:cs="Times New Roman"/>
          <w:color w:val="000000" w:themeColor="text1"/>
          <w:sz w:val="24"/>
          <w:szCs w:val="24"/>
          <w:lang w:eastAsia="en-GB"/>
        </w:rPr>
      </w:pPr>
    </w:p>
    <w:p w14:paraId="1FA51925" w14:textId="77777777" w:rsidR="001B4ED5" w:rsidRPr="00895D0B" w:rsidRDefault="001B4ED5">
      <w:pPr>
        <w:pStyle w:val="NoSpacing"/>
        <w:spacing w:line="360" w:lineRule="auto"/>
        <w:jc w:val="both"/>
        <w:rPr>
          <w:rFonts w:ascii="Times New Roman" w:hAnsi="Times New Roman" w:cs="Times New Roman"/>
          <w:color w:val="000000" w:themeColor="text1"/>
          <w:sz w:val="24"/>
          <w:szCs w:val="24"/>
          <w:lang w:eastAsia="en-GB"/>
        </w:rPr>
      </w:pPr>
    </w:p>
    <w:p w14:paraId="4C3FDD32" w14:textId="4D8979AE" w:rsidR="0014098D" w:rsidRPr="00895D0B" w:rsidRDefault="0014098D">
      <w:pPr>
        <w:pStyle w:val="NoSpacing"/>
        <w:spacing w:line="360" w:lineRule="auto"/>
        <w:jc w:val="both"/>
        <w:rPr>
          <w:rFonts w:ascii="Times New Roman" w:hAnsi="Times New Roman" w:cs="Times New Roman"/>
          <w:color w:val="000000" w:themeColor="text1"/>
          <w:sz w:val="24"/>
          <w:szCs w:val="24"/>
          <w:lang w:eastAsia="en-GB"/>
        </w:rPr>
      </w:pPr>
    </w:p>
    <w:p w14:paraId="3EA8DEAD" w14:textId="3E3F70E0" w:rsidR="0014098D" w:rsidRPr="00895D0B" w:rsidRDefault="0014098D">
      <w:pPr>
        <w:pStyle w:val="NoSpacing"/>
        <w:spacing w:line="360" w:lineRule="auto"/>
        <w:jc w:val="both"/>
        <w:rPr>
          <w:rFonts w:ascii="Times New Roman" w:hAnsi="Times New Roman" w:cs="Times New Roman"/>
          <w:color w:val="000000" w:themeColor="text1"/>
          <w:sz w:val="24"/>
          <w:szCs w:val="24"/>
          <w:lang w:eastAsia="en-GB"/>
        </w:rPr>
      </w:pPr>
    </w:p>
    <w:p w14:paraId="33217FA6" w14:textId="77777777" w:rsidR="001B4ED5" w:rsidRPr="00895D0B" w:rsidRDefault="006B41C0" w:rsidP="009745EC">
      <w:pPr>
        <w:pStyle w:val="Heading1"/>
      </w:pPr>
      <w:bookmarkStart w:id="160" w:name="_Toc167379947"/>
      <w:r w:rsidRPr="00895D0B">
        <w:lastRenderedPageBreak/>
        <w:t>CHAPTER SEVEN</w:t>
      </w:r>
      <w:bookmarkEnd w:id="160"/>
      <w:r w:rsidRPr="00895D0B">
        <w:t xml:space="preserve"> </w:t>
      </w:r>
    </w:p>
    <w:p w14:paraId="334FFC28" w14:textId="71596A4A" w:rsidR="001B4ED5" w:rsidRPr="00895D0B" w:rsidRDefault="006B41C0" w:rsidP="009745EC">
      <w:pPr>
        <w:pStyle w:val="Heading1"/>
      </w:pPr>
      <w:bookmarkStart w:id="161" w:name="_Toc167379948"/>
      <w:r w:rsidRPr="00895D0B">
        <w:t>URBAN FARMERS' CLIMATE CHANGE ADAPTATION STRATEGIES</w:t>
      </w:r>
      <w:bookmarkEnd w:id="161"/>
      <w:r w:rsidRPr="00895D0B">
        <w:t xml:space="preserve"> </w:t>
      </w:r>
    </w:p>
    <w:p w14:paraId="1E895982" w14:textId="77777777" w:rsidR="001B4ED5" w:rsidRPr="00895D0B" w:rsidRDefault="006B41C0" w:rsidP="009864E3">
      <w:pPr>
        <w:pStyle w:val="Heading2"/>
      </w:pPr>
      <w:bookmarkStart w:id="162" w:name="_Toc167379949"/>
      <w:r w:rsidRPr="00895D0B">
        <w:t>7.1 Introduction</w:t>
      </w:r>
      <w:bookmarkEnd w:id="162"/>
      <w:r w:rsidRPr="00895D0B">
        <w:t xml:space="preserve"> </w:t>
      </w:r>
    </w:p>
    <w:p w14:paraId="6AD173DA" w14:textId="77777777" w:rsidR="003F6FE8" w:rsidRPr="00895D0B" w:rsidRDefault="003F6FE8" w:rsidP="003F6FE8">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This chapter presents results and discussions on Objective four of the study. The objective seeks to understand urban farmers' climate change adaptation strategies. The results and discussions are centred on urban farmers' climate change knowledge and the sources from which they get information on adaptation. It also looks at urban farmers' adaptation strategies for crops and animals.</w:t>
      </w:r>
    </w:p>
    <w:p w14:paraId="40030029" w14:textId="77777777" w:rsidR="001B4ED5" w:rsidRPr="00895D0B" w:rsidRDefault="001B4ED5" w:rsidP="00166F50">
      <w:pPr>
        <w:pStyle w:val="NoSpacing"/>
      </w:pPr>
    </w:p>
    <w:p w14:paraId="4E29F49E" w14:textId="302F438B" w:rsidR="001B4ED5" w:rsidRPr="00895D0B" w:rsidRDefault="006B41C0" w:rsidP="009864E3">
      <w:pPr>
        <w:pStyle w:val="Heading2"/>
      </w:pPr>
      <w:bookmarkStart w:id="163" w:name="_Toc167379950"/>
      <w:r w:rsidRPr="00895D0B">
        <w:t>7.</w:t>
      </w:r>
      <w:r w:rsidR="004B2BFC" w:rsidRPr="00895D0B">
        <w:t>2</w:t>
      </w:r>
      <w:r w:rsidRPr="00895D0B">
        <w:t xml:space="preserve"> Urban Crop Production and Climate Adaptation Strategies</w:t>
      </w:r>
      <w:bookmarkEnd w:id="163"/>
      <w:r w:rsidRPr="00895D0B">
        <w:t xml:space="preserve"> </w:t>
      </w:r>
    </w:p>
    <w:p w14:paraId="4A99979E" w14:textId="5EDCFBEB" w:rsidR="008C1AA9" w:rsidRDefault="000313A4" w:rsidP="000313A4">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The study underscored urban farmers' climate change adaptation strategies employed in crop production. These measures are categorized into soil moisture conservation strategies and soil fertility management measures. About 91.6% of urban farmers indicated that they employ ridging to conserve soil moisture. </w:t>
      </w:r>
    </w:p>
    <w:p w14:paraId="5EB95138" w14:textId="77777777" w:rsidR="008C1AA9" w:rsidRPr="00895D0B" w:rsidRDefault="008C1AA9" w:rsidP="000313A4">
      <w:pPr>
        <w:spacing w:line="360" w:lineRule="auto"/>
        <w:rPr>
          <w:rFonts w:eastAsia="Times New Roman" w:cs="Times New Roman"/>
          <w:color w:val="000000" w:themeColor="text1"/>
          <w:szCs w:val="24"/>
          <w:lang w:eastAsia="en-GB"/>
        </w:rPr>
      </w:pPr>
    </w:p>
    <w:p w14:paraId="4900833E"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noProof/>
          <w:color w:val="000000" w:themeColor="text1"/>
          <w:szCs w:val="24"/>
          <w:lang w:eastAsia="en-GB"/>
        </w:rPr>
        <w:drawing>
          <wp:inline distT="0" distB="0" distL="0" distR="0" wp14:anchorId="52FCB54C" wp14:editId="07EDDD50">
            <wp:extent cx="5410200" cy="2962275"/>
            <wp:effectExtent l="19050" t="19050" r="19050" b="9525"/>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3B7C9E6" w14:textId="1F7249F3" w:rsidR="001B4ED5" w:rsidRPr="00895D0B" w:rsidRDefault="006B41C0" w:rsidP="009864E3">
      <w:pPr>
        <w:pStyle w:val="Heading5"/>
      </w:pPr>
      <w:bookmarkStart w:id="164" w:name="_Toc148890837"/>
      <w:bookmarkStart w:id="165" w:name="_Toc167368267"/>
      <w:r w:rsidRPr="00895D0B">
        <w:t>Figure 7.</w:t>
      </w:r>
      <w:r w:rsidR="00895D0B" w:rsidRPr="00895D0B">
        <w:fldChar w:fldCharType="begin"/>
      </w:r>
      <w:r w:rsidR="00895D0B" w:rsidRPr="00895D0B">
        <w:instrText xml:space="preserve"> SEQ Figure_7. \* ARABIC </w:instrText>
      </w:r>
      <w:r w:rsidR="00895D0B" w:rsidRPr="00895D0B">
        <w:fldChar w:fldCharType="separate"/>
      </w:r>
      <w:r w:rsidR="0026489B">
        <w:rPr>
          <w:noProof/>
        </w:rPr>
        <w:t>1</w:t>
      </w:r>
      <w:r w:rsidR="00895D0B" w:rsidRPr="00895D0B">
        <w:fldChar w:fldCharType="end"/>
      </w:r>
      <w:r w:rsidRPr="00895D0B">
        <w:t>: Urban Farmers Soil Moisture Conservation Strategies</w:t>
      </w:r>
      <w:bookmarkEnd w:id="164"/>
      <w:bookmarkEnd w:id="165"/>
    </w:p>
    <w:p w14:paraId="2CC9575F" w14:textId="77777777"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Observation, 2022</w:t>
      </w:r>
    </w:p>
    <w:p w14:paraId="474F32F4" w14:textId="77777777" w:rsidR="009864E3" w:rsidRPr="00895D0B" w:rsidRDefault="009864E3">
      <w:pPr>
        <w:spacing w:line="360" w:lineRule="auto"/>
        <w:rPr>
          <w:rFonts w:cs="Times New Roman"/>
          <w:color w:val="000000" w:themeColor="text1"/>
          <w:szCs w:val="24"/>
        </w:rPr>
      </w:pPr>
    </w:p>
    <w:p w14:paraId="3EFB55A2" w14:textId="5EC3F2EA" w:rsidR="00B34D8B" w:rsidRPr="00895D0B" w:rsidRDefault="00C9416B" w:rsidP="00B34D8B">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This is followed by the application of mulching, which represents about 77.6% of the responses. Aside from the ridging and mulching, cover cropping appears to be one of </w:t>
      </w:r>
      <w:r w:rsidRPr="00895D0B">
        <w:rPr>
          <w:rFonts w:eastAsia="Times New Roman" w:cs="Times New Roman"/>
          <w:color w:val="000000" w:themeColor="text1"/>
          <w:szCs w:val="24"/>
          <w:lang w:eastAsia="en-GB"/>
        </w:rPr>
        <w:lastRenderedPageBreak/>
        <w:t>the strategies that about 40.5% of urban farmers employ. Cover cropping is also done, but only 16.2% of the farmers employ this strategy (</w:t>
      </w:r>
      <w:r w:rsidRPr="00895D0B">
        <w:rPr>
          <w:rFonts w:eastAsia="Times New Roman" w:cs="Times New Roman"/>
          <w:i/>
          <w:iCs/>
          <w:color w:val="000000" w:themeColor="text1"/>
          <w:szCs w:val="24"/>
          <w:lang w:eastAsia="en-GB"/>
        </w:rPr>
        <w:t>see Figure 7.1</w:t>
      </w:r>
      <w:r w:rsidRPr="00895D0B">
        <w:rPr>
          <w:rFonts w:eastAsia="Times New Roman" w:cs="Times New Roman"/>
          <w:color w:val="000000" w:themeColor="text1"/>
          <w:szCs w:val="24"/>
          <w:lang w:eastAsia="en-GB"/>
        </w:rPr>
        <w:t xml:space="preserve">). </w:t>
      </w:r>
      <w:r w:rsidR="00B34D8B" w:rsidRPr="00895D0B">
        <w:rPr>
          <w:rFonts w:eastAsia="Times New Roman" w:cs="Times New Roman"/>
          <w:color w:val="000000" w:themeColor="text1"/>
          <w:szCs w:val="24"/>
          <w:lang w:eastAsia="en-GB"/>
        </w:rPr>
        <w:t>It was also observed that farmers employ ridging as a soil moisture conservation strategy on urban farms during the land preparation stage. These ridges are done with bounds around the boundaries, which prevent run-off water from entering the field (</w:t>
      </w:r>
      <w:r w:rsidR="00B34D8B" w:rsidRPr="00895D0B">
        <w:rPr>
          <w:rFonts w:eastAsia="Times New Roman" w:cs="Times New Roman"/>
          <w:i/>
          <w:iCs/>
          <w:color w:val="000000" w:themeColor="text1"/>
          <w:szCs w:val="24"/>
          <w:lang w:eastAsia="en-GB"/>
        </w:rPr>
        <w:t>see Figure 7.2</w:t>
      </w:r>
      <w:r w:rsidR="00B34D8B" w:rsidRPr="00895D0B">
        <w:rPr>
          <w:rFonts w:eastAsia="Times New Roman" w:cs="Times New Roman"/>
          <w:color w:val="000000" w:themeColor="text1"/>
          <w:szCs w:val="24"/>
          <w:lang w:eastAsia="en-GB"/>
        </w:rPr>
        <w:t>).</w:t>
      </w:r>
    </w:p>
    <w:p w14:paraId="1E4AD78C" w14:textId="77777777" w:rsidR="00C9416B" w:rsidRPr="00895D0B" w:rsidRDefault="00C9416B" w:rsidP="00B34D8B">
      <w:pPr>
        <w:spacing w:line="360" w:lineRule="auto"/>
        <w:rPr>
          <w:rFonts w:eastAsia="Times New Roman" w:cs="Times New Roman"/>
          <w:color w:val="000000" w:themeColor="text1"/>
          <w:szCs w:val="24"/>
          <w:lang w:eastAsia="en-GB"/>
        </w:rPr>
      </w:pPr>
    </w:p>
    <w:p w14:paraId="40354A31" w14:textId="10013E06" w:rsidR="001B4ED5" w:rsidRPr="00895D0B" w:rsidRDefault="001524F5" w:rsidP="00B34D8B">
      <w:pPr>
        <w:spacing w:line="360" w:lineRule="auto"/>
        <w:rPr>
          <w:rFonts w:cs="Times New Roman"/>
          <w:color w:val="000000" w:themeColor="text1"/>
          <w:szCs w:val="24"/>
        </w:rPr>
      </w:pPr>
      <w:r w:rsidRPr="00895D0B">
        <w:rPr>
          <w:rFonts w:cs="Times New Roman"/>
          <w:noProof/>
          <w:color w:val="000000" w:themeColor="text1"/>
          <w:szCs w:val="24"/>
          <w:lang w:eastAsia="en-GB"/>
        </w:rPr>
        <w:drawing>
          <wp:inline distT="0" distB="0" distL="0" distR="0" wp14:anchorId="1F272988" wp14:editId="54528907">
            <wp:extent cx="5562600" cy="40957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G-20240430-WA0048 (2).jpg"/>
                    <pic:cNvPicPr/>
                  </pic:nvPicPr>
                  <pic:blipFill>
                    <a:blip r:embed="rId22">
                      <a:extLst>
                        <a:ext uri="{28A0092B-C50C-407E-A947-70E740481C1C}">
                          <a14:useLocalDpi xmlns:a14="http://schemas.microsoft.com/office/drawing/2010/main" val="0"/>
                        </a:ext>
                      </a:extLst>
                    </a:blip>
                    <a:stretch>
                      <a:fillRect/>
                    </a:stretch>
                  </pic:blipFill>
                  <pic:spPr>
                    <a:xfrm>
                      <a:off x="0" y="0"/>
                      <a:ext cx="5562600" cy="4095750"/>
                    </a:xfrm>
                    <a:prstGeom prst="rect">
                      <a:avLst/>
                    </a:prstGeom>
                  </pic:spPr>
                </pic:pic>
              </a:graphicData>
            </a:graphic>
          </wp:inline>
        </w:drawing>
      </w:r>
    </w:p>
    <w:p w14:paraId="5C0A6F6B" w14:textId="413DBFA3" w:rsidR="00773103" w:rsidRPr="00895D0B" w:rsidRDefault="00773103" w:rsidP="009864E3">
      <w:pPr>
        <w:pStyle w:val="Heading5"/>
      </w:pPr>
      <w:bookmarkStart w:id="166" w:name="_Toc167368268"/>
      <w:r w:rsidRPr="00895D0B">
        <w:t>Figure 7.</w:t>
      </w:r>
      <w:r w:rsidR="00895D0B" w:rsidRPr="00895D0B">
        <w:fldChar w:fldCharType="begin"/>
      </w:r>
      <w:r w:rsidR="00895D0B" w:rsidRPr="00895D0B">
        <w:instrText xml:space="preserve"> SEQ Figure_7. \* ARABIC </w:instrText>
      </w:r>
      <w:r w:rsidR="00895D0B" w:rsidRPr="00895D0B">
        <w:fldChar w:fldCharType="separate"/>
      </w:r>
      <w:r w:rsidR="0026489B">
        <w:rPr>
          <w:noProof/>
        </w:rPr>
        <w:t>2</w:t>
      </w:r>
      <w:r w:rsidR="00895D0B" w:rsidRPr="00895D0B">
        <w:fldChar w:fldCharType="end"/>
      </w:r>
      <w:r w:rsidRPr="00895D0B">
        <w:t xml:space="preserve"> Ridges as a Land Man</w:t>
      </w:r>
      <w:r w:rsidR="008B79EE" w:rsidRPr="00895D0B">
        <w:t>a</w:t>
      </w:r>
      <w:r w:rsidRPr="00895D0B">
        <w:t>gement practice on an Urban Farm</w:t>
      </w:r>
      <w:r w:rsidR="008B79EE" w:rsidRPr="00895D0B">
        <w:t xml:space="preserve"> Konta Residential Area</w:t>
      </w:r>
      <w:bookmarkEnd w:id="166"/>
      <w:r w:rsidR="008B79EE" w:rsidRPr="00895D0B">
        <w:t xml:space="preserve"> </w:t>
      </w:r>
    </w:p>
    <w:p w14:paraId="4B61C73C" w14:textId="7B99EBF6" w:rsidR="00773103" w:rsidRPr="00895D0B" w:rsidRDefault="00773103" w:rsidP="00B34D8B">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observation, 2022</w:t>
      </w:r>
    </w:p>
    <w:p w14:paraId="60B59E97" w14:textId="77777777" w:rsidR="00B34D8B" w:rsidRPr="00895D0B" w:rsidRDefault="00B34D8B" w:rsidP="00B34D8B">
      <w:pPr>
        <w:spacing w:before="100" w:beforeAutospacing="1" w:after="100" w:afterAutospacing="1"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In terms of soil fertility management, the quantitative results showed that there are multiple strategies urban farmers employ. These are the uses of crop residues, manure, and compost. About 85.4% of the respondents indicated that they use crop residues, about 83.1% use manure, and 77.6% use compost (</w:t>
      </w:r>
      <w:r w:rsidRPr="00895D0B">
        <w:rPr>
          <w:rFonts w:eastAsia="Times New Roman" w:cs="Times New Roman"/>
          <w:i/>
          <w:iCs/>
          <w:color w:val="000000" w:themeColor="text1"/>
          <w:szCs w:val="24"/>
          <w:lang w:eastAsia="en-GB"/>
        </w:rPr>
        <w:t>see Figure 7.2</w:t>
      </w:r>
      <w:r w:rsidRPr="00895D0B">
        <w:rPr>
          <w:rFonts w:eastAsia="Times New Roman" w:cs="Times New Roman"/>
          <w:color w:val="000000" w:themeColor="text1"/>
          <w:szCs w:val="24"/>
          <w:lang w:eastAsia="en-GB"/>
        </w:rPr>
        <w:t>).</w:t>
      </w:r>
    </w:p>
    <w:p w14:paraId="6C462E5F" w14:textId="51815578" w:rsidR="001B4ED5" w:rsidRPr="00895D0B" w:rsidRDefault="00B34D8B" w:rsidP="00C9416B">
      <w:pPr>
        <w:spacing w:before="100" w:beforeAutospacing="1" w:after="100" w:afterAutospacing="1" w:line="360" w:lineRule="auto"/>
        <w:rPr>
          <w:rFonts w:cs="Times New Roman"/>
          <w:color w:val="000000" w:themeColor="text1"/>
          <w:szCs w:val="24"/>
        </w:rPr>
      </w:pPr>
      <w:r w:rsidRPr="00895D0B">
        <w:rPr>
          <w:rFonts w:eastAsia="Times New Roman" w:cs="Times New Roman"/>
          <w:color w:val="000000" w:themeColor="text1"/>
          <w:szCs w:val="24"/>
          <w:lang w:eastAsia="en-GB"/>
        </w:rPr>
        <w:lastRenderedPageBreak/>
        <w:t> </w:t>
      </w:r>
      <w:r w:rsidR="006B41C0" w:rsidRPr="00895D0B">
        <w:rPr>
          <w:rFonts w:cs="Times New Roman"/>
          <w:noProof/>
          <w:color w:val="000000" w:themeColor="text1"/>
          <w:szCs w:val="24"/>
          <w:lang w:eastAsia="en-GB"/>
        </w:rPr>
        <w:drawing>
          <wp:inline distT="0" distB="0" distL="0" distR="0" wp14:anchorId="0041650D" wp14:editId="3EA7AADC">
            <wp:extent cx="5095875" cy="3190875"/>
            <wp:effectExtent l="19050" t="19050" r="9525" b="9525"/>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B6DF5B6" w14:textId="4A88E4D2" w:rsidR="001B4ED5" w:rsidRPr="00895D0B" w:rsidRDefault="006B41C0" w:rsidP="009864E3">
      <w:pPr>
        <w:pStyle w:val="Heading5"/>
      </w:pPr>
      <w:bookmarkStart w:id="167" w:name="_Toc148890839"/>
      <w:bookmarkStart w:id="168" w:name="_Toc167368269"/>
      <w:r w:rsidRPr="00895D0B">
        <w:t>Figure 7.</w:t>
      </w:r>
      <w:r w:rsidR="00895D0B" w:rsidRPr="00895D0B">
        <w:fldChar w:fldCharType="begin"/>
      </w:r>
      <w:r w:rsidR="00895D0B" w:rsidRPr="00895D0B">
        <w:instrText xml:space="preserve"> SEQ Figure_7. \* ARABIC </w:instrText>
      </w:r>
      <w:r w:rsidR="00895D0B" w:rsidRPr="00895D0B">
        <w:fldChar w:fldCharType="separate"/>
      </w:r>
      <w:r w:rsidR="0026489B">
        <w:rPr>
          <w:noProof/>
        </w:rPr>
        <w:t>3</w:t>
      </w:r>
      <w:r w:rsidR="00895D0B" w:rsidRPr="00895D0B">
        <w:fldChar w:fldCharType="end"/>
      </w:r>
      <w:r w:rsidRPr="00895D0B">
        <w:t>: Urban Farmers Soil Fertility Management Strategies</w:t>
      </w:r>
      <w:bookmarkEnd w:id="167"/>
      <w:bookmarkEnd w:id="168"/>
    </w:p>
    <w:p w14:paraId="2478230E" w14:textId="77777777"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0F75C673" w14:textId="77777777" w:rsidR="009864E3" w:rsidRPr="00895D0B" w:rsidRDefault="009864E3">
      <w:pPr>
        <w:spacing w:line="360" w:lineRule="auto"/>
        <w:rPr>
          <w:rFonts w:cs="Times New Roman"/>
          <w:color w:val="000000" w:themeColor="text1"/>
          <w:szCs w:val="24"/>
        </w:rPr>
      </w:pPr>
    </w:p>
    <w:p w14:paraId="339F69B5" w14:textId="4FE41BCC" w:rsidR="00A04CFC" w:rsidRPr="00895D0B" w:rsidRDefault="00A04CFC" w:rsidP="00A04CFC">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From the field observation, it was confirmed that urban farmers do not use more chemical fertilizers to improve soil fertility on their farms in the era of climate change. However, crop residues and manure from animal droppings are used on their farms (</w:t>
      </w:r>
      <w:r w:rsidRPr="00895D0B">
        <w:rPr>
          <w:rFonts w:eastAsia="Times New Roman" w:cs="Times New Roman"/>
          <w:i/>
          <w:iCs/>
          <w:color w:val="000000" w:themeColor="text1"/>
          <w:szCs w:val="24"/>
          <w:lang w:eastAsia="en-GB"/>
        </w:rPr>
        <w:t>see Figure 7.4</w:t>
      </w:r>
      <w:r w:rsidRPr="00895D0B">
        <w:rPr>
          <w:rFonts w:eastAsia="Times New Roman" w:cs="Times New Roman"/>
          <w:color w:val="000000" w:themeColor="text1"/>
          <w:szCs w:val="24"/>
          <w:lang w:eastAsia="en-GB"/>
        </w:rPr>
        <w:t>).</w:t>
      </w:r>
    </w:p>
    <w:p w14:paraId="7D0B2E5B" w14:textId="77777777" w:rsidR="00A04CFC" w:rsidRPr="00895D0B" w:rsidRDefault="00A04CFC" w:rsidP="00A04CFC">
      <w:pPr>
        <w:spacing w:line="360" w:lineRule="auto"/>
        <w:rPr>
          <w:rFonts w:eastAsia="Times New Roman" w:cs="Times New Roman"/>
          <w:color w:val="000000" w:themeColor="text1"/>
          <w:szCs w:val="24"/>
          <w:lang w:eastAsia="en-GB"/>
        </w:rPr>
      </w:pPr>
    </w:p>
    <w:tbl>
      <w:tblPr>
        <w:tblW w:w="0" w:type="auto"/>
        <w:tblLook w:val="04A0" w:firstRow="1" w:lastRow="0" w:firstColumn="1" w:lastColumn="0" w:noHBand="0" w:noVBand="1"/>
      </w:tblPr>
      <w:tblGrid>
        <w:gridCol w:w="4131"/>
        <w:gridCol w:w="4175"/>
      </w:tblGrid>
      <w:tr w:rsidR="00895D0B" w:rsidRPr="00895D0B" w14:paraId="27E3547F" w14:textId="77777777">
        <w:trPr>
          <w:trHeight w:val="3875"/>
        </w:trPr>
        <w:tc>
          <w:tcPr>
            <w:tcW w:w="4554" w:type="dxa"/>
          </w:tcPr>
          <w:p w14:paraId="17F9E32E" w14:textId="77777777" w:rsidR="001B4ED5" w:rsidRPr="00895D0B" w:rsidRDefault="006B41C0">
            <w:pPr>
              <w:autoSpaceDE w:val="0"/>
              <w:autoSpaceDN w:val="0"/>
              <w:adjustRightInd w:val="0"/>
              <w:spacing w:line="360" w:lineRule="auto"/>
              <w:rPr>
                <w:rFonts w:cs="Times New Roman"/>
                <w:color w:val="000000" w:themeColor="text1"/>
                <w:szCs w:val="24"/>
              </w:rPr>
            </w:pPr>
            <w:r w:rsidRPr="00895D0B">
              <w:rPr>
                <w:rFonts w:cs="Times New Roman"/>
                <w:noProof/>
                <w:color w:val="000000" w:themeColor="text1"/>
                <w:szCs w:val="24"/>
                <w:lang w:eastAsia="en-GB"/>
              </w:rPr>
              <w:drawing>
                <wp:inline distT="0" distB="0" distL="0" distR="0" wp14:anchorId="72728B82" wp14:editId="2F5EEC7E">
                  <wp:extent cx="5619750" cy="21336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630923" cy="2137842"/>
                          </a:xfrm>
                          <a:prstGeom prst="rect">
                            <a:avLst/>
                          </a:prstGeom>
                        </pic:spPr>
                      </pic:pic>
                    </a:graphicData>
                  </a:graphic>
                </wp:inline>
              </w:drawing>
            </w:r>
          </w:p>
          <w:p w14:paraId="688D0E10" w14:textId="77777777" w:rsidR="001B4ED5" w:rsidRPr="00895D0B" w:rsidRDefault="006B41C0">
            <w:pPr>
              <w:autoSpaceDE w:val="0"/>
              <w:autoSpaceDN w:val="0"/>
              <w:adjustRightInd w:val="0"/>
              <w:spacing w:line="360" w:lineRule="auto"/>
              <w:rPr>
                <w:rFonts w:cs="Times New Roman"/>
                <w:b/>
                <w:color w:val="000000" w:themeColor="text1"/>
                <w:szCs w:val="24"/>
              </w:rPr>
            </w:pPr>
            <w:r w:rsidRPr="00895D0B">
              <w:rPr>
                <w:rFonts w:cs="Times New Roman"/>
                <w:b/>
                <w:color w:val="000000" w:themeColor="text1"/>
                <w:szCs w:val="24"/>
              </w:rPr>
              <w:t>Crop Residues</w:t>
            </w:r>
          </w:p>
        </w:tc>
        <w:tc>
          <w:tcPr>
            <w:tcW w:w="4472" w:type="dxa"/>
          </w:tcPr>
          <w:p w14:paraId="0661580E" w14:textId="77777777" w:rsidR="001B4ED5" w:rsidRPr="00895D0B" w:rsidRDefault="006B41C0">
            <w:pPr>
              <w:autoSpaceDE w:val="0"/>
              <w:autoSpaceDN w:val="0"/>
              <w:adjustRightInd w:val="0"/>
              <w:spacing w:line="360" w:lineRule="auto"/>
              <w:rPr>
                <w:rFonts w:cs="Times New Roman"/>
                <w:b/>
                <w:color w:val="000000" w:themeColor="text1"/>
                <w:szCs w:val="24"/>
              </w:rPr>
            </w:pPr>
            <w:r w:rsidRPr="00895D0B">
              <w:rPr>
                <w:rFonts w:cs="Times New Roman"/>
                <w:noProof/>
                <w:color w:val="000000" w:themeColor="text1"/>
                <w:szCs w:val="24"/>
                <w:lang w:eastAsia="en-GB"/>
              </w:rPr>
              <w:drawing>
                <wp:inline distT="0" distB="0" distL="0" distR="0" wp14:anchorId="67A377C3" wp14:editId="05365374">
                  <wp:extent cx="5682615" cy="21336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5684517" cy="2134314"/>
                          </a:xfrm>
                          <a:prstGeom prst="rect">
                            <a:avLst/>
                          </a:prstGeom>
                        </pic:spPr>
                      </pic:pic>
                    </a:graphicData>
                  </a:graphic>
                </wp:inline>
              </w:drawing>
            </w:r>
          </w:p>
          <w:p w14:paraId="5F7BB533" w14:textId="77777777" w:rsidR="001B4ED5" w:rsidRPr="00895D0B" w:rsidRDefault="006B41C0">
            <w:pPr>
              <w:pStyle w:val="Caption"/>
              <w:spacing w:after="0" w:line="360" w:lineRule="auto"/>
            </w:pPr>
            <w:r w:rsidRPr="00895D0B">
              <w:t xml:space="preserve">Animal Manure </w:t>
            </w:r>
          </w:p>
        </w:tc>
      </w:tr>
    </w:tbl>
    <w:p w14:paraId="572D6659" w14:textId="75A1E604" w:rsidR="001B4ED5" w:rsidRPr="00895D0B" w:rsidRDefault="006B41C0" w:rsidP="009864E3">
      <w:pPr>
        <w:pStyle w:val="Heading5"/>
      </w:pPr>
      <w:bookmarkStart w:id="169" w:name="_Toc148890840"/>
      <w:bookmarkStart w:id="170" w:name="_Toc167368270"/>
      <w:r w:rsidRPr="00895D0B">
        <w:t>Figure 7.</w:t>
      </w:r>
      <w:r w:rsidR="00895D0B" w:rsidRPr="00895D0B">
        <w:fldChar w:fldCharType="begin"/>
      </w:r>
      <w:r w:rsidR="00895D0B" w:rsidRPr="00895D0B">
        <w:instrText xml:space="preserve"> SEQ Figure_7. \* ARABIC </w:instrText>
      </w:r>
      <w:r w:rsidR="00895D0B" w:rsidRPr="00895D0B">
        <w:fldChar w:fldCharType="separate"/>
      </w:r>
      <w:r w:rsidR="0026489B">
        <w:rPr>
          <w:noProof/>
        </w:rPr>
        <w:t>4</w:t>
      </w:r>
      <w:r w:rsidR="00895D0B" w:rsidRPr="00895D0B">
        <w:fldChar w:fldCharType="end"/>
      </w:r>
      <w:r w:rsidRPr="00895D0B">
        <w:t xml:space="preserve"> : Crop Residues and Animals Manure use on Urban Farm.</w:t>
      </w:r>
      <w:bookmarkEnd w:id="169"/>
      <w:bookmarkEnd w:id="170"/>
      <w:r w:rsidRPr="00895D0B">
        <w:t xml:space="preserve"> </w:t>
      </w:r>
    </w:p>
    <w:p w14:paraId="03BC58D9" w14:textId="77777777" w:rsidR="001B4ED5" w:rsidRPr="00895D0B" w:rsidRDefault="006B41C0">
      <w:pPr>
        <w:rPr>
          <w:rFonts w:cs="Times New Roman"/>
          <w:color w:val="000000" w:themeColor="text1"/>
          <w:szCs w:val="24"/>
          <w:lang w:val="en-US"/>
        </w:rPr>
      </w:pPr>
      <w:r w:rsidRPr="00895D0B">
        <w:rPr>
          <w:rFonts w:cs="Times New Roman"/>
          <w:color w:val="000000" w:themeColor="text1"/>
          <w:szCs w:val="24"/>
          <w:lang w:val="en-US"/>
        </w:rPr>
        <w:t>Source: Field Observation, 2022</w:t>
      </w:r>
    </w:p>
    <w:p w14:paraId="57471A7F" w14:textId="3AD8FD2E" w:rsidR="001B4ED5" w:rsidRPr="00895D0B" w:rsidRDefault="00A04CFC" w:rsidP="00A04CFC">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lastRenderedPageBreak/>
        <w:t>This is common among those urban households that are into mixed farming, where animal waste is used to fertilize their farms, including household waste. Aside from the use of soil moisture conservation and soil fertility management strategies, urban farmers' climate change adaptation strategies transcend their choice of varieties of crops and sources of planting seeds. From Table 7.4, the results show that urban farmers generally cultivate local or indigenous varieties of seeds, representing about 57.0% of the responses. Other urban farmers also grow improved seeds, making up about 24.1% of the responses, while only 17.2% grow hybrid seeds. Just 0.7% of urban farmers favoured the growing of both improved and hybrid crop varieties (</w:t>
      </w:r>
      <w:r w:rsidRPr="00895D0B">
        <w:rPr>
          <w:rFonts w:eastAsia="Times New Roman" w:cs="Times New Roman"/>
          <w:i/>
          <w:iCs/>
          <w:color w:val="000000" w:themeColor="text1"/>
          <w:szCs w:val="24"/>
          <w:lang w:eastAsia="en-GB"/>
        </w:rPr>
        <w:t>see Table 7.4</w:t>
      </w:r>
      <w:r w:rsidRPr="00895D0B">
        <w:rPr>
          <w:rFonts w:eastAsia="Times New Roman" w:cs="Times New Roman"/>
          <w:color w:val="000000" w:themeColor="text1"/>
          <w:szCs w:val="24"/>
          <w:lang w:eastAsia="en-GB"/>
        </w:rPr>
        <w:t xml:space="preserve">). The seeds grown by urban farmers are their own, representing about 44.5%, and those bought from agro-chemical shops represent about 35.0%. This is followed by those farmers who get their seeds from family and relatives, representing about 20.5% </w:t>
      </w:r>
      <w:r w:rsidRPr="00895D0B">
        <w:rPr>
          <w:rFonts w:eastAsia="Times New Roman" w:cs="Times New Roman"/>
          <w:i/>
          <w:iCs/>
          <w:color w:val="000000" w:themeColor="text1"/>
          <w:szCs w:val="24"/>
          <w:lang w:eastAsia="en-GB"/>
        </w:rPr>
        <w:t>(see Table 7.4)</w:t>
      </w:r>
      <w:r w:rsidRPr="00895D0B">
        <w:rPr>
          <w:rFonts w:eastAsia="Times New Roman" w:cs="Times New Roman"/>
          <w:color w:val="000000" w:themeColor="text1"/>
          <w:szCs w:val="24"/>
          <w:lang w:eastAsia="en-GB"/>
        </w:rPr>
        <w:t>.</w:t>
      </w:r>
    </w:p>
    <w:p w14:paraId="3175963E" w14:textId="77777777" w:rsidR="00A04CFC" w:rsidRPr="00895D0B" w:rsidRDefault="00A04CFC" w:rsidP="009864E3">
      <w:pPr>
        <w:pStyle w:val="NoSpacing"/>
        <w:rPr>
          <w:lang w:eastAsia="en-GB"/>
        </w:rPr>
      </w:pPr>
    </w:p>
    <w:p w14:paraId="5DD05AB8" w14:textId="02B2DCB4" w:rsidR="001B4ED5" w:rsidRPr="00895D0B" w:rsidRDefault="006B41C0" w:rsidP="009864E3">
      <w:pPr>
        <w:pStyle w:val="Heading6"/>
      </w:pPr>
      <w:bookmarkStart w:id="171" w:name="_Toc148890704"/>
      <w:bookmarkStart w:id="172" w:name="_Toc167368599"/>
      <w:r w:rsidRPr="00895D0B">
        <w:t>Table 7.</w:t>
      </w:r>
      <w:r w:rsidR="00895D0B" w:rsidRPr="00895D0B">
        <w:fldChar w:fldCharType="begin"/>
      </w:r>
      <w:r w:rsidR="00895D0B" w:rsidRPr="00895D0B">
        <w:instrText xml:space="preserve"> SEQ Table_7._ \* ARABIC </w:instrText>
      </w:r>
      <w:r w:rsidR="00895D0B" w:rsidRPr="00895D0B">
        <w:fldChar w:fldCharType="separate"/>
      </w:r>
      <w:r w:rsidR="0026489B">
        <w:rPr>
          <w:noProof/>
        </w:rPr>
        <w:t>1</w:t>
      </w:r>
      <w:r w:rsidR="00895D0B" w:rsidRPr="00895D0B">
        <w:fldChar w:fldCharType="end"/>
      </w:r>
      <w:r w:rsidRPr="00895D0B">
        <w:t>: Urban Farmers Choices in Varieties and Sources of Seeds for Production (N=191).</w:t>
      </w:r>
      <w:bookmarkEnd w:id="171"/>
      <w:bookmarkEnd w:id="172"/>
    </w:p>
    <w:tbl>
      <w:tblPr>
        <w:tblW w:w="8398" w:type="dxa"/>
        <w:tblLayout w:type="fixed"/>
        <w:tblCellMar>
          <w:left w:w="0" w:type="dxa"/>
          <w:right w:w="0" w:type="dxa"/>
        </w:tblCellMar>
        <w:tblLook w:val="04A0" w:firstRow="1" w:lastRow="0" w:firstColumn="1" w:lastColumn="0" w:noHBand="0" w:noVBand="1"/>
      </w:tblPr>
      <w:tblGrid>
        <w:gridCol w:w="3424"/>
        <w:gridCol w:w="2401"/>
        <w:gridCol w:w="2573"/>
      </w:tblGrid>
      <w:tr w:rsidR="00895D0B" w:rsidRPr="00895D0B" w14:paraId="49FE2B02" w14:textId="77777777">
        <w:trPr>
          <w:cantSplit/>
          <w:trHeight w:val="343"/>
        </w:trPr>
        <w:tc>
          <w:tcPr>
            <w:tcW w:w="3424" w:type="dxa"/>
            <w:tcBorders>
              <w:top w:val="single" w:sz="4" w:space="0" w:color="auto"/>
              <w:bottom w:val="single" w:sz="4" w:space="0" w:color="auto"/>
            </w:tcBorders>
            <w:shd w:val="clear" w:color="auto" w:fill="FFFFFF"/>
          </w:tcPr>
          <w:p w14:paraId="1D3523DB"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Variable </w:t>
            </w:r>
          </w:p>
        </w:tc>
        <w:tc>
          <w:tcPr>
            <w:tcW w:w="2401" w:type="dxa"/>
            <w:tcBorders>
              <w:top w:val="single" w:sz="4" w:space="0" w:color="auto"/>
              <w:bottom w:val="single" w:sz="4" w:space="0" w:color="auto"/>
            </w:tcBorders>
            <w:shd w:val="clear" w:color="auto" w:fill="FFFFFF"/>
          </w:tcPr>
          <w:p w14:paraId="1AAD4853"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Frequency</w:t>
            </w:r>
          </w:p>
        </w:tc>
        <w:tc>
          <w:tcPr>
            <w:tcW w:w="2572" w:type="dxa"/>
            <w:tcBorders>
              <w:top w:val="single" w:sz="4" w:space="0" w:color="auto"/>
              <w:bottom w:val="single" w:sz="4" w:space="0" w:color="auto"/>
            </w:tcBorders>
            <w:shd w:val="clear" w:color="auto" w:fill="FFFFFF"/>
          </w:tcPr>
          <w:p w14:paraId="04BC61BC" w14:textId="77777777" w:rsidR="001B4ED5" w:rsidRPr="00895D0B" w:rsidRDefault="006B41C0">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Percent</w:t>
            </w:r>
          </w:p>
        </w:tc>
      </w:tr>
      <w:tr w:rsidR="00895D0B" w:rsidRPr="00895D0B" w14:paraId="3793E990" w14:textId="77777777">
        <w:trPr>
          <w:cantSplit/>
          <w:trHeight w:val="343"/>
        </w:trPr>
        <w:tc>
          <w:tcPr>
            <w:tcW w:w="8398" w:type="dxa"/>
            <w:gridSpan w:val="3"/>
            <w:tcBorders>
              <w:top w:val="single" w:sz="4" w:space="0" w:color="auto"/>
            </w:tcBorders>
            <w:shd w:val="clear" w:color="auto" w:fill="FFFFFF"/>
          </w:tcPr>
          <w:p w14:paraId="36C4D108"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Type of seeds</w:t>
            </w:r>
          </w:p>
        </w:tc>
      </w:tr>
      <w:tr w:rsidR="00895D0B" w:rsidRPr="00895D0B" w14:paraId="714954ED" w14:textId="77777777">
        <w:trPr>
          <w:cantSplit/>
          <w:trHeight w:val="343"/>
        </w:trPr>
        <w:tc>
          <w:tcPr>
            <w:tcW w:w="3424" w:type="dxa"/>
            <w:shd w:val="clear" w:color="auto" w:fill="FFFFFF"/>
            <w:vAlign w:val="center"/>
          </w:tcPr>
          <w:p w14:paraId="407401FE"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Local/Indigenous </w:t>
            </w:r>
          </w:p>
        </w:tc>
        <w:tc>
          <w:tcPr>
            <w:tcW w:w="2401" w:type="dxa"/>
            <w:shd w:val="clear" w:color="auto" w:fill="FFFFFF"/>
            <w:vAlign w:val="center"/>
          </w:tcPr>
          <w:p w14:paraId="3D7D4E7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109</w:t>
            </w:r>
          </w:p>
        </w:tc>
        <w:tc>
          <w:tcPr>
            <w:tcW w:w="2572" w:type="dxa"/>
            <w:shd w:val="clear" w:color="auto" w:fill="FFFFFF"/>
            <w:vAlign w:val="center"/>
          </w:tcPr>
          <w:p w14:paraId="0B37A889"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57.0</w:t>
            </w:r>
          </w:p>
        </w:tc>
      </w:tr>
      <w:tr w:rsidR="00895D0B" w:rsidRPr="00895D0B" w14:paraId="7F65ED24" w14:textId="77777777">
        <w:trPr>
          <w:cantSplit/>
          <w:trHeight w:val="76"/>
        </w:trPr>
        <w:tc>
          <w:tcPr>
            <w:tcW w:w="3424" w:type="dxa"/>
            <w:shd w:val="clear" w:color="auto" w:fill="FFFFFF"/>
            <w:vAlign w:val="center"/>
          </w:tcPr>
          <w:p w14:paraId="254BFB0A"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Improved</w:t>
            </w:r>
          </w:p>
        </w:tc>
        <w:tc>
          <w:tcPr>
            <w:tcW w:w="2401" w:type="dxa"/>
            <w:shd w:val="clear" w:color="auto" w:fill="FFFFFF"/>
            <w:vAlign w:val="center"/>
          </w:tcPr>
          <w:p w14:paraId="6EEA7AAF"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48</w:t>
            </w:r>
          </w:p>
        </w:tc>
        <w:tc>
          <w:tcPr>
            <w:tcW w:w="2572" w:type="dxa"/>
            <w:shd w:val="clear" w:color="auto" w:fill="FFFFFF"/>
            <w:vAlign w:val="center"/>
          </w:tcPr>
          <w:p w14:paraId="3471736D"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25.1</w:t>
            </w:r>
          </w:p>
        </w:tc>
      </w:tr>
      <w:tr w:rsidR="00895D0B" w:rsidRPr="00895D0B" w14:paraId="555E1229" w14:textId="77777777">
        <w:trPr>
          <w:cantSplit/>
          <w:trHeight w:val="343"/>
        </w:trPr>
        <w:tc>
          <w:tcPr>
            <w:tcW w:w="3424" w:type="dxa"/>
            <w:shd w:val="clear" w:color="auto" w:fill="FFFFFF"/>
            <w:vAlign w:val="center"/>
          </w:tcPr>
          <w:p w14:paraId="04478866"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Hybrid </w:t>
            </w:r>
          </w:p>
        </w:tc>
        <w:tc>
          <w:tcPr>
            <w:tcW w:w="2401" w:type="dxa"/>
            <w:shd w:val="clear" w:color="auto" w:fill="FFFFFF"/>
            <w:vAlign w:val="center"/>
          </w:tcPr>
          <w:p w14:paraId="4748708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33</w:t>
            </w:r>
          </w:p>
        </w:tc>
        <w:tc>
          <w:tcPr>
            <w:tcW w:w="2572" w:type="dxa"/>
            <w:shd w:val="clear" w:color="auto" w:fill="FFFFFF"/>
            <w:vAlign w:val="center"/>
          </w:tcPr>
          <w:p w14:paraId="4111726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17.2</w:t>
            </w:r>
          </w:p>
        </w:tc>
      </w:tr>
      <w:tr w:rsidR="00895D0B" w:rsidRPr="00895D0B" w14:paraId="7B33723D" w14:textId="77777777">
        <w:trPr>
          <w:cantSplit/>
          <w:trHeight w:val="343"/>
        </w:trPr>
        <w:tc>
          <w:tcPr>
            <w:tcW w:w="3424" w:type="dxa"/>
            <w:shd w:val="clear" w:color="auto" w:fill="FFFFFF"/>
            <w:vAlign w:val="center"/>
          </w:tcPr>
          <w:p w14:paraId="14EB92B4"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Both improved and hybrid</w:t>
            </w:r>
          </w:p>
        </w:tc>
        <w:tc>
          <w:tcPr>
            <w:tcW w:w="2401" w:type="dxa"/>
            <w:shd w:val="clear" w:color="auto" w:fill="FFFFFF"/>
            <w:vAlign w:val="center"/>
          </w:tcPr>
          <w:p w14:paraId="2C67B4C5"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w:t>
            </w:r>
          </w:p>
        </w:tc>
        <w:tc>
          <w:tcPr>
            <w:tcW w:w="2572" w:type="dxa"/>
            <w:shd w:val="clear" w:color="auto" w:fill="FFFFFF"/>
            <w:vAlign w:val="center"/>
          </w:tcPr>
          <w:p w14:paraId="218EB7F2"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0.7</w:t>
            </w:r>
          </w:p>
        </w:tc>
      </w:tr>
      <w:tr w:rsidR="00895D0B" w:rsidRPr="00895D0B" w14:paraId="7CBC5D9B" w14:textId="77777777">
        <w:trPr>
          <w:cantSplit/>
          <w:trHeight w:val="359"/>
        </w:trPr>
        <w:tc>
          <w:tcPr>
            <w:tcW w:w="8398" w:type="dxa"/>
            <w:gridSpan w:val="3"/>
            <w:shd w:val="clear" w:color="auto" w:fill="FFFFFF"/>
            <w:vAlign w:val="center"/>
          </w:tcPr>
          <w:p w14:paraId="7FB27841"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Sources of seeds</w:t>
            </w:r>
          </w:p>
        </w:tc>
      </w:tr>
      <w:tr w:rsidR="00895D0B" w:rsidRPr="00895D0B" w14:paraId="1A27ADCC" w14:textId="77777777">
        <w:trPr>
          <w:cantSplit/>
          <w:trHeight w:val="343"/>
        </w:trPr>
        <w:tc>
          <w:tcPr>
            <w:tcW w:w="3424" w:type="dxa"/>
            <w:shd w:val="clear" w:color="auto" w:fill="FFFFFF"/>
            <w:vAlign w:val="center"/>
          </w:tcPr>
          <w:p w14:paraId="615FF739"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Own </w:t>
            </w:r>
          </w:p>
        </w:tc>
        <w:tc>
          <w:tcPr>
            <w:tcW w:w="2401" w:type="dxa"/>
            <w:shd w:val="clear" w:color="auto" w:fill="FFFFFF"/>
            <w:vAlign w:val="center"/>
          </w:tcPr>
          <w:p w14:paraId="399C1F8C"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85</w:t>
            </w:r>
          </w:p>
        </w:tc>
        <w:tc>
          <w:tcPr>
            <w:tcW w:w="2572" w:type="dxa"/>
            <w:shd w:val="clear" w:color="auto" w:fill="FFFFFF"/>
            <w:vAlign w:val="center"/>
          </w:tcPr>
          <w:p w14:paraId="35730F8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44.5</w:t>
            </w:r>
          </w:p>
        </w:tc>
      </w:tr>
      <w:tr w:rsidR="00895D0B" w:rsidRPr="00895D0B" w14:paraId="1972BCCA" w14:textId="77777777">
        <w:trPr>
          <w:cantSplit/>
          <w:trHeight w:val="343"/>
        </w:trPr>
        <w:tc>
          <w:tcPr>
            <w:tcW w:w="3424" w:type="dxa"/>
            <w:shd w:val="clear" w:color="auto" w:fill="FFFFFF"/>
            <w:vAlign w:val="center"/>
          </w:tcPr>
          <w:p w14:paraId="7F433955"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Agro-shops</w:t>
            </w:r>
          </w:p>
        </w:tc>
        <w:tc>
          <w:tcPr>
            <w:tcW w:w="2401" w:type="dxa"/>
            <w:shd w:val="clear" w:color="auto" w:fill="FFFFFF"/>
            <w:vAlign w:val="center"/>
          </w:tcPr>
          <w:p w14:paraId="50FB63FE"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67</w:t>
            </w:r>
          </w:p>
        </w:tc>
        <w:tc>
          <w:tcPr>
            <w:tcW w:w="2572" w:type="dxa"/>
            <w:shd w:val="clear" w:color="auto" w:fill="FFFFFF"/>
            <w:vAlign w:val="center"/>
          </w:tcPr>
          <w:p w14:paraId="5737F9B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35.0</w:t>
            </w:r>
          </w:p>
        </w:tc>
      </w:tr>
      <w:tr w:rsidR="00895D0B" w:rsidRPr="00895D0B" w14:paraId="4724622A" w14:textId="77777777">
        <w:trPr>
          <w:cantSplit/>
          <w:trHeight w:val="359"/>
        </w:trPr>
        <w:tc>
          <w:tcPr>
            <w:tcW w:w="3424" w:type="dxa"/>
            <w:shd w:val="clear" w:color="auto" w:fill="FFFFFF"/>
            <w:vAlign w:val="center"/>
          </w:tcPr>
          <w:p w14:paraId="61C161C7"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Family/Relatives</w:t>
            </w:r>
          </w:p>
        </w:tc>
        <w:tc>
          <w:tcPr>
            <w:tcW w:w="2401" w:type="dxa"/>
            <w:shd w:val="clear" w:color="auto" w:fill="FFFFFF"/>
            <w:vAlign w:val="center"/>
          </w:tcPr>
          <w:p w14:paraId="52D10BAC"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39</w:t>
            </w:r>
          </w:p>
        </w:tc>
        <w:tc>
          <w:tcPr>
            <w:tcW w:w="2572" w:type="dxa"/>
            <w:shd w:val="clear" w:color="auto" w:fill="FFFFFF"/>
            <w:vAlign w:val="center"/>
          </w:tcPr>
          <w:p w14:paraId="38B9B36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20.5</w:t>
            </w:r>
          </w:p>
        </w:tc>
      </w:tr>
      <w:tr w:rsidR="00895D0B" w:rsidRPr="00895D0B" w14:paraId="5AAD73C5" w14:textId="77777777">
        <w:trPr>
          <w:cantSplit/>
          <w:trHeight w:val="343"/>
        </w:trPr>
        <w:tc>
          <w:tcPr>
            <w:tcW w:w="3424" w:type="dxa"/>
            <w:shd w:val="clear" w:color="auto" w:fill="FFFFFF"/>
            <w:vAlign w:val="center"/>
          </w:tcPr>
          <w:p w14:paraId="59D6C6BD"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Others </w:t>
            </w:r>
          </w:p>
        </w:tc>
        <w:tc>
          <w:tcPr>
            <w:tcW w:w="2401" w:type="dxa"/>
            <w:shd w:val="clear" w:color="auto" w:fill="FFFFFF"/>
            <w:vAlign w:val="center"/>
          </w:tcPr>
          <w:p w14:paraId="1F932691" w14:textId="77777777" w:rsidR="001B4ED5" w:rsidRPr="00895D0B" w:rsidRDefault="001B4ED5">
            <w:pPr>
              <w:autoSpaceDE w:val="0"/>
              <w:autoSpaceDN w:val="0"/>
              <w:adjustRightInd w:val="0"/>
              <w:spacing w:line="240" w:lineRule="auto"/>
              <w:ind w:left="60" w:right="60"/>
              <w:jc w:val="right"/>
              <w:rPr>
                <w:rFonts w:cs="Times New Roman"/>
                <w:color w:val="000000" w:themeColor="text1"/>
                <w:szCs w:val="24"/>
              </w:rPr>
            </w:pPr>
          </w:p>
        </w:tc>
        <w:tc>
          <w:tcPr>
            <w:tcW w:w="2572" w:type="dxa"/>
            <w:shd w:val="clear" w:color="auto" w:fill="FFFFFF"/>
            <w:vAlign w:val="center"/>
          </w:tcPr>
          <w:p w14:paraId="6B3B3D59" w14:textId="77777777" w:rsidR="001B4ED5" w:rsidRPr="00895D0B" w:rsidRDefault="001B4ED5">
            <w:pPr>
              <w:autoSpaceDE w:val="0"/>
              <w:autoSpaceDN w:val="0"/>
              <w:adjustRightInd w:val="0"/>
              <w:spacing w:line="240" w:lineRule="auto"/>
              <w:ind w:left="60" w:right="60"/>
              <w:jc w:val="right"/>
              <w:rPr>
                <w:rFonts w:cs="Times New Roman"/>
                <w:color w:val="000000" w:themeColor="text1"/>
                <w:szCs w:val="24"/>
              </w:rPr>
            </w:pPr>
          </w:p>
        </w:tc>
      </w:tr>
      <w:tr w:rsidR="00895D0B" w:rsidRPr="00895D0B" w14:paraId="5243A359" w14:textId="77777777">
        <w:trPr>
          <w:cantSplit/>
          <w:trHeight w:val="343"/>
        </w:trPr>
        <w:tc>
          <w:tcPr>
            <w:tcW w:w="8398" w:type="dxa"/>
            <w:gridSpan w:val="3"/>
            <w:shd w:val="clear" w:color="auto" w:fill="FFFFFF"/>
            <w:vAlign w:val="center"/>
          </w:tcPr>
          <w:p w14:paraId="4B3F30E5" w14:textId="77777777" w:rsidR="001B4ED5" w:rsidRPr="00895D0B" w:rsidRDefault="006B41C0">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Yield Situation </w:t>
            </w:r>
          </w:p>
        </w:tc>
      </w:tr>
      <w:tr w:rsidR="00895D0B" w:rsidRPr="00895D0B" w14:paraId="01A37A44" w14:textId="77777777">
        <w:trPr>
          <w:cantSplit/>
          <w:trHeight w:val="359"/>
        </w:trPr>
        <w:tc>
          <w:tcPr>
            <w:tcW w:w="3424" w:type="dxa"/>
            <w:shd w:val="clear" w:color="auto" w:fill="FFFFFF"/>
            <w:vAlign w:val="center"/>
          </w:tcPr>
          <w:p w14:paraId="07DE653A"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Good </w:t>
            </w:r>
          </w:p>
        </w:tc>
        <w:tc>
          <w:tcPr>
            <w:tcW w:w="2401" w:type="dxa"/>
            <w:shd w:val="clear" w:color="auto" w:fill="FFFFFF"/>
            <w:vAlign w:val="center"/>
          </w:tcPr>
          <w:p w14:paraId="79DE1804"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100</w:t>
            </w:r>
          </w:p>
        </w:tc>
        <w:tc>
          <w:tcPr>
            <w:tcW w:w="2572" w:type="dxa"/>
            <w:shd w:val="clear" w:color="auto" w:fill="FFFFFF"/>
            <w:vAlign w:val="center"/>
          </w:tcPr>
          <w:p w14:paraId="584C494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52.3</w:t>
            </w:r>
          </w:p>
        </w:tc>
      </w:tr>
      <w:tr w:rsidR="00895D0B" w:rsidRPr="00895D0B" w14:paraId="2BCC0B57" w14:textId="77777777">
        <w:trPr>
          <w:cantSplit/>
          <w:trHeight w:val="343"/>
        </w:trPr>
        <w:tc>
          <w:tcPr>
            <w:tcW w:w="3424" w:type="dxa"/>
            <w:shd w:val="clear" w:color="auto" w:fill="FFFFFF"/>
            <w:vAlign w:val="center"/>
          </w:tcPr>
          <w:p w14:paraId="77963DE5"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Average </w:t>
            </w:r>
          </w:p>
        </w:tc>
        <w:tc>
          <w:tcPr>
            <w:tcW w:w="2401" w:type="dxa"/>
            <w:shd w:val="clear" w:color="auto" w:fill="FFFFFF"/>
            <w:vAlign w:val="center"/>
          </w:tcPr>
          <w:p w14:paraId="59D16710"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89</w:t>
            </w:r>
          </w:p>
        </w:tc>
        <w:tc>
          <w:tcPr>
            <w:tcW w:w="2572" w:type="dxa"/>
            <w:shd w:val="clear" w:color="auto" w:fill="FFFFFF"/>
            <w:vAlign w:val="center"/>
          </w:tcPr>
          <w:p w14:paraId="516BB358"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46.5</w:t>
            </w:r>
          </w:p>
        </w:tc>
      </w:tr>
      <w:tr w:rsidR="00895D0B" w:rsidRPr="00895D0B" w14:paraId="0233E6C3" w14:textId="77777777">
        <w:trPr>
          <w:cantSplit/>
          <w:trHeight w:val="343"/>
        </w:trPr>
        <w:tc>
          <w:tcPr>
            <w:tcW w:w="3424" w:type="dxa"/>
            <w:tcBorders>
              <w:bottom w:val="single" w:sz="4" w:space="0" w:color="auto"/>
            </w:tcBorders>
            <w:shd w:val="clear" w:color="auto" w:fill="FFFFFF"/>
            <w:vAlign w:val="center"/>
          </w:tcPr>
          <w:p w14:paraId="4DDBD050" w14:textId="77777777" w:rsidR="001B4ED5" w:rsidRPr="00895D0B" w:rsidRDefault="006B41C0">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Not good </w:t>
            </w:r>
          </w:p>
        </w:tc>
        <w:tc>
          <w:tcPr>
            <w:tcW w:w="2401" w:type="dxa"/>
            <w:tcBorders>
              <w:bottom w:val="single" w:sz="4" w:space="0" w:color="auto"/>
            </w:tcBorders>
            <w:shd w:val="clear" w:color="auto" w:fill="FFFFFF"/>
            <w:vAlign w:val="center"/>
          </w:tcPr>
          <w:p w14:paraId="04D36063"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w:t>
            </w:r>
          </w:p>
        </w:tc>
        <w:tc>
          <w:tcPr>
            <w:tcW w:w="2572" w:type="dxa"/>
            <w:tcBorders>
              <w:bottom w:val="single" w:sz="4" w:space="0" w:color="auto"/>
            </w:tcBorders>
            <w:shd w:val="clear" w:color="auto" w:fill="FFFFFF"/>
            <w:vAlign w:val="center"/>
          </w:tcPr>
          <w:p w14:paraId="3C2568D7" w14:textId="77777777" w:rsidR="001B4ED5" w:rsidRPr="00895D0B" w:rsidRDefault="006B41C0">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1.2</w:t>
            </w:r>
          </w:p>
        </w:tc>
      </w:tr>
    </w:tbl>
    <w:p w14:paraId="1C287479" w14:textId="77777777"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1F5D2EED" w14:textId="77777777" w:rsidR="009864E3" w:rsidRPr="00895D0B" w:rsidRDefault="009864E3" w:rsidP="009864E3">
      <w:pPr>
        <w:pStyle w:val="NoSpacing"/>
      </w:pPr>
    </w:p>
    <w:p w14:paraId="5348F5C9" w14:textId="77777777" w:rsidR="00A04CFC" w:rsidRPr="00895D0B" w:rsidRDefault="00A04CFC" w:rsidP="00A04CFC">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Considering urban farmers' climate change adaptation strategies, such as soil moisture and soil fertility management strategies, farmers' choices of seeds, and the sources of these seeds under the current climate change stressors, the yield situation was assessed. </w:t>
      </w:r>
      <w:r w:rsidRPr="00895D0B">
        <w:rPr>
          <w:rFonts w:eastAsia="Times New Roman" w:cs="Times New Roman"/>
          <w:color w:val="000000" w:themeColor="text1"/>
          <w:szCs w:val="24"/>
          <w:lang w:eastAsia="en-GB"/>
        </w:rPr>
        <w:lastRenderedPageBreak/>
        <w:t>The results indicated that many of the urban farmers perceived a high yield of their crops, representing about 52.3%, and those who said they got an average yield were about 46.5%, and just 1.2 of these urban farmers perceived crop yield as not being good (</w:t>
      </w:r>
      <w:r w:rsidRPr="00895D0B">
        <w:rPr>
          <w:rFonts w:eastAsia="Times New Roman" w:cs="Times New Roman"/>
          <w:i/>
          <w:iCs/>
          <w:color w:val="000000" w:themeColor="text1"/>
          <w:szCs w:val="24"/>
          <w:lang w:eastAsia="en-GB"/>
        </w:rPr>
        <w:t>see Table 7.4</w:t>
      </w:r>
      <w:r w:rsidRPr="00895D0B">
        <w:rPr>
          <w:rFonts w:eastAsia="Times New Roman" w:cs="Times New Roman"/>
          <w:color w:val="000000" w:themeColor="text1"/>
          <w:szCs w:val="24"/>
          <w:lang w:eastAsia="en-GB"/>
        </w:rPr>
        <w:t>).</w:t>
      </w:r>
    </w:p>
    <w:p w14:paraId="11E53702" w14:textId="77777777" w:rsidR="001B4ED5" w:rsidRPr="00895D0B" w:rsidRDefault="001B4ED5" w:rsidP="009864E3">
      <w:pPr>
        <w:pStyle w:val="NoSpacing"/>
      </w:pPr>
    </w:p>
    <w:p w14:paraId="217BEFAA" w14:textId="4A229F0F" w:rsidR="001B4ED5" w:rsidRPr="00895D0B" w:rsidRDefault="006B41C0">
      <w:pPr>
        <w:pStyle w:val="Heading2"/>
      </w:pPr>
      <w:bookmarkStart w:id="173" w:name="_Toc167379951"/>
      <w:r w:rsidRPr="00895D0B">
        <w:t>7.</w:t>
      </w:r>
      <w:r w:rsidR="004B2BFC" w:rsidRPr="00895D0B">
        <w:t>3</w:t>
      </w:r>
      <w:r w:rsidRPr="00895D0B">
        <w:t xml:space="preserve"> Urban Animal Production and Climate Adaptation Strategies</w:t>
      </w:r>
      <w:bookmarkEnd w:id="173"/>
      <w:r w:rsidRPr="00895D0B">
        <w:t xml:space="preserve"> </w:t>
      </w:r>
    </w:p>
    <w:p w14:paraId="53C880CB" w14:textId="77777777" w:rsidR="00146590" w:rsidRPr="00895D0B" w:rsidRDefault="00146590" w:rsidP="00146590">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Urban farmers in cities are into animal production as well, despite the recent climatic stressors. The study results revealed that urban farmers rear exotic or foreign breeds of animals, representing about 37.1%, followed by those who keep local or indigenous breeds of animals, representing about 33.5% of the responses. Again, about 29.4% of the urban farmers keep both exotic and indigenous breeds of animals. To meet the feed needs of their animals, urban farmers scout for feed from a variety of sources. The first source is the open market, where 45.5% of urban farmers buy feed. This is followed by those who depend on their own supply of feed, which constitutes about 36.1% of the farmers; others (about 18.4%) also obtain feed as a gift from friends and relatives </w:t>
      </w:r>
      <w:r w:rsidRPr="00895D0B">
        <w:rPr>
          <w:rFonts w:eastAsia="Times New Roman" w:cs="Times New Roman"/>
          <w:i/>
          <w:iCs/>
          <w:color w:val="000000" w:themeColor="text1"/>
          <w:szCs w:val="24"/>
          <w:lang w:eastAsia="en-GB"/>
        </w:rPr>
        <w:t>(see Table 7.5</w:t>
      </w:r>
      <w:r w:rsidRPr="00895D0B">
        <w:rPr>
          <w:rFonts w:eastAsia="Times New Roman" w:cs="Times New Roman"/>
          <w:color w:val="000000" w:themeColor="text1"/>
          <w:szCs w:val="24"/>
          <w:lang w:eastAsia="en-GB"/>
        </w:rPr>
        <w:t>). Driving animal production adaptation to extreme climatic or weather events, urban farmers rear different breeds of animals and acquire feed from different sources, aiming to increase production.  Therefore, the study assesses farmers' opinions on animal production levels. In this, it was revealed that urban farmers expressed an average production level of their animals, which constituted about 45.0%, and those who said the animals' production situation was good represented 32.9%. However, 22.1% of the farmers said animal production was not good.</w:t>
      </w:r>
    </w:p>
    <w:p w14:paraId="4E01C97B" w14:textId="77777777" w:rsidR="00146590" w:rsidRPr="00895D0B" w:rsidRDefault="00146590" w:rsidP="009864E3">
      <w:pPr>
        <w:pStyle w:val="NoSpacing"/>
        <w:rPr>
          <w:lang w:eastAsia="en-GB"/>
        </w:rPr>
      </w:pPr>
      <w:r w:rsidRPr="00895D0B">
        <w:rPr>
          <w:lang w:eastAsia="en-GB"/>
        </w:rPr>
        <w:t> </w:t>
      </w:r>
    </w:p>
    <w:p w14:paraId="3C5CC153" w14:textId="54B777E6" w:rsidR="001B4ED5" w:rsidRPr="00895D0B" w:rsidRDefault="00146590" w:rsidP="00146590">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To make animals resilient to climatic stressors, handling animals against diseases is paramount as climate change or variability makes animals vulnerable to weather-related diseases. On this note, the majority, or about 84.2%, of urban animal producers protect their animals against climate change-related diseases using different strategies. The strategies include vaccinating the animals, giving them pills, disinfecting the pens, and spraying the animals with insecticides. The majority (91.1%) of urban farmers vaccinate their animals very often. This is statistically significant at an alpha of 0.05 (p-value = 0.001 &lt; 0.05). This depicts a very strong interrelationship between urban farmers using vaccination as a treatment method for animals and adapting animals to climate change (Cramer’s V = 0.248 &gt; 0.25).</w:t>
      </w:r>
    </w:p>
    <w:p w14:paraId="4D71748E" w14:textId="11106C06" w:rsidR="001B4ED5" w:rsidRPr="00895D0B" w:rsidRDefault="006B41C0" w:rsidP="009864E3">
      <w:pPr>
        <w:pStyle w:val="Heading6"/>
      </w:pPr>
      <w:bookmarkStart w:id="174" w:name="_Toc148890705"/>
      <w:bookmarkStart w:id="175" w:name="_Toc167368600"/>
      <w:r w:rsidRPr="00895D0B">
        <w:lastRenderedPageBreak/>
        <w:t>Table 7.</w:t>
      </w:r>
      <w:r w:rsidR="00895D0B" w:rsidRPr="00895D0B">
        <w:fldChar w:fldCharType="begin"/>
      </w:r>
      <w:r w:rsidR="00895D0B" w:rsidRPr="00895D0B">
        <w:instrText xml:space="preserve"> SEQ Table_7._ \* ARABIC </w:instrText>
      </w:r>
      <w:r w:rsidR="00895D0B" w:rsidRPr="00895D0B">
        <w:fldChar w:fldCharType="separate"/>
      </w:r>
      <w:r w:rsidR="0026489B">
        <w:rPr>
          <w:noProof/>
        </w:rPr>
        <w:t>2</w:t>
      </w:r>
      <w:r w:rsidR="00895D0B" w:rsidRPr="00895D0B">
        <w:fldChar w:fldCharType="end"/>
      </w:r>
      <w:r w:rsidRPr="00895D0B">
        <w:t>: Urban Farmers' Choices in Animals Breed and Sources of Feed (N=191).</w:t>
      </w:r>
      <w:bookmarkEnd w:id="174"/>
      <w:bookmarkEnd w:id="175"/>
    </w:p>
    <w:tbl>
      <w:tblPr>
        <w:tblW w:w="8201" w:type="dxa"/>
        <w:tblLayout w:type="fixed"/>
        <w:tblCellMar>
          <w:left w:w="0" w:type="dxa"/>
          <w:right w:w="0" w:type="dxa"/>
        </w:tblCellMar>
        <w:tblLook w:val="04A0" w:firstRow="1" w:lastRow="0" w:firstColumn="1" w:lastColumn="0" w:noHBand="0" w:noVBand="1"/>
      </w:tblPr>
      <w:tblGrid>
        <w:gridCol w:w="4017"/>
        <w:gridCol w:w="1609"/>
        <w:gridCol w:w="2575"/>
      </w:tblGrid>
      <w:tr w:rsidR="00895D0B" w:rsidRPr="00895D0B" w14:paraId="58D1DBDA" w14:textId="77777777">
        <w:trPr>
          <w:cantSplit/>
          <w:trHeight w:val="313"/>
        </w:trPr>
        <w:tc>
          <w:tcPr>
            <w:tcW w:w="4017" w:type="dxa"/>
            <w:tcBorders>
              <w:top w:val="single" w:sz="4" w:space="0" w:color="auto"/>
              <w:bottom w:val="single" w:sz="4" w:space="0" w:color="auto"/>
            </w:tcBorders>
            <w:shd w:val="clear" w:color="auto" w:fill="FFFFFF"/>
          </w:tcPr>
          <w:p w14:paraId="1491388A" w14:textId="77777777" w:rsidR="001B4ED5" w:rsidRPr="00895D0B" w:rsidRDefault="006B41C0" w:rsidP="00B32198">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Variable</w:t>
            </w:r>
          </w:p>
        </w:tc>
        <w:tc>
          <w:tcPr>
            <w:tcW w:w="1609" w:type="dxa"/>
            <w:tcBorders>
              <w:top w:val="single" w:sz="4" w:space="0" w:color="auto"/>
              <w:bottom w:val="single" w:sz="4" w:space="0" w:color="auto"/>
            </w:tcBorders>
            <w:shd w:val="clear" w:color="auto" w:fill="FFFFFF"/>
          </w:tcPr>
          <w:p w14:paraId="2232CE84" w14:textId="77777777" w:rsidR="001B4ED5" w:rsidRPr="00895D0B" w:rsidRDefault="006B41C0"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Frequency</w:t>
            </w:r>
          </w:p>
        </w:tc>
        <w:tc>
          <w:tcPr>
            <w:tcW w:w="2574" w:type="dxa"/>
            <w:tcBorders>
              <w:top w:val="single" w:sz="4" w:space="0" w:color="auto"/>
              <w:bottom w:val="single" w:sz="4" w:space="0" w:color="auto"/>
            </w:tcBorders>
            <w:shd w:val="clear" w:color="auto" w:fill="FFFFFF"/>
          </w:tcPr>
          <w:p w14:paraId="12296344" w14:textId="77777777" w:rsidR="001B4ED5" w:rsidRPr="00895D0B" w:rsidRDefault="006B41C0"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Percent</w:t>
            </w:r>
          </w:p>
        </w:tc>
      </w:tr>
      <w:tr w:rsidR="00895D0B" w:rsidRPr="00895D0B" w14:paraId="4F365302" w14:textId="77777777">
        <w:trPr>
          <w:cantSplit/>
          <w:trHeight w:val="313"/>
        </w:trPr>
        <w:tc>
          <w:tcPr>
            <w:tcW w:w="8201" w:type="dxa"/>
            <w:gridSpan w:val="3"/>
            <w:tcBorders>
              <w:top w:val="single" w:sz="4" w:space="0" w:color="auto"/>
            </w:tcBorders>
            <w:shd w:val="clear" w:color="auto" w:fill="FFFFFF"/>
          </w:tcPr>
          <w:p w14:paraId="05EC2439" w14:textId="77777777" w:rsidR="001B4ED5" w:rsidRPr="00895D0B" w:rsidRDefault="006B41C0" w:rsidP="00B32198">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Breed of animals </w:t>
            </w:r>
          </w:p>
        </w:tc>
      </w:tr>
      <w:tr w:rsidR="00895D0B" w:rsidRPr="00895D0B" w14:paraId="35079121" w14:textId="77777777">
        <w:trPr>
          <w:cantSplit/>
          <w:trHeight w:val="313"/>
        </w:trPr>
        <w:tc>
          <w:tcPr>
            <w:tcW w:w="4017" w:type="dxa"/>
            <w:shd w:val="clear" w:color="auto" w:fill="FFFFFF"/>
            <w:vAlign w:val="center"/>
          </w:tcPr>
          <w:p w14:paraId="721B4552" w14:textId="77777777" w:rsidR="001B4ED5" w:rsidRPr="00895D0B" w:rsidRDefault="006B41C0"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Local/Indigenous </w:t>
            </w:r>
          </w:p>
        </w:tc>
        <w:tc>
          <w:tcPr>
            <w:tcW w:w="1609" w:type="dxa"/>
            <w:shd w:val="clear" w:color="auto" w:fill="FFFFFF"/>
            <w:vAlign w:val="center"/>
          </w:tcPr>
          <w:p w14:paraId="1B3F5393"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64</w:t>
            </w:r>
          </w:p>
        </w:tc>
        <w:tc>
          <w:tcPr>
            <w:tcW w:w="2574" w:type="dxa"/>
            <w:shd w:val="clear" w:color="auto" w:fill="FFFFFF"/>
            <w:vAlign w:val="center"/>
          </w:tcPr>
          <w:p w14:paraId="677600BF"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33.5</w:t>
            </w:r>
          </w:p>
        </w:tc>
      </w:tr>
      <w:tr w:rsidR="00895D0B" w:rsidRPr="00895D0B" w14:paraId="63E0FBD5" w14:textId="77777777">
        <w:trPr>
          <w:cantSplit/>
          <w:trHeight w:val="328"/>
        </w:trPr>
        <w:tc>
          <w:tcPr>
            <w:tcW w:w="4017" w:type="dxa"/>
            <w:shd w:val="clear" w:color="auto" w:fill="FFFFFF"/>
            <w:vAlign w:val="center"/>
          </w:tcPr>
          <w:p w14:paraId="7E576E7C" w14:textId="77777777" w:rsidR="001B4ED5" w:rsidRPr="00895D0B" w:rsidRDefault="006B41C0"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Exotic/Foreign </w:t>
            </w:r>
          </w:p>
        </w:tc>
        <w:tc>
          <w:tcPr>
            <w:tcW w:w="1609" w:type="dxa"/>
            <w:shd w:val="clear" w:color="auto" w:fill="FFFFFF"/>
            <w:vAlign w:val="center"/>
          </w:tcPr>
          <w:p w14:paraId="7B368088"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71</w:t>
            </w:r>
          </w:p>
        </w:tc>
        <w:tc>
          <w:tcPr>
            <w:tcW w:w="2574" w:type="dxa"/>
            <w:shd w:val="clear" w:color="auto" w:fill="FFFFFF"/>
            <w:vAlign w:val="center"/>
          </w:tcPr>
          <w:p w14:paraId="74EDDA6A"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37.1</w:t>
            </w:r>
          </w:p>
        </w:tc>
      </w:tr>
      <w:tr w:rsidR="00895D0B" w:rsidRPr="00895D0B" w14:paraId="26E0730F" w14:textId="77777777">
        <w:trPr>
          <w:cantSplit/>
          <w:trHeight w:val="313"/>
        </w:trPr>
        <w:tc>
          <w:tcPr>
            <w:tcW w:w="4017" w:type="dxa"/>
            <w:shd w:val="clear" w:color="auto" w:fill="FFFFFF"/>
            <w:vAlign w:val="center"/>
          </w:tcPr>
          <w:p w14:paraId="492A06CD" w14:textId="77777777" w:rsidR="001B4ED5" w:rsidRPr="00895D0B" w:rsidRDefault="006B41C0"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Both Exotic and Indigenous </w:t>
            </w:r>
          </w:p>
        </w:tc>
        <w:tc>
          <w:tcPr>
            <w:tcW w:w="1609" w:type="dxa"/>
            <w:shd w:val="clear" w:color="auto" w:fill="FFFFFF"/>
            <w:vAlign w:val="center"/>
          </w:tcPr>
          <w:p w14:paraId="6C53B9F1"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56</w:t>
            </w:r>
          </w:p>
        </w:tc>
        <w:tc>
          <w:tcPr>
            <w:tcW w:w="2574" w:type="dxa"/>
            <w:shd w:val="clear" w:color="auto" w:fill="FFFFFF"/>
            <w:vAlign w:val="center"/>
          </w:tcPr>
          <w:p w14:paraId="631139BA"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29.4</w:t>
            </w:r>
          </w:p>
        </w:tc>
      </w:tr>
      <w:tr w:rsidR="00895D0B" w:rsidRPr="00895D0B" w14:paraId="27D7D839" w14:textId="77777777">
        <w:trPr>
          <w:cantSplit/>
          <w:trHeight w:val="641"/>
        </w:trPr>
        <w:tc>
          <w:tcPr>
            <w:tcW w:w="8201" w:type="dxa"/>
            <w:gridSpan w:val="3"/>
            <w:shd w:val="clear" w:color="auto" w:fill="FFFFFF"/>
            <w:vAlign w:val="center"/>
          </w:tcPr>
          <w:p w14:paraId="0BAABBCD" w14:textId="77777777" w:rsidR="001B4ED5" w:rsidRPr="00895D0B" w:rsidRDefault="001B4ED5" w:rsidP="00B32198">
            <w:pPr>
              <w:autoSpaceDE w:val="0"/>
              <w:autoSpaceDN w:val="0"/>
              <w:adjustRightInd w:val="0"/>
              <w:spacing w:line="240" w:lineRule="auto"/>
              <w:ind w:left="60" w:right="60"/>
              <w:rPr>
                <w:rFonts w:cs="Times New Roman"/>
                <w:b/>
                <w:color w:val="000000" w:themeColor="text1"/>
                <w:szCs w:val="24"/>
              </w:rPr>
            </w:pPr>
          </w:p>
          <w:p w14:paraId="2FF3678A" w14:textId="77777777" w:rsidR="001B4ED5" w:rsidRPr="00895D0B" w:rsidRDefault="006B41C0" w:rsidP="00B32198">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Sources of Animal Feed </w:t>
            </w:r>
          </w:p>
        </w:tc>
      </w:tr>
      <w:tr w:rsidR="00895D0B" w:rsidRPr="00895D0B" w14:paraId="7FB7843F" w14:textId="77777777">
        <w:trPr>
          <w:cantSplit/>
          <w:trHeight w:val="313"/>
        </w:trPr>
        <w:tc>
          <w:tcPr>
            <w:tcW w:w="4017" w:type="dxa"/>
            <w:shd w:val="clear" w:color="auto" w:fill="FFFFFF"/>
            <w:vAlign w:val="center"/>
          </w:tcPr>
          <w:p w14:paraId="1E8EDA4D" w14:textId="77777777" w:rsidR="001B4ED5" w:rsidRPr="00895D0B" w:rsidRDefault="006B41C0"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Own feed</w:t>
            </w:r>
          </w:p>
        </w:tc>
        <w:tc>
          <w:tcPr>
            <w:tcW w:w="1609" w:type="dxa"/>
            <w:shd w:val="clear" w:color="auto" w:fill="FFFFFF"/>
            <w:vAlign w:val="center"/>
          </w:tcPr>
          <w:p w14:paraId="69597C69"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69</w:t>
            </w:r>
          </w:p>
        </w:tc>
        <w:tc>
          <w:tcPr>
            <w:tcW w:w="2574" w:type="dxa"/>
            <w:shd w:val="clear" w:color="auto" w:fill="FFFFFF"/>
            <w:vAlign w:val="center"/>
          </w:tcPr>
          <w:p w14:paraId="2906AA14"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36.1</w:t>
            </w:r>
          </w:p>
        </w:tc>
      </w:tr>
      <w:tr w:rsidR="00895D0B" w:rsidRPr="00895D0B" w14:paraId="46279F16" w14:textId="77777777">
        <w:trPr>
          <w:cantSplit/>
          <w:trHeight w:val="313"/>
        </w:trPr>
        <w:tc>
          <w:tcPr>
            <w:tcW w:w="4017" w:type="dxa"/>
            <w:shd w:val="clear" w:color="auto" w:fill="FFFFFF"/>
            <w:vAlign w:val="center"/>
          </w:tcPr>
          <w:p w14:paraId="3E5973ED" w14:textId="77777777" w:rsidR="001B4ED5" w:rsidRPr="00895D0B" w:rsidRDefault="006B41C0"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Buy from the Market </w:t>
            </w:r>
          </w:p>
        </w:tc>
        <w:tc>
          <w:tcPr>
            <w:tcW w:w="1609" w:type="dxa"/>
            <w:shd w:val="clear" w:color="auto" w:fill="FFFFFF"/>
            <w:vAlign w:val="center"/>
          </w:tcPr>
          <w:p w14:paraId="08C11B80"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87</w:t>
            </w:r>
          </w:p>
        </w:tc>
        <w:tc>
          <w:tcPr>
            <w:tcW w:w="2574" w:type="dxa"/>
            <w:shd w:val="clear" w:color="auto" w:fill="FFFFFF"/>
            <w:vAlign w:val="center"/>
          </w:tcPr>
          <w:p w14:paraId="7348AD27"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45.5</w:t>
            </w:r>
          </w:p>
        </w:tc>
      </w:tr>
      <w:tr w:rsidR="00895D0B" w:rsidRPr="00895D0B" w14:paraId="547E202A" w14:textId="77777777">
        <w:trPr>
          <w:cantSplit/>
          <w:trHeight w:val="328"/>
        </w:trPr>
        <w:tc>
          <w:tcPr>
            <w:tcW w:w="4017" w:type="dxa"/>
            <w:shd w:val="clear" w:color="auto" w:fill="FFFFFF"/>
            <w:vAlign w:val="center"/>
          </w:tcPr>
          <w:p w14:paraId="790EFAD0" w14:textId="77777777" w:rsidR="001B4ED5" w:rsidRPr="00895D0B" w:rsidRDefault="006B41C0"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Gift from Friends/Relatives </w:t>
            </w:r>
          </w:p>
        </w:tc>
        <w:tc>
          <w:tcPr>
            <w:tcW w:w="1609" w:type="dxa"/>
            <w:shd w:val="clear" w:color="auto" w:fill="FFFFFF"/>
            <w:vAlign w:val="center"/>
          </w:tcPr>
          <w:p w14:paraId="4EB8E603"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35</w:t>
            </w:r>
          </w:p>
        </w:tc>
        <w:tc>
          <w:tcPr>
            <w:tcW w:w="2574" w:type="dxa"/>
            <w:shd w:val="clear" w:color="auto" w:fill="FFFFFF"/>
            <w:vAlign w:val="center"/>
          </w:tcPr>
          <w:p w14:paraId="265CE306"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18.4</w:t>
            </w:r>
          </w:p>
        </w:tc>
      </w:tr>
      <w:tr w:rsidR="00895D0B" w:rsidRPr="00895D0B" w14:paraId="3ED3A8DB" w14:textId="77777777">
        <w:trPr>
          <w:cantSplit/>
          <w:trHeight w:val="954"/>
        </w:trPr>
        <w:tc>
          <w:tcPr>
            <w:tcW w:w="8201" w:type="dxa"/>
            <w:gridSpan w:val="3"/>
            <w:shd w:val="clear" w:color="auto" w:fill="FFFFFF"/>
            <w:vAlign w:val="center"/>
          </w:tcPr>
          <w:p w14:paraId="05A4D3F0" w14:textId="77777777" w:rsidR="001B4ED5" w:rsidRPr="00895D0B" w:rsidRDefault="001B4ED5" w:rsidP="00B32198">
            <w:pPr>
              <w:autoSpaceDE w:val="0"/>
              <w:autoSpaceDN w:val="0"/>
              <w:adjustRightInd w:val="0"/>
              <w:spacing w:line="240" w:lineRule="auto"/>
              <w:rPr>
                <w:rFonts w:cs="Times New Roman"/>
                <w:b/>
                <w:color w:val="000000" w:themeColor="text1"/>
                <w:szCs w:val="24"/>
              </w:rPr>
            </w:pPr>
          </w:p>
          <w:p w14:paraId="1F634826" w14:textId="77777777" w:rsidR="001B4ED5" w:rsidRPr="00895D0B" w:rsidRDefault="006B41C0" w:rsidP="00B32198">
            <w:pPr>
              <w:autoSpaceDE w:val="0"/>
              <w:autoSpaceDN w:val="0"/>
              <w:adjustRightInd w:val="0"/>
              <w:spacing w:line="240" w:lineRule="auto"/>
              <w:rPr>
                <w:rFonts w:cs="Times New Roman"/>
                <w:b/>
                <w:color w:val="000000" w:themeColor="text1"/>
                <w:szCs w:val="24"/>
              </w:rPr>
            </w:pPr>
            <w:r w:rsidRPr="00895D0B">
              <w:rPr>
                <w:rFonts w:cs="Times New Roman"/>
                <w:b/>
                <w:color w:val="000000" w:themeColor="text1"/>
                <w:szCs w:val="24"/>
              </w:rPr>
              <w:t xml:space="preserve">Animal production level in urban farming </w:t>
            </w:r>
          </w:p>
        </w:tc>
      </w:tr>
      <w:tr w:rsidR="00895D0B" w:rsidRPr="00895D0B" w14:paraId="1D183646" w14:textId="77777777">
        <w:trPr>
          <w:cantSplit/>
          <w:trHeight w:val="313"/>
        </w:trPr>
        <w:tc>
          <w:tcPr>
            <w:tcW w:w="4017" w:type="dxa"/>
            <w:shd w:val="clear" w:color="auto" w:fill="FFFFFF"/>
            <w:vAlign w:val="center"/>
          </w:tcPr>
          <w:p w14:paraId="5901A53C" w14:textId="77777777" w:rsidR="001B4ED5" w:rsidRPr="00895D0B" w:rsidRDefault="006B41C0"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Good </w:t>
            </w:r>
          </w:p>
        </w:tc>
        <w:tc>
          <w:tcPr>
            <w:tcW w:w="1609" w:type="dxa"/>
            <w:shd w:val="clear" w:color="auto" w:fill="FFFFFF"/>
            <w:vAlign w:val="center"/>
          </w:tcPr>
          <w:p w14:paraId="2F2CDA2C"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63</w:t>
            </w:r>
          </w:p>
        </w:tc>
        <w:tc>
          <w:tcPr>
            <w:tcW w:w="2574" w:type="dxa"/>
            <w:shd w:val="clear" w:color="auto" w:fill="FFFFFF"/>
            <w:vAlign w:val="center"/>
          </w:tcPr>
          <w:p w14:paraId="66BA889F"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32.9</w:t>
            </w:r>
          </w:p>
        </w:tc>
      </w:tr>
      <w:tr w:rsidR="00895D0B" w:rsidRPr="00895D0B" w14:paraId="4BDDB44E" w14:textId="77777777">
        <w:trPr>
          <w:cantSplit/>
          <w:trHeight w:val="313"/>
        </w:trPr>
        <w:tc>
          <w:tcPr>
            <w:tcW w:w="4017" w:type="dxa"/>
            <w:shd w:val="clear" w:color="auto" w:fill="FFFFFF"/>
            <w:vAlign w:val="center"/>
          </w:tcPr>
          <w:p w14:paraId="44E6CE3B" w14:textId="77777777" w:rsidR="001B4ED5" w:rsidRPr="00895D0B" w:rsidRDefault="006B41C0"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Average </w:t>
            </w:r>
          </w:p>
        </w:tc>
        <w:tc>
          <w:tcPr>
            <w:tcW w:w="1609" w:type="dxa"/>
            <w:shd w:val="clear" w:color="auto" w:fill="FFFFFF"/>
            <w:vAlign w:val="center"/>
          </w:tcPr>
          <w:p w14:paraId="65828D1D"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86</w:t>
            </w:r>
          </w:p>
        </w:tc>
        <w:tc>
          <w:tcPr>
            <w:tcW w:w="2574" w:type="dxa"/>
            <w:shd w:val="clear" w:color="auto" w:fill="FFFFFF"/>
            <w:vAlign w:val="center"/>
          </w:tcPr>
          <w:p w14:paraId="5C6C9003"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45.0</w:t>
            </w:r>
          </w:p>
        </w:tc>
      </w:tr>
      <w:tr w:rsidR="00895D0B" w:rsidRPr="00895D0B" w14:paraId="332BAA21" w14:textId="77777777">
        <w:trPr>
          <w:cantSplit/>
          <w:trHeight w:val="313"/>
        </w:trPr>
        <w:tc>
          <w:tcPr>
            <w:tcW w:w="4017" w:type="dxa"/>
            <w:tcBorders>
              <w:bottom w:val="single" w:sz="4" w:space="0" w:color="auto"/>
            </w:tcBorders>
            <w:shd w:val="clear" w:color="auto" w:fill="FFFFFF"/>
            <w:vAlign w:val="center"/>
          </w:tcPr>
          <w:p w14:paraId="135AFFC9" w14:textId="48EEED56" w:rsidR="001B4ED5" w:rsidRPr="00895D0B" w:rsidRDefault="002C6658"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0</w:t>
            </w:r>
            <w:r w:rsidR="006B41C0" w:rsidRPr="00895D0B">
              <w:rPr>
                <w:rFonts w:cs="Times New Roman"/>
                <w:color w:val="000000" w:themeColor="text1"/>
                <w:szCs w:val="24"/>
              </w:rPr>
              <w:t>Not good</w:t>
            </w:r>
          </w:p>
        </w:tc>
        <w:tc>
          <w:tcPr>
            <w:tcW w:w="1609" w:type="dxa"/>
            <w:tcBorders>
              <w:bottom w:val="single" w:sz="4" w:space="0" w:color="auto"/>
            </w:tcBorders>
            <w:shd w:val="clear" w:color="auto" w:fill="FFFFFF"/>
            <w:vAlign w:val="center"/>
          </w:tcPr>
          <w:p w14:paraId="251387A1"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42</w:t>
            </w:r>
          </w:p>
        </w:tc>
        <w:tc>
          <w:tcPr>
            <w:tcW w:w="2574" w:type="dxa"/>
            <w:tcBorders>
              <w:bottom w:val="single" w:sz="4" w:space="0" w:color="auto"/>
            </w:tcBorders>
            <w:shd w:val="clear" w:color="auto" w:fill="FFFFFF"/>
            <w:vAlign w:val="center"/>
          </w:tcPr>
          <w:p w14:paraId="7946FB82" w14:textId="77777777" w:rsidR="001B4ED5" w:rsidRPr="00895D0B" w:rsidRDefault="006B41C0"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22.1</w:t>
            </w:r>
          </w:p>
        </w:tc>
      </w:tr>
    </w:tbl>
    <w:p w14:paraId="2D2A903A" w14:textId="77777777" w:rsidR="001B4ED5" w:rsidRDefault="006B41C0">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68C8B0B6" w14:textId="77777777" w:rsidR="009864E3" w:rsidRPr="00895D0B" w:rsidRDefault="009864E3" w:rsidP="009864E3">
      <w:pPr>
        <w:pStyle w:val="NoSpacing"/>
      </w:pPr>
    </w:p>
    <w:p w14:paraId="03A09160" w14:textId="77777777" w:rsidR="00146590" w:rsidRPr="00895D0B" w:rsidRDefault="00146590" w:rsidP="00146590">
      <w:pPr>
        <w:spacing w:line="360" w:lineRule="auto"/>
        <w:rPr>
          <w:rFonts w:eastAsia="Times New Roman" w:cs="Times New Roman"/>
          <w:color w:val="000000" w:themeColor="text1"/>
          <w:szCs w:val="24"/>
          <w:lang w:eastAsia="en-GB"/>
        </w:rPr>
      </w:pPr>
      <w:bookmarkStart w:id="176" w:name="_Toc148890706"/>
      <w:r w:rsidRPr="00895D0B">
        <w:rPr>
          <w:rFonts w:eastAsia="Times New Roman" w:cs="Times New Roman"/>
          <w:color w:val="000000" w:themeColor="text1"/>
          <w:szCs w:val="24"/>
          <w:lang w:eastAsia="en-GB"/>
        </w:rPr>
        <w:t>In the same way, 93.2% of urban farmers often give their animals pills as a way of treating them. This is statistically significant (p-value = 0.001 &gt; 0.05). This shows a strong interrelationship between farmers' choice of treatment methods using pills and adapting animals to climate change effects (Cramer’s V = 0.296 &gt; 0.25). Similarly, 95.2% of animal farmers very often disinfect their animal pens to protect animals against disease infections. This is statistically significant (p-value = 0.014 &lt; 0.05). This also appears to present a very strong interrelationship between the disinfection of animal pens as a treatment method and adapting animals to climatic effects (Cramer’s V = 0.204 &lt; 0.25) (</w:t>
      </w:r>
      <w:r w:rsidRPr="00895D0B">
        <w:rPr>
          <w:rFonts w:eastAsia="Times New Roman" w:cs="Times New Roman"/>
          <w:i/>
          <w:iCs/>
          <w:color w:val="000000" w:themeColor="text1"/>
          <w:szCs w:val="24"/>
          <w:lang w:eastAsia="en-GB"/>
        </w:rPr>
        <w:t>see Table 7.6</w:t>
      </w:r>
      <w:r w:rsidRPr="00895D0B">
        <w:rPr>
          <w:rFonts w:eastAsia="Times New Roman" w:cs="Times New Roman"/>
          <w:color w:val="000000" w:themeColor="text1"/>
          <w:szCs w:val="24"/>
          <w:lang w:eastAsia="en-GB"/>
        </w:rPr>
        <w:t>).</w:t>
      </w:r>
    </w:p>
    <w:p w14:paraId="41F5C73F" w14:textId="77777777" w:rsidR="00146590" w:rsidRPr="00895D0B" w:rsidRDefault="00146590" w:rsidP="009864E3">
      <w:pPr>
        <w:pStyle w:val="NoSpacing"/>
        <w:rPr>
          <w:lang w:eastAsia="en-GB"/>
        </w:rPr>
      </w:pPr>
      <w:r w:rsidRPr="00895D0B">
        <w:rPr>
          <w:lang w:eastAsia="en-GB"/>
        </w:rPr>
        <w:t> </w:t>
      </w:r>
    </w:p>
    <w:p w14:paraId="0CE99EA5" w14:textId="709598C0" w:rsidR="00146590" w:rsidRDefault="00146590" w:rsidP="00146590">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Again, 93.6% of urban farmers say they very often treat their animals by spraying them with insecticides. Urban farmers spraying their animals with insecticides as a way of keeping them healthy is statistically significant (p-value = 0.015 &lt; 0.05). </w:t>
      </w:r>
    </w:p>
    <w:p w14:paraId="3742EB39" w14:textId="77777777" w:rsidR="009864E3" w:rsidRDefault="009864E3" w:rsidP="00146590">
      <w:pPr>
        <w:spacing w:line="360" w:lineRule="auto"/>
        <w:rPr>
          <w:rFonts w:eastAsia="Times New Roman" w:cs="Times New Roman"/>
          <w:color w:val="000000" w:themeColor="text1"/>
          <w:szCs w:val="24"/>
          <w:lang w:eastAsia="en-GB"/>
        </w:rPr>
      </w:pPr>
    </w:p>
    <w:p w14:paraId="3E7DE6E5" w14:textId="77777777" w:rsidR="009864E3" w:rsidRDefault="009864E3" w:rsidP="00146590">
      <w:pPr>
        <w:spacing w:line="360" w:lineRule="auto"/>
        <w:rPr>
          <w:rFonts w:eastAsia="Times New Roman" w:cs="Times New Roman"/>
          <w:color w:val="000000" w:themeColor="text1"/>
          <w:szCs w:val="24"/>
          <w:lang w:eastAsia="en-GB"/>
        </w:rPr>
      </w:pPr>
    </w:p>
    <w:p w14:paraId="17F84811" w14:textId="77777777" w:rsidR="009864E3" w:rsidRPr="00895D0B" w:rsidRDefault="009864E3" w:rsidP="00146590">
      <w:pPr>
        <w:spacing w:line="360" w:lineRule="auto"/>
        <w:rPr>
          <w:rFonts w:eastAsia="Times New Roman" w:cs="Times New Roman"/>
          <w:color w:val="000000" w:themeColor="text1"/>
          <w:szCs w:val="24"/>
          <w:lang w:eastAsia="en-GB"/>
        </w:rPr>
      </w:pPr>
    </w:p>
    <w:p w14:paraId="3611DEA2" w14:textId="77777777" w:rsidR="00524E2D" w:rsidRPr="00895D0B" w:rsidRDefault="00524E2D" w:rsidP="00146590">
      <w:pPr>
        <w:spacing w:line="360" w:lineRule="auto"/>
        <w:rPr>
          <w:rFonts w:eastAsia="Times New Roman" w:cs="Times New Roman"/>
          <w:color w:val="000000" w:themeColor="text1"/>
          <w:szCs w:val="24"/>
          <w:lang w:eastAsia="en-GB"/>
        </w:rPr>
      </w:pPr>
    </w:p>
    <w:p w14:paraId="77BD5095" w14:textId="69914FFE" w:rsidR="001B4ED5" w:rsidRPr="00895D0B" w:rsidRDefault="006B41C0" w:rsidP="009864E3">
      <w:pPr>
        <w:pStyle w:val="Heading6"/>
      </w:pPr>
      <w:bookmarkStart w:id="177" w:name="_Toc167368601"/>
      <w:r w:rsidRPr="00895D0B">
        <w:lastRenderedPageBreak/>
        <w:t>Table 7.</w:t>
      </w:r>
      <w:r w:rsidR="00895D0B" w:rsidRPr="00895D0B">
        <w:fldChar w:fldCharType="begin"/>
      </w:r>
      <w:r w:rsidR="00895D0B" w:rsidRPr="00895D0B">
        <w:instrText xml:space="preserve"> SEQ Table_7._ \* ARABIC </w:instrText>
      </w:r>
      <w:r w:rsidR="00895D0B" w:rsidRPr="00895D0B">
        <w:fldChar w:fldCharType="separate"/>
      </w:r>
      <w:r w:rsidR="0026489B">
        <w:rPr>
          <w:noProof/>
        </w:rPr>
        <w:t>3</w:t>
      </w:r>
      <w:r w:rsidR="00895D0B" w:rsidRPr="00895D0B">
        <w:fldChar w:fldCharType="end"/>
      </w:r>
      <w:r w:rsidRPr="00895D0B">
        <w:t>: Methods and Sources of Treat</w:t>
      </w:r>
      <w:r w:rsidR="004B2BFC" w:rsidRPr="00895D0B">
        <w:t>ing Urban Livestock</w:t>
      </w:r>
      <w:r w:rsidRPr="00895D0B">
        <w:t>.</w:t>
      </w:r>
      <w:bookmarkEnd w:id="176"/>
      <w:bookmarkEnd w:id="177"/>
    </w:p>
    <w:tbl>
      <w:tblPr>
        <w:tblW w:w="9180" w:type="dxa"/>
        <w:tblLayout w:type="fixed"/>
        <w:tblLook w:val="04A0" w:firstRow="1" w:lastRow="0" w:firstColumn="1" w:lastColumn="0" w:noHBand="0" w:noVBand="1"/>
      </w:tblPr>
      <w:tblGrid>
        <w:gridCol w:w="1560"/>
        <w:gridCol w:w="1191"/>
        <w:gridCol w:w="368"/>
        <w:gridCol w:w="1559"/>
        <w:gridCol w:w="1559"/>
        <w:gridCol w:w="1418"/>
        <w:gridCol w:w="1525"/>
      </w:tblGrid>
      <w:tr w:rsidR="00895D0B" w:rsidRPr="00A213F7" w14:paraId="20566411" w14:textId="77777777" w:rsidTr="00166F50">
        <w:tc>
          <w:tcPr>
            <w:tcW w:w="2751" w:type="dxa"/>
            <w:gridSpan w:val="2"/>
            <w:tcBorders>
              <w:top w:val="single" w:sz="4" w:space="0" w:color="auto"/>
              <w:bottom w:val="single" w:sz="4" w:space="0" w:color="auto"/>
            </w:tcBorders>
          </w:tcPr>
          <w:p w14:paraId="34C94F47" w14:textId="1814933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 xml:space="preserve">Treatment of </w:t>
            </w:r>
            <w:r w:rsidR="004B2BFC" w:rsidRPr="00A213F7">
              <w:rPr>
                <w:rFonts w:cs="Times New Roman"/>
                <w:b/>
                <w:color w:val="000000" w:themeColor="text1"/>
                <w:szCs w:val="24"/>
              </w:rPr>
              <w:t xml:space="preserve">livestock </w:t>
            </w:r>
          </w:p>
        </w:tc>
        <w:tc>
          <w:tcPr>
            <w:tcW w:w="3486" w:type="dxa"/>
            <w:gridSpan w:val="3"/>
            <w:tcBorders>
              <w:top w:val="single" w:sz="4" w:space="0" w:color="auto"/>
              <w:bottom w:val="single" w:sz="4" w:space="0" w:color="auto"/>
            </w:tcBorders>
          </w:tcPr>
          <w:p w14:paraId="29F3270B"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Frequency</w:t>
            </w:r>
          </w:p>
        </w:tc>
        <w:tc>
          <w:tcPr>
            <w:tcW w:w="2943" w:type="dxa"/>
            <w:gridSpan w:val="2"/>
            <w:tcBorders>
              <w:top w:val="single" w:sz="4" w:space="0" w:color="auto"/>
              <w:bottom w:val="single" w:sz="4" w:space="0" w:color="auto"/>
            </w:tcBorders>
          </w:tcPr>
          <w:p w14:paraId="702D9913"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Percent</w:t>
            </w:r>
          </w:p>
        </w:tc>
      </w:tr>
      <w:tr w:rsidR="00895D0B" w:rsidRPr="00A213F7" w14:paraId="312CA493" w14:textId="77777777" w:rsidTr="00166F50">
        <w:tc>
          <w:tcPr>
            <w:tcW w:w="2751" w:type="dxa"/>
            <w:gridSpan w:val="2"/>
            <w:tcBorders>
              <w:top w:val="single" w:sz="4" w:space="0" w:color="auto"/>
            </w:tcBorders>
          </w:tcPr>
          <w:p w14:paraId="2D49A4E3"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Yes </w:t>
            </w:r>
          </w:p>
        </w:tc>
        <w:tc>
          <w:tcPr>
            <w:tcW w:w="3486" w:type="dxa"/>
            <w:gridSpan w:val="3"/>
            <w:tcBorders>
              <w:top w:val="single" w:sz="4" w:space="0" w:color="auto"/>
            </w:tcBorders>
          </w:tcPr>
          <w:p w14:paraId="7D476197"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161</w:t>
            </w:r>
          </w:p>
        </w:tc>
        <w:tc>
          <w:tcPr>
            <w:tcW w:w="2943" w:type="dxa"/>
            <w:gridSpan w:val="2"/>
            <w:tcBorders>
              <w:top w:val="single" w:sz="4" w:space="0" w:color="auto"/>
            </w:tcBorders>
          </w:tcPr>
          <w:p w14:paraId="3677E8D9"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84.2</w:t>
            </w:r>
          </w:p>
        </w:tc>
      </w:tr>
      <w:tr w:rsidR="00895D0B" w:rsidRPr="00A213F7" w14:paraId="4EC006CA" w14:textId="77777777" w:rsidTr="00166F50">
        <w:tc>
          <w:tcPr>
            <w:tcW w:w="2751" w:type="dxa"/>
            <w:gridSpan w:val="2"/>
          </w:tcPr>
          <w:p w14:paraId="18B269C8"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No </w:t>
            </w:r>
          </w:p>
        </w:tc>
        <w:tc>
          <w:tcPr>
            <w:tcW w:w="3486" w:type="dxa"/>
            <w:gridSpan w:val="3"/>
          </w:tcPr>
          <w:p w14:paraId="0F90D0FC"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30</w:t>
            </w:r>
          </w:p>
        </w:tc>
        <w:tc>
          <w:tcPr>
            <w:tcW w:w="2943" w:type="dxa"/>
            <w:gridSpan w:val="2"/>
          </w:tcPr>
          <w:p w14:paraId="41AE1748"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15.8</w:t>
            </w:r>
          </w:p>
        </w:tc>
      </w:tr>
      <w:tr w:rsidR="00895D0B" w:rsidRPr="00A213F7" w14:paraId="23639442" w14:textId="77777777" w:rsidTr="00166F50">
        <w:tc>
          <w:tcPr>
            <w:tcW w:w="2751" w:type="dxa"/>
            <w:gridSpan w:val="2"/>
            <w:tcBorders>
              <w:bottom w:val="single" w:sz="4" w:space="0" w:color="auto"/>
            </w:tcBorders>
          </w:tcPr>
          <w:p w14:paraId="37D140DC" w14:textId="7777777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 xml:space="preserve">Total </w:t>
            </w:r>
          </w:p>
        </w:tc>
        <w:tc>
          <w:tcPr>
            <w:tcW w:w="3486" w:type="dxa"/>
            <w:gridSpan w:val="3"/>
            <w:tcBorders>
              <w:bottom w:val="single" w:sz="4" w:space="0" w:color="auto"/>
            </w:tcBorders>
          </w:tcPr>
          <w:p w14:paraId="71B20AB7"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191</w:t>
            </w:r>
          </w:p>
        </w:tc>
        <w:tc>
          <w:tcPr>
            <w:tcW w:w="2943" w:type="dxa"/>
            <w:gridSpan w:val="2"/>
            <w:tcBorders>
              <w:bottom w:val="single" w:sz="4" w:space="0" w:color="auto"/>
            </w:tcBorders>
          </w:tcPr>
          <w:p w14:paraId="565203AB"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100.0</w:t>
            </w:r>
          </w:p>
        </w:tc>
      </w:tr>
      <w:tr w:rsidR="00895D0B" w:rsidRPr="00A213F7" w14:paraId="643F0953" w14:textId="77777777" w:rsidTr="00166F50">
        <w:tc>
          <w:tcPr>
            <w:tcW w:w="9180" w:type="dxa"/>
            <w:gridSpan w:val="7"/>
            <w:tcBorders>
              <w:top w:val="single" w:sz="4" w:space="0" w:color="auto"/>
            </w:tcBorders>
          </w:tcPr>
          <w:p w14:paraId="0AAB2F37" w14:textId="7777777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 xml:space="preserve">Type of treatment given to farm animals </w:t>
            </w:r>
          </w:p>
        </w:tc>
      </w:tr>
      <w:tr w:rsidR="00A213F7" w:rsidRPr="00A213F7" w14:paraId="0BF68E02" w14:textId="77777777" w:rsidTr="00166F50">
        <w:tc>
          <w:tcPr>
            <w:tcW w:w="1560" w:type="dxa"/>
          </w:tcPr>
          <w:p w14:paraId="6155A5C5"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b/>
                <w:color w:val="000000" w:themeColor="text1"/>
                <w:szCs w:val="24"/>
              </w:rPr>
              <w:t xml:space="preserve">Vaccinating </w:t>
            </w:r>
          </w:p>
        </w:tc>
        <w:tc>
          <w:tcPr>
            <w:tcW w:w="1559" w:type="dxa"/>
            <w:gridSpan w:val="2"/>
            <w:tcBorders>
              <w:top w:val="single" w:sz="4" w:space="0" w:color="auto"/>
              <w:bottom w:val="single" w:sz="4" w:space="0" w:color="auto"/>
            </w:tcBorders>
          </w:tcPr>
          <w:p w14:paraId="2DC550A2" w14:textId="77777777" w:rsidR="001B4ED5" w:rsidRPr="00A213F7" w:rsidRDefault="006B41C0" w:rsidP="00A213F7">
            <w:pPr>
              <w:autoSpaceDE w:val="0"/>
              <w:autoSpaceDN w:val="0"/>
              <w:adjustRightInd w:val="0"/>
              <w:spacing w:line="240" w:lineRule="auto"/>
              <w:jc w:val="center"/>
              <w:rPr>
                <w:rFonts w:cs="Times New Roman"/>
                <w:i/>
                <w:color w:val="000000" w:themeColor="text1"/>
                <w:szCs w:val="24"/>
              </w:rPr>
            </w:pPr>
            <w:r w:rsidRPr="00A213F7">
              <w:rPr>
                <w:rFonts w:cs="Times New Roman"/>
                <w:i/>
                <w:color w:val="000000" w:themeColor="text1"/>
                <w:szCs w:val="24"/>
              </w:rPr>
              <w:t>Very often</w:t>
            </w:r>
          </w:p>
        </w:tc>
        <w:tc>
          <w:tcPr>
            <w:tcW w:w="1559" w:type="dxa"/>
            <w:tcBorders>
              <w:top w:val="single" w:sz="4" w:space="0" w:color="auto"/>
              <w:bottom w:val="single" w:sz="4" w:space="0" w:color="auto"/>
            </w:tcBorders>
          </w:tcPr>
          <w:p w14:paraId="05B31712" w14:textId="77777777" w:rsidR="001B4ED5" w:rsidRPr="00A213F7" w:rsidRDefault="006B41C0" w:rsidP="00A213F7">
            <w:pPr>
              <w:autoSpaceDE w:val="0"/>
              <w:autoSpaceDN w:val="0"/>
              <w:adjustRightInd w:val="0"/>
              <w:spacing w:line="240" w:lineRule="auto"/>
              <w:jc w:val="center"/>
              <w:rPr>
                <w:rFonts w:cs="Times New Roman"/>
                <w:i/>
                <w:color w:val="000000" w:themeColor="text1"/>
                <w:szCs w:val="24"/>
              </w:rPr>
            </w:pPr>
            <w:r w:rsidRPr="00A213F7">
              <w:rPr>
                <w:rFonts w:cs="Times New Roman"/>
                <w:i/>
                <w:color w:val="000000" w:themeColor="text1"/>
                <w:szCs w:val="24"/>
              </w:rPr>
              <w:t>Often</w:t>
            </w:r>
          </w:p>
        </w:tc>
        <w:tc>
          <w:tcPr>
            <w:tcW w:w="1559" w:type="dxa"/>
            <w:tcBorders>
              <w:top w:val="single" w:sz="4" w:space="0" w:color="auto"/>
              <w:bottom w:val="single" w:sz="4" w:space="0" w:color="auto"/>
            </w:tcBorders>
          </w:tcPr>
          <w:p w14:paraId="4288B434" w14:textId="77777777" w:rsidR="001B4ED5" w:rsidRPr="00A213F7" w:rsidRDefault="006B41C0" w:rsidP="00A213F7">
            <w:pPr>
              <w:autoSpaceDE w:val="0"/>
              <w:autoSpaceDN w:val="0"/>
              <w:adjustRightInd w:val="0"/>
              <w:spacing w:line="240" w:lineRule="auto"/>
              <w:jc w:val="center"/>
              <w:rPr>
                <w:rFonts w:cs="Times New Roman"/>
                <w:i/>
                <w:color w:val="000000" w:themeColor="text1"/>
                <w:szCs w:val="24"/>
              </w:rPr>
            </w:pPr>
            <w:r w:rsidRPr="00A213F7">
              <w:rPr>
                <w:rFonts w:cs="Times New Roman"/>
                <w:i/>
                <w:color w:val="000000" w:themeColor="text1"/>
                <w:szCs w:val="24"/>
              </w:rPr>
              <w:t>Sometimes</w:t>
            </w:r>
          </w:p>
        </w:tc>
        <w:tc>
          <w:tcPr>
            <w:tcW w:w="1418" w:type="dxa"/>
            <w:tcBorders>
              <w:top w:val="single" w:sz="4" w:space="0" w:color="auto"/>
              <w:bottom w:val="single" w:sz="4" w:space="0" w:color="auto"/>
            </w:tcBorders>
          </w:tcPr>
          <w:p w14:paraId="1175FE3E" w14:textId="77777777" w:rsidR="001B4ED5" w:rsidRPr="00A213F7" w:rsidRDefault="006B41C0" w:rsidP="00A213F7">
            <w:pPr>
              <w:autoSpaceDE w:val="0"/>
              <w:autoSpaceDN w:val="0"/>
              <w:adjustRightInd w:val="0"/>
              <w:spacing w:line="240" w:lineRule="auto"/>
              <w:jc w:val="center"/>
              <w:rPr>
                <w:rFonts w:cs="Times New Roman"/>
                <w:i/>
                <w:color w:val="000000" w:themeColor="text1"/>
                <w:szCs w:val="24"/>
              </w:rPr>
            </w:pPr>
            <w:r w:rsidRPr="00A213F7">
              <w:rPr>
                <w:rFonts w:cs="Times New Roman"/>
                <w:i/>
                <w:color w:val="000000" w:themeColor="text1"/>
                <w:szCs w:val="24"/>
              </w:rPr>
              <w:t>Not at all</w:t>
            </w:r>
          </w:p>
        </w:tc>
        <w:tc>
          <w:tcPr>
            <w:tcW w:w="1525" w:type="dxa"/>
            <w:tcBorders>
              <w:top w:val="single" w:sz="4" w:space="0" w:color="auto"/>
              <w:bottom w:val="single" w:sz="4" w:space="0" w:color="auto"/>
            </w:tcBorders>
          </w:tcPr>
          <w:p w14:paraId="76A751B5" w14:textId="77777777" w:rsidR="001B4ED5" w:rsidRPr="00A213F7" w:rsidRDefault="006B41C0" w:rsidP="00A213F7">
            <w:pPr>
              <w:autoSpaceDE w:val="0"/>
              <w:autoSpaceDN w:val="0"/>
              <w:adjustRightInd w:val="0"/>
              <w:spacing w:line="240" w:lineRule="auto"/>
              <w:jc w:val="center"/>
              <w:rPr>
                <w:rFonts w:cs="Times New Roman"/>
                <w:i/>
                <w:color w:val="000000" w:themeColor="text1"/>
                <w:szCs w:val="24"/>
              </w:rPr>
            </w:pPr>
            <w:r w:rsidRPr="00A213F7">
              <w:rPr>
                <w:rFonts w:cs="Times New Roman"/>
                <w:i/>
                <w:color w:val="000000" w:themeColor="text1"/>
                <w:szCs w:val="24"/>
              </w:rPr>
              <w:t>Total</w:t>
            </w:r>
          </w:p>
        </w:tc>
      </w:tr>
      <w:tr w:rsidR="00A213F7" w:rsidRPr="00A213F7" w14:paraId="14A66184" w14:textId="77777777" w:rsidTr="00166F50">
        <w:tc>
          <w:tcPr>
            <w:tcW w:w="1560" w:type="dxa"/>
            <w:tcBorders>
              <w:top w:val="single" w:sz="4" w:space="0" w:color="auto"/>
            </w:tcBorders>
          </w:tcPr>
          <w:p w14:paraId="0CB2A2F2"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Yes </w:t>
            </w:r>
          </w:p>
        </w:tc>
        <w:tc>
          <w:tcPr>
            <w:tcW w:w="1559" w:type="dxa"/>
            <w:gridSpan w:val="2"/>
            <w:tcBorders>
              <w:top w:val="single" w:sz="4" w:space="0" w:color="auto"/>
            </w:tcBorders>
          </w:tcPr>
          <w:p w14:paraId="3C21C494"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57(91.1%)</w:t>
            </w:r>
          </w:p>
        </w:tc>
        <w:tc>
          <w:tcPr>
            <w:tcW w:w="1559" w:type="dxa"/>
            <w:tcBorders>
              <w:top w:val="single" w:sz="4" w:space="0" w:color="auto"/>
            </w:tcBorders>
          </w:tcPr>
          <w:p w14:paraId="767F311D"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58(79.5%)</w:t>
            </w:r>
          </w:p>
        </w:tc>
        <w:tc>
          <w:tcPr>
            <w:tcW w:w="1559" w:type="dxa"/>
            <w:tcBorders>
              <w:top w:val="single" w:sz="4" w:space="0" w:color="auto"/>
            </w:tcBorders>
          </w:tcPr>
          <w:p w14:paraId="088C0D17"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44(81.5%)</w:t>
            </w:r>
          </w:p>
        </w:tc>
        <w:tc>
          <w:tcPr>
            <w:tcW w:w="1418" w:type="dxa"/>
            <w:tcBorders>
              <w:top w:val="single" w:sz="4" w:space="0" w:color="auto"/>
            </w:tcBorders>
          </w:tcPr>
          <w:p w14:paraId="7FDEE007"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2(100.0%)</w:t>
            </w:r>
          </w:p>
        </w:tc>
        <w:tc>
          <w:tcPr>
            <w:tcW w:w="1525" w:type="dxa"/>
            <w:tcBorders>
              <w:top w:val="single" w:sz="4" w:space="0" w:color="auto"/>
            </w:tcBorders>
          </w:tcPr>
          <w:p w14:paraId="244560FC"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161(83.3%)</w:t>
            </w:r>
          </w:p>
        </w:tc>
      </w:tr>
      <w:tr w:rsidR="00A213F7" w:rsidRPr="00A213F7" w14:paraId="67BD6837" w14:textId="77777777" w:rsidTr="00166F50">
        <w:tc>
          <w:tcPr>
            <w:tcW w:w="1560" w:type="dxa"/>
          </w:tcPr>
          <w:p w14:paraId="4DF7C0BF"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No </w:t>
            </w:r>
          </w:p>
        </w:tc>
        <w:tc>
          <w:tcPr>
            <w:tcW w:w="1559" w:type="dxa"/>
            <w:gridSpan w:val="2"/>
          </w:tcPr>
          <w:p w14:paraId="34AA3747"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5(8.9%)</w:t>
            </w:r>
          </w:p>
        </w:tc>
        <w:tc>
          <w:tcPr>
            <w:tcW w:w="1559" w:type="dxa"/>
          </w:tcPr>
          <w:p w14:paraId="01177B1C"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15(20.5)</w:t>
            </w:r>
          </w:p>
        </w:tc>
        <w:tc>
          <w:tcPr>
            <w:tcW w:w="1559" w:type="dxa"/>
          </w:tcPr>
          <w:p w14:paraId="7CDA8C41"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10(18.%%)</w:t>
            </w:r>
          </w:p>
        </w:tc>
        <w:tc>
          <w:tcPr>
            <w:tcW w:w="1418" w:type="dxa"/>
          </w:tcPr>
          <w:p w14:paraId="67438476"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0(0.0%)</w:t>
            </w:r>
          </w:p>
        </w:tc>
        <w:tc>
          <w:tcPr>
            <w:tcW w:w="1525" w:type="dxa"/>
          </w:tcPr>
          <w:p w14:paraId="243D88FF"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30(15.7%)</w:t>
            </w:r>
          </w:p>
        </w:tc>
      </w:tr>
      <w:tr w:rsidR="00A213F7" w:rsidRPr="00A213F7" w14:paraId="7EAB714D" w14:textId="77777777" w:rsidTr="00166F50">
        <w:tc>
          <w:tcPr>
            <w:tcW w:w="1560" w:type="dxa"/>
          </w:tcPr>
          <w:p w14:paraId="6853EE0E" w14:textId="7777777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 xml:space="preserve">Total </w:t>
            </w:r>
          </w:p>
        </w:tc>
        <w:tc>
          <w:tcPr>
            <w:tcW w:w="1559" w:type="dxa"/>
            <w:gridSpan w:val="2"/>
          </w:tcPr>
          <w:p w14:paraId="76E07463"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62(100.0%)</w:t>
            </w:r>
          </w:p>
        </w:tc>
        <w:tc>
          <w:tcPr>
            <w:tcW w:w="1559" w:type="dxa"/>
          </w:tcPr>
          <w:p w14:paraId="1BDDE9FC"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73(100.0%)</w:t>
            </w:r>
          </w:p>
        </w:tc>
        <w:tc>
          <w:tcPr>
            <w:tcW w:w="1559" w:type="dxa"/>
          </w:tcPr>
          <w:p w14:paraId="2B66314E"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54(100.0%)</w:t>
            </w:r>
          </w:p>
        </w:tc>
        <w:tc>
          <w:tcPr>
            <w:tcW w:w="1418" w:type="dxa"/>
            <w:vAlign w:val="center"/>
          </w:tcPr>
          <w:p w14:paraId="0A7E3F20" w14:textId="77777777" w:rsidR="001B4ED5" w:rsidRPr="00A213F7" w:rsidRDefault="006B41C0" w:rsidP="00A213F7">
            <w:pPr>
              <w:autoSpaceDE w:val="0"/>
              <w:autoSpaceDN w:val="0"/>
              <w:adjustRightInd w:val="0"/>
              <w:spacing w:line="240" w:lineRule="auto"/>
              <w:ind w:left="60" w:right="60"/>
              <w:jc w:val="center"/>
              <w:rPr>
                <w:rFonts w:cs="Times New Roman"/>
                <w:b/>
                <w:color w:val="000000" w:themeColor="text1"/>
                <w:szCs w:val="24"/>
              </w:rPr>
            </w:pPr>
            <w:r w:rsidRPr="00A213F7">
              <w:rPr>
                <w:rFonts w:cs="Times New Roman"/>
                <w:b/>
                <w:color w:val="000000" w:themeColor="text1"/>
                <w:szCs w:val="24"/>
              </w:rPr>
              <w:t>2(100.0%)</w:t>
            </w:r>
          </w:p>
        </w:tc>
        <w:tc>
          <w:tcPr>
            <w:tcW w:w="1525" w:type="dxa"/>
          </w:tcPr>
          <w:p w14:paraId="28487489"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191(100.0%)</w:t>
            </w:r>
          </w:p>
        </w:tc>
      </w:tr>
      <w:tr w:rsidR="00895D0B" w:rsidRPr="00A213F7" w14:paraId="6AFE8810" w14:textId="77777777" w:rsidTr="00166F50">
        <w:tc>
          <w:tcPr>
            <w:tcW w:w="9180" w:type="dxa"/>
            <w:gridSpan w:val="7"/>
            <w:tcBorders>
              <w:bottom w:val="single" w:sz="4" w:space="0" w:color="auto"/>
            </w:tcBorders>
          </w:tcPr>
          <w:p w14:paraId="12268665" w14:textId="77777777" w:rsidR="001B4ED5" w:rsidRPr="00A213F7" w:rsidRDefault="006B41C0" w:rsidP="00A213F7">
            <w:pPr>
              <w:autoSpaceDE w:val="0"/>
              <w:autoSpaceDN w:val="0"/>
              <w:adjustRightInd w:val="0"/>
              <w:spacing w:line="240" w:lineRule="auto"/>
              <w:ind w:right="60"/>
              <w:rPr>
                <w:rFonts w:cs="Times New Roman"/>
                <w:color w:val="000000" w:themeColor="text1"/>
                <w:szCs w:val="24"/>
              </w:rPr>
            </w:pPr>
            <m:oMath>
              <m:r>
                <w:rPr>
                  <w:rFonts w:ascii="Cambria Math" w:hAnsi="Cambria Math" w:cs="Times New Roman"/>
                  <w:color w:val="000000" w:themeColor="text1"/>
                  <w:szCs w:val="24"/>
                  <w:lang w:bidi="en-US"/>
                </w:rPr>
                <m:t xml:space="preserve">N=161,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m:t>
              </m:r>
              <m:r>
                <m:rPr>
                  <m:sty m:val="p"/>
                </m:rPr>
                <w:rPr>
                  <w:rFonts w:ascii="Cambria Math" w:hAnsi="Cambria Math" w:cs="Times New Roman"/>
                  <w:color w:val="000000" w:themeColor="text1"/>
                  <w:szCs w:val="24"/>
                </w:rPr>
                <m:t>23.435</m:t>
              </m:r>
              <m:r>
                <w:rPr>
                  <w:rFonts w:ascii="Cambria Math" w:hAnsi="Cambria Math" w:cs="Times New Roman"/>
                  <w:color w:val="000000" w:themeColor="text1"/>
                  <w:szCs w:val="24"/>
                  <w:lang w:bidi="en-US"/>
                </w:rPr>
                <m:t>, df=6, p= 0.001</m:t>
              </m:r>
            </m:oMath>
            <w:r w:rsidRPr="00A213F7">
              <w:rPr>
                <w:rFonts w:eastAsiaTheme="minorEastAsia" w:cs="Times New Roman"/>
                <w:color w:val="000000" w:themeColor="text1"/>
                <w:szCs w:val="24"/>
                <w:lang w:bidi="en-US"/>
              </w:rPr>
              <w:t xml:space="preserve"> and </w:t>
            </w:r>
            <m:oMath>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V=0.248</m:t>
              </m:r>
            </m:oMath>
          </w:p>
        </w:tc>
      </w:tr>
      <w:tr w:rsidR="00895D0B" w:rsidRPr="00A213F7" w14:paraId="18A0941A" w14:textId="77777777" w:rsidTr="00166F50">
        <w:tc>
          <w:tcPr>
            <w:tcW w:w="9180" w:type="dxa"/>
            <w:gridSpan w:val="7"/>
            <w:tcBorders>
              <w:top w:val="single" w:sz="4" w:space="0" w:color="auto"/>
            </w:tcBorders>
          </w:tcPr>
          <w:p w14:paraId="41B6B091" w14:textId="7777777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 xml:space="preserve">Giving animals pills </w:t>
            </w:r>
          </w:p>
        </w:tc>
      </w:tr>
      <w:tr w:rsidR="00A213F7" w:rsidRPr="00A213F7" w14:paraId="4ABC4850" w14:textId="77777777" w:rsidTr="00166F50">
        <w:tc>
          <w:tcPr>
            <w:tcW w:w="1560" w:type="dxa"/>
          </w:tcPr>
          <w:p w14:paraId="635E72B9"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Yes </w:t>
            </w:r>
          </w:p>
        </w:tc>
        <w:tc>
          <w:tcPr>
            <w:tcW w:w="1559" w:type="dxa"/>
            <w:gridSpan w:val="2"/>
          </w:tcPr>
          <w:p w14:paraId="396415C6"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57(91.9%)</w:t>
            </w:r>
          </w:p>
        </w:tc>
        <w:tc>
          <w:tcPr>
            <w:tcW w:w="1559" w:type="dxa"/>
          </w:tcPr>
          <w:p w14:paraId="4FA41C5A"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68(93.2%)</w:t>
            </w:r>
          </w:p>
        </w:tc>
        <w:tc>
          <w:tcPr>
            <w:tcW w:w="1559" w:type="dxa"/>
          </w:tcPr>
          <w:p w14:paraId="65E09736"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34(63%)</w:t>
            </w:r>
          </w:p>
        </w:tc>
        <w:tc>
          <w:tcPr>
            <w:tcW w:w="1418" w:type="dxa"/>
          </w:tcPr>
          <w:p w14:paraId="7415EFBF"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2(100.0%)</w:t>
            </w:r>
          </w:p>
        </w:tc>
        <w:tc>
          <w:tcPr>
            <w:tcW w:w="1525" w:type="dxa"/>
          </w:tcPr>
          <w:p w14:paraId="089B5944"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161(84.3%)</w:t>
            </w:r>
          </w:p>
        </w:tc>
      </w:tr>
      <w:tr w:rsidR="00A213F7" w:rsidRPr="00A213F7" w14:paraId="406482B9" w14:textId="77777777" w:rsidTr="00166F50">
        <w:tc>
          <w:tcPr>
            <w:tcW w:w="1560" w:type="dxa"/>
          </w:tcPr>
          <w:p w14:paraId="342F1143"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No </w:t>
            </w:r>
          </w:p>
        </w:tc>
        <w:tc>
          <w:tcPr>
            <w:tcW w:w="1559" w:type="dxa"/>
            <w:gridSpan w:val="2"/>
          </w:tcPr>
          <w:p w14:paraId="0CB5F5E9"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5(8.1%)</w:t>
            </w:r>
          </w:p>
        </w:tc>
        <w:tc>
          <w:tcPr>
            <w:tcW w:w="1559" w:type="dxa"/>
          </w:tcPr>
          <w:p w14:paraId="3BA79275"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5(6.8%)</w:t>
            </w:r>
          </w:p>
        </w:tc>
        <w:tc>
          <w:tcPr>
            <w:tcW w:w="1559" w:type="dxa"/>
          </w:tcPr>
          <w:p w14:paraId="26AA6FCB"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20(37%)</w:t>
            </w:r>
          </w:p>
        </w:tc>
        <w:tc>
          <w:tcPr>
            <w:tcW w:w="1418" w:type="dxa"/>
          </w:tcPr>
          <w:p w14:paraId="738F77B0"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0(0.0%)</w:t>
            </w:r>
          </w:p>
        </w:tc>
        <w:tc>
          <w:tcPr>
            <w:tcW w:w="1525" w:type="dxa"/>
          </w:tcPr>
          <w:p w14:paraId="61EF9CF0"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30(15.7)</w:t>
            </w:r>
          </w:p>
        </w:tc>
      </w:tr>
      <w:tr w:rsidR="00A213F7" w:rsidRPr="00A213F7" w14:paraId="168BC5A8" w14:textId="77777777" w:rsidTr="00166F50">
        <w:tc>
          <w:tcPr>
            <w:tcW w:w="1560" w:type="dxa"/>
          </w:tcPr>
          <w:p w14:paraId="6AF7BD62" w14:textId="7777777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 xml:space="preserve">Total </w:t>
            </w:r>
          </w:p>
        </w:tc>
        <w:tc>
          <w:tcPr>
            <w:tcW w:w="1559" w:type="dxa"/>
            <w:gridSpan w:val="2"/>
          </w:tcPr>
          <w:p w14:paraId="3D295210"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62(100.0%)</w:t>
            </w:r>
          </w:p>
        </w:tc>
        <w:tc>
          <w:tcPr>
            <w:tcW w:w="1559" w:type="dxa"/>
          </w:tcPr>
          <w:p w14:paraId="753DF438"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73(100.0%)</w:t>
            </w:r>
          </w:p>
        </w:tc>
        <w:tc>
          <w:tcPr>
            <w:tcW w:w="1559" w:type="dxa"/>
            <w:vAlign w:val="center"/>
          </w:tcPr>
          <w:p w14:paraId="64CF0253" w14:textId="77777777" w:rsidR="001B4ED5" w:rsidRPr="00A213F7" w:rsidRDefault="006B41C0" w:rsidP="00A213F7">
            <w:pPr>
              <w:autoSpaceDE w:val="0"/>
              <w:autoSpaceDN w:val="0"/>
              <w:adjustRightInd w:val="0"/>
              <w:spacing w:line="240" w:lineRule="auto"/>
              <w:ind w:left="60" w:right="60"/>
              <w:jc w:val="center"/>
              <w:rPr>
                <w:rFonts w:cs="Times New Roman"/>
                <w:b/>
                <w:color w:val="000000" w:themeColor="text1"/>
                <w:szCs w:val="24"/>
              </w:rPr>
            </w:pPr>
            <w:r w:rsidRPr="00A213F7">
              <w:rPr>
                <w:rFonts w:cs="Times New Roman"/>
                <w:b/>
                <w:color w:val="000000" w:themeColor="text1"/>
                <w:szCs w:val="24"/>
              </w:rPr>
              <w:t>54(100.0%)</w:t>
            </w:r>
          </w:p>
        </w:tc>
        <w:tc>
          <w:tcPr>
            <w:tcW w:w="1418" w:type="dxa"/>
          </w:tcPr>
          <w:p w14:paraId="74991F43"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2(100.0%)</w:t>
            </w:r>
          </w:p>
        </w:tc>
        <w:tc>
          <w:tcPr>
            <w:tcW w:w="1525" w:type="dxa"/>
          </w:tcPr>
          <w:p w14:paraId="315149DF"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191(100.0%)</w:t>
            </w:r>
          </w:p>
        </w:tc>
      </w:tr>
      <w:tr w:rsidR="00895D0B" w:rsidRPr="00A213F7" w14:paraId="79DAD128" w14:textId="77777777" w:rsidTr="00166F50">
        <w:tc>
          <w:tcPr>
            <w:tcW w:w="9180" w:type="dxa"/>
            <w:gridSpan w:val="7"/>
            <w:tcBorders>
              <w:bottom w:val="single" w:sz="4" w:space="0" w:color="auto"/>
            </w:tcBorders>
          </w:tcPr>
          <w:p w14:paraId="0B2A891D" w14:textId="77777777" w:rsidR="001B4ED5" w:rsidRPr="00A213F7" w:rsidRDefault="006B41C0" w:rsidP="00A213F7">
            <w:pPr>
              <w:autoSpaceDE w:val="0"/>
              <w:autoSpaceDN w:val="0"/>
              <w:adjustRightInd w:val="0"/>
              <w:spacing w:line="240" w:lineRule="auto"/>
              <w:rPr>
                <w:rFonts w:cs="Times New Roman"/>
                <w:color w:val="000000" w:themeColor="text1"/>
                <w:szCs w:val="24"/>
              </w:rPr>
            </w:pPr>
            <m:oMath>
              <m:r>
                <w:rPr>
                  <w:rFonts w:ascii="Cambria Math" w:hAnsi="Cambria Math" w:cs="Times New Roman"/>
                  <w:color w:val="000000" w:themeColor="text1"/>
                  <w:szCs w:val="24"/>
                  <w:lang w:bidi="en-US"/>
                </w:rPr>
                <m:t xml:space="preserve">N=161,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m:t>
              </m:r>
              <m:r>
                <m:rPr>
                  <m:sty m:val="p"/>
                </m:rPr>
                <w:rPr>
                  <w:rFonts w:ascii="Cambria Math" w:hAnsi="Cambria Math" w:cs="Times New Roman"/>
                  <w:color w:val="000000" w:themeColor="text1"/>
                  <w:szCs w:val="24"/>
                </w:rPr>
                <m:t>33.472</m:t>
              </m:r>
              <m:r>
                <w:rPr>
                  <w:rFonts w:ascii="Cambria Math" w:hAnsi="Cambria Math" w:cs="Times New Roman"/>
                  <w:color w:val="000000" w:themeColor="text1"/>
                  <w:szCs w:val="24"/>
                  <w:lang w:bidi="en-US"/>
                </w:rPr>
                <m:t>, df=6, p= 0.001</m:t>
              </m:r>
            </m:oMath>
            <w:r w:rsidRPr="00A213F7">
              <w:rPr>
                <w:rFonts w:eastAsiaTheme="minorEastAsia" w:cs="Times New Roman"/>
                <w:color w:val="000000" w:themeColor="text1"/>
                <w:szCs w:val="24"/>
              </w:rPr>
              <w:t xml:space="preserve"> and </w:t>
            </w:r>
            <m:oMath>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V=0.296</m:t>
              </m:r>
            </m:oMath>
          </w:p>
        </w:tc>
      </w:tr>
      <w:tr w:rsidR="00895D0B" w:rsidRPr="00A213F7" w14:paraId="6BBBB302" w14:textId="77777777" w:rsidTr="00166F50">
        <w:tc>
          <w:tcPr>
            <w:tcW w:w="9180" w:type="dxa"/>
            <w:gridSpan w:val="7"/>
            <w:tcBorders>
              <w:top w:val="single" w:sz="4" w:space="0" w:color="auto"/>
            </w:tcBorders>
          </w:tcPr>
          <w:p w14:paraId="5A96F180" w14:textId="7777777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 xml:space="preserve">Disinfecting the pens </w:t>
            </w:r>
          </w:p>
        </w:tc>
      </w:tr>
      <w:tr w:rsidR="00A213F7" w:rsidRPr="00A213F7" w14:paraId="5AF549FA" w14:textId="77777777" w:rsidTr="00166F50">
        <w:tc>
          <w:tcPr>
            <w:tcW w:w="1560" w:type="dxa"/>
          </w:tcPr>
          <w:p w14:paraId="1ACF4911"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Yes </w:t>
            </w:r>
          </w:p>
        </w:tc>
        <w:tc>
          <w:tcPr>
            <w:tcW w:w="1559" w:type="dxa"/>
            <w:gridSpan w:val="2"/>
          </w:tcPr>
          <w:p w14:paraId="1D32D60A"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59(95.2%)</w:t>
            </w:r>
          </w:p>
        </w:tc>
        <w:tc>
          <w:tcPr>
            <w:tcW w:w="1559" w:type="dxa"/>
          </w:tcPr>
          <w:p w14:paraId="4249EE56"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63(86.3%)</w:t>
            </w:r>
          </w:p>
        </w:tc>
        <w:tc>
          <w:tcPr>
            <w:tcW w:w="1559" w:type="dxa"/>
          </w:tcPr>
          <w:p w14:paraId="294935A1"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41(76%)</w:t>
            </w:r>
          </w:p>
        </w:tc>
        <w:tc>
          <w:tcPr>
            <w:tcW w:w="1418" w:type="dxa"/>
            <w:vAlign w:val="center"/>
          </w:tcPr>
          <w:p w14:paraId="789B39E7" w14:textId="77777777" w:rsidR="001B4ED5" w:rsidRPr="00A213F7" w:rsidRDefault="006B41C0" w:rsidP="00A213F7">
            <w:pPr>
              <w:autoSpaceDE w:val="0"/>
              <w:autoSpaceDN w:val="0"/>
              <w:adjustRightInd w:val="0"/>
              <w:spacing w:line="240" w:lineRule="auto"/>
              <w:ind w:left="60" w:right="60"/>
              <w:jc w:val="center"/>
              <w:rPr>
                <w:rFonts w:cs="Times New Roman"/>
                <w:color w:val="000000" w:themeColor="text1"/>
                <w:szCs w:val="24"/>
              </w:rPr>
            </w:pPr>
            <w:r w:rsidRPr="00A213F7">
              <w:rPr>
                <w:rFonts w:cs="Times New Roman"/>
                <w:color w:val="000000" w:themeColor="text1"/>
                <w:szCs w:val="24"/>
              </w:rPr>
              <w:t>2(100.0%)</w:t>
            </w:r>
          </w:p>
        </w:tc>
        <w:tc>
          <w:tcPr>
            <w:tcW w:w="1525" w:type="dxa"/>
          </w:tcPr>
          <w:p w14:paraId="760939A4"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165(86.4%)</w:t>
            </w:r>
          </w:p>
        </w:tc>
      </w:tr>
      <w:tr w:rsidR="00A213F7" w:rsidRPr="00A213F7" w14:paraId="1CE0BCF1" w14:textId="77777777" w:rsidTr="00166F50">
        <w:tc>
          <w:tcPr>
            <w:tcW w:w="1560" w:type="dxa"/>
          </w:tcPr>
          <w:p w14:paraId="0F23F056"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No </w:t>
            </w:r>
          </w:p>
        </w:tc>
        <w:tc>
          <w:tcPr>
            <w:tcW w:w="1559" w:type="dxa"/>
            <w:gridSpan w:val="2"/>
          </w:tcPr>
          <w:p w14:paraId="70C7D806"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3(4.8%)</w:t>
            </w:r>
          </w:p>
        </w:tc>
        <w:tc>
          <w:tcPr>
            <w:tcW w:w="1559" w:type="dxa"/>
          </w:tcPr>
          <w:p w14:paraId="3DB754A4"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10(13.7)</w:t>
            </w:r>
          </w:p>
        </w:tc>
        <w:tc>
          <w:tcPr>
            <w:tcW w:w="1559" w:type="dxa"/>
          </w:tcPr>
          <w:p w14:paraId="3D36F829"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13(24%)</w:t>
            </w:r>
          </w:p>
        </w:tc>
        <w:tc>
          <w:tcPr>
            <w:tcW w:w="1418" w:type="dxa"/>
          </w:tcPr>
          <w:p w14:paraId="00DB1BE8"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0(0.0%)</w:t>
            </w:r>
          </w:p>
        </w:tc>
        <w:tc>
          <w:tcPr>
            <w:tcW w:w="1525" w:type="dxa"/>
          </w:tcPr>
          <w:p w14:paraId="70CA530B"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26(13.6)</w:t>
            </w:r>
          </w:p>
        </w:tc>
      </w:tr>
      <w:tr w:rsidR="00A213F7" w:rsidRPr="00A213F7" w14:paraId="53A771CD" w14:textId="77777777" w:rsidTr="00166F50">
        <w:tc>
          <w:tcPr>
            <w:tcW w:w="1560" w:type="dxa"/>
          </w:tcPr>
          <w:p w14:paraId="74BD36CD" w14:textId="7777777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 xml:space="preserve">Total </w:t>
            </w:r>
          </w:p>
        </w:tc>
        <w:tc>
          <w:tcPr>
            <w:tcW w:w="1559" w:type="dxa"/>
            <w:gridSpan w:val="2"/>
          </w:tcPr>
          <w:p w14:paraId="19EC3ABB"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62(100.0%)</w:t>
            </w:r>
          </w:p>
        </w:tc>
        <w:tc>
          <w:tcPr>
            <w:tcW w:w="1559" w:type="dxa"/>
          </w:tcPr>
          <w:p w14:paraId="1695CCE9"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73(100.0%)</w:t>
            </w:r>
          </w:p>
        </w:tc>
        <w:tc>
          <w:tcPr>
            <w:tcW w:w="1559" w:type="dxa"/>
          </w:tcPr>
          <w:p w14:paraId="0BE2CA3C"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54(100.0%)</w:t>
            </w:r>
          </w:p>
        </w:tc>
        <w:tc>
          <w:tcPr>
            <w:tcW w:w="1418" w:type="dxa"/>
          </w:tcPr>
          <w:p w14:paraId="16750D22"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2(100.0)</w:t>
            </w:r>
          </w:p>
        </w:tc>
        <w:tc>
          <w:tcPr>
            <w:tcW w:w="1525" w:type="dxa"/>
          </w:tcPr>
          <w:p w14:paraId="238580B5"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191(100.0%)</w:t>
            </w:r>
          </w:p>
        </w:tc>
      </w:tr>
      <w:tr w:rsidR="00895D0B" w:rsidRPr="00A213F7" w14:paraId="0CE53898" w14:textId="77777777" w:rsidTr="00166F50">
        <w:tc>
          <w:tcPr>
            <w:tcW w:w="9180" w:type="dxa"/>
            <w:gridSpan w:val="7"/>
            <w:tcBorders>
              <w:bottom w:val="single" w:sz="4" w:space="0" w:color="auto"/>
            </w:tcBorders>
          </w:tcPr>
          <w:p w14:paraId="59C59B57" w14:textId="77777777" w:rsidR="001B4ED5" w:rsidRPr="00A213F7" w:rsidRDefault="006B41C0" w:rsidP="00A213F7">
            <w:pPr>
              <w:autoSpaceDE w:val="0"/>
              <w:autoSpaceDN w:val="0"/>
              <w:adjustRightInd w:val="0"/>
              <w:spacing w:line="240" w:lineRule="auto"/>
              <w:rPr>
                <w:rFonts w:cs="Times New Roman"/>
                <w:color w:val="000000" w:themeColor="text1"/>
                <w:szCs w:val="24"/>
              </w:rPr>
            </w:pPr>
            <m:oMath>
              <m:r>
                <w:rPr>
                  <w:rFonts w:ascii="Cambria Math" w:hAnsi="Cambria Math" w:cs="Times New Roman"/>
                  <w:color w:val="000000" w:themeColor="text1"/>
                  <w:szCs w:val="24"/>
                  <w:lang w:bidi="en-US"/>
                </w:rPr>
                <m:t xml:space="preserve">N=161,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m:t>
              </m:r>
              <m:r>
                <m:rPr>
                  <m:sty m:val="p"/>
                </m:rPr>
                <w:rPr>
                  <w:rFonts w:ascii="Cambria Math" w:hAnsi="Cambria Math" w:cs="Times New Roman"/>
                  <w:color w:val="000000" w:themeColor="text1"/>
                  <w:szCs w:val="24"/>
                </w:rPr>
                <m:t>15.926</m:t>
              </m:r>
              <m:r>
                <w:rPr>
                  <w:rFonts w:ascii="Cambria Math" w:hAnsi="Cambria Math" w:cs="Times New Roman"/>
                  <w:color w:val="000000" w:themeColor="text1"/>
                  <w:szCs w:val="24"/>
                  <w:lang w:bidi="en-US"/>
                </w:rPr>
                <m:t>, df=6, p= 0.014</m:t>
              </m:r>
            </m:oMath>
            <w:r w:rsidRPr="00A213F7">
              <w:rPr>
                <w:rFonts w:eastAsiaTheme="minorEastAsia" w:cs="Times New Roman"/>
                <w:color w:val="000000" w:themeColor="text1"/>
                <w:szCs w:val="24"/>
              </w:rPr>
              <w:t xml:space="preserve"> and </w:t>
            </w:r>
            <m:oMath>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V=0.204</m:t>
              </m:r>
            </m:oMath>
          </w:p>
        </w:tc>
      </w:tr>
      <w:tr w:rsidR="00895D0B" w:rsidRPr="00A213F7" w14:paraId="5BA33D6A" w14:textId="77777777" w:rsidTr="00166F50">
        <w:tc>
          <w:tcPr>
            <w:tcW w:w="9180" w:type="dxa"/>
            <w:gridSpan w:val="7"/>
            <w:tcBorders>
              <w:top w:val="single" w:sz="4" w:space="0" w:color="auto"/>
            </w:tcBorders>
          </w:tcPr>
          <w:p w14:paraId="50B8C67B" w14:textId="7777777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Spraying farm animals with insecticide</w:t>
            </w:r>
          </w:p>
        </w:tc>
      </w:tr>
      <w:tr w:rsidR="00A213F7" w:rsidRPr="00A213F7" w14:paraId="6EC92552" w14:textId="77777777" w:rsidTr="00166F50">
        <w:tc>
          <w:tcPr>
            <w:tcW w:w="1560" w:type="dxa"/>
          </w:tcPr>
          <w:p w14:paraId="2077F875"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Yes </w:t>
            </w:r>
          </w:p>
        </w:tc>
        <w:tc>
          <w:tcPr>
            <w:tcW w:w="1559" w:type="dxa"/>
            <w:gridSpan w:val="2"/>
          </w:tcPr>
          <w:p w14:paraId="35835807"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58(93.6%)</w:t>
            </w:r>
          </w:p>
        </w:tc>
        <w:tc>
          <w:tcPr>
            <w:tcW w:w="1559" w:type="dxa"/>
          </w:tcPr>
          <w:p w14:paraId="0AD4CEE0"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64(87.7%)</w:t>
            </w:r>
          </w:p>
        </w:tc>
        <w:tc>
          <w:tcPr>
            <w:tcW w:w="1559" w:type="dxa"/>
          </w:tcPr>
          <w:p w14:paraId="2111220C"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44(81.5%)</w:t>
            </w:r>
          </w:p>
        </w:tc>
        <w:tc>
          <w:tcPr>
            <w:tcW w:w="1418" w:type="dxa"/>
          </w:tcPr>
          <w:p w14:paraId="2953E274"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0(0.0%)</w:t>
            </w:r>
          </w:p>
        </w:tc>
        <w:tc>
          <w:tcPr>
            <w:tcW w:w="1525" w:type="dxa"/>
          </w:tcPr>
          <w:p w14:paraId="1223498B"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168(88.0%)</w:t>
            </w:r>
          </w:p>
        </w:tc>
      </w:tr>
      <w:tr w:rsidR="00A213F7" w:rsidRPr="00A213F7" w14:paraId="6C3BDFBF" w14:textId="77777777" w:rsidTr="00166F50">
        <w:tc>
          <w:tcPr>
            <w:tcW w:w="1560" w:type="dxa"/>
          </w:tcPr>
          <w:p w14:paraId="35A9B419"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No </w:t>
            </w:r>
          </w:p>
        </w:tc>
        <w:tc>
          <w:tcPr>
            <w:tcW w:w="1559" w:type="dxa"/>
            <w:gridSpan w:val="2"/>
          </w:tcPr>
          <w:p w14:paraId="4A6EFFEB"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4(6.4%)</w:t>
            </w:r>
          </w:p>
        </w:tc>
        <w:tc>
          <w:tcPr>
            <w:tcW w:w="1559" w:type="dxa"/>
          </w:tcPr>
          <w:p w14:paraId="1F5CB63C"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9(12.3%)</w:t>
            </w:r>
          </w:p>
        </w:tc>
        <w:tc>
          <w:tcPr>
            <w:tcW w:w="1559" w:type="dxa"/>
          </w:tcPr>
          <w:p w14:paraId="42C7E9CC"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10(18.5%)</w:t>
            </w:r>
          </w:p>
        </w:tc>
        <w:tc>
          <w:tcPr>
            <w:tcW w:w="1418" w:type="dxa"/>
          </w:tcPr>
          <w:p w14:paraId="0A611453"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2(100.0%)</w:t>
            </w:r>
          </w:p>
        </w:tc>
        <w:tc>
          <w:tcPr>
            <w:tcW w:w="1525" w:type="dxa"/>
          </w:tcPr>
          <w:p w14:paraId="49556621" w14:textId="77777777" w:rsidR="001B4ED5" w:rsidRPr="00A213F7" w:rsidRDefault="006B41C0" w:rsidP="00A213F7">
            <w:pPr>
              <w:autoSpaceDE w:val="0"/>
              <w:autoSpaceDN w:val="0"/>
              <w:adjustRightInd w:val="0"/>
              <w:spacing w:line="240" w:lineRule="auto"/>
              <w:jc w:val="center"/>
              <w:rPr>
                <w:rFonts w:cs="Times New Roman"/>
                <w:color w:val="000000" w:themeColor="text1"/>
                <w:szCs w:val="24"/>
              </w:rPr>
            </w:pPr>
            <w:r w:rsidRPr="00A213F7">
              <w:rPr>
                <w:rFonts w:cs="Times New Roman"/>
                <w:color w:val="000000" w:themeColor="text1"/>
                <w:szCs w:val="24"/>
              </w:rPr>
              <w:t>23(12.0%)</w:t>
            </w:r>
          </w:p>
        </w:tc>
      </w:tr>
      <w:tr w:rsidR="00A213F7" w:rsidRPr="00A213F7" w14:paraId="034E17A2" w14:textId="77777777" w:rsidTr="00166F50">
        <w:tc>
          <w:tcPr>
            <w:tcW w:w="1560" w:type="dxa"/>
          </w:tcPr>
          <w:p w14:paraId="50038178" w14:textId="7777777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Total</w:t>
            </w:r>
          </w:p>
        </w:tc>
        <w:tc>
          <w:tcPr>
            <w:tcW w:w="1559" w:type="dxa"/>
            <w:gridSpan w:val="2"/>
            <w:vAlign w:val="center"/>
          </w:tcPr>
          <w:p w14:paraId="318AC5C4" w14:textId="77777777" w:rsidR="001B4ED5" w:rsidRPr="00A213F7" w:rsidRDefault="006B41C0" w:rsidP="00A213F7">
            <w:pPr>
              <w:autoSpaceDE w:val="0"/>
              <w:autoSpaceDN w:val="0"/>
              <w:adjustRightInd w:val="0"/>
              <w:spacing w:line="240" w:lineRule="auto"/>
              <w:ind w:left="60" w:right="60"/>
              <w:jc w:val="center"/>
              <w:rPr>
                <w:rFonts w:cs="Times New Roman"/>
                <w:b/>
                <w:color w:val="000000" w:themeColor="text1"/>
                <w:szCs w:val="24"/>
              </w:rPr>
            </w:pPr>
            <w:r w:rsidRPr="00A213F7">
              <w:rPr>
                <w:rFonts w:cs="Times New Roman"/>
                <w:b/>
                <w:color w:val="000000" w:themeColor="text1"/>
                <w:szCs w:val="24"/>
              </w:rPr>
              <w:t>62(100.0%)</w:t>
            </w:r>
          </w:p>
        </w:tc>
        <w:tc>
          <w:tcPr>
            <w:tcW w:w="1559" w:type="dxa"/>
          </w:tcPr>
          <w:p w14:paraId="33D1BCA2"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73(100.0%)</w:t>
            </w:r>
          </w:p>
        </w:tc>
        <w:tc>
          <w:tcPr>
            <w:tcW w:w="1559" w:type="dxa"/>
          </w:tcPr>
          <w:p w14:paraId="103E50D2"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54(100.0%)</w:t>
            </w:r>
          </w:p>
        </w:tc>
        <w:tc>
          <w:tcPr>
            <w:tcW w:w="1418" w:type="dxa"/>
          </w:tcPr>
          <w:p w14:paraId="41AF4415"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2(100.0%)</w:t>
            </w:r>
          </w:p>
        </w:tc>
        <w:tc>
          <w:tcPr>
            <w:tcW w:w="1525" w:type="dxa"/>
          </w:tcPr>
          <w:p w14:paraId="7BD3B184" w14:textId="77777777" w:rsidR="001B4ED5" w:rsidRPr="00A213F7" w:rsidRDefault="006B41C0" w:rsidP="00A213F7">
            <w:pPr>
              <w:autoSpaceDE w:val="0"/>
              <w:autoSpaceDN w:val="0"/>
              <w:adjustRightInd w:val="0"/>
              <w:spacing w:line="240" w:lineRule="auto"/>
              <w:jc w:val="center"/>
              <w:rPr>
                <w:rFonts w:cs="Times New Roman"/>
                <w:b/>
                <w:color w:val="000000" w:themeColor="text1"/>
                <w:szCs w:val="24"/>
              </w:rPr>
            </w:pPr>
            <w:r w:rsidRPr="00A213F7">
              <w:rPr>
                <w:rFonts w:cs="Times New Roman"/>
                <w:b/>
                <w:color w:val="000000" w:themeColor="text1"/>
                <w:szCs w:val="24"/>
              </w:rPr>
              <w:t>191(100.0%)</w:t>
            </w:r>
          </w:p>
        </w:tc>
      </w:tr>
      <w:tr w:rsidR="00895D0B" w:rsidRPr="00A213F7" w14:paraId="5BAD57AC" w14:textId="77777777" w:rsidTr="00166F50">
        <w:tc>
          <w:tcPr>
            <w:tcW w:w="9180" w:type="dxa"/>
            <w:gridSpan w:val="7"/>
            <w:tcBorders>
              <w:bottom w:val="single" w:sz="4" w:space="0" w:color="auto"/>
            </w:tcBorders>
          </w:tcPr>
          <w:p w14:paraId="65ED4CEF" w14:textId="77777777" w:rsidR="001B4ED5" w:rsidRPr="00A213F7" w:rsidRDefault="006B41C0" w:rsidP="00A213F7">
            <w:pPr>
              <w:autoSpaceDE w:val="0"/>
              <w:autoSpaceDN w:val="0"/>
              <w:adjustRightInd w:val="0"/>
              <w:spacing w:line="240" w:lineRule="auto"/>
              <w:rPr>
                <w:rFonts w:cs="Times New Roman"/>
                <w:color w:val="000000" w:themeColor="text1"/>
                <w:szCs w:val="24"/>
              </w:rPr>
            </w:pPr>
            <m:oMath>
              <m:r>
                <w:rPr>
                  <w:rFonts w:ascii="Cambria Math" w:hAnsi="Cambria Math" w:cs="Times New Roman"/>
                  <w:color w:val="000000" w:themeColor="text1"/>
                  <w:szCs w:val="24"/>
                  <w:lang w:bidi="en-US"/>
                </w:rPr>
                <m:t xml:space="preserve">N=161,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m:t>
              </m:r>
              <m:r>
                <m:rPr>
                  <m:sty m:val="p"/>
                </m:rPr>
                <w:rPr>
                  <w:rFonts w:ascii="Cambria Math" w:hAnsi="Cambria Math" w:cs="Times New Roman"/>
                  <w:color w:val="000000" w:themeColor="text1"/>
                  <w:szCs w:val="24"/>
                </w:rPr>
                <m:t>15.729</m:t>
              </m:r>
              <m:r>
                <w:rPr>
                  <w:rFonts w:ascii="Cambria Math" w:hAnsi="Cambria Math" w:cs="Times New Roman"/>
                  <w:color w:val="000000" w:themeColor="text1"/>
                  <w:szCs w:val="24"/>
                  <w:lang w:bidi="en-US"/>
                </w:rPr>
                <m:t>, df=6, p= 0.015</m:t>
              </m:r>
            </m:oMath>
            <w:r w:rsidRPr="00A213F7">
              <w:rPr>
                <w:rFonts w:eastAsiaTheme="minorEastAsia" w:cs="Times New Roman"/>
                <w:color w:val="000000" w:themeColor="text1"/>
                <w:szCs w:val="24"/>
              </w:rPr>
              <w:t xml:space="preserve"> and </w:t>
            </w:r>
            <m:oMath>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V=0.203</m:t>
              </m:r>
            </m:oMath>
          </w:p>
        </w:tc>
      </w:tr>
      <w:tr w:rsidR="00895D0B" w:rsidRPr="00A213F7" w14:paraId="14C4E7D5" w14:textId="77777777" w:rsidTr="00166F50">
        <w:tc>
          <w:tcPr>
            <w:tcW w:w="9180" w:type="dxa"/>
            <w:gridSpan w:val="7"/>
            <w:tcBorders>
              <w:top w:val="single" w:sz="4" w:space="0" w:color="auto"/>
            </w:tcBorders>
          </w:tcPr>
          <w:p w14:paraId="24095314" w14:textId="7777777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Sources of treating farm animals</w:t>
            </w:r>
          </w:p>
        </w:tc>
      </w:tr>
      <w:tr w:rsidR="00A213F7" w:rsidRPr="00A213F7" w14:paraId="0EE9C8D7" w14:textId="77777777" w:rsidTr="00166F50">
        <w:tc>
          <w:tcPr>
            <w:tcW w:w="1560" w:type="dxa"/>
          </w:tcPr>
          <w:p w14:paraId="60FE8761" w14:textId="77777777" w:rsidR="001B4ED5" w:rsidRPr="00A213F7" w:rsidRDefault="001B4ED5" w:rsidP="00A213F7">
            <w:pPr>
              <w:autoSpaceDE w:val="0"/>
              <w:autoSpaceDN w:val="0"/>
              <w:adjustRightInd w:val="0"/>
              <w:spacing w:line="240" w:lineRule="auto"/>
              <w:rPr>
                <w:rFonts w:cs="Times New Roman"/>
                <w:color w:val="000000" w:themeColor="text1"/>
                <w:szCs w:val="24"/>
              </w:rPr>
            </w:pPr>
          </w:p>
        </w:tc>
        <w:tc>
          <w:tcPr>
            <w:tcW w:w="1559" w:type="dxa"/>
            <w:gridSpan w:val="2"/>
            <w:tcBorders>
              <w:top w:val="single" w:sz="4" w:space="0" w:color="auto"/>
              <w:bottom w:val="single" w:sz="4" w:space="0" w:color="auto"/>
            </w:tcBorders>
          </w:tcPr>
          <w:p w14:paraId="1F9C8C80" w14:textId="77777777" w:rsidR="001B4ED5" w:rsidRPr="00A213F7" w:rsidRDefault="006B41C0" w:rsidP="00A213F7">
            <w:pPr>
              <w:autoSpaceDE w:val="0"/>
              <w:autoSpaceDN w:val="0"/>
              <w:adjustRightInd w:val="0"/>
              <w:spacing w:line="240" w:lineRule="auto"/>
              <w:jc w:val="center"/>
              <w:rPr>
                <w:rFonts w:cs="Times New Roman"/>
                <w:i/>
                <w:color w:val="000000" w:themeColor="text1"/>
                <w:szCs w:val="24"/>
              </w:rPr>
            </w:pPr>
            <w:r w:rsidRPr="00A213F7">
              <w:rPr>
                <w:rFonts w:cs="Times New Roman"/>
                <w:i/>
                <w:color w:val="000000" w:themeColor="text1"/>
                <w:szCs w:val="24"/>
              </w:rPr>
              <w:t>Veterinary Department of MoFA</w:t>
            </w:r>
          </w:p>
        </w:tc>
        <w:tc>
          <w:tcPr>
            <w:tcW w:w="1559" w:type="dxa"/>
            <w:tcBorders>
              <w:top w:val="single" w:sz="4" w:space="0" w:color="auto"/>
              <w:bottom w:val="single" w:sz="4" w:space="0" w:color="auto"/>
            </w:tcBorders>
          </w:tcPr>
          <w:p w14:paraId="53C6D26E" w14:textId="77777777" w:rsidR="001B4ED5" w:rsidRPr="00A213F7" w:rsidRDefault="006B41C0" w:rsidP="00A213F7">
            <w:pPr>
              <w:autoSpaceDE w:val="0"/>
              <w:autoSpaceDN w:val="0"/>
              <w:adjustRightInd w:val="0"/>
              <w:spacing w:line="240" w:lineRule="auto"/>
              <w:jc w:val="center"/>
              <w:rPr>
                <w:rFonts w:cs="Times New Roman"/>
                <w:i/>
                <w:color w:val="000000" w:themeColor="text1"/>
                <w:szCs w:val="24"/>
              </w:rPr>
            </w:pPr>
            <w:r w:rsidRPr="00A213F7">
              <w:rPr>
                <w:rFonts w:cs="Times New Roman"/>
                <w:i/>
                <w:color w:val="000000" w:themeColor="text1"/>
                <w:szCs w:val="24"/>
              </w:rPr>
              <w:t>Self-medication</w:t>
            </w:r>
          </w:p>
        </w:tc>
        <w:tc>
          <w:tcPr>
            <w:tcW w:w="2977" w:type="dxa"/>
            <w:gridSpan w:val="2"/>
            <w:tcBorders>
              <w:top w:val="single" w:sz="4" w:space="0" w:color="auto"/>
              <w:bottom w:val="single" w:sz="4" w:space="0" w:color="auto"/>
            </w:tcBorders>
          </w:tcPr>
          <w:p w14:paraId="0D83AE31" w14:textId="77777777" w:rsidR="001B4ED5" w:rsidRPr="00A213F7" w:rsidRDefault="006B41C0" w:rsidP="00A213F7">
            <w:pPr>
              <w:autoSpaceDE w:val="0"/>
              <w:autoSpaceDN w:val="0"/>
              <w:adjustRightInd w:val="0"/>
              <w:spacing w:line="240" w:lineRule="auto"/>
              <w:jc w:val="center"/>
              <w:rPr>
                <w:rFonts w:cs="Times New Roman"/>
                <w:i/>
                <w:color w:val="000000" w:themeColor="text1"/>
                <w:szCs w:val="24"/>
              </w:rPr>
            </w:pPr>
            <w:r w:rsidRPr="00A213F7">
              <w:rPr>
                <w:rFonts w:cs="Times New Roman"/>
                <w:i/>
                <w:color w:val="000000" w:themeColor="text1"/>
                <w:szCs w:val="24"/>
              </w:rPr>
              <w:t>Private veterinary practitioners</w:t>
            </w:r>
          </w:p>
        </w:tc>
        <w:tc>
          <w:tcPr>
            <w:tcW w:w="1525" w:type="dxa"/>
            <w:tcBorders>
              <w:top w:val="single" w:sz="4" w:space="0" w:color="auto"/>
              <w:bottom w:val="single" w:sz="4" w:space="0" w:color="auto"/>
            </w:tcBorders>
          </w:tcPr>
          <w:p w14:paraId="0FBE3451" w14:textId="77777777" w:rsidR="001B4ED5" w:rsidRPr="00A213F7" w:rsidRDefault="006B41C0" w:rsidP="00A213F7">
            <w:pPr>
              <w:autoSpaceDE w:val="0"/>
              <w:autoSpaceDN w:val="0"/>
              <w:adjustRightInd w:val="0"/>
              <w:spacing w:line="240" w:lineRule="auto"/>
              <w:jc w:val="center"/>
              <w:rPr>
                <w:rFonts w:cs="Times New Roman"/>
                <w:i/>
                <w:color w:val="000000" w:themeColor="text1"/>
                <w:szCs w:val="24"/>
              </w:rPr>
            </w:pPr>
            <w:r w:rsidRPr="00A213F7">
              <w:rPr>
                <w:rFonts w:cs="Times New Roman"/>
                <w:i/>
                <w:color w:val="000000" w:themeColor="text1"/>
                <w:szCs w:val="24"/>
              </w:rPr>
              <w:t>Total</w:t>
            </w:r>
          </w:p>
        </w:tc>
      </w:tr>
      <w:tr w:rsidR="00A213F7" w:rsidRPr="00A213F7" w14:paraId="2398A109" w14:textId="77777777" w:rsidTr="00166F50">
        <w:tc>
          <w:tcPr>
            <w:tcW w:w="1560" w:type="dxa"/>
            <w:tcBorders>
              <w:top w:val="single" w:sz="4" w:space="0" w:color="auto"/>
            </w:tcBorders>
          </w:tcPr>
          <w:p w14:paraId="39CAA989"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Yes </w:t>
            </w:r>
          </w:p>
        </w:tc>
        <w:tc>
          <w:tcPr>
            <w:tcW w:w="1559" w:type="dxa"/>
            <w:gridSpan w:val="2"/>
            <w:tcBorders>
              <w:top w:val="single" w:sz="4" w:space="0" w:color="auto"/>
            </w:tcBorders>
            <w:vAlign w:val="center"/>
          </w:tcPr>
          <w:p w14:paraId="2ED6C6E9" w14:textId="77777777" w:rsidR="001B4ED5" w:rsidRPr="00A213F7" w:rsidRDefault="006B41C0" w:rsidP="00A213F7">
            <w:pPr>
              <w:autoSpaceDE w:val="0"/>
              <w:autoSpaceDN w:val="0"/>
              <w:adjustRightInd w:val="0"/>
              <w:spacing w:line="240" w:lineRule="auto"/>
              <w:ind w:left="60" w:right="60"/>
              <w:jc w:val="center"/>
              <w:rPr>
                <w:rFonts w:cs="Times New Roman"/>
                <w:color w:val="000000" w:themeColor="text1"/>
                <w:szCs w:val="24"/>
              </w:rPr>
            </w:pPr>
            <w:r w:rsidRPr="00A213F7">
              <w:rPr>
                <w:rFonts w:cs="Times New Roman"/>
                <w:color w:val="000000" w:themeColor="text1"/>
                <w:szCs w:val="24"/>
              </w:rPr>
              <w:t>24(42.1%)</w:t>
            </w:r>
          </w:p>
        </w:tc>
        <w:tc>
          <w:tcPr>
            <w:tcW w:w="1559" w:type="dxa"/>
            <w:tcBorders>
              <w:top w:val="single" w:sz="4" w:space="0" w:color="auto"/>
            </w:tcBorders>
            <w:vAlign w:val="center"/>
          </w:tcPr>
          <w:p w14:paraId="00999FD5" w14:textId="77777777" w:rsidR="001B4ED5" w:rsidRPr="00A213F7" w:rsidRDefault="006B41C0" w:rsidP="00A213F7">
            <w:pPr>
              <w:autoSpaceDE w:val="0"/>
              <w:autoSpaceDN w:val="0"/>
              <w:adjustRightInd w:val="0"/>
              <w:spacing w:line="240" w:lineRule="auto"/>
              <w:ind w:left="60" w:right="60"/>
              <w:jc w:val="center"/>
              <w:rPr>
                <w:rFonts w:cs="Times New Roman"/>
                <w:color w:val="000000" w:themeColor="text1"/>
                <w:szCs w:val="24"/>
              </w:rPr>
            </w:pPr>
            <w:r w:rsidRPr="00A213F7">
              <w:rPr>
                <w:rFonts w:cs="Times New Roman"/>
                <w:color w:val="000000" w:themeColor="text1"/>
                <w:szCs w:val="24"/>
              </w:rPr>
              <w:t>24(42.1%)</w:t>
            </w:r>
          </w:p>
        </w:tc>
        <w:tc>
          <w:tcPr>
            <w:tcW w:w="2977" w:type="dxa"/>
            <w:gridSpan w:val="2"/>
            <w:tcBorders>
              <w:top w:val="single" w:sz="4" w:space="0" w:color="auto"/>
            </w:tcBorders>
            <w:vAlign w:val="center"/>
          </w:tcPr>
          <w:p w14:paraId="209550EC" w14:textId="77777777" w:rsidR="001B4ED5" w:rsidRPr="00A213F7" w:rsidRDefault="006B41C0" w:rsidP="00A213F7">
            <w:pPr>
              <w:autoSpaceDE w:val="0"/>
              <w:autoSpaceDN w:val="0"/>
              <w:adjustRightInd w:val="0"/>
              <w:spacing w:line="240" w:lineRule="auto"/>
              <w:ind w:left="60" w:right="60"/>
              <w:jc w:val="center"/>
              <w:rPr>
                <w:rFonts w:cs="Times New Roman"/>
                <w:color w:val="000000" w:themeColor="text1"/>
                <w:szCs w:val="24"/>
              </w:rPr>
            </w:pPr>
            <w:r w:rsidRPr="00A213F7">
              <w:rPr>
                <w:rFonts w:cs="Times New Roman"/>
                <w:color w:val="000000" w:themeColor="text1"/>
                <w:szCs w:val="24"/>
              </w:rPr>
              <w:t>9(15.8%)</w:t>
            </w:r>
          </w:p>
        </w:tc>
        <w:tc>
          <w:tcPr>
            <w:tcW w:w="1525" w:type="dxa"/>
            <w:tcBorders>
              <w:top w:val="single" w:sz="4" w:space="0" w:color="auto"/>
            </w:tcBorders>
            <w:vAlign w:val="center"/>
          </w:tcPr>
          <w:p w14:paraId="1B4E3D76" w14:textId="77777777" w:rsidR="001B4ED5" w:rsidRPr="00A213F7" w:rsidRDefault="006B41C0" w:rsidP="00A213F7">
            <w:pPr>
              <w:autoSpaceDE w:val="0"/>
              <w:autoSpaceDN w:val="0"/>
              <w:adjustRightInd w:val="0"/>
              <w:spacing w:line="240" w:lineRule="auto"/>
              <w:ind w:left="60" w:right="60"/>
              <w:jc w:val="center"/>
              <w:rPr>
                <w:rFonts w:cs="Times New Roman"/>
                <w:color w:val="000000" w:themeColor="text1"/>
                <w:szCs w:val="24"/>
              </w:rPr>
            </w:pPr>
            <w:r w:rsidRPr="00A213F7">
              <w:rPr>
                <w:rFonts w:cs="Times New Roman"/>
                <w:color w:val="000000" w:themeColor="text1"/>
                <w:szCs w:val="24"/>
              </w:rPr>
              <w:t>57(100.0%)</w:t>
            </w:r>
          </w:p>
        </w:tc>
      </w:tr>
      <w:tr w:rsidR="00A213F7" w:rsidRPr="00A213F7" w14:paraId="147C3B9D" w14:textId="77777777" w:rsidTr="00166F50">
        <w:tc>
          <w:tcPr>
            <w:tcW w:w="1560" w:type="dxa"/>
          </w:tcPr>
          <w:p w14:paraId="3166AB34" w14:textId="77777777" w:rsidR="001B4ED5" w:rsidRPr="00A213F7" w:rsidRDefault="006B41C0" w:rsidP="00A213F7">
            <w:pPr>
              <w:autoSpaceDE w:val="0"/>
              <w:autoSpaceDN w:val="0"/>
              <w:adjustRightInd w:val="0"/>
              <w:spacing w:line="240" w:lineRule="auto"/>
              <w:rPr>
                <w:rFonts w:cs="Times New Roman"/>
                <w:color w:val="000000" w:themeColor="text1"/>
                <w:szCs w:val="24"/>
              </w:rPr>
            </w:pPr>
            <w:r w:rsidRPr="00A213F7">
              <w:rPr>
                <w:rFonts w:cs="Times New Roman"/>
                <w:color w:val="000000" w:themeColor="text1"/>
                <w:szCs w:val="24"/>
              </w:rPr>
              <w:t xml:space="preserve">No </w:t>
            </w:r>
          </w:p>
        </w:tc>
        <w:tc>
          <w:tcPr>
            <w:tcW w:w="1559" w:type="dxa"/>
            <w:gridSpan w:val="2"/>
            <w:vAlign w:val="center"/>
          </w:tcPr>
          <w:p w14:paraId="4AC2AC50" w14:textId="77777777" w:rsidR="001B4ED5" w:rsidRPr="00A213F7" w:rsidRDefault="006B41C0" w:rsidP="00A213F7">
            <w:pPr>
              <w:autoSpaceDE w:val="0"/>
              <w:autoSpaceDN w:val="0"/>
              <w:adjustRightInd w:val="0"/>
              <w:spacing w:line="240" w:lineRule="auto"/>
              <w:ind w:left="60" w:right="60"/>
              <w:jc w:val="center"/>
              <w:rPr>
                <w:rFonts w:cs="Times New Roman"/>
                <w:color w:val="000000" w:themeColor="text1"/>
                <w:szCs w:val="24"/>
              </w:rPr>
            </w:pPr>
            <w:r w:rsidRPr="00A213F7">
              <w:rPr>
                <w:rFonts w:cs="Times New Roman"/>
                <w:color w:val="000000" w:themeColor="text1"/>
                <w:szCs w:val="24"/>
              </w:rPr>
              <w:t>48(35.8%)</w:t>
            </w:r>
          </w:p>
        </w:tc>
        <w:tc>
          <w:tcPr>
            <w:tcW w:w="1559" w:type="dxa"/>
            <w:vAlign w:val="center"/>
          </w:tcPr>
          <w:p w14:paraId="29596705" w14:textId="77777777" w:rsidR="001B4ED5" w:rsidRPr="00A213F7" w:rsidRDefault="006B41C0" w:rsidP="00A213F7">
            <w:pPr>
              <w:autoSpaceDE w:val="0"/>
              <w:autoSpaceDN w:val="0"/>
              <w:adjustRightInd w:val="0"/>
              <w:spacing w:line="240" w:lineRule="auto"/>
              <w:ind w:left="60" w:right="60"/>
              <w:jc w:val="center"/>
              <w:rPr>
                <w:rFonts w:cs="Times New Roman"/>
                <w:color w:val="000000" w:themeColor="text1"/>
                <w:szCs w:val="24"/>
              </w:rPr>
            </w:pPr>
            <w:r w:rsidRPr="00A213F7">
              <w:rPr>
                <w:rFonts w:cs="Times New Roman"/>
                <w:color w:val="000000" w:themeColor="text1"/>
                <w:szCs w:val="24"/>
              </w:rPr>
              <w:t>53(39.6%)</w:t>
            </w:r>
          </w:p>
        </w:tc>
        <w:tc>
          <w:tcPr>
            <w:tcW w:w="2977" w:type="dxa"/>
            <w:gridSpan w:val="2"/>
            <w:vAlign w:val="center"/>
          </w:tcPr>
          <w:p w14:paraId="65D206D4" w14:textId="77777777" w:rsidR="001B4ED5" w:rsidRPr="00A213F7" w:rsidRDefault="006B41C0" w:rsidP="00A213F7">
            <w:pPr>
              <w:autoSpaceDE w:val="0"/>
              <w:autoSpaceDN w:val="0"/>
              <w:adjustRightInd w:val="0"/>
              <w:spacing w:line="240" w:lineRule="auto"/>
              <w:ind w:left="60" w:right="60"/>
              <w:jc w:val="center"/>
              <w:rPr>
                <w:rFonts w:cs="Times New Roman"/>
                <w:color w:val="000000" w:themeColor="text1"/>
                <w:szCs w:val="24"/>
              </w:rPr>
            </w:pPr>
            <w:r w:rsidRPr="00A213F7">
              <w:rPr>
                <w:rFonts w:cs="Times New Roman"/>
                <w:color w:val="000000" w:themeColor="text1"/>
                <w:szCs w:val="24"/>
              </w:rPr>
              <w:t>33(24.6%)</w:t>
            </w:r>
          </w:p>
        </w:tc>
        <w:tc>
          <w:tcPr>
            <w:tcW w:w="1525" w:type="dxa"/>
            <w:vAlign w:val="center"/>
          </w:tcPr>
          <w:p w14:paraId="455CCEF4" w14:textId="77777777" w:rsidR="001B4ED5" w:rsidRPr="00A213F7" w:rsidRDefault="006B41C0" w:rsidP="00A213F7">
            <w:pPr>
              <w:autoSpaceDE w:val="0"/>
              <w:autoSpaceDN w:val="0"/>
              <w:adjustRightInd w:val="0"/>
              <w:spacing w:line="240" w:lineRule="auto"/>
              <w:ind w:left="60" w:right="60"/>
              <w:jc w:val="center"/>
              <w:rPr>
                <w:rFonts w:cs="Times New Roman"/>
                <w:color w:val="000000" w:themeColor="text1"/>
                <w:szCs w:val="24"/>
              </w:rPr>
            </w:pPr>
            <w:r w:rsidRPr="00A213F7">
              <w:rPr>
                <w:rFonts w:cs="Times New Roman"/>
                <w:color w:val="000000" w:themeColor="text1"/>
                <w:szCs w:val="24"/>
              </w:rPr>
              <w:t>134(100.0%)</w:t>
            </w:r>
          </w:p>
        </w:tc>
      </w:tr>
      <w:tr w:rsidR="00A213F7" w:rsidRPr="00A213F7" w14:paraId="63FB7A4A" w14:textId="77777777" w:rsidTr="00166F50">
        <w:tc>
          <w:tcPr>
            <w:tcW w:w="1560" w:type="dxa"/>
          </w:tcPr>
          <w:p w14:paraId="7D07A8C2" w14:textId="77777777" w:rsidR="001B4ED5" w:rsidRPr="00A213F7" w:rsidRDefault="006B41C0" w:rsidP="00A213F7">
            <w:pPr>
              <w:autoSpaceDE w:val="0"/>
              <w:autoSpaceDN w:val="0"/>
              <w:adjustRightInd w:val="0"/>
              <w:spacing w:line="240" w:lineRule="auto"/>
              <w:rPr>
                <w:rFonts w:cs="Times New Roman"/>
                <w:b/>
                <w:color w:val="000000" w:themeColor="text1"/>
                <w:szCs w:val="24"/>
              </w:rPr>
            </w:pPr>
            <w:r w:rsidRPr="00A213F7">
              <w:rPr>
                <w:rFonts w:cs="Times New Roman"/>
                <w:b/>
                <w:color w:val="000000" w:themeColor="text1"/>
                <w:szCs w:val="24"/>
              </w:rPr>
              <w:t xml:space="preserve">Total </w:t>
            </w:r>
          </w:p>
        </w:tc>
        <w:tc>
          <w:tcPr>
            <w:tcW w:w="1559" w:type="dxa"/>
            <w:gridSpan w:val="2"/>
            <w:vAlign w:val="center"/>
          </w:tcPr>
          <w:p w14:paraId="29E2198E" w14:textId="77777777" w:rsidR="001B4ED5" w:rsidRPr="00A213F7" w:rsidRDefault="006B41C0" w:rsidP="00A213F7">
            <w:pPr>
              <w:autoSpaceDE w:val="0"/>
              <w:autoSpaceDN w:val="0"/>
              <w:adjustRightInd w:val="0"/>
              <w:spacing w:line="240" w:lineRule="auto"/>
              <w:ind w:left="60" w:right="60"/>
              <w:jc w:val="center"/>
              <w:rPr>
                <w:rFonts w:cs="Times New Roman"/>
                <w:b/>
                <w:color w:val="000000" w:themeColor="text1"/>
                <w:szCs w:val="24"/>
              </w:rPr>
            </w:pPr>
            <w:r w:rsidRPr="00A213F7">
              <w:rPr>
                <w:rFonts w:cs="Times New Roman"/>
                <w:b/>
                <w:color w:val="000000" w:themeColor="text1"/>
                <w:szCs w:val="24"/>
              </w:rPr>
              <w:t>72(37.7%)</w:t>
            </w:r>
          </w:p>
        </w:tc>
        <w:tc>
          <w:tcPr>
            <w:tcW w:w="1559" w:type="dxa"/>
            <w:vAlign w:val="center"/>
          </w:tcPr>
          <w:p w14:paraId="61FB38D2" w14:textId="77777777" w:rsidR="001B4ED5" w:rsidRPr="00A213F7" w:rsidRDefault="006B41C0" w:rsidP="00A213F7">
            <w:pPr>
              <w:autoSpaceDE w:val="0"/>
              <w:autoSpaceDN w:val="0"/>
              <w:adjustRightInd w:val="0"/>
              <w:spacing w:line="240" w:lineRule="auto"/>
              <w:ind w:left="60" w:right="60"/>
              <w:jc w:val="center"/>
              <w:rPr>
                <w:rFonts w:cs="Times New Roman"/>
                <w:b/>
                <w:color w:val="000000" w:themeColor="text1"/>
                <w:szCs w:val="24"/>
              </w:rPr>
            </w:pPr>
            <w:r w:rsidRPr="00A213F7">
              <w:rPr>
                <w:rFonts w:cs="Times New Roman"/>
                <w:b/>
                <w:color w:val="000000" w:themeColor="text1"/>
                <w:szCs w:val="24"/>
              </w:rPr>
              <w:t>77(40.3%)</w:t>
            </w:r>
          </w:p>
        </w:tc>
        <w:tc>
          <w:tcPr>
            <w:tcW w:w="2977" w:type="dxa"/>
            <w:gridSpan w:val="2"/>
            <w:vAlign w:val="center"/>
          </w:tcPr>
          <w:p w14:paraId="7DBFC121" w14:textId="77777777" w:rsidR="001B4ED5" w:rsidRPr="00A213F7" w:rsidRDefault="006B41C0" w:rsidP="00A213F7">
            <w:pPr>
              <w:autoSpaceDE w:val="0"/>
              <w:autoSpaceDN w:val="0"/>
              <w:adjustRightInd w:val="0"/>
              <w:spacing w:line="240" w:lineRule="auto"/>
              <w:ind w:left="60" w:right="60"/>
              <w:jc w:val="center"/>
              <w:rPr>
                <w:rFonts w:cs="Times New Roman"/>
                <w:b/>
                <w:color w:val="000000" w:themeColor="text1"/>
                <w:szCs w:val="24"/>
              </w:rPr>
            </w:pPr>
            <w:r w:rsidRPr="00A213F7">
              <w:rPr>
                <w:rFonts w:cs="Times New Roman"/>
                <w:b/>
                <w:color w:val="000000" w:themeColor="text1"/>
                <w:szCs w:val="24"/>
              </w:rPr>
              <w:t>42(22.0%)</w:t>
            </w:r>
          </w:p>
        </w:tc>
        <w:tc>
          <w:tcPr>
            <w:tcW w:w="1525" w:type="dxa"/>
            <w:vAlign w:val="center"/>
          </w:tcPr>
          <w:p w14:paraId="4060FDF5" w14:textId="77777777" w:rsidR="001B4ED5" w:rsidRPr="00A213F7" w:rsidRDefault="006B41C0" w:rsidP="00A213F7">
            <w:pPr>
              <w:autoSpaceDE w:val="0"/>
              <w:autoSpaceDN w:val="0"/>
              <w:adjustRightInd w:val="0"/>
              <w:spacing w:line="240" w:lineRule="auto"/>
              <w:ind w:left="60" w:right="60"/>
              <w:jc w:val="center"/>
              <w:rPr>
                <w:rFonts w:cs="Times New Roman"/>
                <w:b/>
                <w:color w:val="000000" w:themeColor="text1"/>
                <w:szCs w:val="24"/>
              </w:rPr>
            </w:pPr>
            <w:r w:rsidRPr="00A213F7">
              <w:rPr>
                <w:rFonts w:cs="Times New Roman"/>
                <w:b/>
                <w:color w:val="000000" w:themeColor="text1"/>
                <w:szCs w:val="24"/>
              </w:rPr>
              <w:t>191(100.0%)</w:t>
            </w:r>
          </w:p>
        </w:tc>
      </w:tr>
      <w:tr w:rsidR="00895D0B" w:rsidRPr="00A213F7" w14:paraId="350A2AD0" w14:textId="77777777" w:rsidTr="00166F50">
        <w:tc>
          <w:tcPr>
            <w:tcW w:w="9180" w:type="dxa"/>
            <w:gridSpan w:val="7"/>
            <w:tcBorders>
              <w:bottom w:val="single" w:sz="4" w:space="0" w:color="auto"/>
            </w:tcBorders>
          </w:tcPr>
          <w:p w14:paraId="418F645D" w14:textId="77777777" w:rsidR="001B4ED5" w:rsidRPr="00A213F7" w:rsidRDefault="006B41C0" w:rsidP="00A213F7">
            <w:pPr>
              <w:autoSpaceDE w:val="0"/>
              <w:autoSpaceDN w:val="0"/>
              <w:adjustRightInd w:val="0"/>
              <w:spacing w:line="240" w:lineRule="auto"/>
              <w:rPr>
                <w:rFonts w:cs="Times New Roman"/>
                <w:color w:val="000000" w:themeColor="text1"/>
                <w:szCs w:val="24"/>
              </w:rPr>
            </w:pPr>
            <m:oMath>
              <m:r>
                <w:rPr>
                  <w:rFonts w:ascii="Cambria Math" w:hAnsi="Cambria Math" w:cs="Times New Roman"/>
                  <w:color w:val="000000" w:themeColor="text1"/>
                  <w:szCs w:val="24"/>
                  <w:lang w:bidi="en-US"/>
                </w:rPr>
                <m:t xml:space="preserve">N=161,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=1</m:t>
              </m:r>
              <m:r>
                <m:rPr>
                  <m:sty m:val="p"/>
                </m:rPr>
                <w:rPr>
                  <w:rFonts w:ascii="Cambria Math" w:hAnsi="Cambria Math" w:cs="Times New Roman"/>
                  <w:color w:val="000000" w:themeColor="text1"/>
                  <w:szCs w:val="24"/>
                </w:rPr>
                <m:t>.904</m:t>
              </m:r>
              <m:r>
                <w:rPr>
                  <w:rFonts w:ascii="Cambria Math" w:hAnsi="Cambria Math" w:cs="Times New Roman"/>
                  <w:color w:val="000000" w:themeColor="text1"/>
                  <w:szCs w:val="24"/>
                  <w:lang w:bidi="en-US"/>
                </w:rPr>
                <m:t>, df=2, p= 0.386</m:t>
              </m:r>
            </m:oMath>
            <w:r w:rsidRPr="00A213F7">
              <w:rPr>
                <w:rFonts w:eastAsiaTheme="minorEastAsia" w:cs="Times New Roman"/>
                <w:color w:val="000000" w:themeColor="text1"/>
                <w:szCs w:val="24"/>
              </w:rPr>
              <w:t xml:space="preserve"> and </w:t>
            </w:r>
            <m:oMath>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V=0.100</m:t>
              </m:r>
            </m:oMath>
          </w:p>
        </w:tc>
      </w:tr>
      <w:tr w:rsidR="00895D0B" w:rsidRPr="00A213F7" w14:paraId="75DBF369" w14:textId="77777777" w:rsidTr="00166F50">
        <w:tc>
          <w:tcPr>
            <w:tcW w:w="9180" w:type="dxa"/>
            <w:gridSpan w:val="7"/>
            <w:tcBorders>
              <w:top w:val="single" w:sz="4" w:space="0" w:color="auto"/>
            </w:tcBorders>
          </w:tcPr>
          <w:p w14:paraId="62193E09" w14:textId="59DAAC8C" w:rsidR="001B4ED5" w:rsidRPr="00A213F7" w:rsidRDefault="006B41C0" w:rsidP="00A213F7">
            <w:pPr>
              <w:spacing w:line="360" w:lineRule="auto"/>
              <w:rPr>
                <w:rFonts w:eastAsia="Calibri" w:cs="Times New Roman"/>
                <w:color w:val="000000" w:themeColor="text1"/>
                <w:szCs w:val="24"/>
                <w:lang w:bidi="en-US"/>
              </w:rPr>
            </w:pPr>
            <w:r w:rsidRPr="00A213F7">
              <w:rPr>
                <w:rFonts w:eastAsia="Calibri" w:cs="Times New Roman"/>
                <w:color w:val="000000" w:themeColor="text1"/>
                <w:szCs w:val="24"/>
                <w:lang w:bidi="en-US"/>
              </w:rPr>
              <w:t xml:space="preserve">***Cramer’s V &gt; 0.25, strong relationship; Cramer’s V &gt; 0.10, moderate relationship; Cramer’s V &gt; 0.05, weak relationship and Cramer’s V &gt; 0, no or very weak relationship </w:t>
            </w:r>
          </w:p>
          <w:p w14:paraId="7D6DBC41" w14:textId="77777777" w:rsidR="001B4ED5" w:rsidRPr="00A213F7" w:rsidRDefault="006B41C0" w:rsidP="00A213F7">
            <w:pPr>
              <w:autoSpaceDE w:val="0"/>
              <w:autoSpaceDN w:val="0"/>
              <w:adjustRightInd w:val="0"/>
              <w:spacing w:line="360" w:lineRule="auto"/>
              <w:rPr>
                <w:rFonts w:eastAsia="Calibri" w:cs="Times New Roman"/>
                <w:color w:val="000000" w:themeColor="text1"/>
                <w:szCs w:val="24"/>
                <w:lang w:bidi="en-US"/>
              </w:rPr>
            </w:pPr>
            <w:r w:rsidRPr="00A213F7">
              <w:rPr>
                <w:rFonts w:eastAsia="Calibri" w:cs="Times New Roman"/>
                <w:color w:val="000000" w:themeColor="text1"/>
                <w:szCs w:val="24"/>
                <w:lang w:bidi="en-US"/>
              </w:rPr>
              <w:t>*** p-value &lt; 0.05, statistically significant; p-value &gt; 0.05, statistically insignificant</w:t>
            </w:r>
          </w:p>
        </w:tc>
      </w:tr>
    </w:tbl>
    <w:p w14:paraId="1215EF45" w14:textId="77777777" w:rsidR="001B4ED5" w:rsidRDefault="006B41C0" w:rsidP="00A213F7">
      <w:pPr>
        <w:spacing w:before="240"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52C5FB6A" w14:textId="77777777" w:rsidR="009864E3" w:rsidRPr="00895D0B" w:rsidRDefault="009864E3" w:rsidP="009864E3">
      <w:pPr>
        <w:pStyle w:val="NoSpacing"/>
      </w:pPr>
    </w:p>
    <w:p w14:paraId="04D6BC5F" w14:textId="7409A36F" w:rsidR="004B2BFC" w:rsidRPr="00895D0B" w:rsidRDefault="003F69F0" w:rsidP="003F69F0">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Therefore, there is a very strong interrelationship between spraying animals with insecticides and handling farm animals in urban areas in the era of climate change and its associated stressors. The effectiveness of the multiple treatment methods urban </w:t>
      </w:r>
      <w:r w:rsidRPr="00895D0B">
        <w:rPr>
          <w:rFonts w:eastAsia="Times New Roman" w:cs="Times New Roman"/>
          <w:color w:val="000000" w:themeColor="text1"/>
          <w:szCs w:val="24"/>
          <w:lang w:eastAsia="en-GB"/>
        </w:rPr>
        <w:lastRenderedPageBreak/>
        <w:t xml:space="preserve">farmers employ depends on the sources of the treatments. </w:t>
      </w:r>
      <w:r w:rsidR="00146590" w:rsidRPr="00895D0B">
        <w:rPr>
          <w:rFonts w:eastAsia="Times New Roman" w:cs="Times New Roman"/>
          <w:color w:val="000000" w:themeColor="text1"/>
          <w:szCs w:val="24"/>
          <w:lang w:eastAsia="en-GB"/>
        </w:rPr>
        <w:t>The results point to the Veterinary Department of MoFA and self-medication as the sources of the treatments for farm animals, representing about 42.1% each. However, this is statistically insignificant at an alpha of 0.05 (p-value = 0.386 &gt; 0.05). Therefore, there is a moderate interrelationship between the animals' treatment methods and the sources of the treatment (Cramer’s V = 0.100 ≥ 0.10).</w:t>
      </w:r>
    </w:p>
    <w:p w14:paraId="30CFD1A9" w14:textId="77777777" w:rsidR="003F69F0" w:rsidRPr="00895D0B" w:rsidRDefault="003F69F0" w:rsidP="009864E3">
      <w:pPr>
        <w:pStyle w:val="NoSpacing"/>
        <w:rPr>
          <w:rStyle w:val="IntenseReference1"/>
          <w:rFonts w:eastAsia="Times New Roman" w:cs="Times New Roman"/>
          <w:b w:val="0"/>
          <w:bCs w:val="0"/>
          <w:smallCaps w:val="0"/>
          <w:color w:val="000000" w:themeColor="text1"/>
          <w:spacing w:val="0"/>
          <w:szCs w:val="24"/>
          <w:lang w:eastAsia="en-GB"/>
        </w:rPr>
      </w:pPr>
    </w:p>
    <w:p w14:paraId="3D052FD9" w14:textId="7E538ADB" w:rsidR="004B2BFC" w:rsidRPr="00895D0B" w:rsidRDefault="004B2BFC" w:rsidP="004B2BFC">
      <w:pPr>
        <w:pStyle w:val="Heading2"/>
      </w:pPr>
      <w:bookmarkStart w:id="178" w:name="_Toc167379952"/>
      <w:r w:rsidRPr="00895D0B">
        <w:t>7.4 Urban Farmers’ Climate Change Knowledge and Sources of Adaptation Information</w:t>
      </w:r>
      <w:bookmarkEnd w:id="178"/>
      <w:r w:rsidRPr="00895D0B">
        <w:t xml:space="preserve"> </w:t>
      </w:r>
    </w:p>
    <w:p w14:paraId="0996FBF5" w14:textId="679FD2E4" w:rsidR="00146590" w:rsidRDefault="00146590" w:rsidP="00146590">
      <w:pPr>
        <w:spacing w:line="360" w:lineRule="auto"/>
        <w:rPr>
          <w:rFonts w:eastAsia="Times New Roman" w:cs="Times New Roman"/>
          <w:i/>
          <w:iCs/>
          <w:color w:val="000000" w:themeColor="text1"/>
          <w:szCs w:val="24"/>
          <w:lang w:eastAsia="en-GB"/>
        </w:rPr>
      </w:pPr>
      <w:r w:rsidRPr="00895D0B">
        <w:rPr>
          <w:rFonts w:eastAsia="Times New Roman" w:cs="Times New Roman"/>
          <w:color w:val="000000" w:themeColor="text1"/>
          <w:szCs w:val="24"/>
          <w:lang w:eastAsia="en-GB"/>
        </w:rPr>
        <w:t>This section presents the perceptions of urban farmers on climate change effects and the sources of information on adaptation measures relating to climatic stressors like rainfall and temperature. Table 7.1 indicates that the majority, about 93.3%, of the urban households that are into urban agriculture production know the current climate change situation. In line with the above scenario, about 92.6% do accept that climate change stressors are having negative consequences on agricultural production in urban neighbourhood. It was clear that urban farmers obtain climate change adaptation strategies for their production from several sources. Friends and agricultural service workers play instrumental roles as sources of climate change adaptation information for urban farmers. The results reveal that the majority (about 94.7%) of urban farmers, rely on friends and neighbours as well as agricultural service workers, to get information on agricultural practices that are climate resilient. Again, the media is critical in providing climate change adaptation information. About 65.9% of urban farmers get climate change adaptation strategy information from television programming and radio broadcasting, which is 14.9%. In addition, farmers' observation does not give them insight into how to adapt their agricultural activities to the current climatic stressors (</w:t>
      </w:r>
      <w:r w:rsidRPr="00895D0B">
        <w:rPr>
          <w:rFonts w:eastAsia="Times New Roman" w:cs="Times New Roman"/>
          <w:i/>
          <w:iCs/>
          <w:color w:val="000000" w:themeColor="text1"/>
          <w:szCs w:val="24"/>
          <w:lang w:eastAsia="en-GB"/>
        </w:rPr>
        <w:t>see Table 7.1).</w:t>
      </w:r>
    </w:p>
    <w:p w14:paraId="796A5C60" w14:textId="77777777" w:rsidR="00A213F7" w:rsidRPr="00A213F7" w:rsidRDefault="00A213F7" w:rsidP="009864E3">
      <w:pPr>
        <w:pStyle w:val="NoSpacing"/>
        <w:rPr>
          <w:lang w:eastAsia="en-GB"/>
        </w:rPr>
      </w:pPr>
    </w:p>
    <w:p w14:paraId="55614EB1" w14:textId="59812005" w:rsidR="004B2BFC" w:rsidRPr="00A213F7" w:rsidRDefault="00A213F7" w:rsidP="004B2BFC">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The urban farmers' socio-economic parameters were measured with their climate change knowledge. From Table 7.2, the results showed that farmers who are within the age category of 31–40 years, representing about 40.4%, do know about climate change. This is closely followed by farmers within the age bracket of 40–50 years, representing about 37.1%. The age of urban farmers is not significant in terms of knowledge of climate change at an alpha of 0.05 (p-value = 0.931 &gt; 0.05).</w:t>
      </w:r>
    </w:p>
    <w:p w14:paraId="1114C979" w14:textId="5FAA11DB" w:rsidR="004B2BFC" w:rsidRPr="00895D0B" w:rsidRDefault="004B2BFC" w:rsidP="009864E3">
      <w:pPr>
        <w:pStyle w:val="Heading6"/>
      </w:pPr>
      <w:bookmarkStart w:id="179" w:name="_Toc167368602"/>
      <w:r w:rsidRPr="00895D0B">
        <w:lastRenderedPageBreak/>
        <w:t>Table 7.</w:t>
      </w:r>
      <w:r w:rsidRPr="00895D0B">
        <w:fldChar w:fldCharType="begin"/>
      </w:r>
      <w:r w:rsidRPr="00895D0B">
        <w:instrText xml:space="preserve"> SEQ Table_7._ \* ARABIC </w:instrText>
      </w:r>
      <w:r w:rsidRPr="00895D0B">
        <w:fldChar w:fldCharType="separate"/>
      </w:r>
      <w:r w:rsidR="0026489B">
        <w:rPr>
          <w:noProof/>
        </w:rPr>
        <w:t>4</w:t>
      </w:r>
      <w:r w:rsidRPr="00895D0B">
        <w:fldChar w:fldCharType="end"/>
      </w:r>
      <w:r w:rsidRPr="00895D0B">
        <w:t>: Urban Farmers' Perception on Climate Change Effects and Sources of Adaptation Information (N=191).</w:t>
      </w:r>
      <w:bookmarkEnd w:id="179"/>
    </w:p>
    <w:tbl>
      <w:tblPr>
        <w:tblW w:w="8784" w:type="dxa"/>
        <w:tblLayout w:type="fixed"/>
        <w:tblLook w:val="04A0" w:firstRow="1" w:lastRow="0" w:firstColumn="1" w:lastColumn="0" w:noHBand="0" w:noVBand="1"/>
      </w:tblPr>
      <w:tblGrid>
        <w:gridCol w:w="5240"/>
        <w:gridCol w:w="992"/>
        <w:gridCol w:w="1418"/>
        <w:gridCol w:w="1134"/>
      </w:tblGrid>
      <w:tr w:rsidR="00895D0B" w:rsidRPr="00895D0B" w14:paraId="4C1E8B4A" w14:textId="77777777" w:rsidTr="00382FC1">
        <w:tc>
          <w:tcPr>
            <w:tcW w:w="6232" w:type="dxa"/>
            <w:gridSpan w:val="2"/>
            <w:tcBorders>
              <w:top w:val="single" w:sz="4" w:space="0" w:color="auto"/>
              <w:bottom w:val="single" w:sz="4" w:space="0" w:color="auto"/>
            </w:tcBorders>
          </w:tcPr>
          <w:p w14:paraId="6581F362" w14:textId="77777777" w:rsidR="004B2BFC" w:rsidRPr="00895D0B" w:rsidRDefault="004B2BFC" w:rsidP="00B32198">
            <w:pPr>
              <w:spacing w:line="240" w:lineRule="auto"/>
              <w:rPr>
                <w:rFonts w:cs="Times New Roman"/>
                <w:b/>
                <w:color w:val="000000" w:themeColor="text1"/>
                <w:szCs w:val="24"/>
              </w:rPr>
            </w:pPr>
            <w:r w:rsidRPr="00895D0B">
              <w:rPr>
                <w:rFonts w:cs="Times New Roman"/>
                <w:b/>
                <w:color w:val="000000" w:themeColor="text1"/>
                <w:szCs w:val="24"/>
              </w:rPr>
              <w:t xml:space="preserve">Knowledge and sources of climate change information </w:t>
            </w:r>
          </w:p>
        </w:tc>
        <w:tc>
          <w:tcPr>
            <w:tcW w:w="1418" w:type="dxa"/>
            <w:tcBorders>
              <w:top w:val="single" w:sz="4" w:space="0" w:color="auto"/>
              <w:bottom w:val="single" w:sz="4" w:space="0" w:color="auto"/>
            </w:tcBorders>
          </w:tcPr>
          <w:p w14:paraId="4562DAEE" w14:textId="77777777" w:rsidR="004B2BFC" w:rsidRPr="00895D0B" w:rsidRDefault="004B2BFC" w:rsidP="00B32198">
            <w:pPr>
              <w:spacing w:line="240" w:lineRule="auto"/>
              <w:jc w:val="center"/>
              <w:rPr>
                <w:rFonts w:cs="Times New Roman"/>
                <w:b/>
                <w:color w:val="000000" w:themeColor="text1"/>
                <w:szCs w:val="24"/>
              </w:rPr>
            </w:pPr>
            <w:r w:rsidRPr="00895D0B">
              <w:rPr>
                <w:rFonts w:cs="Times New Roman"/>
                <w:b/>
                <w:color w:val="000000" w:themeColor="text1"/>
                <w:szCs w:val="24"/>
              </w:rPr>
              <w:t>Frequency</w:t>
            </w:r>
          </w:p>
        </w:tc>
        <w:tc>
          <w:tcPr>
            <w:tcW w:w="1134" w:type="dxa"/>
            <w:tcBorders>
              <w:top w:val="single" w:sz="4" w:space="0" w:color="auto"/>
              <w:bottom w:val="single" w:sz="4" w:space="0" w:color="auto"/>
            </w:tcBorders>
          </w:tcPr>
          <w:p w14:paraId="7C75BE9D" w14:textId="77777777" w:rsidR="004B2BFC" w:rsidRPr="00895D0B" w:rsidRDefault="004B2BFC" w:rsidP="00B32198">
            <w:pPr>
              <w:spacing w:line="240" w:lineRule="auto"/>
              <w:jc w:val="center"/>
              <w:rPr>
                <w:rFonts w:cs="Times New Roman"/>
                <w:b/>
                <w:color w:val="000000" w:themeColor="text1"/>
                <w:szCs w:val="24"/>
              </w:rPr>
            </w:pPr>
            <w:r w:rsidRPr="00895D0B">
              <w:rPr>
                <w:rFonts w:cs="Times New Roman"/>
                <w:b/>
                <w:color w:val="000000" w:themeColor="text1"/>
                <w:szCs w:val="24"/>
              </w:rPr>
              <w:t>Percent</w:t>
            </w:r>
          </w:p>
        </w:tc>
      </w:tr>
      <w:tr w:rsidR="00895D0B" w:rsidRPr="00895D0B" w14:paraId="6E118E47" w14:textId="77777777" w:rsidTr="00382FC1">
        <w:trPr>
          <w:trHeight w:val="136"/>
        </w:trPr>
        <w:tc>
          <w:tcPr>
            <w:tcW w:w="5240" w:type="dxa"/>
            <w:vMerge w:val="restart"/>
            <w:tcBorders>
              <w:top w:val="single" w:sz="4" w:space="0" w:color="auto"/>
            </w:tcBorders>
          </w:tcPr>
          <w:p w14:paraId="4AD27245" w14:textId="77777777" w:rsidR="004B2BFC" w:rsidRPr="00895D0B" w:rsidRDefault="004B2BFC" w:rsidP="00B32198">
            <w:pPr>
              <w:spacing w:line="240" w:lineRule="auto"/>
              <w:rPr>
                <w:rFonts w:cs="Times New Roman"/>
                <w:color w:val="000000" w:themeColor="text1"/>
                <w:szCs w:val="24"/>
              </w:rPr>
            </w:pPr>
            <w:r w:rsidRPr="00895D0B">
              <w:rPr>
                <w:rFonts w:cs="Times New Roman"/>
                <w:color w:val="000000" w:themeColor="text1"/>
                <w:szCs w:val="24"/>
              </w:rPr>
              <w:t xml:space="preserve">Knowledge of climate change </w:t>
            </w:r>
          </w:p>
        </w:tc>
        <w:tc>
          <w:tcPr>
            <w:tcW w:w="992" w:type="dxa"/>
            <w:tcBorders>
              <w:top w:val="single" w:sz="4" w:space="0" w:color="auto"/>
            </w:tcBorders>
          </w:tcPr>
          <w:p w14:paraId="0676997C"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Yes</w:t>
            </w:r>
          </w:p>
        </w:tc>
        <w:tc>
          <w:tcPr>
            <w:tcW w:w="1418" w:type="dxa"/>
            <w:tcBorders>
              <w:top w:val="single" w:sz="4" w:space="0" w:color="auto"/>
            </w:tcBorders>
          </w:tcPr>
          <w:p w14:paraId="0EEAEA6A"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182</w:t>
            </w:r>
          </w:p>
        </w:tc>
        <w:tc>
          <w:tcPr>
            <w:tcW w:w="1134" w:type="dxa"/>
            <w:tcBorders>
              <w:top w:val="single" w:sz="4" w:space="0" w:color="auto"/>
            </w:tcBorders>
          </w:tcPr>
          <w:p w14:paraId="652F991B"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93.3</w:t>
            </w:r>
          </w:p>
        </w:tc>
      </w:tr>
      <w:tr w:rsidR="00895D0B" w:rsidRPr="00895D0B" w14:paraId="3518E22C" w14:textId="77777777" w:rsidTr="00382FC1">
        <w:tc>
          <w:tcPr>
            <w:tcW w:w="5240" w:type="dxa"/>
            <w:vMerge/>
          </w:tcPr>
          <w:p w14:paraId="328C2218" w14:textId="77777777" w:rsidR="004B2BFC" w:rsidRPr="00895D0B" w:rsidRDefault="004B2BFC" w:rsidP="00B32198">
            <w:pPr>
              <w:spacing w:line="240" w:lineRule="auto"/>
              <w:rPr>
                <w:rFonts w:cs="Times New Roman"/>
                <w:color w:val="000000" w:themeColor="text1"/>
                <w:szCs w:val="24"/>
              </w:rPr>
            </w:pPr>
          </w:p>
        </w:tc>
        <w:tc>
          <w:tcPr>
            <w:tcW w:w="992" w:type="dxa"/>
          </w:tcPr>
          <w:p w14:paraId="4504C690"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No</w:t>
            </w:r>
          </w:p>
        </w:tc>
        <w:tc>
          <w:tcPr>
            <w:tcW w:w="1418" w:type="dxa"/>
          </w:tcPr>
          <w:p w14:paraId="634265F7"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9</w:t>
            </w:r>
          </w:p>
        </w:tc>
        <w:tc>
          <w:tcPr>
            <w:tcW w:w="1134" w:type="dxa"/>
          </w:tcPr>
          <w:p w14:paraId="054EA4E7"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6.7</w:t>
            </w:r>
          </w:p>
        </w:tc>
      </w:tr>
      <w:tr w:rsidR="00895D0B" w:rsidRPr="00895D0B" w14:paraId="34574E09" w14:textId="77777777" w:rsidTr="00382FC1">
        <w:tc>
          <w:tcPr>
            <w:tcW w:w="5240" w:type="dxa"/>
            <w:vMerge w:val="restart"/>
          </w:tcPr>
          <w:p w14:paraId="16A98AED" w14:textId="77777777" w:rsidR="004B2BFC" w:rsidRPr="00895D0B" w:rsidRDefault="004B2BFC" w:rsidP="00B32198">
            <w:pPr>
              <w:spacing w:line="240" w:lineRule="auto"/>
              <w:rPr>
                <w:rFonts w:cs="Times New Roman"/>
                <w:color w:val="000000" w:themeColor="text1"/>
                <w:szCs w:val="24"/>
              </w:rPr>
            </w:pPr>
            <w:r w:rsidRPr="00895D0B">
              <w:rPr>
                <w:rFonts w:cs="Times New Roman"/>
                <w:color w:val="000000" w:themeColor="text1"/>
                <w:szCs w:val="24"/>
              </w:rPr>
              <w:t xml:space="preserve">Climate change effects on urban agriculture </w:t>
            </w:r>
          </w:p>
        </w:tc>
        <w:tc>
          <w:tcPr>
            <w:tcW w:w="992" w:type="dxa"/>
          </w:tcPr>
          <w:p w14:paraId="014370E1"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 xml:space="preserve">Yes </w:t>
            </w:r>
          </w:p>
        </w:tc>
        <w:tc>
          <w:tcPr>
            <w:tcW w:w="1418" w:type="dxa"/>
            <w:vAlign w:val="center"/>
          </w:tcPr>
          <w:p w14:paraId="134E25DB"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177</w:t>
            </w:r>
          </w:p>
        </w:tc>
        <w:tc>
          <w:tcPr>
            <w:tcW w:w="1134" w:type="dxa"/>
            <w:vAlign w:val="center"/>
          </w:tcPr>
          <w:p w14:paraId="380F0C4A"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92.6</w:t>
            </w:r>
          </w:p>
        </w:tc>
      </w:tr>
      <w:tr w:rsidR="00895D0B" w:rsidRPr="00895D0B" w14:paraId="0391D6D3" w14:textId="77777777" w:rsidTr="00382FC1">
        <w:tc>
          <w:tcPr>
            <w:tcW w:w="5240" w:type="dxa"/>
            <w:vMerge/>
          </w:tcPr>
          <w:p w14:paraId="145974A8" w14:textId="77777777" w:rsidR="004B2BFC" w:rsidRPr="00895D0B" w:rsidRDefault="004B2BFC" w:rsidP="00B32198">
            <w:pPr>
              <w:spacing w:line="240" w:lineRule="auto"/>
              <w:rPr>
                <w:rFonts w:cs="Times New Roman"/>
                <w:color w:val="000000" w:themeColor="text1"/>
                <w:szCs w:val="24"/>
              </w:rPr>
            </w:pPr>
          </w:p>
        </w:tc>
        <w:tc>
          <w:tcPr>
            <w:tcW w:w="992" w:type="dxa"/>
          </w:tcPr>
          <w:p w14:paraId="46DD0C26"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 xml:space="preserve">No </w:t>
            </w:r>
          </w:p>
        </w:tc>
        <w:tc>
          <w:tcPr>
            <w:tcW w:w="1418" w:type="dxa"/>
            <w:vAlign w:val="center"/>
          </w:tcPr>
          <w:p w14:paraId="2927F3B5"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14</w:t>
            </w:r>
          </w:p>
        </w:tc>
        <w:tc>
          <w:tcPr>
            <w:tcW w:w="1134" w:type="dxa"/>
            <w:vAlign w:val="center"/>
          </w:tcPr>
          <w:p w14:paraId="7CBD41CA"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7.4</w:t>
            </w:r>
          </w:p>
        </w:tc>
      </w:tr>
      <w:tr w:rsidR="00895D0B" w:rsidRPr="00895D0B" w14:paraId="3269018E" w14:textId="77777777" w:rsidTr="00382FC1">
        <w:tc>
          <w:tcPr>
            <w:tcW w:w="8784" w:type="dxa"/>
            <w:gridSpan w:val="4"/>
          </w:tcPr>
          <w:p w14:paraId="0CEB1A9F" w14:textId="77777777" w:rsidR="004B2BFC" w:rsidRPr="00895D0B" w:rsidRDefault="004B2BFC" w:rsidP="00B32198">
            <w:pPr>
              <w:spacing w:line="240" w:lineRule="auto"/>
              <w:rPr>
                <w:rFonts w:cs="Times New Roman"/>
                <w:b/>
                <w:color w:val="000000" w:themeColor="text1"/>
                <w:szCs w:val="24"/>
              </w:rPr>
            </w:pPr>
            <w:r w:rsidRPr="00895D0B">
              <w:rPr>
                <w:rFonts w:cs="Times New Roman"/>
                <w:b/>
                <w:color w:val="000000" w:themeColor="text1"/>
                <w:szCs w:val="24"/>
              </w:rPr>
              <w:t>Sources of climate change information</w:t>
            </w:r>
          </w:p>
        </w:tc>
      </w:tr>
      <w:tr w:rsidR="00895D0B" w:rsidRPr="00895D0B" w14:paraId="6A184D4E" w14:textId="77777777" w:rsidTr="00382FC1">
        <w:tc>
          <w:tcPr>
            <w:tcW w:w="5240" w:type="dxa"/>
            <w:vMerge w:val="restart"/>
          </w:tcPr>
          <w:p w14:paraId="016D7C7B" w14:textId="77777777" w:rsidR="004B2BFC" w:rsidRPr="00895D0B" w:rsidRDefault="004B2BFC" w:rsidP="00B32198">
            <w:pPr>
              <w:spacing w:line="240" w:lineRule="auto"/>
              <w:rPr>
                <w:rFonts w:cs="Times New Roman"/>
                <w:color w:val="000000" w:themeColor="text1"/>
                <w:szCs w:val="24"/>
              </w:rPr>
            </w:pPr>
            <w:r w:rsidRPr="00895D0B">
              <w:rPr>
                <w:rFonts w:cs="Times New Roman"/>
                <w:color w:val="000000" w:themeColor="text1"/>
                <w:szCs w:val="24"/>
              </w:rPr>
              <w:t>Friends and neighbours</w:t>
            </w:r>
          </w:p>
        </w:tc>
        <w:tc>
          <w:tcPr>
            <w:tcW w:w="992" w:type="dxa"/>
          </w:tcPr>
          <w:p w14:paraId="604D30A1"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Yes</w:t>
            </w:r>
          </w:p>
        </w:tc>
        <w:tc>
          <w:tcPr>
            <w:tcW w:w="1418" w:type="dxa"/>
            <w:vAlign w:val="center"/>
          </w:tcPr>
          <w:p w14:paraId="0C4F884E"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181</w:t>
            </w:r>
          </w:p>
        </w:tc>
        <w:tc>
          <w:tcPr>
            <w:tcW w:w="1134" w:type="dxa"/>
            <w:vAlign w:val="center"/>
          </w:tcPr>
          <w:p w14:paraId="622CC1EB"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94.7</w:t>
            </w:r>
          </w:p>
        </w:tc>
      </w:tr>
      <w:tr w:rsidR="00895D0B" w:rsidRPr="00895D0B" w14:paraId="5428DB2B" w14:textId="77777777" w:rsidTr="00382FC1">
        <w:tc>
          <w:tcPr>
            <w:tcW w:w="5240" w:type="dxa"/>
            <w:vMerge/>
          </w:tcPr>
          <w:p w14:paraId="415A899E" w14:textId="77777777" w:rsidR="004B2BFC" w:rsidRPr="00895D0B" w:rsidRDefault="004B2BFC" w:rsidP="00B32198">
            <w:pPr>
              <w:spacing w:line="240" w:lineRule="auto"/>
              <w:rPr>
                <w:rFonts w:cs="Times New Roman"/>
                <w:color w:val="000000" w:themeColor="text1"/>
                <w:szCs w:val="24"/>
              </w:rPr>
            </w:pPr>
          </w:p>
        </w:tc>
        <w:tc>
          <w:tcPr>
            <w:tcW w:w="992" w:type="dxa"/>
          </w:tcPr>
          <w:p w14:paraId="495E5BE6"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No</w:t>
            </w:r>
          </w:p>
        </w:tc>
        <w:tc>
          <w:tcPr>
            <w:tcW w:w="1418" w:type="dxa"/>
            <w:vAlign w:val="center"/>
          </w:tcPr>
          <w:p w14:paraId="43F856CE"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w:t>
            </w:r>
          </w:p>
        </w:tc>
        <w:tc>
          <w:tcPr>
            <w:tcW w:w="1134" w:type="dxa"/>
            <w:vAlign w:val="center"/>
          </w:tcPr>
          <w:p w14:paraId="2926E4EB"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5.3</w:t>
            </w:r>
          </w:p>
        </w:tc>
      </w:tr>
      <w:tr w:rsidR="00895D0B" w:rsidRPr="00895D0B" w14:paraId="6ABE8A46" w14:textId="77777777" w:rsidTr="00382FC1">
        <w:tc>
          <w:tcPr>
            <w:tcW w:w="5240" w:type="dxa"/>
            <w:vMerge w:val="restart"/>
          </w:tcPr>
          <w:p w14:paraId="3E6CEB9E" w14:textId="77777777" w:rsidR="004B2BFC" w:rsidRPr="00895D0B" w:rsidRDefault="004B2BFC" w:rsidP="00B32198">
            <w:pPr>
              <w:spacing w:line="240" w:lineRule="auto"/>
              <w:rPr>
                <w:rFonts w:cs="Times New Roman"/>
                <w:color w:val="000000" w:themeColor="text1"/>
                <w:szCs w:val="24"/>
              </w:rPr>
            </w:pPr>
            <w:r w:rsidRPr="00895D0B">
              <w:rPr>
                <w:rFonts w:cs="Times New Roman"/>
                <w:color w:val="000000" w:themeColor="text1"/>
                <w:szCs w:val="24"/>
              </w:rPr>
              <w:t>Agriculture services workers</w:t>
            </w:r>
          </w:p>
        </w:tc>
        <w:tc>
          <w:tcPr>
            <w:tcW w:w="992" w:type="dxa"/>
          </w:tcPr>
          <w:p w14:paraId="7397F4EC"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Yes</w:t>
            </w:r>
          </w:p>
        </w:tc>
        <w:tc>
          <w:tcPr>
            <w:tcW w:w="1418" w:type="dxa"/>
            <w:vAlign w:val="center"/>
          </w:tcPr>
          <w:p w14:paraId="279BEA7C"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181</w:t>
            </w:r>
          </w:p>
        </w:tc>
        <w:tc>
          <w:tcPr>
            <w:tcW w:w="1134" w:type="dxa"/>
            <w:vAlign w:val="center"/>
          </w:tcPr>
          <w:p w14:paraId="237F6E7E"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94.7</w:t>
            </w:r>
          </w:p>
        </w:tc>
      </w:tr>
      <w:tr w:rsidR="00895D0B" w:rsidRPr="00895D0B" w14:paraId="56547978" w14:textId="77777777" w:rsidTr="00382FC1">
        <w:tc>
          <w:tcPr>
            <w:tcW w:w="5240" w:type="dxa"/>
            <w:vMerge/>
          </w:tcPr>
          <w:p w14:paraId="2ACB899B" w14:textId="77777777" w:rsidR="004B2BFC" w:rsidRPr="00895D0B" w:rsidRDefault="004B2BFC" w:rsidP="00B32198">
            <w:pPr>
              <w:spacing w:line="240" w:lineRule="auto"/>
              <w:rPr>
                <w:rFonts w:cs="Times New Roman"/>
                <w:color w:val="000000" w:themeColor="text1"/>
                <w:szCs w:val="24"/>
              </w:rPr>
            </w:pPr>
          </w:p>
        </w:tc>
        <w:tc>
          <w:tcPr>
            <w:tcW w:w="992" w:type="dxa"/>
          </w:tcPr>
          <w:p w14:paraId="5D6AC18B"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No</w:t>
            </w:r>
          </w:p>
        </w:tc>
        <w:tc>
          <w:tcPr>
            <w:tcW w:w="1418" w:type="dxa"/>
            <w:vAlign w:val="center"/>
          </w:tcPr>
          <w:p w14:paraId="638FE136"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w:t>
            </w:r>
          </w:p>
        </w:tc>
        <w:tc>
          <w:tcPr>
            <w:tcW w:w="1134" w:type="dxa"/>
            <w:vAlign w:val="center"/>
          </w:tcPr>
          <w:p w14:paraId="21BFCE27"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5.3</w:t>
            </w:r>
          </w:p>
        </w:tc>
      </w:tr>
      <w:tr w:rsidR="00895D0B" w:rsidRPr="00895D0B" w14:paraId="76D1FB2C" w14:textId="77777777" w:rsidTr="00382FC1">
        <w:tc>
          <w:tcPr>
            <w:tcW w:w="5240" w:type="dxa"/>
            <w:vMerge w:val="restart"/>
          </w:tcPr>
          <w:p w14:paraId="01C4DF7E" w14:textId="77777777" w:rsidR="004B2BFC" w:rsidRPr="00895D0B" w:rsidRDefault="004B2BFC" w:rsidP="00B32198">
            <w:pPr>
              <w:spacing w:line="240" w:lineRule="auto"/>
              <w:rPr>
                <w:rFonts w:cs="Times New Roman"/>
                <w:color w:val="000000" w:themeColor="text1"/>
                <w:szCs w:val="24"/>
              </w:rPr>
            </w:pPr>
            <w:r w:rsidRPr="00895D0B">
              <w:rPr>
                <w:rFonts w:cs="Times New Roman"/>
                <w:color w:val="000000" w:themeColor="text1"/>
                <w:szCs w:val="24"/>
              </w:rPr>
              <w:t xml:space="preserve">Television </w:t>
            </w:r>
          </w:p>
        </w:tc>
        <w:tc>
          <w:tcPr>
            <w:tcW w:w="992" w:type="dxa"/>
          </w:tcPr>
          <w:p w14:paraId="78BE91A7"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Yes</w:t>
            </w:r>
          </w:p>
        </w:tc>
        <w:tc>
          <w:tcPr>
            <w:tcW w:w="1418" w:type="dxa"/>
            <w:vAlign w:val="center"/>
          </w:tcPr>
          <w:p w14:paraId="41E6AC4E"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126</w:t>
            </w:r>
          </w:p>
        </w:tc>
        <w:tc>
          <w:tcPr>
            <w:tcW w:w="1134" w:type="dxa"/>
            <w:vAlign w:val="center"/>
          </w:tcPr>
          <w:p w14:paraId="496D07D3"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65.9</w:t>
            </w:r>
          </w:p>
        </w:tc>
      </w:tr>
      <w:tr w:rsidR="00895D0B" w:rsidRPr="00895D0B" w14:paraId="033C5002" w14:textId="77777777" w:rsidTr="00382FC1">
        <w:tc>
          <w:tcPr>
            <w:tcW w:w="5240" w:type="dxa"/>
            <w:vMerge/>
          </w:tcPr>
          <w:p w14:paraId="709DB8CC" w14:textId="77777777" w:rsidR="004B2BFC" w:rsidRPr="00895D0B" w:rsidRDefault="004B2BFC" w:rsidP="00B32198">
            <w:pPr>
              <w:spacing w:line="240" w:lineRule="auto"/>
              <w:rPr>
                <w:rFonts w:cs="Times New Roman"/>
                <w:color w:val="000000" w:themeColor="text1"/>
                <w:szCs w:val="24"/>
              </w:rPr>
            </w:pPr>
          </w:p>
        </w:tc>
        <w:tc>
          <w:tcPr>
            <w:tcW w:w="992" w:type="dxa"/>
          </w:tcPr>
          <w:p w14:paraId="6DC76703"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No</w:t>
            </w:r>
          </w:p>
        </w:tc>
        <w:tc>
          <w:tcPr>
            <w:tcW w:w="1418" w:type="dxa"/>
            <w:vAlign w:val="center"/>
          </w:tcPr>
          <w:p w14:paraId="15C7D681"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65</w:t>
            </w:r>
          </w:p>
        </w:tc>
        <w:tc>
          <w:tcPr>
            <w:tcW w:w="1134" w:type="dxa"/>
            <w:vAlign w:val="center"/>
          </w:tcPr>
          <w:p w14:paraId="2E7CC272"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34.1</w:t>
            </w:r>
          </w:p>
        </w:tc>
      </w:tr>
      <w:tr w:rsidR="00895D0B" w:rsidRPr="00895D0B" w14:paraId="34960B25" w14:textId="77777777" w:rsidTr="00382FC1">
        <w:tc>
          <w:tcPr>
            <w:tcW w:w="5240" w:type="dxa"/>
            <w:vMerge w:val="restart"/>
          </w:tcPr>
          <w:p w14:paraId="3BD5FFDE" w14:textId="77777777" w:rsidR="004B2BFC" w:rsidRPr="00895D0B" w:rsidRDefault="004B2BFC" w:rsidP="00B32198">
            <w:pPr>
              <w:spacing w:line="240" w:lineRule="auto"/>
              <w:rPr>
                <w:rFonts w:cs="Times New Roman"/>
                <w:color w:val="000000" w:themeColor="text1"/>
                <w:szCs w:val="24"/>
              </w:rPr>
            </w:pPr>
            <w:r w:rsidRPr="00895D0B">
              <w:rPr>
                <w:rFonts w:cs="Times New Roman"/>
                <w:color w:val="000000" w:themeColor="text1"/>
                <w:szCs w:val="24"/>
              </w:rPr>
              <w:t xml:space="preserve">Radio </w:t>
            </w:r>
          </w:p>
        </w:tc>
        <w:tc>
          <w:tcPr>
            <w:tcW w:w="992" w:type="dxa"/>
          </w:tcPr>
          <w:p w14:paraId="1BC5C8C3"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Yes</w:t>
            </w:r>
          </w:p>
        </w:tc>
        <w:tc>
          <w:tcPr>
            <w:tcW w:w="1418" w:type="dxa"/>
            <w:vAlign w:val="center"/>
          </w:tcPr>
          <w:p w14:paraId="0DB3948B"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31</w:t>
            </w:r>
          </w:p>
        </w:tc>
        <w:tc>
          <w:tcPr>
            <w:tcW w:w="1134" w:type="dxa"/>
            <w:vAlign w:val="center"/>
          </w:tcPr>
          <w:p w14:paraId="3D5658B6"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8.6</w:t>
            </w:r>
          </w:p>
        </w:tc>
      </w:tr>
      <w:tr w:rsidR="00895D0B" w:rsidRPr="00895D0B" w14:paraId="43AF1179" w14:textId="77777777" w:rsidTr="00382FC1">
        <w:tc>
          <w:tcPr>
            <w:tcW w:w="5240" w:type="dxa"/>
            <w:vMerge/>
          </w:tcPr>
          <w:p w14:paraId="7B3659CA" w14:textId="77777777" w:rsidR="004B2BFC" w:rsidRPr="00895D0B" w:rsidRDefault="004B2BFC" w:rsidP="00B32198">
            <w:pPr>
              <w:spacing w:line="240" w:lineRule="auto"/>
              <w:rPr>
                <w:rFonts w:cs="Times New Roman"/>
                <w:color w:val="000000" w:themeColor="text1"/>
                <w:szCs w:val="24"/>
              </w:rPr>
            </w:pPr>
          </w:p>
        </w:tc>
        <w:tc>
          <w:tcPr>
            <w:tcW w:w="992" w:type="dxa"/>
          </w:tcPr>
          <w:p w14:paraId="6F1F81EE"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No</w:t>
            </w:r>
          </w:p>
        </w:tc>
        <w:tc>
          <w:tcPr>
            <w:tcW w:w="1418" w:type="dxa"/>
            <w:vAlign w:val="center"/>
          </w:tcPr>
          <w:p w14:paraId="26C888DD"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150</w:t>
            </w:r>
          </w:p>
        </w:tc>
        <w:tc>
          <w:tcPr>
            <w:tcW w:w="1134" w:type="dxa"/>
            <w:vAlign w:val="center"/>
          </w:tcPr>
          <w:p w14:paraId="7637546F"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41.4</w:t>
            </w:r>
          </w:p>
        </w:tc>
      </w:tr>
      <w:tr w:rsidR="00895D0B" w:rsidRPr="00895D0B" w14:paraId="32920204" w14:textId="77777777" w:rsidTr="00382FC1">
        <w:tc>
          <w:tcPr>
            <w:tcW w:w="5240" w:type="dxa"/>
            <w:vMerge w:val="restart"/>
          </w:tcPr>
          <w:p w14:paraId="2E3E1F35" w14:textId="77777777" w:rsidR="004B2BFC" w:rsidRPr="00895D0B" w:rsidRDefault="004B2BFC" w:rsidP="00B32198">
            <w:pPr>
              <w:spacing w:line="240" w:lineRule="auto"/>
              <w:rPr>
                <w:rFonts w:cs="Times New Roman"/>
                <w:color w:val="000000" w:themeColor="text1"/>
                <w:szCs w:val="24"/>
              </w:rPr>
            </w:pPr>
            <w:r w:rsidRPr="00895D0B">
              <w:rPr>
                <w:rFonts w:cs="Times New Roman"/>
                <w:color w:val="000000" w:themeColor="text1"/>
                <w:szCs w:val="24"/>
              </w:rPr>
              <w:t xml:space="preserve">Personal observation </w:t>
            </w:r>
          </w:p>
        </w:tc>
        <w:tc>
          <w:tcPr>
            <w:tcW w:w="992" w:type="dxa"/>
          </w:tcPr>
          <w:p w14:paraId="203FFC56"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Yes</w:t>
            </w:r>
          </w:p>
        </w:tc>
        <w:tc>
          <w:tcPr>
            <w:tcW w:w="1418" w:type="dxa"/>
            <w:vAlign w:val="center"/>
          </w:tcPr>
          <w:p w14:paraId="51C03F0A"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54</w:t>
            </w:r>
          </w:p>
        </w:tc>
        <w:tc>
          <w:tcPr>
            <w:tcW w:w="1134" w:type="dxa"/>
            <w:vAlign w:val="center"/>
          </w:tcPr>
          <w:p w14:paraId="573F4DA1"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14.9</w:t>
            </w:r>
          </w:p>
        </w:tc>
      </w:tr>
      <w:tr w:rsidR="00895D0B" w:rsidRPr="00895D0B" w14:paraId="028F2370" w14:textId="77777777" w:rsidTr="00382FC1">
        <w:tc>
          <w:tcPr>
            <w:tcW w:w="5240" w:type="dxa"/>
            <w:vMerge/>
            <w:tcBorders>
              <w:bottom w:val="single" w:sz="4" w:space="0" w:color="auto"/>
            </w:tcBorders>
          </w:tcPr>
          <w:p w14:paraId="266415D7" w14:textId="77777777" w:rsidR="004B2BFC" w:rsidRPr="00895D0B" w:rsidRDefault="004B2BFC" w:rsidP="00B32198">
            <w:pPr>
              <w:spacing w:line="240" w:lineRule="auto"/>
              <w:rPr>
                <w:rFonts w:cs="Times New Roman"/>
                <w:color w:val="000000" w:themeColor="text1"/>
                <w:szCs w:val="24"/>
              </w:rPr>
            </w:pPr>
          </w:p>
        </w:tc>
        <w:tc>
          <w:tcPr>
            <w:tcW w:w="992" w:type="dxa"/>
            <w:tcBorders>
              <w:bottom w:val="single" w:sz="4" w:space="0" w:color="auto"/>
            </w:tcBorders>
          </w:tcPr>
          <w:p w14:paraId="68A6B065" w14:textId="77777777" w:rsidR="004B2BFC" w:rsidRPr="00895D0B" w:rsidRDefault="004B2BFC" w:rsidP="00B32198">
            <w:pPr>
              <w:spacing w:line="240" w:lineRule="auto"/>
              <w:jc w:val="center"/>
              <w:rPr>
                <w:rFonts w:cs="Times New Roman"/>
                <w:color w:val="000000" w:themeColor="text1"/>
                <w:szCs w:val="24"/>
              </w:rPr>
            </w:pPr>
            <w:r w:rsidRPr="00895D0B">
              <w:rPr>
                <w:rFonts w:cs="Times New Roman"/>
                <w:color w:val="000000" w:themeColor="text1"/>
                <w:szCs w:val="24"/>
              </w:rPr>
              <w:t>No</w:t>
            </w:r>
          </w:p>
        </w:tc>
        <w:tc>
          <w:tcPr>
            <w:tcW w:w="1418" w:type="dxa"/>
            <w:tcBorders>
              <w:bottom w:val="single" w:sz="4" w:space="0" w:color="auto"/>
            </w:tcBorders>
            <w:vAlign w:val="center"/>
          </w:tcPr>
          <w:p w14:paraId="5DCA03FB"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127</w:t>
            </w:r>
          </w:p>
        </w:tc>
        <w:tc>
          <w:tcPr>
            <w:tcW w:w="1134" w:type="dxa"/>
            <w:tcBorders>
              <w:bottom w:val="single" w:sz="4" w:space="0" w:color="auto"/>
            </w:tcBorders>
            <w:vAlign w:val="center"/>
          </w:tcPr>
          <w:p w14:paraId="2A07A69A"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35.1</w:t>
            </w:r>
          </w:p>
        </w:tc>
      </w:tr>
    </w:tbl>
    <w:p w14:paraId="484F29B9" w14:textId="77777777" w:rsidR="004B2BFC" w:rsidRDefault="004B2BFC" w:rsidP="004B2BFC">
      <w:pPr>
        <w:spacing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71A581CB" w14:textId="77777777" w:rsidR="009864E3" w:rsidRPr="00895D0B" w:rsidRDefault="009864E3" w:rsidP="004B2BFC">
      <w:pPr>
        <w:spacing w:line="360" w:lineRule="auto"/>
        <w:rPr>
          <w:rFonts w:cs="Times New Roman"/>
          <w:color w:val="000000" w:themeColor="text1"/>
          <w:szCs w:val="24"/>
        </w:rPr>
      </w:pPr>
    </w:p>
    <w:p w14:paraId="4C77B3A1" w14:textId="4FFD2818" w:rsidR="004B2BFC" w:rsidRDefault="00146590" w:rsidP="004B2BFC">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The result further indicates that there is a weak relationship between farmers' age and their knowledge of climate change (Cramer’s V = 0.06 &gt; 0.05). On urban farmers' educational level and their ability to get some climate change knowledge, farmers who have attained a tertiary educational status get more information than those with secondary education (24.2%), no formal education (19.7%), and some basic education (11.2%). This result is insignificant (p-value = 0.716 &gt; 0.05).</w:t>
      </w:r>
      <w:r w:rsidR="00524E2D" w:rsidRPr="00895D0B">
        <w:rPr>
          <w:rFonts w:eastAsia="Times New Roman" w:cs="Times New Roman"/>
          <w:color w:val="000000" w:themeColor="text1"/>
          <w:szCs w:val="24"/>
          <w:lang w:eastAsia="en-GB"/>
        </w:rPr>
        <w:t xml:space="preserve"> Therefore, there is a weak association between urban farmers' educational status and their ability to get information on climate change (Cramer’s V = 0.08 &gt; 0.05). Also, the result showed that about 73.6% of male urban farmers have some knowledge of climate change. However, there is an insignificant relationship between the sex of urban farmers and their ability to get information on climate change at an alpha of 0.05 (p-value = 0.034 &gt; 0.05).</w:t>
      </w:r>
    </w:p>
    <w:p w14:paraId="3DF7FFBA" w14:textId="10BC2552" w:rsidR="00A213F7" w:rsidRDefault="00A213F7" w:rsidP="004B2BFC">
      <w:pPr>
        <w:spacing w:line="360" w:lineRule="auto"/>
        <w:rPr>
          <w:rFonts w:eastAsia="Times New Roman" w:cs="Times New Roman"/>
          <w:color w:val="000000" w:themeColor="text1"/>
          <w:szCs w:val="24"/>
          <w:lang w:eastAsia="en-GB"/>
        </w:rPr>
      </w:pPr>
    </w:p>
    <w:p w14:paraId="1CF0881E" w14:textId="5F988E6E" w:rsidR="00A213F7" w:rsidRDefault="00A213F7" w:rsidP="004B2BFC">
      <w:pPr>
        <w:spacing w:line="360" w:lineRule="auto"/>
        <w:rPr>
          <w:rFonts w:eastAsia="Times New Roman" w:cs="Times New Roman"/>
          <w:color w:val="000000" w:themeColor="text1"/>
          <w:szCs w:val="24"/>
          <w:lang w:eastAsia="en-GB"/>
        </w:rPr>
      </w:pPr>
    </w:p>
    <w:p w14:paraId="7A9CE9D9" w14:textId="3D51DA4E" w:rsidR="00A213F7" w:rsidRDefault="00A213F7" w:rsidP="004B2BFC">
      <w:pPr>
        <w:spacing w:line="360" w:lineRule="auto"/>
        <w:rPr>
          <w:rFonts w:eastAsia="Times New Roman" w:cs="Times New Roman"/>
          <w:color w:val="000000" w:themeColor="text1"/>
          <w:szCs w:val="24"/>
          <w:lang w:eastAsia="en-GB"/>
        </w:rPr>
      </w:pPr>
    </w:p>
    <w:p w14:paraId="0830C180" w14:textId="77777777" w:rsidR="00A213F7" w:rsidRDefault="00A213F7" w:rsidP="004B2BFC">
      <w:pPr>
        <w:spacing w:line="360" w:lineRule="auto"/>
        <w:rPr>
          <w:rFonts w:eastAsia="Times New Roman" w:cs="Times New Roman"/>
          <w:color w:val="000000" w:themeColor="text1"/>
          <w:szCs w:val="24"/>
          <w:lang w:eastAsia="en-GB"/>
        </w:rPr>
      </w:pPr>
    </w:p>
    <w:p w14:paraId="161C8332" w14:textId="77777777" w:rsidR="009864E3" w:rsidRDefault="009864E3" w:rsidP="004B2BFC">
      <w:pPr>
        <w:spacing w:line="360" w:lineRule="auto"/>
        <w:rPr>
          <w:rFonts w:eastAsia="Times New Roman" w:cs="Times New Roman"/>
          <w:color w:val="000000" w:themeColor="text1"/>
          <w:szCs w:val="24"/>
          <w:lang w:eastAsia="en-GB"/>
        </w:rPr>
      </w:pPr>
    </w:p>
    <w:p w14:paraId="1A50656C" w14:textId="77777777" w:rsidR="009864E3" w:rsidRPr="00895D0B" w:rsidRDefault="009864E3" w:rsidP="004B2BFC">
      <w:pPr>
        <w:spacing w:line="360" w:lineRule="auto"/>
        <w:rPr>
          <w:rFonts w:eastAsia="Times New Roman" w:cs="Times New Roman"/>
          <w:color w:val="000000" w:themeColor="text1"/>
          <w:szCs w:val="24"/>
          <w:lang w:eastAsia="en-GB"/>
        </w:rPr>
      </w:pPr>
    </w:p>
    <w:p w14:paraId="27330A2C" w14:textId="06A38A64" w:rsidR="004B2BFC" w:rsidRPr="00895D0B" w:rsidRDefault="004B2BFC" w:rsidP="009864E3">
      <w:pPr>
        <w:pStyle w:val="Heading6"/>
      </w:pPr>
      <w:bookmarkStart w:id="180" w:name="_Toc167368603"/>
      <w:r w:rsidRPr="00895D0B">
        <w:lastRenderedPageBreak/>
        <w:t>Table 7.</w:t>
      </w:r>
      <w:r w:rsidRPr="00895D0B">
        <w:fldChar w:fldCharType="begin"/>
      </w:r>
      <w:r w:rsidRPr="00895D0B">
        <w:instrText xml:space="preserve"> SEQ Table_7._ \* ARABIC </w:instrText>
      </w:r>
      <w:r w:rsidRPr="00895D0B">
        <w:fldChar w:fldCharType="separate"/>
      </w:r>
      <w:r w:rsidR="0026489B">
        <w:rPr>
          <w:noProof/>
        </w:rPr>
        <w:t>5</w:t>
      </w:r>
      <w:r w:rsidRPr="00895D0B">
        <w:fldChar w:fldCharType="end"/>
      </w:r>
      <w:r w:rsidRPr="00895D0B">
        <w:t>: The Significant Level of Urban Farmers' Knowledge of Climate Change.</w:t>
      </w:r>
      <w:bookmarkEnd w:id="180"/>
    </w:p>
    <w:tbl>
      <w:tblPr>
        <w:tblW w:w="5358" w:type="pct"/>
        <w:tblLook w:val="04A0" w:firstRow="1" w:lastRow="0" w:firstColumn="1" w:lastColumn="0" w:noHBand="0" w:noVBand="1"/>
      </w:tblPr>
      <w:tblGrid>
        <w:gridCol w:w="1200"/>
        <w:gridCol w:w="1229"/>
        <w:gridCol w:w="1230"/>
        <w:gridCol w:w="1232"/>
        <w:gridCol w:w="1340"/>
        <w:gridCol w:w="1220"/>
        <w:gridCol w:w="1450"/>
      </w:tblGrid>
      <w:tr w:rsidR="00895D0B" w:rsidRPr="009864E3" w14:paraId="692755B0" w14:textId="77777777" w:rsidTr="009864E3">
        <w:trPr>
          <w:trHeight w:val="77"/>
        </w:trPr>
        <w:tc>
          <w:tcPr>
            <w:tcW w:w="686" w:type="pct"/>
            <w:vMerge w:val="restart"/>
            <w:tcBorders>
              <w:top w:val="single" w:sz="4" w:space="0" w:color="auto"/>
              <w:bottom w:val="single" w:sz="4" w:space="0" w:color="auto"/>
            </w:tcBorders>
          </w:tcPr>
          <w:p w14:paraId="6C19F5ED" w14:textId="77777777" w:rsidR="004B2BFC" w:rsidRPr="009864E3" w:rsidRDefault="004B2BFC" w:rsidP="00A213F7">
            <w:pPr>
              <w:spacing w:line="240" w:lineRule="auto"/>
              <w:jc w:val="left"/>
              <w:rPr>
                <w:rFonts w:cs="Times New Roman"/>
                <w:b/>
                <w:color w:val="000000" w:themeColor="text1"/>
                <w:sz w:val="20"/>
                <w:szCs w:val="20"/>
              </w:rPr>
            </w:pPr>
            <w:r w:rsidRPr="009864E3">
              <w:rPr>
                <w:rFonts w:cs="Times New Roman"/>
                <w:b/>
                <w:color w:val="000000" w:themeColor="text1"/>
                <w:sz w:val="20"/>
                <w:szCs w:val="20"/>
              </w:rPr>
              <w:t>Knowledge of climate change</w:t>
            </w:r>
          </w:p>
        </w:tc>
        <w:tc>
          <w:tcPr>
            <w:tcW w:w="3488" w:type="pct"/>
            <w:gridSpan w:val="5"/>
            <w:tcBorders>
              <w:top w:val="single" w:sz="4" w:space="0" w:color="auto"/>
              <w:bottom w:val="single" w:sz="4" w:space="0" w:color="auto"/>
            </w:tcBorders>
          </w:tcPr>
          <w:p w14:paraId="3AFC6AED" w14:textId="77777777" w:rsidR="004B2BFC" w:rsidRPr="009864E3" w:rsidRDefault="004B2BFC" w:rsidP="00A213F7">
            <w:pPr>
              <w:spacing w:after="160" w:line="240" w:lineRule="auto"/>
              <w:jc w:val="center"/>
              <w:rPr>
                <w:rFonts w:cs="Times New Roman"/>
                <w:b/>
                <w:color w:val="000000" w:themeColor="text1"/>
                <w:sz w:val="20"/>
                <w:szCs w:val="20"/>
              </w:rPr>
            </w:pPr>
            <w:r w:rsidRPr="009864E3">
              <w:rPr>
                <w:rFonts w:cs="Times New Roman"/>
                <w:b/>
                <w:color w:val="000000" w:themeColor="text1"/>
                <w:sz w:val="20"/>
                <w:szCs w:val="20"/>
              </w:rPr>
              <w:t>Age</w:t>
            </w:r>
          </w:p>
        </w:tc>
        <w:tc>
          <w:tcPr>
            <w:tcW w:w="825" w:type="pct"/>
            <w:vMerge w:val="restart"/>
            <w:tcBorders>
              <w:top w:val="single" w:sz="4" w:space="0" w:color="auto"/>
              <w:bottom w:val="single" w:sz="4" w:space="0" w:color="auto"/>
            </w:tcBorders>
          </w:tcPr>
          <w:p w14:paraId="009EDA3F" w14:textId="77777777" w:rsidR="004B2BFC" w:rsidRPr="009864E3" w:rsidRDefault="004B2BFC" w:rsidP="00A213F7">
            <w:pPr>
              <w:spacing w:after="160" w:line="240" w:lineRule="auto"/>
              <w:jc w:val="center"/>
              <w:rPr>
                <w:rFonts w:cs="Times New Roman"/>
                <w:b/>
                <w:color w:val="000000" w:themeColor="text1"/>
                <w:sz w:val="20"/>
                <w:szCs w:val="20"/>
              </w:rPr>
            </w:pPr>
            <w:r w:rsidRPr="009864E3">
              <w:rPr>
                <w:rFonts w:cs="Times New Roman"/>
                <w:b/>
                <w:color w:val="000000" w:themeColor="text1"/>
                <w:sz w:val="20"/>
                <w:szCs w:val="20"/>
              </w:rPr>
              <w:t>Total</w:t>
            </w:r>
          </w:p>
        </w:tc>
      </w:tr>
      <w:tr w:rsidR="009864E3" w:rsidRPr="009864E3" w14:paraId="3E1E505D" w14:textId="77777777" w:rsidTr="009864E3">
        <w:trPr>
          <w:trHeight w:val="144"/>
        </w:trPr>
        <w:tc>
          <w:tcPr>
            <w:tcW w:w="686" w:type="pct"/>
            <w:vMerge/>
            <w:tcBorders>
              <w:top w:val="single" w:sz="4" w:space="0" w:color="auto"/>
              <w:bottom w:val="single" w:sz="4" w:space="0" w:color="auto"/>
            </w:tcBorders>
          </w:tcPr>
          <w:p w14:paraId="250F20A0" w14:textId="77777777" w:rsidR="004B2BFC" w:rsidRPr="009864E3" w:rsidRDefault="004B2BFC" w:rsidP="00A213F7">
            <w:pPr>
              <w:spacing w:after="160" w:line="240" w:lineRule="auto"/>
              <w:rPr>
                <w:rFonts w:cs="Times New Roman"/>
                <w:color w:val="000000" w:themeColor="text1"/>
                <w:sz w:val="20"/>
                <w:szCs w:val="20"/>
              </w:rPr>
            </w:pPr>
          </w:p>
        </w:tc>
        <w:tc>
          <w:tcPr>
            <w:tcW w:w="702" w:type="pct"/>
            <w:tcBorders>
              <w:top w:val="single" w:sz="4" w:space="0" w:color="auto"/>
              <w:bottom w:val="single" w:sz="4" w:space="0" w:color="auto"/>
            </w:tcBorders>
          </w:tcPr>
          <w:p w14:paraId="50635757" w14:textId="77777777" w:rsidR="004B2BFC" w:rsidRPr="009864E3" w:rsidRDefault="004B2BFC" w:rsidP="00A213F7">
            <w:pPr>
              <w:spacing w:line="240" w:lineRule="auto"/>
              <w:jc w:val="center"/>
              <w:rPr>
                <w:rFonts w:cs="Times New Roman"/>
                <w:i/>
                <w:color w:val="000000" w:themeColor="text1"/>
                <w:sz w:val="20"/>
                <w:szCs w:val="20"/>
              </w:rPr>
            </w:pPr>
            <w:r w:rsidRPr="009864E3">
              <w:rPr>
                <w:rFonts w:cs="Times New Roman"/>
                <w:i/>
                <w:color w:val="000000" w:themeColor="text1"/>
                <w:sz w:val="20"/>
                <w:szCs w:val="20"/>
              </w:rPr>
              <w:t>18-30</w:t>
            </w:r>
          </w:p>
        </w:tc>
        <w:tc>
          <w:tcPr>
            <w:tcW w:w="703" w:type="pct"/>
            <w:tcBorders>
              <w:top w:val="single" w:sz="4" w:space="0" w:color="auto"/>
              <w:bottom w:val="single" w:sz="4" w:space="0" w:color="auto"/>
            </w:tcBorders>
          </w:tcPr>
          <w:p w14:paraId="0E1A8DCF" w14:textId="77777777" w:rsidR="004B2BFC" w:rsidRPr="009864E3" w:rsidRDefault="004B2BFC" w:rsidP="00A213F7">
            <w:pPr>
              <w:spacing w:line="240" w:lineRule="auto"/>
              <w:jc w:val="center"/>
              <w:rPr>
                <w:rFonts w:cs="Times New Roman"/>
                <w:i/>
                <w:color w:val="000000" w:themeColor="text1"/>
                <w:sz w:val="20"/>
                <w:szCs w:val="20"/>
              </w:rPr>
            </w:pPr>
            <w:r w:rsidRPr="009864E3">
              <w:rPr>
                <w:rFonts w:cs="Times New Roman"/>
                <w:i/>
                <w:color w:val="000000" w:themeColor="text1"/>
                <w:sz w:val="20"/>
                <w:szCs w:val="20"/>
              </w:rPr>
              <w:t>31-40</w:t>
            </w:r>
          </w:p>
        </w:tc>
        <w:tc>
          <w:tcPr>
            <w:tcW w:w="703" w:type="pct"/>
            <w:tcBorders>
              <w:top w:val="single" w:sz="4" w:space="0" w:color="auto"/>
              <w:bottom w:val="single" w:sz="4" w:space="0" w:color="auto"/>
            </w:tcBorders>
          </w:tcPr>
          <w:p w14:paraId="2BBEF293" w14:textId="77777777" w:rsidR="004B2BFC" w:rsidRPr="009864E3" w:rsidRDefault="004B2BFC" w:rsidP="00A213F7">
            <w:pPr>
              <w:spacing w:line="240" w:lineRule="auto"/>
              <w:jc w:val="center"/>
              <w:rPr>
                <w:rFonts w:cs="Times New Roman"/>
                <w:i/>
                <w:color w:val="000000" w:themeColor="text1"/>
                <w:sz w:val="20"/>
                <w:szCs w:val="20"/>
              </w:rPr>
            </w:pPr>
            <w:r w:rsidRPr="009864E3">
              <w:rPr>
                <w:rFonts w:cs="Times New Roman"/>
                <w:i/>
                <w:color w:val="000000" w:themeColor="text1"/>
                <w:sz w:val="20"/>
                <w:szCs w:val="20"/>
              </w:rPr>
              <w:t>41-50</w:t>
            </w:r>
          </w:p>
        </w:tc>
        <w:tc>
          <w:tcPr>
            <w:tcW w:w="764" w:type="pct"/>
            <w:tcBorders>
              <w:top w:val="single" w:sz="4" w:space="0" w:color="auto"/>
              <w:bottom w:val="single" w:sz="4" w:space="0" w:color="auto"/>
            </w:tcBorders>
          </w:tcPr>
          <w:p w14:paraId="576CC9F7" w14:textId="77777777" w:rsidR="004B2BFC" w:rsidRPr="009864E3" w:rsidRDefault="004B2BFC" w:rsidP="00A213F7">
            <w:pPr>
              <w:spacing w:line="240" w:lineRule="auto"/>
              <w:jc w:val="center"/>
              <w:rPr>
                <w:rFonts w:cs="Times New Roman"/>
                <w:i/>
                <w:color w:val="000000" w:themeColor="text1"/>
                <w:sz w:val="20"/>
                <w:szCs w:val="20"/>
              </w:rPr>
            </w:pPr>
            <w:r w:rsidRPr="009864E3">
              <w:rPr>
                <w:rFonts w:cs="Times New Roman"/>
                <w:i/>
                <w:color w:val="000000" w:themeColor="text1"/>
                <w:sz w:val="20"/>
                <w:szCs w:val="20"/>
              </w:rPr>
              <w:t>51-60</w:t>
            </w:r>
          </w:p>
        </w:tc>
        <w:tc>
          <w:tcPr>
            <w:tcW w:w="615" w:type="pct"/>
            <w:tcBorders>
              <w:top w:val="single" w:sz="4" w:space="0" w:color="auto"/>
              <w:bottom w:val="single" w:sz="4" w:space="0" w:color="auto"/>
            </w:tcBorders>
          </w:tcPr>
          <w:p w14:paraId="038CFD66" w14:textId="77777777" w:rsidR="004B2BFC" w:rsidRPr="009864E3" w:rsidRDefault="004B2BFC" w:rsidP="00A213F7">
            <w:pPr>
              <w:spacing w:line="240" w:lineRule="auto"/>
              <w:jc w:val="center"/>
              <w:rPr>
                <w:rFonts w:cs="Times New Roman"/>
                <w:i/>
                <w:color w:val="000000" w:themeColor="text1"/>
                <w:sz w:val="20"/>
                <w:szCs w:val="20"/>
              </w:rPr>
            </w:pPr>
            <w:r w:rsidRPr="009864E3">
              <w:rPr>
                <w:rFonts w:cs="Times New Roman"/>
                <w:i/>
                <w:color w:val="000000" w:themeColor="text1"/>
                <w:sz w:val="20"/>
                <w:szCs w:val="20"/>
              </w:rPr>
              <w:t>60+</w:t>
            </w:r>
          </w:p>
        </w:tc>
        <w:tc>
          <w:tcPr>
            <w:tcW w:w="825" w:type="pct"/>
            <w:vMerge/>
            <w:tcBorders>
              <w:top w:val="single" w:sz="4" w:space="0" w:color="auto"/>
              <w:bottom w:val="single" w:sz="4" w:space="0" w:color="auto"/>
            </w:tcBorders>
          </w:tcPr>
          <w:p w14:paraId="52E1DE69" w14:textId="77777777" w:rsidR="004B2BFC" w:rsidRPr="009864E3" w:rsidRDefault="004B2BFC" w:rsidP="00A213F7">
            <w:pPr>
              <w:spacing w:after="160" w:line="240" w:lineRule="auto"/>
              <w:jc w:val="center"/>
              <w:rPr>
                <w:rFonts w:cs="Times New Roman"/>
                <w:color w:val="000000" w:themeColor="text1"/>
                <w:sz w:val="20"/>
                <w:szCs w:val="20"/>
              </w:rPr>
            </w:pPr>
          </w:p>
        </w:tc>
      </w:tr>
      <w:tr w:rsidR="009864E3" w:rsidRPr="009864E3" w14:paraId="4647971F" w14:textId="77777777" w:rsidTr="009864E3">
        <w:trPr>
          <w:trHeight w:val="380"/>
        </w:trPr>
        <w:tc>
          <w:tcPr>
            <w:tcW w:w="686" w:type="pct"/>
            <w:tcBorders>
              <w:top w:val="single" w:sz="4" w:space="0" w:color="auto"/>
            </w:tcBorders>
          </w:tcPr>
          <w:p w14:paraId="2BFDE10B" w14:textId="77777777" w:rsidR="004B2BFC" w:rsidRPr="009864E3" w:rsidRDefault="004B2BFC" w:rsidP="00A213F7">
            <w:pPr>
              <w:spacing w:after="160" w:line="240" w:lineRule="auto"/>
              <w:rPr>
                <w:rFonts w:cs="Times New Roman"/>
                <w:color w:val="000000" w:themeColor="text1"/>
                <w:sz w:val="20"/>
                <w:szCs w:val="20"/>
              </w:rPr>
            </w:pPr>
            <w:r w:rsidRPr="009864E3">
              <w:rPr>
                <w:rFonts w:cs="Times New Roman"/>
                <w:color w:val="000000" w:themeColor="text1"/>
                <w:sz w:val="20"/>
                <w:szCs w:val="20"/>
              </w:rPr>
              <w:t>Yes</w:t>
            </w:r>
          </w:p>
        </w:tc>
        <w:tc>
          <w:tcPr>
            <w:tcW w:w="702" w:type="pct"/>
            <w:tcBorders>
              <w:top w:val="single" w:sz="4" w:space="0" w:color="auto"/>
            </w:tcBorders>
          </w:tcPr>
          <w:p w14:paraId="45AF33FE"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16(9.0%)</w:t>
            </w:r>
          </w:p>
        </w:tc>
        <w:tc>
          <w:tcPr>
            <w:tcW w:w="703" w:type="pct"/>
            <w:tcBorders>
              <w:top w:val="single" w:sz="4" w:space="0" w:color="auto"/>
            </w:tcBorders>
          </w:tcPr>
          <w:p w14:paraId="6D6A7EAC"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72(40.4%)</w:t>
            </w:r>
          </w:p>
        </w:tc>
        <w:tc>
          <w:tcPr>
            <w:tcW w:w="703" w:type="pct"/>
            <w:tcBorders>
              <w:top w:val="single" w:sz="4" w:space="0" w:color="auto"/>
            </w:tcBorders>
          </w:tcPr>
          <w:p w14:paraId="298A7FCD"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66(37.1)%</w:t>
            </w:r>
          </w:p>
        </w:tc>
        <w:tc>
          <w:tcPr>
            <w:tcW w:w="764" w:type="pct"/>
            <w:tcBorders>
              <w:top w:val="single" w:sz="4" w:space="0" w:color="auto"/>
            </w:tcBorders>
          </w:tcPr>
          <w:p w14:paraId="4155A3EE"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14(7.9%)</w:t>
            </w:r>
          </w:p>
        </w:tc>
        <w:tc>
          <w:tcPr>
            <w:tcW w:w="615" w:type="pct"/>
            <w:tcBorders>
              <w:top w:val="single" w:sz="4" w:space="0" w:color="auto"/>
            </w:tcBorders>
          </w:tcPr>
          <w:p w14:paraId="0D7EADBE"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10(5.6%)</w:t>
            </w:r>
          </w:p>
        </w:tc>
        <w:tc>
          <w:tcPr>
            <w:tcW w:w="825" w:type="pct"/>
            <w:tcBorders>
              <w:top w:val="single" w:sz="4" w:space="0" w:color="auto"/>
            </w:tcBorders>
          </w:tcPr>
          <w:p w14:paraId="4FDC020D"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178(100.0%)</w:t>
            </w:r>
          </w:p>
        </w:tc>
      </w:tr>
      <w:tr w:rsidR="009864E3" w:rsidRPr="009864E3" w14:paraId="3AD8060D" w14:textId="77777777" w:rsidTr="009864E3">
        <w:trPr>
          <w:trHeight w:val="392"/>
        </w:trPr>
        <w:tc>
          <w:tcPr>
            <w:tcW w:w="686" w:type="pct"/>
          </w:tcPr>
          <w:p w14:paraId="437D5767" w14:textId="77777777" w:rsidR="004B2BFC" w:rsidRPr="009864E3" w:rsidRDefault="004B2BFC" w:rsidP="00A213F7">
            <w:pPr>
              <w:spacing w:after="160" w:line="240" w:lineRule="auto"/>
              <w:rPr>
                <w:rFonts w:cs="Times New Roman"/>
                <w:color w:val="000000" w:themeColor="text1"/>
                <w:sz w:val="20"/>
                <w:szCs w:val="20"/>
              </w:rPr>
            </w:pPr>
            <w:r w:rsidRPr="009864E3">
              <w:rPr>
                <w:rFonts w:cs="Times New Roman"/>
                <w:color w:val="000000" w:themeColor="text1"/>
                <w:sz w:val="20"/>
                <w:szCs w:val="20"/>
              </w:rPr>
              <w:t>No</w:t>
            </w:r>
          </w:p>
        </w:tc>
        <w:tc>
          <w:tcPr>
            <w:tcW w:w="702" w:type="pct"/>
          </w:tcPr>
          <w:p w14:paraId="3A8EEDC6"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1 (7.7%)</w:t>
            </w:r>
          </w:p>
        </w:tc>
        <w:tc>
          <w:tcPr>
            <w:tcW w:w="703" w:type="pct"/>
          </w:tcPr>
          <w:p w14:paraId="1844993A"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6(46.2%)</w:t>
            </w:r>
          </w:p>
        </w:tc>
        <w:tc>
          <w:tcPr>
            <w:tcW w:w="703" w:type="pct"/>
          </w:tcPr>
          <w:p w14:paraId="1AB706D0"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5(38.5%)</w:t>
            </w:r>
          </w:p>
        </w:tc>
        <w:tc>
          <w:tcPr>
            <w:tcW w:w="764" w:type="pct"/>
          </w:tcPr>
          <w:p w14:paraId="7A8D0AA3"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1(7.7%)</w:t>
            </w:r>
          </w:p>
        </w:tc>
        <w:tc>
          <w:tcPr>
            <w:tcW w:w="615" w:type="pct"/>
          </w:tcPr>
          <w:p w14:paraId="0FDE0E72"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0(0.0%)</w:t>
            </w:r>
          </w:p>
        </w:tc>
        <w:tc>
          <w:tcPr>
            <w:tcW w:w="825" w:type="pct"/>
          </w:tcPr>
          <w:p w14:paraId="54DCEF60" w14:textId="77777777" w:rsidR="004B2BFC" w:rsidRPr="009864E3" w:rsidRDefault="004B2BFC" w:rsidP="00A213F7">
            <w:pPr>
              <w:spacing w:after="160" w:line="240" w:lineRule="auto"/>
              <w:jc w:val="center"/>
              <w:rPr>
                <w:rFonts w:cs="Times New Roman"/>
                <w:color w:val="000000" w:themeColor="text1"/>
                <w:sz w:val="20"/>
                <w:szCs w:val="20"/>
              </w:rPr>
            </w:pPr>
            <w:r w:rsidRPr="009864E3">
              <w:rPr>
                <w:rFonts w:cs="Times New Roman"/>
                <w:color w:val="000000" w:themeColor="text1"/>
                <w:sz w:val="20"/>
                <w:szCs w:val="20"/>
              </w:rPr>
              <w:t>13(100.0%)</w:t>
            </w:r>
          </w:p>
        </w:tc>
      </w:tr>
      <w:tr w:rsidR="009864E3" w:rsidRPr="009864E3" w14:paraId="15FE42AC" w14:textId="77777777" w:rsidTr="009864E3">
        <w:trPr>
          <w:trHeight w:val="392"/>
        </w:trPr>
        <w:tc>
          <w:tcPr>
            <w:tcW w:w="686" w:type="pct"/>
          </w:tcPr>
          <w:p w14:paraId="0C6CE1D7" w14:textId="77777777" w:rsidR="004B2BFC" w:rsidRPr="009864E3" w:rsidRDefault="004B2BFC" w:rsidP="00A213F7">
            <w:pPr>
              <w:spacing w:after="160" w:line="240" w:lineRule="auto"/>
              <w:rPr>
                <w:rFonts w:cs="Times New Roman"/>
                <w:b/>
                <w:color w:val="000000" w:themeColor="text1"/>
                <w:sz w:val="20"/>
                <w:szCs w:val="20"/>
              </w:rPr>
            </w:pPr>
            <w:r w:rsidRPr="009864E3">
              <w:rPr>
                <w:rFonts w:cs="Times New Roman"/>
                <w:b/>
                <w:color w:val="000000" w:themeColor="text1"/>
                <w:sz w:val="20"/>
                <w:szCs w:val="20"/>
              </w:rPr>
              <w:t>Total</w:t>
            </w:r>
          </w:p>
        </w:tc>
        <w:tc>
          <w:tcPr>
            <w:tcW w:w="702" w:type="pct"/>
          </w:tcPr>
          <w:p w14:paraId="4820A2A9" w14:textId="77777777" w:rsidR="004B2BFC" w:rsidRPr="009864E3" w:rsidRDefault="004B2BFC" w:rsidP="00A213F7">
            <w:pPr>
              <w:spacing w:after="160" w:line="240" w:lineRule="auto"/>
              <w:jc w:val="center"/>
              <w:rPr>
                <w:rFonts w:cs="Times New Roman"/>
                <w:b/>
                <w:color w:val="000000" w:themeColor="text1"/>
                <w:sz w:val="20"/>
                <w:szCs w:val="20"/>
              </w:rPr>
            </w:pPr>
            <w:r w:rsidRPr="009864E3">
              <w:rPr>
                <w:rFonts w:cs="Times New Roman"/>
                <w:b/>
                <w:color w:val="000000" w:themeColor="text1"/>
                <w:sz w:val="20"/>
                <w:szCs w:val="20"/>
              </w:rPr>
              <w:t>17 (8.9%)</w:t>
            </w:r>
          </w:p>
        </w:tc>
        <w:tc>
          <w:tcPr>
            <w:tcW w:w="703" w:type="pct"/>
          </w:tcPr>
          <w:p w14:paraId="270D1805" w14:textId="77777777" w:rsidR="004B2BFC" w:rsidRPr="009864E3" w:rsidRDefault="004B2BFC" w:rsidP="00A213F7">
            <w:pPr>
              <w:spacing w:after="160" w:line="240" w:lineRule="auto"/>
              <w:jc w:val="center"/>
              <w:rPr>
                <w:rFonts w:cs="Times New Roman"/>
                <w:b/>
                <w:color w:val="000000" w:themeColor="text1"/>
                <w:sz w:val="20"/>
                <w:szCs w:val="20"/>
              </w:rPr>
            </w:pPr>
            <w:r w:rsidRPr="009864E3">
              <w:rPr>
                <w:rFonts w:cs="Times New Roman"/>
                <w:b/>
                <w:color w:val="000000" w:themeColor="text1"/>
                <w:sz w:val="20"/>
                <w:szCs w:val="20"/>
              </w:rPr>
              <w:t>78(40.8%)</w:t>
            </w:r>
          </w:p>
        </w:tc>
        <w:tc>
          <w:tcPr>
            <w:tcW w:w="703" w:type="pct"/>
          </w:tcPr>
          <w:p w14:paraId="3C5F3D80" w14:textId="77777777" w:rsidR="004B2BFC" w:rsidRPr="009864E3" w:rsidRDefault="004B2BFC" w:rsidP="00A213F7">
            <w:pPr>
              <w:spacing w:after="160" w:line="240" w:lineRule="auto"/>
              <w:jc w:val="center"/>
              <w:rPr>
                <w:rFonts w:cs="Times New Roman"/>
                <w:b/>
                <w:color w:val="000000" w:themeColor="text1"/>
                <w:sz w:val="20"/>
                <w:szCs w:val="20"/>
              </w:rPr>
            </w:pPr>
            <w:r w:rsidRPr="009864E3">
              <w:rPr>
                <w:rFonts w:cs="Times New Roman"/>
                <w:b/>
                <w:color w:val="000000" w:themeColor="text1"/>
                <w:sz w:val="20"/>
                <w:szCs w:val="20"/>
              </w:rPr>
              <w:t>71(37.2%)</w:t>
            </w:r>
          </w:p>
        </w:tc>
        <w:tc>
          <w:tcPr>
            <w:tcW w:w="764" w:type="pct"/>
          </w:tcPr>
          <w:p w14:paraId="2CC72E7E" w14:textId="77777777" w:rsidR="004B2BFC" w:rsidRPr="009864E3" w:rsidRDefault="004B2BFC" w:rsidP="00A213F7">
            <w:pPr>
              <w:spacing w:after="160" w:line="240" w:lineRule="auto"/>
              <w:jc w:val="center"/>
              <w:rPr>
                <w:rFonts w:cs="Times New Roman"/>
                <w:b/>
                <w:color w:val="000000" w:themeColor="text1"/>
                <w:sz w:val="20"/>
                <w:szCs w:val="20"/>
              </w:rPr>
            </w:pPr>
            <w:r w:rsidRPr="009864E3">
              <w:rPr>
                <w:rFonts w:cs="Times New Roman"/>
                <w:b/>
                <w:color w:val="000000" w:themeColor="text1"/>
                <w:sz w:val="20"/>
                <w:szCs w:val="20"/>
              </w:rPr>
              <w:t>15(7.9%)</w:t>
            </w:r>
          </w:p>
        </w:tc>
        <w:tc>
          <w:tcPr>
            <w:tcW w:w="615" w:type="pct"/>
          </w:tcPr>
          <w:p w14:paraId="704F6D30" w14:textId="77777777" w:rsidR="004B2BFC" w:rsidRPr="009864E3" w:rsidRDefault="004B2BFC" w:rsidP="00A213F7">
            <w:pPr>
              <w:spacing w:after="160" w:line="240" w:lineRule="auto"/>
              <w:jc w:val="center"/>
              <w:rPr>
                <w:rFonts w:cs="Times New Roman"/>
                <w:b/>
                <w:color w:val="000000" w:themeColor="text1"/>
                <w:sz w:val="20"/>
                <w:szCs w:val="20"/>
              </w:rPr>
            </w:pPr>
            <w:r w:rsidRPr="009864E3">
              <w:rPr>
                <w:rFonts w:cs="Times New Roman"/>
                <w:b/>
                <w:color w:val="000000" w:themeColor="text1"/>
                <w:sz w:val="20"/>
                <w:szCs w:val="20"/>
              </w:rPr>
              <w:t>10(5.2%)</w:t>
            </w:r>
          </w:p>
        </w:tc>
        <w:tc>
          <w:tcPr>
            <w:tcW w:w="825" w:type="pct"/>
          </w:tcPr>
          <w:p w14:paraId="321CCD57" w14:textId="77777777" w:rsidR="004B2BFC" w:rsidRPr="009864E3" w:rsidRDefault="004B2BFC" w:rsidP="00A213F7">
            <w:pPr>
              <w:spacing w:after="160" w:line="240" w:lineRule="auto"/>
              <w:jc w:val="center"/>
              <w:rPr>
                <w:rFonts w:cs="Times New Roman"/>
                <w:b/>
                <w:color w:val="000000" w:themeColor="text1"/>
                <w:sz w:val="20"/>
                <w:szCs w:val="20"/>
              </w:rPr>
            </w:pPr>
            <w:r w:rsidRPr="009864E3">
              <w:rPr>
                <w:rFonts w:cs="Times New Roman"/>
                <w:b/>
                <w:color w:val="000000" w:themeColor="text1"/>
                <w:sz w:val="20"/>
                <w:szCs w:val="20"/>
              </w:rPr>
              <w:t>191(100.0%)</w:t>
            </w:r>
          </w:p>
        </w:tc>
      </w:tr>
      <w:tr w:rsidR="00895D0B" w:rsidRPr="009864E3" w14:paraId="693B01FE" w14:textId="77777777" w:rsidTr="009864E3">
        <w:trPr>
          <w:trHeight w:val="242"/>
        </w:trPr>
        <w:tc>
          <w:tcPr>
            <w:tcW w:w="5000" w:type="pct"/>
            <w:gridSpan w:val="7"/>
            <w:tcBorders>
              <w:bottom w:val="single" w:sz="4" w:space="0" w:color="auto"/>
            </w:tcBorders>
          </w:tcPr>
          <w:p w14:paraId="56507F93" w14:textId="77777777" w:rsidR="004B2BFC" w:rsidRPr="009864E3" w:rsidRDefault="004B2BFC" w:rsidP="00A213F7">
            <w:pPr>
              <w:spacing w:line="240" w:lineRule="auto"/>
              <w:rPr>
                <w:rFonts w:cs="Times New Roman"/>
                <w:color w:val="000000" w:themeColor="text1"/>
                <w:sz w:val="20"/>
                <w:szCs w:val="20"/>
              </w:rPr>
            </w:pPr>
            <m:oMath>
              <m:r>
                <w:rPr>
                  <w:rFonts w:ascii="Cambria Math" w:hAnsi="Cambria Math" w:cs="Times New Roman"/>
                  <w:color w:val="000000" w:themeColor="text1"/>
                  <w:sz w:val="20"/>
                  <w:szCs w:val="20"/>
                  <w:lang w:bidi="en-US"/>
                </w:rPr>
                <m:t xml:space="preserve">N=191, </m:t>
              </m:r>
              <m:sSup>
                <m:sSupPr>
                  <m:ctrlPr>
                    <w:rPr>
                      <w:rFonts w:ascii="Cambria Math" w:hAnsi="Cambria Math" w:cs="Times New Roman"/>
                      <w:i/>
                      <w:color w:val="000000" w:themeColor="text1"/>
                      <w:sz w:val="20"/>
                      <w:szCs w:val="20"/>
                      <w:lang w:bidi="en-US"/>
                    </w:rPr>
                  </m:ctrlPr>
                </m:sSupPr>
                <m:e>
                  <m:r>
                    <w:rPr>
                      <w:rFonts w:ascii="Cambria Math" w:hAnsi="Cambria Math" w:cs="Times New Roman"/>
                      <w:color w:val="000000" w:themeColor="text1"/>
                      <w:sz w:val="20"/>
                      <w:szCs w:val="20"/>
                      <w:lang w:bidi="en-US"/>
                    </w:rPr>
                    <m:t>x</m:t>
                  </m:r>
                </m:e>
                <m:sup>
                  <m:r>
                    <w:rPr>
                      <w:rFonts w:ascii="Cambria Math" w:hAnsi="Cambria Math" w:cs="Times New Roman"/>
                      <w:color w:val="000000" w:themeColor="text1"/>
                      <w:sz w:val="20"/>
                      <w:szCs w:val="20"/>
                      <w:lang w:bidi="en-US"/>
                    </w:rPr>
                    <m:t>2</m:t>
                  </m:r>
                </m:sup>
              </m:sSup>
              <m:r>
                <w:rPr>
                  <w:rFonts w:ascii="Cambria Math" w:hAnsi="Cambria Math" w:cs="Times New Roman"/>
                  <w:color w:val="000000" w:themeColor="text1"/>
                  <w:sz w:val="20"/>
                  <w:szCs w:val="20"/>
                  <w:lang w:bidi="en-US"/>
                </w:rPr>
                <m:t xml:space="preserve">= 0.856, df=4, p= 0.931 and </m:t>
              </m:r>
              <m:sSup>
                <m:sSupPr>
                  <m:ctrlPr>
                    <w:rPr>
                      <w:rFonts w:ascii="Cambria Math" w:hAnsi="Cambria Math" w:cs="Times New Roman"/>
                      <w:color w:val="000000" w:themeColor="text1"/>
                      <w:sz w:val="20"/>
                      <w:szCs w:val="20"/>
                    </w:rPr>
                  </m:ctrlPr>
                </m:sSupPr>
                <m:e>
                  <m:r>
                    <m:rPr>
                      <m:sty m:val="p"/>
                    </m:rPr>
                    <w:rPr>
                      <w:rFonts w:ascii="Cambria Math" w:hAnsi="Cambria Math" w:cs="Times New Roman"/>
                      <w:color w:val="000000" w:themeColor="text1"/>
                      <w:sz w:val="20"/>
                      <w:szCs w:val="20"/>
                    </w:rPr>
                    <m:t>Cramer</m:t>
                  </m:r>
                  <m:ctrlPr>
                    <w:rPr>
                      <w:rFonts w:ascii="Cambria Math" w:hAnsi="Cambria Math" w:cs="Times New Roman"/>
                      <w:i/>
                      <w:color w:val="000000" w:themeColor="text1"/>
                      <w:sz w:val="20"/>
                      <w:szCs w:val="20"/>
                      <w:lang w:bidi="en-US"/>
                    </w:rPr>
                  </m:ctrlPr>
                </m:e>
                <m:sup>
                  <m:r>
                    <m:rPr>
                      <m:sty m:val="p"/>
                    </m:rPr>
                    <w:rPr>
                      <w:rFonts w:ascii="Cambria Math" w:hAnsi="Cambria Math" w:cs="Times New Roman"/>
                      <w:color w:val="000000" w:themeColor="text1"/>
                      <w:sz w:val="20"/>
                      <w:szCs w:val="20"/>
                    </w:rPr>
                    <m:t>'</m:t>
                  </m:r>
                </m:sup>
              </m:sSup>
              <m:r>
                <m:rPr>
                  <m:sty m:val="p"/>
                </m:rPr>
                <w:rPr>
                  <w:rFonts w:ascii="Cambria Math" w:hAnsi="Cambria Math" w:cs="Times New Roman"/>
                  <w:color w:val="000000" w:themeColor="text1"/>
                  <w:sz w:val="20"/>
                  <w:szCs w:val="20"/>
                </w:rPr>
                <m:t>s V=</m:t>
              </m:r>
            </m:oMath>
            <w:r w:rsidRPr="009864E3">
              <w:rPr>
                <w:rFonts w:eastAsiaTheme="minorEastAsia" w:cs="Times New Roman"/>
                <w:color w:val="000000" w:themeColor="text1"/>
                <w:sz w:val="20"/>
                <w:szCs w:val="20"/>
              </w:rPr>
              <w:t xml:space="preserve"> 0.067</w:t>
            </w:r>
            <w:r w:rsidRPr="009864E3">
              <w:rPr>
                <w:rFonts w:eastAsiaTheme="minorEastAsia" w:cs="Times New Roman"/>
                <w:color w:val="000000" w:themeColor="text1"/>
                <w:sz w:val="20"/>
                <w:szCs w:val="20"/>
                <w:lang w:bidi="en-US"/>
              </w:rPr>
              <w:t xml:space="preserve"> &gt; 0.05</w:t>
            </w:r>
          </w:p>
        </w:tc>
      </w:tr>
      <w:tr w:rsidR="00895D0B" w:rsidRPr="009864E3" w14:paraId="781E7A64" w14:textId="77777777" w:rsidTr="009864E3">
        <w:trPr>
          <w:trHeight w:val="219"/>
        </w:trPr>
        <w:tc>
          <w:tcPr>
            <w:tcW w:w="686" w:type="pct"/>
            <w:tcBorders>
              <w:top w:val="single" w:sz="4" w:space="0" w:color="auto"/>
            </w:tcBorders>
          </w:tcPr>
          <w:p w14:paraId="17C85414" w14:textId="77777777" w:rsidR="004B2BFC" w:rsidRPr="009864E3" w:rsidRDefault="004B2BFC" w:rsidP="00A213F7">
            <w:pPr>
              <w:spacing w:line="240" w:lineRule="auto"/>
              <w:rPr>
                <w:rFonts w:cs="Times New Roman"/>
                <w:color w:val="000000" w:themeColor="text1"/>
                <w:sz w:val="20"/>
                <w:szCs w:val="20"/>
              </w:rPr>
            </w:pPr>
          </w:p>
        </w:tc>
        <w:tc>
          <w:tcPr>
            <w:tcW w:w="3488" w:type="pct"/>
            <w:gridSpan w:val="5"/>
            <w:tcBorders>
              <w:top w:val="single" w:sz="4" w:space="0" w:color="auto"/>
              <w:bottom w:val="single" w:sz="4" w:space="0" w:color="auto"/>
            </w:tcBorders>
          </w:tcPr>
          <w:p w14:paraId="7B4E3ED5" w14:textId="77777777" w:rsidR="004B2BFC" w:rsidRPr="009864E3" w:rsidRDefault="004B2BFC" w:rsidP="00A213F7">
            <w:pPr>
              <w:spacing w:line="240" w:lineRule="auto"/>
              <w:jc w:val="center"/>
              <w:rPr>
                <w:rFonts w:cs="Times New Roman"/>
                <w:b/>
                <w:color w:val="000000" w:themeColor="text1"/>
                <w:sz w:val="20"/>
                <w:szCs w:val="20"/>
              </w:rPr>
            </w:pPr>
            <w:r w:rsidRPr="009864E3">
              <w:rPr>
                <w:rFonts w:cs="Times New Roman"/>
                <w:b/>
                <w:color w:val="000000" w:themeColor="text1"/>
                <w:sz w:val="20"/>
                <w:szCs w:val="20"/>
              </w:rPr>
              <w:t>Education</w:t>
            </w:r>
          </w:p>
        </w:tc>
        <w:tc>
          <w:tcPr>
            <w:tcW w:w="825" w:type="pct"/>
            <w:tcBorders>
              <w:top w:val="single" w:sz="4" w:space="0" w:color="auto"/>
              <w:bottom w:val="single" w:sz="4" w:space="0" w:color="auto"/>
            </w:tcBorders>
          </w:tcPr>
          <w:p w14:paraId="03CD5ABB" w14:textId="77777777" w:rsidR="004B2BFC" w:rsidRPr="009864E3" w:rsidRDefault="004B2BFC" w:rsidP="00A213F7">
            <w:pPr>
              <w:spacing w:line="240" w:lineRule="auto"/>
              <w:jc w:val="center"/>
              <w:rPr>
                <w:rFonts w:cs="Times New Roman"/>
                <w:b/>
                <w:color w:val="000000" w:themeColor="text1"/>
                <w:sz w:val="20"/>
                <w:szCs w:val="20"/>
              </w:rPr>
            </w:pPr>
          </w:p>
        </w:tc>
      </w:tr>
      <w:tr w:rsidR="009864E3" w:rsidRPr="009864E3" w14:paraId="4701EC9F" w14:textId="77777777" w:rsidTr="009864E3">
        <w:trPr>
          <w:trHeight w:val="230"/>
        </w:trPr>
        <w:tc>
          <w:tcPr>
            <w:tcW w:w="686" w:type="pct"/>
          </w:tcPr>
          <w:p w14:paraId="444A52F4" w14:textId="77777777" w:rsidR="004B2BFC" w:rsidRPr="009864E3" w:rsidRDefault="004B2BFC" w:rsidP="00A213F7">
            <w:pPr>
              <w:spacing w:line="240" w:lineRule="auto"/>
              <w:rPr>
                <w:rFonts w:cs="Times New Roman"/>
                <w:color w:val="000000" w:themeColor="text1"/>
                <w:sz w:val="20"/>
                <w:szCs w:val="20"/>
              </w:rPr>
            </w:pPr>
          </w:p>
        </w:tc>
        <w:tc>
          <w:tcPr>
            <w:tcW w:w="702" w:type="pct"/>
            <w:tcBorders>
              <w:top w:val="single" w:sz="4" w:space="0" w:color="auto"/>
              <w:bottom w:val="single" w:sz="4" w:space="0" w:color="auto"/>
            </w:tcBorders>
          </w:tcPr>
          <w:p w14:paraId="725D2198" w14:textId="77777777" w:rsidR="004B2BFC" w:rsidRPr="009864E3" w:rsidRDefault="004B2BFC" w:rsidP="00A213F7">
            <w:pPr>
              <w:spacing w:line="240" w:lineRule="auto"/>
              <w:jc w:val="center"/>
              <w:rPr>
                <w:rFonts w:cs="Times New Roman"/>
                <w:i/>
                <w:color w:val="000000" w:themeColor="text1"/>
                <w:sz w:val="20"/>
                <w:szCs w:val="20"/>
              </w:rPr>
            </w:pPr>
            <w:r w:rsidRPr="009864E3">
              <w:rPr>
                <w:rFonts w:cs="Times New Roman"/>
                <w:i/>
                <w:color w:val="000000" w:themeColor="text1"/>
                <w:sz w:val="20"/>
                <w:szCs w:val="20"/>
              </w:rPr>
              <w:t xml:space="preserve">No formal </w:t>
            </w:r>
          </w:p>
        </w:tc>
        <w:tc>
          <w:tcPr>
            <w:tcW w:w="703" w:type="pct"/>
            <w:tcBorders>
              <w:top w:val="single" w:sz="4" w:space="0" w:color="auto"/>
              <w:bottom w:val="single" w:sz="4" w:space="0" w:color="auto"/>
            </w:tcBorders>
          </w:tcPr>
          <w:p w14:paraId="79DEC4F1" w14:textId="77777777" w:rsidR="004B2BFC" w:rsidRPr="009864E3" w:rsidRDefault="004B2BFC" w:rsidP="00A213F7">
            <w:pPr>
              <w:spacing w:line="240" w:lineRule="auto"/>
              <w:jc w:val="center"/>
              <w:rPr>
                <w:rFonts w:cs="Times New Roman"/>
                <w:i/>
                <w:color w:val="000000" w:themeColor="text1"/>
                <w:sz w:val="20"/>
                <w:szCs w:val="20"/>
              </w:rPr>
            </w:pPr>
            <w:r w:rsidRPr="009864E3">
              <w:rPr>
                <w:rFonts w:cs="Times New Roman"/>
                <w:i/>
                <w:color w:val="000000" w:themeColor="text1"/>
                <w:sz w:val="20"/>
                <w:szCs w:val="20"/>
              </w:rPr>
              <w:t xml:space="preserve">Basic </w:t>
            </w:r>
          </w:p>
        </w:tc>
        <w:tc>
          <w:tcPr>
            <w:tcW w:w="703" w:type="pct"/>
            <w:tcBorders>
              <w:top w:val="single" w:sz="4" w:space="0" w:color="auto"/>
              <w:bottom w:val="single" w:sz="4" w:space="0" w:color="auto"/>
            </w:tcBorders>
          </w:tcPr>
          <w:p w14:paraId="72365426" w14:textId="77777777" w:rsidR="004B2BFC" w:rsidRPr="009864E3" w:rsidRDefault="004B2BFC" w:rsidP="00A213F7">
            <w:pPr>
              <w:spacing w:line="240" w:lineRule="auto"/>
              <w:jc w:val="center"/>
              <w:rPr>
                <w:rFonts w:cs="Times New Roman"/>
                <w:i/>
                <w:color w:val="000000" w:themeColor="text1"/>
                <w:sz w:val="20"/>
                <w:szCs w:val="20"/>
              </w:rPr>
            </w:pPr>
            <w:r w:rsidRPr="009864E3">
              <w:rPr>
                <w:rFonts w:cs="Times New Roman"/>
                <w:i/>
                <w:color w:val="000000" w:themeColor="text1"/>
                <w:sz w:val="20"/>
                <w:szCs w:val="20"/>
              </w:rPr>
              <w:t>Secondary</w:t>
            </w:r>
          </w:p>
        </w:tc>
        <w:tc>
          <w:tcPr>
            <w:tcW w:w="1379" w:type="pct"/>
            <w:gridSpan w:val="2"/>
            <w:tcBorders>
              <w:top w:val="single" w:sz="4" w:space="0" w:color="auto"/>
              <w:bottom w:val="single" w:sz="4" w:space="0" w:color="auto"/>
            </w:tcBorders>
          </w:tcPr>
          <w:p w14:paraId="294726B9" w14:textId="77777777" w:rsidR="004B2BFC" w:rsidRPr="009864E3" w:rsidRDefault="004B2BFC" w:rsidP="00A213F7">
            <w:pPr>
              <w:spacing w:line="240" w:lineRule="auto"/>
              <w:jc w:val="center"/>
              <w:rPr>
                <w:rFonts w:cs="Times New Roman"/>
                <w:i/>
                <w:color w:val="000000" w:themeColor="text1"/>
                <w:sz w:val="20"/>
                <w:szCs w:val="20"/>
              </w:rPr>
            </w:pPr>
            <w:r w:rsidRPr="009864E3">
              <w:rPr>
                <w:rFonts w:cs="Times New Roman"/>
                <w:i/>
                <w:color w:val="000000" w:themeColor="text1"/>
                <w:sz w:val="20"/>
                <w:szCs w:val="20"/>
              </w:rPr>
              <w:t>Tertiary</w:t>
            </w:r>
          </w:p>
        </w:tc>
        <w:tc>
          <w:tcPr>
            <w:tcW w:w="825" w:type="pct"/>
            <w:tcBorders>
              <w:top w:val="single" w:sz="4" w:space="0" w:color="auto"/>
              <w:bottom w:val="single" w:sz="4" w:space="0" w:color="auto"/>
            </w:tcBorders>
          </w:tcPr>
          <w:p w14:paraId="29A556DC" w14:textId="77777777" w:rsidR="004B2BFC" w:rsidRPr="009864E3" w:rsidRDefault="004B2BFC" w:rsidP="00A213F7">
            <w:pPr>
              <w:spacing w:line="240" w:lineRule="auto"/>
              <w:jc w:val="center"/>
              <w:rPr>
                <w:rFonts w:cs="Times New Roman"/>
                <w:color w:val="000000" w:themeColor="text1"/>
                <w:sz w:val="20"/>
                <w:szCs w:val="20"/>
              </w:rPr>
            </w:pPr>
          </w:p>
        </w:tc>
      </w:tr>
      <w:tr w:rsidR="009864E3" w:rsidRPr="009864E3" w14:paraId="454DAC3F" w14:textId="77777777" w:rsidTr="009864E3">
        <w:trPr>
          <w:trHeight w:val="230"/>
        </w:trPr>
        <w:tc>
          <w:tcPr>
            <w:tcW w:w="686" w:type="pct"/>
          </w:tcPr>
          <w:p w14:paraId="2FDF5A2B" w14:textId="77777777" w:rsidR="004B2BFC" w:rsidRPr="009864E3" w:rsidRDefault="004B2BFC" w:rsidP="00A213F7">
            <w:pPr>
              <w:spacing w:line="240" w:lineRule="auto"/>
              <w:rPr>
                <w:rFonts w:cs="Times New Roman"/>
                <w:color w:val="000000" w:themeColor="text1"/>
                <w:sz w:val="20"/>
                <w:szCs w:val="20"/>
              </w:rPr>
            </w:pPr>
            <w:r w:rsidRPr="009864E3">
              <w:rPr>
                <w:rFonts w:cs="Times New Roman"/>
                <w:color w:val="000000" w:themeColor="text1"/>
                <w:sz w:val="20"/>
                <w:szCs w:val="20"/>
              </w:rPr>
              <w:t>Yes</w:t>
            </w:r>
          </w:p>
        </w:tc>
        <w:tc>
          <w:tcPr>
            <w:tcW w:w="702" w:type="pct"/>
            <w:tcBorders>
              <w:top w:val="single" w:sz="4" w:space="0" w:color="auto"/>
            </w:tcBorders>
            <w:vAlign w:val="center"/>
          </w:tcPr>
          <w:p w14:paraId="2692E543"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35(19.7%)</w:t>
            </w:r>
          </w:p>
        </w:tc>
        <w:tc>
          <w:tcPr>
            <w:tcW w:w="703" w:type="pct"/>
            <w:tcBorders>
              <w:top w:val="single" w:sz="4" w:space="0" w:color="auto"/>
            </w:tcBorders>
            <w:vAlign w:val="center"/>
          </w:tcPr>
          <w:p w14:paraId="6C71F34F"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20(11.2%)</w:t>
            </w:r>
          </w:p>
        </w:tc>
        <w:tc>
          <w:tcPr>
            <w:tcW w:w="703" w:type="pct"/>
            <w:tcBorders>
              <w:top w:val="single" w:sz="4" w:space="0" w:color="auto"/>
            </w:tcBorders>
            <w:vAlign w:val="center"/>
          </w:tcPr>
          <w:p w14:paraId="6A9011D6"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43(24.2%</w:t>
            </w:r>
          </w:p>
        </w:tc>
        <w:tc>
          <w:tcPr>
            <w:tcW w:w="1379" w:type="pct"/>
            <w:gridSpan w:val="2"/>
            <w:tcBorders>
              <w:top w:val="single" w:sz="4" w:space="0" w:color="auto"/>
            </w:tcBorders>
            <w:vAlign w:val="center"/>
          </w:tcPr>
          <w:p w14:paraId="34092D90"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80(44.9%)</w:t>
            </w:r>
          </w:p>
        </w:tc>
        <w:tc>
          <w:tcPr>
            <w:tcW w:w="825" w:type="pct"/>
            <w:tcBorders>
              <w:top w:val="single" w:sz="4" w:space="0" w:color="auto"/>
            </w:tcBorders>
            <w:vAlign w:val="center"/>
          </w:tcPr>
          <w:p w14:paraId="5F25B997"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178(100.0%)</w:t>
            </w:r>
          </w:p>
        </w:tc>
      </w:tr>
      <w:tr w:rsidR="009864E3" w:rsidRPr="009864E3" w14:paraId="4EFCDC6F" w14:textId="77777777" w:rsidTr="009864E3">
        <w:trPr>
          <w:trHeight w:val="230"/>
        </w:trPr>
        <w:tc>
          <w:tcPr>
            <w:tcW w:w="686" w:type="pct"/>
          </w:tcPr>
          <w:p w14:paraId="4FD5D749" w14:textId="77777777" w:rsidR="004B2BFC" w:rsidRPr="009864E3" w:rsidRDefault="004B2BFC" w:rsidP="00A213F7">
            <w:pPr>
              <w:spacing w:line="240" w:lineRule="auto"/>
              <w:rPr>
                <w:rFonts w:cs="Times New Roman"/>
                <w:color w:val="000000" w:themeColor="text1"/>
                <w:sz w:val="20"/>
                <w:szCs w:val="20"/>
              </w:rPr>
            </w:pPr>
            <w:r w:rsidRPr="009864E3">
              <w:rPr>
                <w:rFonts w:cs="Times New Roman"/>
                <w:color w:val="000000" w:themeColor="text1"/>
                <w:sz w:val="20"/>
                <w:szCs w:val="20"/>
              </w:rPr>
              <w:t>No</w:t>
            </w:r>
          </w:p>
        </w:tc>
        <w:tc>
          <w:tcPr>
            <w:tcW w:w="702" w:type="pct"/>
            <w:vAlign w:val="center"/>
          </w:tcPr>
          <w:p w14:paraId="59B0E2A9"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2(15.4%)</w:t>
            </w:r>
          </w:p>
        </w:tc>
        <w:tc>
          <w:tcPr>
            <w:tcW w:w="703" w:type="pct"/>
            <w:vAlign w:val="center"/>
          </w:tcPr>
          <w:p w14:paraId="71F450BF"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1(7.7%)</w:t>
            </w:r>
          </w:p>
        </w:tc>
        <w:tc>
          <w:tcPr>
            <w:tcW w:w="703" w:type="pct"/>
            <w:vAlign w:val="center"/>
          </w:tcPr>
          <w:p w14:paraId="44CAAA0B"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5(38.5%)</w:t>
            </w:r>
          </w:p>
        </w:tc>
        <w:tc>
          <w:tcPr>
            <w:tcW w:w="1379" w:type="pct"/>
            <w:gridSpan w:val="2"/>
            <w:vAlign w:val="center"/>
          </w:tcPr>
          <w:p w14:paraId="2DEA4F2C"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5(38.5%)</w:t>
            </w:r>
          </w:p>
        </w:tc>
        <w:tc>
          <w:tcPr>
            <w:tcW w:w="825" w:type="pct"/>
            <w:vAlign w:val="center"/>
          </w:tcPr>
          <w:p w14:paraId="10EC2966"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13(100.00%)</w:t>
            </w:r>
          </w:p>
        </w:tc>
      </w:tr>
      <w:tr w:rsidR="009864E3" w:rsidRPr="009864E3" w14:paraId="7A1DB6CA" w14:textId="77777777" w:rsidTr="009864E3">
        <w:trPr>
          <w:trHeight w:val="230"/>
        </w:trPr>
        <w:tc>
          <w:tcPr>
            <w:tcW w:w="686" w:type="pct"/>
          </w:tcPr>
          <w:p w14:paraId="55A178DF" w14:textId="77777777" w:rsidR="004B2BFC" w:rsidRPr="009864E3" w:rsidRDefault="004B2BFC" w:rsidP="00A213F7">
            <w:pPr>
              <w:spacing w:line="240" w:lineRule="auto"/>
              <w:rPr>
                <w:rFonts w:cs="Times New Roman"/>
                <w:b/>
                <w:color w:val="000000" w:themeColor="text1"/>
                <w:sz w:val="20"/>
                <w:szCs w:val="20"/>
              </w:rPr>
            </w:pPr>
            <w:r w:rsidRPr="009864E3">
              <w:rPr>
                <w:rFonts w:cs="Times New Roman"/>
                <w:b/>
                <w:color w:val="000000" w:themeColor="text1"/>
                <w:sz w:val="20"/>
                <w:szCs w:val="20"/>
              </w:rPr>
              <w:t>Total</w:t>
            </w:r>
          </w:p>
        </w:tc>
        <w:tc>
          <w:tcPr>
            <w:tcW w:w="702" w:type="pct"/>
            <w:vAlign w:val="center"/>
          </w:tcPr>
          <w:p w14:paraId="2EA6E817" w14:textId="77777777" w:rsidR="004B2BFC" w:rsidRPr="009864E3" w:rsidRDefault="004B2BFC" w:rsidP="00A213F7">
            <w:pPr>
              <w:autoSpaceDE w:val="0"/>
              <w:autoSpaceDN w:val="0"/>
              <w:adjustRightInd w:val="0"/>
              <w:spacing w:line="240" w:lineRule="auto"/>
              <w:ind w:left="60" w:right="60"/>
              <w:jc w:val="center"/>
              <w:rPr>
                <w:rFonts w:cs="Times New Roman"/>
                <w:b/>
                <w:color w:val="000000" w:themeColor="text1"/>
                <w:sz w:val="20"/>
                <w:szCs w:val="20"/>
              </w:rPr>
            </w:pPr>
            <w:r w:rsidRPr="009864E3">
              <w:rPr>
                <w:rFonts w:cs="Times New Roman"/>
                <w:b/>
                <w:color w:val="000000" w:themeColor="text1"/>
                <w:sz w:val="20"/>
                <w:szCs w:val="20"/>
              </w:rPr>
              <w:t>37(19.4%)</w:t>
            </w:r>
          </w:p>
        </w:tc>
        <w:tc>
          <w:tcPr>
            <w:tcW w:w="703" w:type="pct"/>
            <w:vAlign w:val="center"/>
          </w:tcPr>
          <w:p w14:paraId="54229578" w14:textId="77777777" w:rsidR="004B2BFC" w:rsidRPr="009864E3" w:rsidRDefault="004B2BFC" w:rsidP="00A213F7">
            <w:pPr>
              <w:autoSpaceDE w:val="0"/>
              <w:autoSpaceDN w:val="0"/>
              <w:adjustRightInd w:val="0"/>
              <w:spacing w:line="240" w:lineRule="auto"/>
              <w:ind w:left="60" w:right="60"/>
              <w:jc w:val="center"/>
              <w:rPr>
                <w:rFonts w:cs="Times New Roman"/>
                <w:b/>
                <w:color w:val="000000" w:themeColor="text1"/>
                <w:sz w:val="20"/>
                <w:szCs w:val="20"/>
              </w:rPr>
            </w:pPr>
            <w:r w:rsidRPr="009864E3">
              <w:rPr>
                <w:rFonts w:cs="Times New Roman"/>
                <w:b/>
                <w:color w:val="000000" w:themeColor="text1"/>
                <w:sz w:val="20"/>
                <w:szCs w:val="20"/>
              </w:rPr>
              <w:t>21(11.0%)</w:t>
            </w:r>
          </w:p>
        </w:tc>
        <w:tc>
          <w:tcPr>
            <w:tcW w:w="703" w:type="pct"/>
            <w:vAlign w:val="center"/>
          </w:tcPr>
          <w:p w14:paraId="4DCCF1A3" w14:textId="77777777" w:rsidR="004B2BFC" w:rsidRPr="009864E3" w:rsidRDefault="004B2BFC" w:rsidP="00A213F7">
            <w:pPr>
              <w:autoSpaceDE w:val="0"/>
              <w:autoSpaceDN w:val="0"/>
              <w:adjustRightInd w:val="0"/>
              <w:spacing w:line="240" w:lineRule="auto"/>
              <w:ind w:left="60" w:right="60"/>
              <w:jc w:val="center"/>
              <w:rPr>
                <w:rFonts w:cs="Times New Roman"/>
                <w:b/>
                <w:color w:val="000000" w:themeColor="text1"/>
                <w:sz w:val="20"/>
                <w:szCs w:val="20"/>
              </w:rPr>
            </w:pPr>
            <w:r w:rsidRPr="009864E3">
              <w:rPr>
                <w:rFonts w:cs="Times New Roman"/>
                <w:b/>
                <w:color w:val="000000" w:themeColor="text1"/>
                <w:sz w:val="20"/>
                <w:szCs w:val="20"/>
              </w:rPr>
              <w:t>48(25.1%)</w:t>
            </w:r>
          </w:p>
        </w:tc>
        <w:tc>
          <w:tcPr>
            <w:tcW w:w="1379" w:type="pct"/>
            <w:gridSpan w:val="2"/>
            <w:vAlign w:val="center"/>
          </w:tcPr>
          <w:p w14:paraId="4A5EDA46" w14:textId="77777777" w:rsidR="004B2BFC" w:rsidRPr="009864E3" w:rsidRDefault="004B2BFC" w:rsidP="00A213F7">
            <w:pPr>
              <w:autoSpaceDE w:val="0"/>
              <w:autoSpaceDN w:val="0"/>
              <w:adjustRightInd w:val="0"/>
              <w:spacing w:line="240" w:lineRule="auto"/>
              <w:ind w:left="60" w:right="60"/>
              <w:jc w:val="center"/>
              <w:rPr>
                <w:rFonts w:cs="Times New Roman"/>
                <w:b/>
                <w:color w:val="000000" w:themeColor="text1"/>
                <w:sz w:val="20"/>
                <w:szCs w:val="20"/>
              </w:rPr>
            </w:pPr>
            <w:r w:rsidRPr="009864E3">
              <w:rPr>
                <w:rFonts w:cs="Times New Roman"/>
                <w:b/>
                <w:color w:val="000000" w:themeColor="text1"/>
                <w:sz w:val="20"/>
                <w:szCs w:val="20"/>
              </w:rPr>
              <w:t>85(44.5%)</w:t>
            </w:r>
          </w:p>
        </w:tc>
        <w:tc>
          <w:tcPr>
            <w:tcW w:w="825" w:type="pct"/>
            <w:vAlign w:val="center"/>
          </w:tcPr>
          <w:p w14:paraId="33E88406" w14:textId="77777777" w:rsidR="004B2BFC" w:rsidRPr="009864E3" w:rsidRDefault="004B2BFC" w:rsidP="00A213F7">
            <w:pPr>
              <w:autoSpaceDE w:val="0"/>
              <w:autoSpaceDN w:val="0"/>
              <w:adjustRightInd w:val="0"/>
              <w:spacing w:line="240" w:lineRule="auto"/>
              <w:ind w:left="60" w:right="60"/>
              <w:jc w:val="center"/>
              <w:rPr>
                <w:rFonts w:cs="Times New Roman"/>
                <w:b/>
                <w:color w:val="000000" w:themeColor="text1"/>
                <w:sz w:val="20"/>
                <w:szCs w:val="20"/>
              </w:rPr>
            </w:pPr>
            <w:r w:rsidRPr="009864E3">
              <w:rPr>
                <w:rFonts w:cs="Times New Roman"/>
                <w:b/>
                <w:color w:val="000000" w:themeColor="text1"/>
                <w:sz w:val="20"/>
                <w:szCs w:val="20"/>
              </w:rPr>
              <w:t>191(100.0%)</w:t>
            </w:r>
          </w:p>
        </w:tc>
      </w:tr>
      <w:tr w:rsidR="00895D0B" w:rsidRPr="009864E3" w14:paraId="7DF6E3D3" w14:textId="77777777" w:rsidTr="009864E3">
        <w:trPr>
          <w:trHeight w:val="230"/>
        </w:trPr>
        <w:tc>
          <w:tcPr>
            <w:tcW w:w="5000" w:type="pct"/>
            <w:gridSpan w:val="7"/>
            <w:tcBorders>
              <w:bottom w:val="single" w:sz="4" w:space="0" w:color="auto"/>
            </w:tcBorders>
          </w:tcPr>
          <w:p w14:paraId="60FA50B4" w14:textId="77777777" w:rsidR="004B2BFC" w:rsidRPr="009864E3" w:rsidRDefault="004B2BFC" w:rsidP="00A213F7">
            <w:pPr>
              <w:spacing w:line="240" w:lineRule="auto"/>
              <w:rPr>
                <w:rFonts w:cs="Times New Roman"/>
                <w:color w:val="000000" w:themeColor="text1"/>
                <w:sz w:val="20"/>
                <w:szCs w:val="20"/>
              </w:rPr>
            </w:pPr>
            <m:oMath>
              <m:r>
                <w:rPr>
                  <w:rFonts w:ascii="Cambria Math" w:hAnsi="Cambria Math" w:cs="Times New Roman"/>
                  <w:color w:val="000000" w:themeColor="text1"/>
                  <w:sz w:val="20"/>
                  <w:szCs w:val="20"/>
                  <w:lang w:bidi="en-US"/>
                </w:rPr>
                <m:t xml:space="preserve">N=191, </m:t>
              </m:r>
              <m:sSup>
                <m:sSupPr>
                  <m:ctrlPr>
                    <w:rPr>
                      <w:rFonts w:ascii="Cambria Math" w:hAnsi="Cambria Math" w:cs="Times New Roman"/>
                      <w:i/>
                      <w:color w:val="000000" w:themeColor="text1"/>
                      <w:sz w:val="20"/>
                      <w:szCs w:val="20"/>
                      <w:lang w:bidi="en-US"/>
                    </w:rPr>
                  </m:ctrlPr>
                </m:sSupPr>
                <m:e>
                  <m:r>
                    <w:rPr>
                      <w:rFonts w:ascii="Cambria Math" w:hAnsi="Cambria Math" w:cs="Times New Roman"/>
                      <w:color w:val="000000" w:themeColor="text1"/>
                      <w:sz w:val="20"/>
                      <w:szCs w:val="20"/>
                      <w:lang w:bidi="en-US"/>
                    </w:rPr>
                    <m:t xml:space="preserve"> x</m:t>
                  </m:r>
                </m:e>
                <m:sup>
                  <m:r>
                    <w:rPr>
                      <w:rFonts w:ascii="Cambria Math" w:hAnsi="Cambria Math" w:cs="Times New Roman"/>
                      <w:color w:val="000000" w:themeColor="text1"/>
                      <w:sz w:val="20"/>
                      <w:szCs w:val="20"/>
                      <w:lang w:bidi="en-US"/>
                    </w:rPr>
                    <m:t>2</m:t>
                  </m:r>
                </m:sup>
              </m:sSup>
              <m:r>
                <w:rPr>
                  <w:rFonts w:ascii="Cambria Math" w:hAnsi="Cambria Math" w:cs="Times New Roman"/>
                  <w:color w:val="000000" w:themeColor="text1"/>
                  <w:sz w:val="20"/>
                  <w:szCs w:val="20"/>
                  <w:lang w:bidi="en-US"/>
                </w:rPr>
                <m:t>= 0.</m:t>
              </m:r>
              <m:r>
                <m:rPr>
                  <m:sty m:val="p"/>
                </m:rPr>
                <w:rPr>
                  <w:rFonts w:ascii="Cambria Math" w:hAnsi="Cambria Math" w:cs="Times New Roman"/>
                  <w:color w:val="000000" w:themeColor="text1"/>
                  <w:sz w:val="20"/>
                  <w:szCs w:val="20"/>
                </w:rPr>
                <m:t>889</m:t>
              </m:r>
              <m:r>
                <w:rPr>
                  <w:rFonts w:ascii="Cambria Math" w:hAnsi="Cambria Math" w:cs="Times New Roman"/>
                  <w:color w:val="000000" w:themeColor="text1"/>
                  <w:sz w:val="20"/>
                  <w:szCs w:val="20"/>
                  <w:lang w:bidi="en-US"/>
                </w:rPr>
                <m:t>, df=1, p= 0.</m:t>
              </m:r>
              <m:r>
                <m:rPr>
                  <m:sty m:val="p"/>
                </m:rPr>
                <w:rPr>
                  <w:rFonts w:ascii="Cambria Math" w:hAnsi="Cambria Math" w:cs="Times New Roman"/>
                  <w:color w:val="000000" w:themeColor="text1"/>
                  <w:sz w:val="20"/>
                  <w:szCs w:val="20"/>
                </w:rPr>
                <m:t>716</m:t>
              </m:r>
            </m:oMath>
            <w:r w:rsidRPr="009864E3">
              <w:rPr>
                <w:rFonts w:eastAsiaTheme="minorEastAsia" w:cs="Times New Roman"/>
                <w:color w:val="000000" w:themeColor="text1"/>
                <w:sz w:val="20"/>
                <w:szCs w:val="20"/>
              </w:rPr>
              <w:t xml:space="preserve"> and </w:t>
            </w:r>
            <m:oMath>
              <m:sSup>
                <m:sSupPr>
                  <m:ctrlPr>
                    <w:rPr>
                      <w:rFonts w:ascii="Cambria Math" w:hAnsi="Cambria Math" w:cs="Times New Roman"/>
                      <w:color w:val="000000" w:themeColor="text1"/>
                      <w:sz w:val="20"/>
                      <w:szCs w:val="20"/>
                    </w:rPr>
                  </m:ctrlPr>
                </m:sSupPr>
                <m:e>
                  <m:r>
                    <m:rPr>
                      <m:sty m:val="p"/>
                    </m:rPr>
                    <w:rPr>
                      <w:rFonts w:ascii="Cambria Math" w:hAnsi="Cambria Math" w:cs="Times New Roman"/>
                      <w:color w:val="000000" w:themeColor="text1"/>
                      <w:sz w:val="20"/>
                      <w:szCs w:val="20"/>
                    </w:rPr>
                    <m:t>Cramer</m:t>
                  </m:r>
                  <m:ctrlPr>
                    <w:rPr>
                      <w:rFonts w:ascii="Cambria Math" w:hAnsi="Cambria Math" w:cs="Times New Roman"/>
                      <w:i/>
                      <w:color w:val="000000" w:themeColor="text1"/>
                      <w:sz w:val="20"/>
                      <w:szCs w:val="20"/>
                      <w:lang w:bidi="en-US"/>
                    </w:rPr>
                  </m:ctrlPr>
                </m:e>
                <m:sup>
                  <m:r>
                    <m:rPr>
                      <m:sty m:val="p"/>
                    </m:rPr>
                    <w:rPr>
                      <w:rFonts w:ascii="Cambria Math" w:hAnsi="Cambria Math" w:cs="Times New Roman"/>
                      <w:color w:val="000000" w:themeColor="text1"/>
                      <w:sz w:val="20"/>
                      <w:szCs w:val="20"/>
                    </w:rPr>
                    <m:t>'</m:t>
                  </m:r>
                </m:sup>
              </m:sSup>
              <m:r>
                <m:rPr>
                  <m:sty m:val="p"/>
                </m:rPr>
                <w:rPr>
                  <w:rFonts w:ascii="Cambria Math" w:hAnsi="Cambria Math" w:cs="Times New Roman"/>
                  <w:color w:val="000000" w:themeColor="text1"/>
                  <w:sz w:val="20"/>
                  <w:szCs w:val="20"/>
                </w:rPr>
                <m:t>s V=0.084</m:t>
              </m:r>
            </m:oMath>
            <w:r w:rsidRPr="009864E3">
              <w:rPr>
                <w:rFonts w:eastAsiaTheme="minorEastAsia" w:cs="Times New Roman"/>
                <w:color w:val="000000" w:themeColor="text1"/>
                <w:sz w:val="20"/>
                <w:szCs w:val="20"/>
                <w:lang w:bidi="en-US"/>
              </w:rPr>
              <w:t xml:space="preserve"> &gt; 0.05</w:t>
            </w:r>
          </w:p>
        </w:tc>
      </w:tr>
      <w:tr w:rsidR="00895D0B" w:rsidRPr="009864E3" w14:paraId="6AC41D99" w14:textId="77777777" w:rsidTr="009864E3">
        <w:trPr>
          <w:trHeight w:val="230"/>
        </w:trPr>
        <w:tc>
          <w:tcPr>
            <w:tcW w:w="2795" w:type="pct"/>
            <w:gridSpan w:val="4"/>
            <w:vMerge w:val="restart"/>
            <w:tcBorders>
              <w:top w:val="single" w:sz="4" w:space="0" w:color="auto"/>
            </w:tcBorders>
          </w:tcPr>
          <w:p w14:paraId="038F1F13" w14:textId="77777777" w:rsidR="004B2BFC" w:rsidRPr="009864E3" w:rsidRDefault="004B2BFC" w:rsidP="00A213F7">
            <w:pPr>
              <w:spacing w:line="240" w:lineRule="auto"/>
              <w:rPr>
                <w:rFonts w:cs="Times New Roman"/>
                <w:color w:val="000000" w:themeColor="text1"/>
                <w:sz w:val="20"/>
                <w:szCs w:val="20"/>
              </w:rPr>
            </w:pPr>
          </w:p>
        </w:tc>
        <w:tc>
          <w:tcPr>
            <w:tcW w:w="1379" w:type="pct"/>
            <w:gridSpan w:val="2"/>
            <w:tcBorders>
              <w:top w:val="single" w:sz="4" w:space="0" w:color="auto"/>
              <w:bottom w:val="single" w:sz="4" w:space="0" w:color="auto"/>
            </w:tcBorders>
          </w:tcPr>
          <w:p w14:paraId="24A7D47A" w14:textId="77777777" w:rsidR="004B2BFC" w:rsidRPr="009864E3" w:rsidRDefault="004B2BFC" w:rsidP="00A213F7">
            <w:pPr>
              <w:spacing w:line="240" w:lineRule="auto"/>
              <w:jc w:val="center"/>
              <w:rPr>
                <w:rFonts w:cs="Times New Roman"/>
                <w:b/>
                <w:color w:val="000000" w:themeColor="text1"/>
                <w:sz w:val="20"/>
                <w:szCs w:val="20"/>
              </w:rPr>
            </w:pPr>
            <w:r w:rsidRPr="009864E3">
              <w:rPr>
                <w:rFonts w:cs="Times New Roman"/>
                <w:b/>
                <w:color w:val="000000" w:themeColor="text1"/>
                <w:sz w:val="20"/>
                <w:szCs w:val="20"/>
              </w:rPr>
              <w:t>Gender</w:t>
            </w:r>
          </w:p>
        </w:tc>
        <w:tc>
          <w:tcPr>
            <w:tcW w:w="825" w:type="pct"/>
            <w:tcBorders>
              <w:top w:val="single" w:sz="4" w:space="0" w:color="auto"/>
              <w:bottom w:val="single" w:sz="4" w:space="0" w:color="auto"/>
            </w:tcBorders>
          </w:tcPr>
          <w:p w14:paraId="558F051D" w14:textId="77777777" w:rsidR="004B2BFC" w:rsidRPr="009864E3" w:rsidRDefault="004B2BFC" w:rsidP="00A213F7">
            <w:pPr>
              <w:spacing w:line="240" w:lineRule="auto"/>
              <w:jc w:val="center"/>
              <w:rPr>
                <w:rFonts w:cs="Times New Roman"/>
                <w:b/>
                <w:color w:val="000000" w:themeColor="text1"/>
                <w:sz w:val="20"/>
                <w:szCs w:val="20"/>
              </w:rPr>
            </w:pPr>
          </w:p>
        </w:tc>
      </w:tr>
      <w:tr w:rsidR="00895D0B" w:rsidRPr="009864E3" w14:paraId="50164A52" w14:textId="77777777" w:rsidTr="009864E3">
        <w:trPr>
          <w:trHeight w:val="144"/>
        </w:trPr>
        <w:tc>
          <w:tcPr>
            <w:tcW w:w="2795" w:type="pct"/>
            <w:gridSpan w:val="4"/>
            <w:vMerge/>
          </w:tcPr>
          <w:p w14:paraId="00B05E49" w14:textId="77777777" w:rsidR="004B2BFC" w:rsidRPr="009864E3" w:rsidRDefault="004B2BFC" w:rsidP="00A213F7">
            <w:pPr>
              <w:spacing w:line="240" w:lineRule="auto"/>
              <w:rPr>
                <w:rFonts w:cs="Times New Roman"/>
                <w:color w:val="000000" w:themeColor="text1"/>
                <w:sz w:val="20"/>
                <w:szCs w:val="20"/>
              </w:rPr>
            </w:pPr>
          </w:p>
        </w:tc>
        <w:tc>
          <w:tcPr>
            <w:tcW w:w="764" w:type="pct"/>
            <w:tcBorders>
              <w:top w:val="single" w:sz="4" w:space="0" w:color="auto"/>
              <w:bottom w:val="single" w:sz="4" w:space="0" w:color="auto"/>
            </w:tcBorders>
          </w:tcPr>
          <w:p w14:paraId="091DD8FC" w14:textId="77777777" w:rsidR="004B2BFC" w:rsidRPr="009864E3" w:rsidRDefault="004B2BFC" w:rsidP="00A213F7">
            <w:pPr>
              <w:autoSpaceDE w:val="0"/>
              <w:autoSpaceDN w:val="0"/>
              <w:adjustRightInd w:val="0"/>
              <w:spacing w:line="240" w:lineRule="auto"/>
              <w:ind w:left="60" w:right="60"/>
              <w:jc w:val="center"/>
              <w:rPr>
                <w:rFonts w:cs="Times New Roman"/>
                <w:i/>
                <w:color w:val="000000" w:themeColor="text1"/>
                <w:sz w:val="20"/>
                <w:szCs w:val="20"/>
              </w:rPr>
            </w:pPr>
            <w:r w:rsidRPr="009864E3">
              <w:rPr>
                <w:rFonts w:cs="Times New Roman"/>
                <w:i/>
                <w:color w:val="000000" w:themeColor="text1"/>
                <w:sz w:val="20"/>
                <w:szCs w:val="20"/>
              </w:rPr>
              <w:t>Male</w:t>
            </w:r>
          </w:p>
        </w:tc>
        <w:tc>
          <w:tcPr>
            <w:tcW w:w="615" w:type="pct"/>
            <w:tcBorders>
              <w:top w:val="single" w:sz="4" w:space="0" w:color="auto"/>
              <w:bottom w:val="single" w:sz="4" w:space="0" w:color="auto"/>
            </w:tcBorders>
          </w:tcPr>
          <w:p w14:paraId="5919F371" w14:textId="77777777" w:rsidR="004B2BFC" w:rsidRPr="009864E3" w:rsidRDefault="004B2BFC" w:rsidP="00A213F7">
            <w:pPr>
              <w:autoSpaceDE w:val="0"/>
              <w:autoSpaceDN w:val="0"/>
              <w:adjustRightInd w:val="0"/>
              <w:spacing w:line="240" w:lineRule="auto"/>
              <w:ind w:left="60" w:right="60"/>
              <w:jc w:val="center"/>
              <w:rPr>
                <w:rFonts w:cs="Times New Roman"/>
                <w:i/>
                <w:color w:val="000000" w:themeColor="text1"/>
                <w:sz w:val="20"/>
                <w:szCs w:val="20"/>
              </w:rPr>
            </w:pPr>
            <w:r w:rsidRPr="009864E3">
              <w:rPr>
                <w:rFonts w:cs="Times New Roman"/>
                <w:i/>
                <w:color w:val="000000" w:themeColor="text1"/>
                <w:sz w:val="20"/>
                <w:szCs w:val="20"/>
              </w:rPr>
              <w:t>Female</w:t>
            </w:r>
          </w:p>
        </w:tc>
        <w:tc>
          <w:tcPr>
            <w:tcW w:w="825" w:type="pct"/>
            <w:tcBorders>
              <w:top w:val="single" w:sz="4" w:space="0" w:color="auto"/>
              <w:bottom w:val="single" w:sz="4" w:space="0" w:color="auto"/>
            </w:tcBorders>
          </w:tcPr>
          <w:p w14:paraId="539D2EB9" w14:textId="77777777" w:rsidR="004B2BFC" w:rsidRPr="009864E3" w:rsidRDefault="004B2BFC" w:rsidP="00A213F7">
            <w:pPr>
              <w:spacing w:line="240" w:lineRule="auto"/>
              <w:rPr>
                <w:rFonts w:cs="Times New Roman"/>
                <w:b/>
                <w:i/>
                <w:color w:val="000000" w:themeColor="text1"/>
                <w:sz w:val="20"/>
                <w:szCs w:val="20"/>
              </w:rPr>
            </w:pPr>
          </w:p>
        </w:tc>
      </w:tr>
      <w:tr w:rsidR="00895D0B" w:rsidRPr="009864E3" w14:paraId="64074ED2" w14:textId="77777777" w:rsidTr="009864E3">
        <w:trPr>
          <w:trHeight w:val="230"/>
        </w:trPr>
        <w:tc>
          <w:tcPr>
            <w:tcW w:w="2795" w:type="pct"/>
            <w:gridSpan w:val="4"/>
          </w:tcPr>
          <w:p w14:paraId="022E00D6" w14:textId="77777777" w:rsidR="004B2BFC" w:rsidRPr="009864E3" w:rsidRDefault="004B2BFC" w:rsidP="00A213F7">
            <w:pPr>
              <w:spacing w:line="240" w:lineRule="auto"/>
              <w:rPr>
                <w:rFonts w:cs="Times New Roman"/>
                <w:color w:val="000000" w:themeColor="text1"/>
                <w:sz w:val="20"/>
                <w:szCs w:val="20"/>
              </w:rPr>
            </w:pPr>
            <w:r w:rsidRPr="009864E3">
              <w:rPr>
                <w:rFonts w:cs="Times New Roman"/>
                <w:color w:val="000000" w:themeColor="text1"/>
                <w:sz w:val="20"/>
                <w:szCs w:val="20"/>
              </w:rPr>
              <w:t>Yes</w:t>
            </w:r>
          </w:p>
        </w:tc>
        <w:tc>
          <w:tcPr>
            <w:tcW w:w="764" w:type="pct"/>
            <w:tcBorders>
              <w:top w:val="single" w:sz="4" w:space="0" w:color="auto"/>
            </w:tcBorders>
          </w:tcPr>
          <w:p w14:paraId="39E2CB70"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131(73.6%)</w:t>
            </w:r>
          </w:p>
        </w:tc>
        <w:tc>
          <w:tcPr>
            <w:tcW w:w="615" w:type="pct"/>
            <w:tcBorders>
              <w:top w:val="single" w:sz="4" w:space="0" w:color="auto"/>
            </w:tcBorders>
          </w:tcPr>
          <w:p w14:paraId="4CA35C49"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47(26.4%)</w:t>
            </w:r>
          </w:p>
        </w:tc>
        <w:tc>
          <w:tcPr>
            <w:tcW w:w="825" w:type="pct"/>
            <w:tcBorders>
              <w:top w:val="single" w:sz="4" w:space="0" w:color="auto"/>
            </w:tcBorders>
          </w:tcPr>
          <w:p w14:paraId="321829C6" w14:textId="77777777" w:rsidR="004B2BFC" w:rsidRPr="009864E3" w:rsidRDefault="004B2BFC" w:rsidP="00A213F7">
            <w:pPr>
              <w:spacing w:line="240" w:lineRule="auto"/>
              <w:jc w:val="center"/>
              <w:rPr>
                <w:rFonts w:cs="Times New Roman"/>
                <w:color w:val="000000" w:themeColor="text1"/>
                <w:sz w:val="20"/>
                <w:szCs w:val="20"/>
              </w:rPr>
            </w:pPr>
            <w:r w:rsidRPr="009864E3">
              <w:rPr>
                <w:rFonts w:cs="Times New Roman"/>
                <w:color w:val="000000" w:themeColor="text1"/>
                <w:sz w:val="20"/>
                <w:szCs w:val="20"/>
              </w:rPr>
              <w:t>178(100.0%)</w:t>
            </w:r>
          </w:p>
        </w:tc>
      </w:tr>
      <w:tr w:rsidR="00895D0B" w:rsidRPr="009864E3" w14:paraId="0488FD49" w14:textId="77777777" w:rsidTr="009864E3">
        <w:trPr>
          <w:trHeight w:val="230"/>
        </w:trPr>
        <w:tc>
          <w:tcPr>
            <w:tcW w:w="2795" w:type="pct"/>
            <w:gridSpan w:val="4"/>
          </w:tcPr>
          <w:p w14:paraId="0767A97B" w14:textId="77777777" w:rsidR="004B2BFC" w:rsidRPr="009864E3" w:rsidRDefault="004B2BFC" w:rsidP="00A213F7">
            <w:pPr>
              <w:spacing w:line="240" w:lineRule="auto"/>
              <w:rPr>
                <w:rFonts w:cs="Times New Roman"/>
                <w:color w:val="000000" w:themeColor="text1"/>
                <w:sz w:val="20"/>
                <w:szCs w:val="20"/>
              </w:rPr>
            </w:pPr>
            <w:r w:rsidRPr="009864E3">
              <w:rPr>
                <w:rFonts w:cs="Times New Roman"/>
                <w:color w:val="000000" w:themeColor="text1"/>
                <w:sz w:val="20"/>
                <w:szCs w:val="20"/>
              </w:rPr>
              <w:t xml:space="preserve">No </w:t>
            </w:r>
          </w:p>
        </w:tc>
        <w:tc>
          <w:tcPr>
            <w:tcW w:w="764" w:type="pct"/>
          </w:tcPr>
          <w:p w14:paraId="2EDD8955"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8(61.5%)</w:t>
            </w:r>
          </w:p>
        </w:tc>
        <w:tc>
          <w:tcPr>
            <w:tcW w:w="615" w:type="pct"/>
          </w:tcPr>
          <w:p w14:paraId="03EA5DD2"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5(38.5%)</w:t>
            </w:r>
          </w:p>
        </w:tc>
        <w:tc>
          <w:tcPr>
            <w:tcW w:w="825" w:type="pct"/>
          </w:tcPr>
          <w:p w14:paraId="511DEFE5" w14:textId="77777777" w:rsidR="004B2BFC" w:rsidRPr="009864E3" w:rsidRDefault="004B2BFC" w:rsidP="00A213F7">
            <w:pPr>
              <w:autoSpaceDE w:val="0"/>
              <w:autoSpaceDN w:val="0"/>
              <w:adjustRightInd w:val="0"/>
              <w:spacing w:line="240" w:lineRule="auto"/>
              <w:ind w:left="60" w:right="60"/>
              <w:jc w:val="center"/>
              <w:rPr>
                <w:rFonts w:cs="Times New Roman"/>
                <w:color w:val="000000" w:themeColor="text1"/>
                <w:sz w:val="20"/>
                <w:szCs w:val="20"/>
              </w:rPr>
            </w:pPr>
            <w:r w:rsidRPr="009864E3">
              <w:rPr>
                <w:rFonts w:cs="Times New Roman"/>
                <w:color w:val="000000" w:themeColor="text1"/>
                <w:sz w:val="20"/>
                <w:szCs w:val="20"/>
              </w:rPr>
              <w:t>13(100.0%)</w:t>
            </w:r>
          </w:p>
        </w:tc>
      </w:tr>
      <w:tr w:rsidR="00895D0B" w:rsidRPr="009864E3" w14:paraId="082E655A" w14:textId="77777777" w:rsidTr="009864E3">
        <w:trPr>
          <w:trHeight w:val="230"/>
        </w:trPr>
        <w:tc>
          <w:tcPr>
            <w:tcW w:w="2795" w:type="pct"/>
            <w:gridSpan w:val="4"/>
          </w:tcPr>
          <w:p w14:paraId="16698BE0" w14:textId="77777777" w:rsidR="004B2BFC" w:rsidRPr="009864E3" w:rsidRDefault="004B2BFC" w:rsidP="00A213F7">
            <w:pPr>
              <w:spacing w:line="240" w:lineRule="auto"/>
              <w:rPr>
                <w:rFonts w:cs="Times New Roman"/>
                <w:b/>
                <w:color w:val="000000" w:themeColor="text1"/>
                <w:sz w:val="20"/>
                <w:szCs w:val="20"/>
              </w:rPr>
            </w:pPr>
            <w:r w:rsidRPr="009864E3">
              <w:rPr>
                <w:rFonts w:cs="Times New Roman"/>
                <w:b/>
                <w:color w:val="000000" w:themeColor="text1"/>
                <w:sz w:val="20"/>
                <w:szCs w:val="20"/>
              </w:rPr>
              <w:t xml:space="preserve">Total </w:t>
            </w:r>
          </w:p>
        </w:tc>
        <w:tc>
          <w:tcPr>
            <w:tcW w:w="764" w:type="pct"/>
          </w:tcPr>
          <w:p w14:paraId="6A27C63F" w14:textId="77777777" w:rsidR="004B2BFC" w:rsidRPr="009864E3" w:rsidRDefault="004B2BFC" w:rsidP="00A213F7">
            <w:pPr>
              <w:autoSpaceDE w:val="0"/>
              <w:autoSpaceDN w:val="0"/>
              <w:adjustRightInd w:val="0"/>
              <w:spacing w:line="240" w:lineRule="auto"/>
              <w:ind w:left="60" w:right="60"/>
              <w:jc w:val="center"/>
              <w:rPr>
                <w:rFonts w:cs="Times New Roman"/>
                <w:b/>
                <w:color w:val="000000" w:themeColor="text1"/>
                <w:sz w:val="20"/>
                <w:szCs w:val="20"/>
              </w:rPr>
            </w:pPr>
            <w:r w:rsidRPr="009864E3">
              <w:rPr>
                <w:rFonts w:cs="Times New Roman"/>
                <w:b/>
                <w:color w:val="000000" w:themeColor="text1"/>
                <w:sz w:val="20"/>
                <w:szCs w:val="20"/>
              </w:rPr>
              <w:t>139(72.8%)</w:t>
            </w:r>
          </w:p>
        </w:tc>
        <w:tc>
          <w:tcPr>
            <w:tcW w:w="615" w:type="pct"/>
          </w:tcPr>
          <w:p w14:paraId="12ED4FBB" w14:textId="77777777" w:rsidR="004B2BFC" w:rsidRPr="009864E3" w:rsidRDefault="004B2BFC" w:rsidP="00A213F7">
            <w:pPr>
              <w:autoSpaceDE w:val="0"/>
              <w:autoSpaceDN w:val="0"/>
              <w:adjustRightInd w:val="0"/>
              <w:spacing w:line="240" w:lineRule="auto"/>
              <w:ind w:left="60" w:right="60"/>
              <w:jc w:val="center"/>
              <w:rPr>
                <w:rFonts w:cs="Times New Roman"/>
                <w:b/>
                <w:color w:val="000000" w:themeColor="text1"/>
                <w:sz w:val="20"/>
                <w:szCs w:val="20"/>
              </w:rPr>
            </w:pPr>
            <w:r w:rsidRPr="009864E3">
              <w:rPr>
                <w:rFonts w:cs="Times New Roman"/>
                <w:b/>
                <w:color w:val="000000" w:themeColor="text1"/>
                <w:sz w:val="20"/>
                <w:szCs w:val="20"/>
              </w:rPr>
              <w:t>52(27.2%)</w:t>
            </w:r>
          </w:p>
        </w:tc>
        <w:tc>
          <w:tcPr>
            <w:tcW w:w="825" w:type="pct"/>
          </w:tcPr>
          <w:p w14:paraId="3518818A" w14:textId="77777777" w:rsidR="004B2BFC" w:rsidRPr="009864E3" w:rsidRDefault="004B2BFC" w:rsidP="00A213F7">
            <w:pPr>
              <w:autoSpaceDE w:val="0"/>
              <w:autoSpaceDN w:val="0"/>
              <w:adjustRightInd w:val="0"/>
              <w:spacing w:line="240" w:lineRule="auto"/>
              <w:ind w:left="60" w:right="60"/>
              <w:jc w:val="center"/>
              <w:rPr>
                <w:rFonts w:cs="Times New Roman"/>
                <w:b/>
                <w:color w:val="000000" w:themeColor="text1"/>
                <w:sz w:val="20"/>
                <w:szCs w:val="20"/>
              </w:rPr>
            </w:pPr>
            <w:r w:rsidRPr="009864E3">
              <w:rPr>
                <w:rFonts w:cs="Times New Roman"/>
                <w:b/>
                <w:color w:val="000000" w:themeColor="text1"/>
                <w:sz w:val="20"/>
                <w:szCs w:val="20"/>
              </w:rPr>
              <w:t>191(100.0%)</w:t>
            </w:r>
          </w:p>
        </w:tc>
      </w:tr>
      <w:tr w:rsidR="00895D0B" w:rsidRPr="009864E3" w14:paraId="5CF4BAD4" w14:textId="77777777" w:rsidTr="009864E3">
        <w:trPr>
          <w:trHeight w:val="230"/>
        </w:trPr>
        <w:tc>
          <w:tcPr>
            <w:tcW w:w="5000" w:type="pct"/>
            <w:gridSpan w:val="7"/>
            <w:tcBorders>
              <w:bottom w:val="single" w:sz="4" w:space="0" w:color="auto"/>
            </w:tcBorders>
          </w:tcPr>
          <w:p w14:paraId="76F2D57B" w14:textId="77777777" w:rsidR="004B2BFC" w:rsidRPr="009864E3" w:rsidRDefault="004B2BFC" w:rsidP="00A213F7">
            <w:pPr>
              <w:spacing w:line="240" w:lineRule="auto"/>
              <w:rPr>
                <w:rFonts w:cs="Times New Roman"/>
                <w:color w:val="000000" w:themeColor="text1"/>
                <w:sz w:val="20"/>
                <w:szCs w:val="20"/>
              </w:rPr>
            </w:pPr>
            <m:oMath>
              <m:r>
                <w:rPr>
                  <w:rFonts w:ascii="Cambria Math" w:hAnsi="Cambria Math" w:cs="Times New Roman"/>
                  <w:color w:val="000000" w:themeColor="text1"/>
                  <w:sz w:val="20"/>
                  <w:szCs w:val="20"/>
                  <w:lang w:bidi="en-US"/>
                </w:rPr>
                <m:t xml:space="preserve">N=191, </m:t>
              </m:r>
              <m:sSup>
                <m:sSupPr>
                  <m:ctrlPr>
                    <w:rPr>
                      <w:rFonts w:ascii="Cambria Math" w:hAnsi="Cambria Math" w:cs="Times New Roman"/>
                      <w:i/>
                      <w:color w:val="000000" w:themeColor="text1"/>
                      <w:sz w:val="20"/>
                      <w:szCs w:val="20"/>
                      <w:lang w:bidi="en-US"/>
                    </w:rPr>
                  </m:ctrlPr>
                </m:sSupPr>
                <m:e>
                  <m:r>
                    <w:rPr>
                      <w:rFonts w:ascii="Cambria Math" w:hAnsi="Cambria Math" w:cs="Times New Roman"/>
                      <w:color w:val="000000" w:themeColor="text1"/>
                      <w:sz w:val="20"/>
                      <w:szCs w:val="20"/>
                      <w:lang w:bidi="en-US"/>
                    </w:rPr>
                    <m:t xml:space="preserve"> x</m:t>
                  </m:r>
                </m:e>
                <m:sup>
                  <m:r>
                    <w:rPr>
                      <w:rFonts w:ascii="Cambria Math" w:hAnsi="Cambria Math" w:cs="Times New Roman"/>
                      <w:color w:val="000000" w:themeColor="text1"/>
                      <w:sz w:val="20"/>
                      <w:szCs w:val="20"/>
                      <w:lang w:bidi="en-US"/>
                    </w:rPr>
                    <m:t>2</m:t>
                  </m:r>
                </m:sup>
              </m:sSup>
              <m:r>
                <w:rPr>
                  <w:rFonts w:ascii="Cambria Math" w:hAnsi="Cambria Math" w:cs="Times New Roman"/>
                  <w:color w:val="000000" w:themeColor="text1"/>
                  <w:sz w:val="20"/>
                  <w:szCs w:val="20"/>
                  <w:lang w:bidi="en-US"/>
                </w:rPr>
                <m:t xml:space="preserve">= </m:t>
              </m:r>
              <m:r>
                <m:rPr>
                  <m:sty m:val="p"/>
                </m:rPr>
                <w:rPr>
                  <w:rFonts w:ascii="Cambria Math" w:hAnsi="Cambria Math" w:cs="Times New Roman"/>
                  <w:color w:val="000000" w:themeColor="text1"/>
                  <w:sz w:val="20"/>
                  <w:szCs w:val="20"/>
                </w:rPr>
                <m:t>1.354</m:t>
              </m:r>
              <m:r>
                <w:rPr>
                  <w:rFonts w:ascii="Cambria Math" w:hAnsi="Cambria Math" w:cs="Times New Roman"/>
                  <w:color w:val="000000" w:themeColor="text1"/>
                  <w:sz w:val="20"/>
                  <w:szCs w:val="20"/>
                  <w:lang w:bidi="en-US"/>
                </w:rPr>
                <m:t>, df=3, p= 0.</m:t>
              </m:r>
              <m:r>
                <m:rPr>
                  <m:sty m:val="p"/>
                </m:rPr>
                <w:rPr>
                  <w:rFonts w:ascii="Cambria Math" w:hAnsi="Cambria Math" w:cs="Times New Roman"/>
                  <w:color w:val="000000" w:themeColor="text1"/>
                  <w:sz w:val="20"/>
                  <w:szCs w:val="20"/>
                </w:rPr>
                <m:t>346</m:t>
              </m:r>
            </m:oMath>
            <w:r w:rsidRPr="009864E3">
              <w:rPr>
                <w:rFonts w:eastAsiaTheme="minorEastAsia" w:cs="Times New Roman"/>
                <w:color w:val="000000" w:themeColor="text1"/>
                <w:sz w:val="20"/>
                <w:szCs w:val="20"/>
              </w:rPr>
              <w:t xml:space="preserve"> and </w:t>
            </w:r>
            <m:oMath>
              <m:sSup>
                <m:sSupPr>
                  <m:ctrlPr>
                    <w:rPr>
                      <w:rFonts w:ascii="Cambria Math" w:hAnsi="Cambria Math" w:cs="Times New Roman"/>
                      <w:color w:val="000000" w:themeColor="text1"/>
                      <w:sz w:val="20"/>
                      <w:szCs w:val="20"/>
                    </w:rPr>
                  </m:ctrlPr>
                </m:sSupPr>
                <m:e>
                  <m:r>
                    <m:rPr>
                      <m:sty m:val="p"/>
                    </m:rPr>
                    <w:rPr>
                      <w:rFonts w:ascii="Cambria Math" w:hAnsi="Cambria Math" w:cs="Times New Roman"/>
                      <w:color w:val="000000" w:themeColor="text1"/>
                      <w:sz w:val="20"/>
                      <w:szCs w:val="20"/>
                    </w:rPr>
                    <m:t>Cramer</m:t>
                  </m:r>
                  <m:ctrlPr>
                    <w:rPr>
                      <w:rFonts w:ascii="Cambria Math" w:hAnsi="Cambria Math" w:cs="Times New Roman"/>
                      <w:i/>
                      <w:color w:val="000000" w:themeColor="text1"/>
                      <w:sz w:val="20"/>
                      <w:szCs w:val="20"/>
                      <w:lang w:bidi="en-US"/>
                    </w:rPr>
                  </m:ctrlPr>
                </m:e>
                <m:sup>
                  <m:r>
                    <m:rPr>
                      <m:sty m:val="p"/>
                    </m:rPr>
                    <w:rPr>
                      <w:rFonts w:ascii="Cambria Math" w:hAnsi="Cambria Math" w:cs="Times New Roman"/>
                      <w:color w:val="000000" w:themeColor="text1"/>
                      <w:sz w:val="20"/>
                      <w:szCs w:val="20"/>
                    </w:rPr>
                    <m:t>'</m:t>
                  </m:r>
                </m:sup>
              </m:sSup>
              <m:r>
                <m:rPr>
                  <m:sty m:val="p"/>
                </m:rPr>
                <w:rPr>
                  <w:rFonts w:ascii="Cambria Math" w:hAnsi="Cambria Math" w:cs="Times New Roman"/>
                  <w:color w:val="000000" w:themeColor="text1"/>
                  <w:sz w:val="20"/>
                  <w:szCs w:val="20"/>
                </w:rPr>
                <m:t>s V</m:t>
              </m:r>
            </m:oMath>
            <w:r w:rsidRPr="009864E3">
              <w:rPr>
                <w:rFonts w:eastAsiaTheme="minorEastAsia" w:cs="Times New Roman"/>
                <w:color w:val="000000" w:themeColor="text1"/>
                <w:sz w:val="20"/>
                <w:szCs w:val="20"/>
              </w:rPr>
              <w:t xml:space="preserve"> = 0.068 &gt; 0.05</w:t>
            </w:r>
          </w:p>
        </w:tc>
      </w:tr>
      <w:tr w:rsidR="00895D0B" w:rsidRPr="009864E3" w14:paraId="23406DD7" w14:textId="77777777" w:rsidTr="009864E3">
        <w:trPr>
          <w:trHeight w:val="692"/>
        </w:trPr>
        <w:tc>
          <w:tcPr>
            <w:tcW w:w="5000" w:type="pct"/>
            <w:gridSpan w:val="7"/>
            <w:tcBorders>
              <w:top w:val="single" w:sz="4" w:space="0" w:color="auto"/>
            </w:tcBorders>
          </w:tcPr>
          <w:p w14:paraId="33B04DA1" w14:textId="1A45B1E7" w:rsidR="004B2BFC" w:rsidRPr="009864E3" w:rsidRDefault="004B2BFC" w:rsidP="00A213F7">
            <w:pPr>
              <w:spacing w:line="240" w:lineRule="auto"/>
              <w:rPr>
                <w:rFonts w:eastAsia="Calibri" w:cs="Times New Roman"/>
                <w:color w:val="000000" w:themeColor="text1"/>
                <w:sz w:val="20"/>
                <w:szCs w:val="20"/>
                <w:lang w:bidi="en-US"/>
              </w:rPr>
            </w:pPr>
            <w:r w:rsidRPr="009864E3">
              <w:rPr>
                <w:rFonts w:eastAsia="Calibri" w:cs="Times New Roman"/>
                <w:color w:val="000000" w:themeColor="text1"/>
                <w:sz w:val="20"/>
                <w:szCs w:val="20"/>
                <w:lang w:bidi="en-US"/>
              </w:rPr>
              <w:t xml:space="preserve">***Cramer’s V &gt; 0.25, strong relationship; Cramer’s V &gt; 0.10, moderate relationship; Cramer’s V &gt; 0.05, weak relationship and Cramer’s V &gt; 0, no or very weak relationship </w:t>
            </w:r>
          </w:p>
          <w:p w14:paraId="0D9EE193" w14:textId="77777777" w:rsidR="004B2BFC" w:rsidRPr="009864E3" w:rsidRDefault="004B2BFC" w:rsidP="00A213F7">
            <w:pPr>
              <w:spacing w:line="240" w:lineRule="auto"/>
              <w:rPr>
                <w:rFonts w:eastAsia="Calibri" w:cs="Times New Roman"/>
                <w:color w:val="000000" w:themeColor="text1"/>
                <w:sz w:val="20"/>
                <w:szCs w:val="20"/>
                <w:lang w:bidi="en-US"/>
              </w:rPr>
            </w:pPr>
            <w:r w:rsidRPr="009864E3">
              <w:rPr>
                <w:rFonts w:eastAsia="Calibri" w:cs="Times New Roman"/>
                <w:color w:val="000000" w:themeColor="text1"/>
                <w:sz w:val="20"/>
                <w:szCs w:val="20"/>
                <w:lang w:bidi="en-US"/>
              </w:rPr>
              <w:t>*** p-value &lt; 0.05, statistically significant; p-value &gt; 0.05, statistically insignificant</w:t>
            </w:r>
          </w:p>
        </w:tc>
      </w:tr>
    </w:tbl>
    <w:p w14:paraId="79C295BD" w14:textId="55962DD7" w:rsidR="004B2BFC" w:rsidRPr="00895D0B" w:rsidRDefault="004B2BFC" w:rsidP="004B2BFC">
      <w:pPr>
        <w:spacing w:before="240"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7D696A0B" w14:textId="77777777" w:rsidR="00146590" w:rsidRPr="00895D0B" w:rsidRDefault="00146590" w:rsidP="00146590">
      <w:pPr>
        <w:spacing w:line="360" w:lineRule="auto"/>
        <w:rPr>
          <w:rFonts w:cs="Times New Roman"/>
          <w:color w:val="000000" w:themeColor="text1"/>
          <w:szCs w:val="24"/>
        </w:rPr>
      </w:pPr>
    </w:p>
    <w:p w14:paraId="1CC3270E" w14:textId="77777777" w:rsidR="00A213F7" w:rsidRPr="00895D0B" w:rsidRDefault="00146590" w:rsidP="00A213F7">
      <w:pPr>
        <w:spacing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Further analysis showed a weak association between urban farmer sex and their climate change knowledge (Cramer’s V = 0.06 &gt; 0.05). From Table 7.3, the data show that urban farmers who have no formal education get information on climate change from television, representing about 37.3%, while about 21.6% of farmers with secondary and some basic education source climate change information from television. This is closely followed by those urban farmers who have attained tertiary education, representing about 19.6%. These findings are statistically significant at an alpha of 0.05 (p-value = 0.00 &lt; 0.05). There is a strong relationship between the educational attainment of urban farmers and television as a source of climate change adaptation information (Cramer’s V = 0.395 &gt; 0.25).</w:t>
      </w:r>
      <w:r w:rsidR="00A213F7">
        <w:rPr>
          <w:rFonts w:eastAsia="Times New Roman" w:cs="Times New Roman"/>
          <w:color w:val="000000" w:themeColor="text1"/>
          <w:szCs w:val="24"/>
          <w:lang w:eastAsia="en-GB"/>
        </w:rPr>
        <w:t xml:space="preserve"> </w:t>
      </w:r>
      <w:r w:rsidR="00A213F7" w:rsidRPr="00895D0B">
        <w:rPr>
          <w:rFonts w:eastAsia="Times New Roman" w:cs="Times New Roman"/>
          <w:color w:val="000000" w:themeColor="text1"/>
          <w:szCs w:val="24"/>
          <w:lang w:eastAsia="en-GB"/>
        </w:rPr>
        <w:t xml:space="preserve">Similarly, the results further explain that in terms of gender, females, representing about 77.6%, get information on climate change adaptation strategies from their friends and neighbours while males, (about 22.4%) get the information from friends and neighbours. The results are statistically significant at an alpha of 0.05 (p-value = 0.037 &lt; 0.05). The findings further depict a strong relationship between an </w:t>
      </w:r>
      <w:r w:rsidR="00A213F7" w:rsidRPr="00895D0B">
        <w:rPr>
          <w:rFonts w:eastAsia="Times New Roman" w:cs="Times New Roman"/>
          <w:color w:val="000000" w:themeColor="text1"/>
          <w:szCs w:val="24"/>
          <w:lang w:eastAsia="en-GB"/>
        </w:rPr>
        <w:lastRenderedPageBreak/>
        <w:t>urban farmer's gender and getting information from friends and neighbours (Cramer’s V = 0.158 &gt; 0.15) (</w:t>
      </w:r>
      <w:r w:rsidR="00A213F7" w:rsidRPr="00895D0B">
        <w:rPr>
          <w:rFonts w:eastAsia="Times New Roman" w:cs="Times New Roman"/>
          <w:i/>
          <w:iCs/>
          <w:color w:val="000000" w:themeColor="text1"/>
          <w:szCs w:val="24"/>
          <w:lang w:eastAsia="en-GB"/>
        </w:rPr>
        <w:t>see Table 7.3</w:t>
      </w:r>
      <w:r w:rsidR="00A213F7" w:rsidRPr="00895D0B">
        <w:rPr>
          <w:rFonts w:eastAsia="Times New Roman" w:cs="Times New Roman"/>
          <w:color w:val="000000" w:themeColor="text1"/>
          <w:szCs w:val="24"/>
          <w:lang w:eastAsia="en-GB"/>
        </w:rPr>
        <w:t>).</w:t>
      </w:r>
    </w:p>
    <w:p w14:paraId="04985FE7" w14:textId="77777777" w:rsidR="004B2BFC" w:rsidRPr="00895D0B" w:rsidRDefault="004B2BFC" w:rsidP="009864E3">
      <w:pPr>
        <w:pStyle w:val="NoSpacing"/>
      </w:pPr>
    </w:p>
    <w:p w14:paraId="64A3D8D0" w14:textId="1C0101A6" w:rsidR="004B2BFC" w:rsidRPr="00895D0B" w:rsidRDefault="004B2BFC" w:rsidP="009864E3">
      <w:pPr>
        <w:pStyle w:val="Heading6"/>
      </w:pPr>
      <w:bookmarkStart w:id="181" w:name="_Toc167368604"/>
      <w:r w:rsidRPr="00895D0B">
        <w:t>Table 7.</w:t>
      </w:r>
      <w:r w:rsidRPr="00895D0B">
        <w:fldChar w:fldCharType="begin"/>
      </w:r>
      <w:r w:rsidRPr="00895D0B">
        <w:instrText xml:space="preserve"> SEQ Table_7._ \* ARABIC </w:instrText>
      </w:r>
      <w:r w:rsidRPr="00895D0B">
        <w:fldChar w:fldCharType="separate"/>
      </w:r>
      <w:r w:rsidR="0026489B">
        <w:rPr>
          <w:noProof/>
        </w:rPr>
        <w:t>6</w:t>
      </w:r>
      <w:r w:rsidRPr="00895D0B">
        <w:fldChar w:fldCharType="end"/>
      </w:r>
      <w:r w:rsidRPr="00895D0B">
        <w:t>: Sources of Climate Change Information by Educational Attainment and Gender.</w:t>
      </w:r>
      <w:bookmarkEnd w:id="181"/>
    </w:p>
    <w:tbl>
      <w:tblPr>
        <w:tblW w:w="8500" w:type="dxa"/>
        <w:tblLayout w:type="fixed"/>
        <w:tblCellMar>
          <w:left w:w="0" w:type="dxa"/>
          <w:right w:w="0" w:type="dxa"/>
        </w:tblCellMar>
        <w:tblLook w:val="04A0" w:firstRow="1" w:lastRow="0" w:firstColumn="1" w:lastColumn="0" w:noHBand="0" w:noVBand="1"/>
      </w:tblPr>
      <w:tblGrid>
        <w:gridCol w:w="1271"/>
        <w:gridCol w:w="1843"/>
        <w:gridCol w:w="1417"/>
        <w:gridCol w:w="1276"/>
        <w:gridCol w:w="1276"/>
        <w:gridCol w:w="1417"/>
      </w:tblGrid>
      <w:tr w:rsidR="00895D0B" w:rsidRPr="00895D0B" w14:paraId="72BAFAEC" w14:textId="77777777" w:rsidTr="00382FC1">
        <w:trPr>
          <w:cantSplit/>
          <w:trHeight w:val="333"/>
        </w:trPr>
        <w:tc>
          <w:tcPr>
            <w:tcW w:w="1271" w:type="dxa"/>
            <w:vMerge w:val="restart"/>
            <w:tcBorders>
              <w:top w:val="single" w:sz="4" w:space="0" w:color="auto"/>
              <w:bottom w:val="single" w:sz="4" w:space="0" w:color="auto"/>
            </w:tcBorders>
            <w:shd w:val="clear" w:color="auto" w:fill="FFFFFF"/>
          </w:tcPr>
          <w:p w14:paraId="7CC190BB" w14:textId="77777777" w:rsidR="004B2BFC" w:rsidRPr="00895D0B" w:rsidRDefault="004B2BFC" w:rsidP="00B32198">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Television </w:t>
            </w:r>
          </w:p>
        </w:tc>
        <w:tc>
          <w:tcPr>
            <w:tcW w:w="5812" w:type="dxa"/>
            <w:gridSpan w:val="4"/>
            <w:tcBorders>
              <w:top w:val="single" w:sz="4" w:space="0" w:color="auto"/>
              <w:bottom w:val="single" w:sz="4" w:space="0" w:color="auto"/>
            </w:tcBorders>
            <w:shd w:val="clear" w:color="auto" w:fill="FFFFFF"/>
          </w:tcPr>
          <w:p w14:paraId="28DA48BA" w14:textId="77777777" w:rsidR="004B2BFC" w:rsidRPr="00895D0B" w:rsidRDefault="004B2BFC"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Educational Attainment</w:t>
            </w:r>
          </w:p>
        </w:tc>
        <w:tc>
          <w:tcPr>
            <w:tcW w:w="1417" w:type="dxa"/>
            <w:vMerge w:val="restart"/>
            <w:tcBorders>
              <w:top w:val="single" w:sz="4" w:space="0" w:color="auto"/>
              <w:bottom w:val="single" w:sz="4" w:space="0" w:color="auto"/>
            </w:tcBorders>
            <w:shd w:val="clear" w:color="auto" w:fill="FFFFFF"/>
          </w:tcPr>
          <w:p w14:paraId="5924C589" w14:textId="77777777" w:rsidR="004B2BFC" w:rsidRPr="00895D0B" w:rsidRDefault="004B2BFC"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Total</w:t>
            </w:r>
          </w:p>
        </w:tc>
      </w:tr>
      <w:tr w:rsidR="00895D0B" w:rsidRPr="00895D0B" w14:paraId="12567594" w14:textId="77777777" w:rsidTr="00382FC1">
        <w:trPr>
          <w:cantSplit/>
          <w:trHeight w:val="350"/>
        </w:trPr>
        <w:tc>
          <w:tcPr>
            <w:tcW w:w="1271" w:type="dxa"/>
            <w:vMerge/>
            <w:tcBorders>
              <w:top w:val="single" w:sz="4" w:space="0" w:color="auto"/>
              <w:bottom w:val="single" w:sz="4" w:space="0" w:color="auto"/>
            </w:tcBorders>
            <w:shd w:val="clear" w:color="auto" w:fill="FFFFFF"/>
          </w:tcPr>
          <w:p w14:paraId="0A392DFE" w14:textId="77777777" w:rsidR="004B2BFC" w:rsidRPr="00895D0B" w:rsidRDefault="004B2BFC" w:rsidP="00B32198">
            <w:pPr>
              <w:autoSpaceDE w:val="0"/>
              <w:autoSpaceDN w:val="0"/>
              <w:adjustRightInd w:val="0"/>
              <w:spacing w:line="240" w:lineRule="auto"/>
              <w:rPr>
                <w:rFonts w:cs="Times New Roman"/>
                <w:color w:val="000000" w:themeColor="text1"/>
                <w:szCs w:val="24"/>
              </w:rPr>
            </w:pPr>
          </w:p>
        </w:tc>
        <w:tc>
          <w:tcPr>
            <w:tcW w:w="1843" w:type="dxa"/>
            <w:tcBorders>
              <w:top w:val="single" w:sz="4" w:space="0" w:color="auto"/>
              <w:bottom w:val="single" w:sz="4" w:space="0" w:color="auto"/>
            </w:tcBorders>
            <w:shd w:val="clear" w:color="auto" w:fill="FFFFFF"/>
            <w:vAlign w:val="center"/>
          </w:tcPr>
          <w:p w14:paraId="4EA61F4C" w14:textId="77777777" w:rsidR="004B2BFC" w:rsidRPr="00895D0B" w:rsidRDefault="004B2BFC" w:rsidP="00B32198">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bCs/>
                <w:i/>
                <w:color w:val="000000" w:themeColor="text1"/>
                <w:szCs w:val="24"/>
              </w:rPr>
              <w:t>No Formal</w:t>
            </w:r>
          </w:p>
        </w:tc>
        <w:tc>
          <w:tcPr>
            <w:tcW w:w="1417" w:type="dxa"/>
            <w:tcBorders>
              <w:top w:val="single" w:sz="4" w:space="0" w:color="auto"/>
              <w:bottom w:val="single" w:sz="4" w:space="0" w:color="auto"/>
            </w:tcBorders>
            <w:shd w:val="clear" w:color="auto" w:fill="FFFFFF"/>
            <w:vAlign w:val="center"/>
          </w:tcPr>
          <w:p w14:paraId="560B7F06" w14:textId="77777777" w:rsidR="004B2BFC" w:rsidRPr="00895D0B" w:rsidRDefault="004B2BFC" w:rsidP="00B32198">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bCs/>
                <w:i/>
                <w:color w:val="000000" w:themeColor="text1"/>
                <w:szCs w:val="24"/>
              </w:rPr>
              <w:t>Basic</w:t>
            </w:r>
          </w:p>
        </w:tc>
        <w:tc>
          <w:tcPr>
            <w:tcW w:w="1276" w:type="dxa"/>
            <w:tcBorders>
              <w:top w:val="single" w:sz="4" w:space="0" w:color="auto"/>
              <w:bottom w:val="single" w:sz="4" w:space="0" w:color="auto"/>
            </w:tcBorders>
            <w:shd w:val="clear" w:color="auto" w:fill="FFFFFF"/>
            <w:vAlign w:val="center"/>
          </w:tcPr>
          <w:p w14:paraId="1214EFE9" w14:textId="77777777" w:rsidR="004B2BFC" w:rsidRPr="00895D0B" w:rsidRDefault="004B2BFC" w:rsidP="00B32198">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bCs/>
                <w:i/>
                <w:color w:val="000000" w:themeColor="text1"/>
                <w:szCs w:val="24"/>
              </w:rPr>
              <w:t>Secondary</w:t>
            </w:r>
          </w:p>
        </w:tc>
        <w:tc>
          <w:tcPr>
            <w:tcW w:w="1276" w:type="dxa"/>
            <w:tcBorders>
              <w:top w:val="single" w:sz="4" w:space="0" w:color="auto"/>
              <w:bottom w:val="single" w:sz="4" w:space="0" w:color="auto"/>
            </w:tcBorders>
            <w:shd w:val="clear" w:color="auto" w:fill="FFFFFF"/>
            <w:vAlign w:val="center"/>
          </w:tcPr>
          <w:p w14:paraId="4844723E" w14:textId="77777777" w:rsidR="004B2BFC" w:rsidRPr="00895D0B" w:rsidRDefault="004B2BFC" w:rsidP="00B32198">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bCs/>
                <w:i/>
                <w:color w:val="000000" w:themeColor="text1"/>
                <w:szCs w:val="24"/>
              </w:rPr>
              <w:t>Tertiary</w:t>
            </w:r>
          </w:p>
        </w:tc>
        <w:tc>
          <w:tcPr>
            <w:tcW w:w="1417" w:type="dxa"/>
            <w:vMerge/>
            <w:tcBorders>
              <w:top w:val="single" w:sz="4" w:space="0" w:color="auto"/>
            </w:tcBorders>
            <w:shd w:val="clear" w:color="auto" w:fill="FFFFFF"/>
          </w:tcPr>
          <w:p w14:paraId="04DFA1FF" w14:textId="77777777" w:rsidR="004B2BFC" w:rsidRPr="00895D0B" w:rsidRDefault="004B2BFC" w:rsidP="00B32198">
            <w:pPr>
              <w:autoSpaceDE w:val="0"/>
              <w:autoSpaceDN w:val="0"/>
              <w:adjustRightInd w:val="0"/>
              <w:spacing w:line="240" w:lineRule="auto"/>
              <w:rPr>
                <w:rFonts w:cs="Times New Roman"/>
                <w:color w:val="000000" w:themeColor="text1"/>
                <w:szCs w:val="24"/>
              </w:rPr>
            </w:pPr>
          </w:p>
        </w:tc>
      </w:tr>
      <w:tr w:rsidR="00895D0B" w:rsidRPr="00895D0B" w14:paraId="4F29F3F1" w14:textId="77777777" w:rsidTr="00382FC1">
        <w:trPr>
          <w:cantSplit/>
          <w:trHeight w:val="333"/>
        </w:trPr>
        <w:tc>
          <w:tcPr>
            <w:tcW w:w="1271" w:type="dxa"/>
            <w:tcBorders>
              <w:top w:val="single" w:sz="4" w:space="0" w:color="auto"/>
            </w:tcBorders>
            <w:shd w:val="clear" w:color="auto" w:fill="FFFFFF"/>
            <w:vAlign w:val="center"/>
          </w:tcPr>
          <w:p w14:paraId="19E95C40" w14:textId="77777777" w:rsidR="004B2BFC" w:rsidRPr="00895D0B" w:rsidRDefault="004B2BFC"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Yes </w:t>
            </w:r>
          </w:p>
        </w:tc>
        <w:tc>
          <w:tcPr>
            <w:tcW w:w="1843" w:type="dxa"/>
            <w:tcBorders>
              <w:top w:val="single" w:sz="4" w:space="0" w:color="auto"/>
            </w:tcBorders>
            <w:shd w:val="clear" w:color="auto" w:fill="FFFFFF"/>
            <w:vAlign w:val="center"/>
          </w:tcPr>
          <w:p w14:paraId="2884C08B"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19(37.3%)</w:t>
            </w:r>
          </w:p>
        </w:tc>
        <w:tc>
          <w:tcPr>
            <w:tcW w:w="1417" w:type="dxa"/>
            <w:tcBorders>
              <w:top w:val="single" w:sz="4" w:space="0" w:color="auto"/>
            </w:tcBorders>
            <w:shd w:val="clear" w:color="auto" w:fill="FFFFFF"/>
            <w:vAlign w:val="center"/>
          </w:tcPr>
          <w:p w14:paraId="07DB5E4E"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11(21.6%)</w:t>
            </w:r>
          </w:p>
        </w:tc>
        <w:tc>
          <w:tcPr>
            <w:tcW w:w="1276" w:type="dxa"/>
            <w:tcBorders>
              <w:top w:val="single" w:sz="4" w:space="0" w:color="auto"/>
            </w:tcBorders>
            <w:shd w:val="clear" w:color="auto" w:fill="FFFFFF"/>
            <w:vAlign w:val="center"/>
          </w:tcPr>
          <w:p w14:paraId="05BD8698"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11(21.6%)</w:t>
            </w:r>
          </w:p>
        </w:tc>
        <w:tc>
          <w:tcPr>
            <w:tcW w:w="1276" w:type="dxa"/>
            <w:tcBorders>
              <w:top w:val="single" w:sz="4" w:space="0" w:color="auto"/>
            </w:tcBorders>
            <w:shd w:val="clear" w:color="auto" w:fill="FFFFFF"/>
            <w:vAlign w:val="center"/>
          </w:tcPr>
          <w:p w14:paraId="52E127CB"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10(19.6%)</w:t>
            </w:r>
          </w:p>
        </w:tc>
        <w:tc>
          <w:tcPr>
            <w:tcW w:w="1417" w:type="dxa"/>
            <w:shd w:val="clear" w:color="auto" w:fill="FFFFFF"/>
            <w:vAlign w:val="center"/>
          </w:tcPr>
          <w:p w14:paraId="22C087E4"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51(100.0%)</w:t>
            </w:r>
          </w:p>
        </w:tc>
      </w:tr>
      <w:tr w:rsidR="00895D0B" w:rsidRPr="00895D0B" w14:paraId="0F114DF7" w14:textId="77777777" w:rsidTr="00382FC1">
        <w:trPr>
          <w:cantSplit/>
          <w:trHeight w:val="366"/>
        </w:trPr>
        <w:tc>
          <w:tcPr>
            <w:tcW w:w="1271" w:type="dxa"/>
            <w:shd w:val="clear" w:color="auto" w:fill="FFFFFF"/>
            <w:vAlign w:val="center"/>
          </w:tcPr>
          <w:p w14:paraId="178054A5" w14:textId="77777777" w:rsidR="004B2BFC" w:rsidRPr="00895D0B" w:rsidRDefault="004B2BFC"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No </w:t>
            </w:r>
          </w:p>
        </w:tc>
        <w:tc>
          <w:tcPr>
            <w:tcW w:w="1843" w:type="dxa"/>
            <w:shd w:val="clear" w:color="auto" w:fill="FFFFFF"/>
            <w:vAlign w:val="center"/>
          </w:tcPr>
          <w:p w14:paraId="313C0D97"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17(13.7%)</w:t>
            </w:r>
          </w:p>
        </w:tc>
        <w:tc>
          <w:tcPr>
            <w:tcW w:w="1417" w:type="dxa"/>
            <w:shd w:val="clear" w:color="auto" w:fill="FFFFFF"/>
            <w:vAlign w:val="center"/>
          </w:tcPr>
          <w:p w14:paraId="67E236EA"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8(6.5%)</w:t>
            </w:r>
          </w:p>
        </w:tc>
        <w:tc>
          <w:tcPr>
            <w:tcW w:w="1276" w:type="dxa"/>
            <w:shd w:val="clear" w:color="auto" w:fill="FFFFFF"/>
            <w:vAlign w:val="center"/>
          </w:tcPr>
          <w:p w14:paraId="6C619FC6"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32(25.8%)</w:t>
            </w:r>
          </w:p>
        </w:tc>
        <w:tc>
          <w:tcPr>
            <w:tcW w:w="1276" w:type="dxa"/>
            <w:shd w:val="clear" w:color="auto" w:fill="FFFFFF"/>
            <w:vAlign w:val="center"/>
          </w:tcPr>
          <w:p w14:paraId="783B56ED"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67(54.0%)</w:t>
            </w:r>
          </w:p>
        </w:tc>
        <w:tc>
          <w:tcPr>
            <w:tcW w:w="1417" w:type="dxa"/>
            <w:shd w:val="clear" w:color="auto" w:fill="FFFFFF"/>
            <w:vAlign w:val="center"/>
          </w:tcPr>
          <w:p w14:paraId="1782C6CC"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124(100.0%)</w:t>
            </w:r>
          </w:p>
        </w:tc>
      </w:tr>
      <w:tr w:rsidR="00895D0B" w:rsidRPr="00895D0B" w14:paraId="6BD277A4" w14:textId="77777777" w:rsidTr="00382FC1">
        <w:trPr>
          <w:cantSplit/>
          <w:trHeight w:val="316"/>
        </w:trPr>
        <w:tc>
          <w:tcPr>
            <w:tcW w:w="1271" w:type="dxa"/>
            <w:shd w:val="clear" w:color="auto" w:fill="FFFFFF"/>
            <w:vAlign w:val="center"/>
          </w:tcPr>
          <w:p w14:paraId="25E8A5A5" w14:textId="77777777" w:rsidR="004B2BFC" w:rsidRPr="00895D0B" w:rsidRDefault="004B2BFC" w:rsidP="00B32198">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Total  </w:t>
            </w:r>
          </w:p>
        </w:tc>
        <w:tc>
          <w:tcPr>
            <w:tcW w:w="1843" w:type="dxa"/>
            <w:shd w:val="clear" w:color="auto" w:fill="FFFFFF"/>
            <w:vAlign w:val="center"/>
          </w:tcPr>
          <w:p w14:paraId="69276529" w14:textId="77777777" w:rsidR="004B2BFC" w:rsidRPr="00895D0B" w:rsidRDefault="004B2BFC"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36(20.6%)</w:t>
            </w:r>
          </w:p>
        </w:tc>
        <w:tc>
          <w:tcPr>
            <w:tcW w:w="1417" w:type="dxa"/>
            <w:shd w:val="clear" w:color="auto" w:fill="FFFFFF"/>
            <w:vAlign w:val="center"/>
          </w:tcPr>
          <w:p w14:paraId="2760B4E8" w14:textId="77777777" w:rsidR="004B2BFC" w:rsidRPr="00895D0B" w:rsidRDefault="004B2BFC"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19(10.9%)</w:t>
            </w:r>
          </w:p>
        </w:tc>
        <w:tc>
          <w:tcPr>
            <w:tcW w:w="1276" w:type="dxa"/>
            <w:shd w:val="clear" w:color="auto" w:fill="FFFFFF"/>
            <w:vAlign w:val="center"/>
          </w:tcPr>
          <w:p w14:paraId="4408E80C" w14:textId="77777777" w:rsidR="004B2BFC" w:rsidRPr="00895D0B" w:rsidRDefault="004B2BFC"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43(24.6%)</w:t>
            </w:r>
          </w:p>
        </w:tc>
        <w:tc>
          <w:tcPr>
            <w:tcW w:w="1276" w:type="dxa"/>
            <w:shd w:val="clear" w:color="auto" w:fill="FFFFFF"/>
            <w:vAlign w:val="center"/>
          </w:tcPr>
          <w:p w14:paraId="24BADDF1" w14:textId="77777777" w:rsidR="004B2BFC" w:rsidRPr="00895D0B" w:rsidRDefault="004B2BFC"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77(44.0%)</w:t>
            </w:r>
          </w:p>
        </w:tc>
        <w:tc>
          <w:tcPr>
            <w:tcW w:w="1417" w:type="dxa"/>
            <w:shd w:val="clear" w:color="auto" w:fill="FFFFFF"/>
            <w:vAlign w:val="center"/>
          </w:tcPr>
          <w:p w14:paraId="2FE12844" w14:textId="77777777" w:rsidR="004B2BFC" w:rsidRPr="00895D0B" w:rsidRDefault="004B2BFC"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175(100.0%)</w:t>
            </w:r>
          </w:p>
        </w:tc>
      </w:tr>
      <w:tr w:rsidR="00895D0B" w:rsidRPr="00895D0B" w14:paraId="5C50BC56" w14:textId="77777777" w:rsidTr="00382FC1">
        <w:trPr>
          <w:cantSplit/>
          <w:trHeight w:val="316"/>
        </w:trPr>
        <w:tc>
          <w:tcPr>
            <w:tcW w:w="8500" w:type="dxa"/>
            <w:gridSpan w:val="6"/>
            <w:tcBorders>
              <w:bottom w:val="single" w:sz="4" w:space="0" w:color="auto"/>
            </w:tcBorders>
            <w:shd w:val="clear" w:color="auto" w:fill="FFFFFF"/>
            <w:vAlign w:val="center"/>
          </w:tcPr>
          <w:p w14:paraId="0444BE9A" w14:textId="77777777" w:rsidR="004B2BFC" w:rsidRPr="00895D0B" w:rsidRDefault="004B2BFC" w:rsidP="00B32198">
            <w:pPr>
              <w:autoSpaceDE w:val="0"/>
              <w:autoSpaceDN w:val="0"/>
              <w:adjustRightInd w:val="0"/>
              <w:spacing w:line="240" w:lineRule="auto"/>
              <w:ind w:right="60"/>
              <w:rPr>
                <w:rFonts w:cs="Times New Roman"/>
                <w:color w:val="000000" w:themeColor="text1"/>
                <w:szCs w:val="24"/>
              </w:rPr>
            </w:pPr>
            <m:oMath>
              <m:r>
                <w:rPr>
                  <w:rFonts w:ascii="Cambria Math" w:hAnsi="Cambria Math" w:cs="Times New Roman"/>
                  <w:color w:val="000000" w:themeColor="text1"/>
                  <w:szCs w:val="24"/>
                  <w:lang w:bidi="en-US"/>
                </w:rPr>
                <m:t xml:space="preserve">N=175,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m:t>
              </m:r>
              <m:r>
                <m:rPr>
                  <m:sty m:val="p"/>
                </m:rPr>
                <w:rPr>
                  <w:rFonts w:ascii="Cambria Math" w:hAnsi="Cambria Math" w:cs="Times New Roman"/>
                  <w:color w:val="000000" w:themeColor="text1"/>
                  <w:szCs w:val="24"/>
                </w:rPr>
                <m:t>27.342</m:t>
              </m:r>
              <m:r>
                <w:rPr>
                  <w:rFonts w:ascii="Cambria Math" w:hAnsi="Cambria Math" w:cs="Times New Roman"/>
                  <w:color w:val="000000" w:themeColor="text1"/>
                  <w:szCs w:val="24"/>
                  <w:lang w:bidi="en-US"/>
                </w:rPr>
                <m:t>, df=3, p= 0.01</m:t>
              </m:r>
            </m:oMath>
            <w:r w:rsidRPr="00895D0B">
              <w:rPr>
                <w:rFonts w:eastAsiaTheme="minorEastAsia" w:cs="Times New Roman"/>
                <w:color w:val="000000" w:themeColor="text1"/>
                <w:szCs w:val="24"/>
                <w:lang w:bidi="en-US"/>
              </w:rPr>
              <w:t xml:space="preserve"> and</w:t>
            </w:r>
            <w:r w:rsidRPr="00895D0B">
              <w:rPr>
                <w:rFonts w:eastAsiaTheme="minorEastAsia" w:cs="Times New Roman"/>
                <w:color w:val="000000" w:themeColor="text1"/>
                <w:szCs w:val="24"/>
              </w:rPr>
              <w:t xml:space="preserve">  </w:t>
            </w:r>
            <m:oMath>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m:t>
              </m:r>
            </m:oMath>
            <w:r w:rsidRPr="00895D0B">
              <w:rPr>
                <w:rFonts w:eastAsiaTheme="minorEastAsia" w:cs="Times New Roman"/>
                <w:color w:val="000000" w:themeColor="text1"/>
                <w:szCs w:val="24"/>
              </w:rPr>
              <w:t xml:space="preserve"> 0.395 &gt; 0.25</w:t>
            </w:r>
          </w:p>
        </w:tc>
      </w:tr>
      <w:tr w:rsidR="00895D0B" w:rsidRPr="00895D0B" w14:paraId="1D32A7BE" w14:textId="77777777" w:rsidTr="00382FC1">
        <w:trPr>
          <w:cantSplit/>
          <w:trHeight w:val="316"/>
        </w:trPr>
        <w:tc>
          <w:tcPr>
            <w:tcW w:w="3114" w:type="dxa"/>
            <w:gridSpan w:val="2"/>
            <w:vMerge w:val="restart"/>
            <w:tcBorders>
              <w:top w:val="single" w:sz="4" w:space="0" w:color="auto"/>
            </w:tcBorders>
            <w:shd w:val="clear" w:color="auto" w:fill="FFFFFF"/>
            <w:vAlign w:val="center"/>
          </w:tcPr>
          <w:p w14:paraId="20561765" w14:textId="77777777" w:rsidR="004B2BFC" w:rsidRPr="00895D0B" w:rsidRDefault="004B2BFC" w:rsidP="00B32198">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Friends and Neighbours</w:t>
            </w:r>
          </w:p>
        </w:tc>
        <w:tc>
          <w:tcPr>
            <w:tcW w:w="3969" w:type="dxa"/>
            <w:gridSpan w:val="3"/>
            <w:tcBorders>
              <w:top w:val="single" w:sz="4" w:space="0" w:color="auto"/>
              <w:bottom w:val="single" w:sz="4" w:space="0" w:color="auto"/>
            </w:tcBorders>
            <w:shd w:val="clear" w:color="auto" w:fill="FFFFFF"/>
            <w:vAlign w:val="center"/>
          </w:tcPr>
          <w:p w14:paraId="21CC439A" w14:textId="77777777" w:rsidR="004B2BFC" w:rsidRPr="00895D0B" w:rsidRDefault="004B2BFC"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Gender</w:t>
            </w:r>
          </w:p>
        </w:tc>
        <w:tc>
          <w:tcPr>
            <w:tcW w:w="1417" w:type="dxa"/>
            <w:tcBorders>
              <w:top w:val="single" w:sz="4" w:space="0" w:color="auto"/>
              <w:bottom w:val="single" w:sz="4" w:space="0" w:color="auto"/>
            </w:tcBorders>
            <w:shd w:val="clear" w:color="auto" w:fill="FFFFFF"/>
            <w:vAlign w:val="center"/>
          </w:tcPr>
          <w:p w14:paraId="344A307B" w14:textId="77777777" w:rsidR="004B2BFC" w:rsidRPr="00895D0B" w:rsidRDefault="004B2BFC" w:rsidP="00B32198">
            <w:pPr>
              <w:autoSpaceDE w:val="0"/>
              <w:autoSpaceDN w:val="0"/>
              <w:adjustRightInd w:val="0"/>
              <w:spacing w:line="240" w:lineRule="auto"/>
              <w:ind w:left="60" w:right="60"/>
              <w:jc w:val="right"/>
              <w:rPr>
                <w:rFonts w:cs="Times New Roman"/>
                <w:color w:val="000000" w:themeColor="text1"/>
                <w:szCs w:val="24"/>
              </w:rPr>
            </w:pPr>
          </w:p>
        </w:tc>
      </w:tr>
      <w:tr w:rsidR="00895D0B" w:rsidRPr="00895D0B" w14:paraId="3C6CB184" w14:textId="77777777" w:rsidTr="00382FC1">
        <w:trPr>
          <w:cantSplit/>
          <w:trHeight w:val="316"/>
        </w:trPr>
        <w:tc>
          <w:tcPr>
            <w:tcW w:w="3114" w:type="dxa"/>
            <w:gridSpan w:val="2"/>
            <w:vMerge/>
            <w:shd w:val="clear" w:color="auto" w:fill="FFFFFF"/>
            <w:vAlign w:val="center"/>
          </w:tcPr>
          <w:p w14:paraId="3B59DB52" w14:textId="77777777" w:rsidR="004B2BFC" w:rsidRPr="00895D0B" w:rsidRDefault="004B2BFC" w:rsidP="00B32198">
            <w:pPr>
              <w:autoSpaceDE w:val="0"/>
              <w:autoSpaceDN w:val="0"/>
              <w:adjustRightInd w:val="0"/>
              <w:spacing w:line="240" w:lineRule="auto"/>
              <w:ind w:left="60" w:right="60"/>
              <w:rPr>
                <w:rFonts w:cs="Times New Roman"/>
                <w:color w:val="000000" w:themeColor="text1"/>
                <w:szCs w:val="24"/>
              </w:rPr>
            </w:pPr>
          </w:p>
        </w:tc>
        <w:tc>
          <w:tcPr>
            <w:tcW w:w="1417" w:type="dxa"/>
            <w:tcBorders>
              <w:top w:val="single" w:sz="4" w:space="0" w:color="auto"/>
              <w:bottom w:val="single" w:sz="4" w:space="0" w:color="auto"/>
            </w:tcBorders>
            <w:shd w:val="clear" w:color="auto" w:fill="FFFFFF"/>
            <w:vAlign w:val="center"/>
          </w:tcPr>
          <w:p w14:paraId="013FB495" w14:textId="77777777" w:rsidR="004B2BFC" w:rsidRPr="00895D0B" w:rsidRDefault="004B2BFC" w:rsidP="00B32198">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i/>
                <w:color w:val="000000" w:themeColor="text1"/>
                <w:szCs w:val="24"/>
              </w:rPr>
              <w:t>Female</w:t>
            </w:r>
          </w:p>
        </w:tc>
        <w:tc>
          <w:tcPr>
            <w:tcW w:w="2552" w:type="dxa"/>
            <w:gridSpan w:val="2"/>
            <w:tcBorders>
              <w:top w:val="single" w:sz="4" w:space="0" w:color="auto"/>
              <w:bottom w:val="single" w:sz="4" w:space="0" w:color="auto"/>
            </w:tcBorders>
            <w:shd w:val="clear" w:color="auto" w:fill="FFFFFF"/>
            <w:vAlign w:val="center"/>
          </w:tcPr>
          <w:p w14:paraId="03FF58CD" w14:textId="77777777" w:rsidR="004B2BFC" w:rsidRPr="00895D0B" w:rsidRDefault="004B2BFC" w:rsidP="00B32198">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i/>
                <w:color w:val="000000" w:themeColor="text1"/>
                <w:szCs w:val="24"/>
              </w:rPr>
              <w:t>Male</w:t>
            </w:r>
          </w:p>
        </w:tc>
        <w:tc>
          <w:tcPr>
            <w:tcW w:w="1417" w:type="dxa"/>
            <w:tcBorders>
              <w:top w:val="single" w:sz="4" w:space="0" w:color="auto"/>
              <w:bottom w:val="single" w:sz="4" w:space="0" w:color="auto"/>
            </w:tcBorders>
            <w:shd w:val="clear" w:color="auto" w:fill="FFFFFF"/>
            <w:vAlign w:val="center"/>
          </w:tcPr>
          <w:p w14:paraId="75FE6B70" w14:textId="77777777" w:rsidR="004B2BFC" w:rsidRPr="00895D0B" w:rsidRDefault="004B2BFC" w:rsidP="00B32198">
            <w:pPr>
              <w:autoSpaceDE w:val="0"/>
              <w:autoSpaceDN w:val="0"/>
              <w:adjustRightInd w:val="0"/>
              <w:spacing w:line="240" w:lineRule="auto"/>
              <w:ind w:left="60" w:right="60"/>
              <w:jc w:val="center"/>
              <w:rPr>
                <w:rFonts w:cs="Times New Roman"/>
                <w:i/>
                <w:color w:val="000000" w:themeColor="text1"/>
                <w:szCs w:val="24"/>
              </w:rPr>
            </w:pPr>
            <w:r w:rsidRPr="00895D0B">
              <w:rPr>
                <w:rFonts w:cs="Times New Roman"/>
                <w:i/>
                <w:color w:val="000000" w:themeColor="text1"/>
                <w:szCs w:val="24"/>
              </w:rPr>
              <w:t xml:space="preserve">Total </w:t>
            </w:r>
          </w:p>
        </w:tc>
      </w:tr>
      <w:tr w:rsidR="00895D0B" w:rsidRPr="00895D0B" w14:paraId="0F1747AF" w14:textId="77777777" w:rsidTr="00382FC1">
        <w:trPr>
          <w:cantSplit/>
          <w:trHeight w:val="316"/>
        </w:trPr>
        <w:tc>
          <w:tcPr>
            <w:tcW w:w="3114" w:type="dxa"/>
            <w:gridSpan w:val="2"/>
            <w:shd w:val="clear" w:color="auto" w:fill="FFFFFF"/>
            <w:vAlign w:val="center"/>
          </w:tcPr>
          <w:p w14:paraId="30E2D8EA" w14:textId="77777777" w:rsidR="004B2BFC" w:rsidRPr="00895D0B" w:rsidRDefault="004B2BFC"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Yes </w:t>
            </w:r>
          </w:p>
        </w:tc>
        <w:tc>
          <w:tcPr>
            <w:tcW w:w="1417" w:type="dxa"/>
            <w:tcBorders>
              <w:top w:val="single" w:sz="4" w:space="0" w:color="auto"/>
            </w:tcBorders>
            <w:shd w:val="clear" w:color="auto" w:fill="FFFFFF"/>
            <w:vAlign w:val="center"/>
          </w:tcPr>
          <w:p w14:paraId="09A8592F"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90(77.6%)</w:t>
            </w:r>
          </w:p>
        </w:tc>
        <w:tc>
          <w:tcPr>
            <w:tcW w:w="2552" w:type="dxa"/>
            <w:gridSpan w:val="2"/>
            <w:tcBorders>
              <w:top w:val="single" w:sz="4" w:space="0" w:color="auto"/>
            </w:tcBorders>
            <w:shd w:val="clear" w:color="auto" w:fill="FFFFFF"/>
            <w:vAlign w:val="center"/>
          </w:tcPr>
          <w:p w14:paraId="1A722131"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26(22.4%)</w:t>
            </w:r>
          </w:p>
        </w:tc>
        <w:tc>
          <w:tcPr>
            <w:tcW w:w="1417" w:type="dxa"/>
            <w:tcBorders>
              <w:top w:val="single" w:sz="4" w:space="0" w:color="auto"/>
            </w:tcBorders>
            <w:shd w:val="clear" w:color="auto" w:fill="FFFFFF"/>
            <w:vAlign w:val="center"/>
          </w:tcPr>
          <w:p w14:paraId="2770025C"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116(100.0%)</w:t>
            </w:r>
          </w:p>
        </w:tc>
      </w:tr>
      <w:tr w:rsidR="00895D0B" w:rsidRPr="00895D0B" w14:paraId="71F93AF9" w14:textId="77777777" w:rsidTr="00382FC1">
        <w:trPr>
          <w:cantSplit/>
          <w:trHeight w:val="316"/>
        </w:trPr>
        <w:tc>
          <w:tcPr>
            <w:tcW w:w="3114" w:type="dxa"/>
            <w:gridSpan w:val="2"/>
            <w:shd w:val="clear" w:color="auto" w:fill="FFFFFF"/>
            <w:vAlign w:val="center"/>
          </w:tcPr>
          <w:p w14:paraId="0B25CA43" w14:textId="77777777" w:rsidR="004B2BFC" w:rsidRPr="00895D0B" w:rsidRDefault="004B2BFC" w:rsidP="00B32198">
            <w:pPr>
              <w:autoSpaceDE w:val="0"/>
              <w:autoSpaceDN w:val="0"/>
              <w:adjustRightInd w:val="0"/>
              <w:spacing w:line="240" w:lineRule="auto"/>
              <w:ind w:left="60" w:right="60"/>
              <w:rPr>
                <w:rFonts w:cs="Times New Roman"/>
                <w:color w:val="000000" w:themeColor="text1"/>
                <w:szCs w:val="24"/>
              </w:rPr>
            </w:pPr>
            <w:r w:rsidRPr="00895D0B">
              <w:rPr>
                <w:rFonts w:cs="Times New Roman"/>
                <w:color w:val="000000" w:themeColor="text1"/>
                <w:szCs w:val="24"/>
              </w:rPr>
              <w:t xml:space="preserve">No </w:t>
            </w:r>
          </w:p>
        </w:tc>
        <w:tc>
          <w:tcPr>
            <w:tcW w:w="1417" w:type="dxa"/>
            <w:shd w:val="clear" w:color="auto" w:fill="FFFFFF"/>
            <w:vAlign w:val="center"/>
          </w:tcPr>
          <w:p w14:paraId="43CD1CF8"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37(62.7%)</w:t>
            </w:r>
          </w:p>
        </w:tc>
        <w:tc>
          <w:tcPr>
            <w:tcW w:w="2552" w:type="dxa"/>
            <w:gridSpan w:val="2"/>
            <w:shd w:val="clear" w:color="auto" w:fill="FFFFFF"/>
            <w:vAlign w:val="center"/>
          </w:tcPr>
          <w:p w14:paraId="2EDD2B83"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22(37.3%)</w:t>
            </w:r>
          </w:p>
        </w:tc>
        <w:tc>
          <w:tcPr>
            <w:tcW w:w="1417" w:type="dxa"/>
            <w:shd w:val="clear" w:color="auto" w:fill="FFFFFF"/>
            <w:vAlign w:val="center"/>
          </w:tcPr>
          <w:p w14:paraId="75DB1D20" w14:textId="77777777" w:rsidR="004B2BFC" w:rsidRPr="00895D0B" w:rsidRDefault="004B2BFC" w:rsidP="00B32198">
            <w:pPr>
              <w:autoSpaceDE w:val="0"/>
              <w:autoSpaceDN w:val="0"/>
              <w:adjustRightInd w:val="0"/>
              <w:spacing w:line="240" w:lineRule="auto"/>
              <w:ind w:left="60" w:right="60"/>
              <w:jc w:val="center"/>
              <w:rPr>
                <w:rFonts w:cs="Times New Roman"/>
                <w:color w:val="000000" w:themeColor="text1"/>
                <w:szCs w:val="24"/>
              </w:rPr>
            </w:pPr>
            <w:r w:rsidRPr="00895D0B">
              <w:rPr>
                <w:rFonts w:cs="Times New Roman"/>
                <w:color w:val="000000" w:themeColor="text1"/>
                <w:szCs w:val="24"/>
              </w:rPr>
              <w:t>59(100.0%)</w:t>
            </w:r>
          </w:p>
        </w:tc>
      </w:tr>
      <w:tr w:rsidR="00895D0B" w:rsidRPr="00895D0B" w14:paraId="7808CDB3" w14:textId="77777777" w:rsidTr="00382FC1">
        <w:trPr>
          <w:cantSplit/>
          <w:trHeight w:val="316"/>
        </w:trPr>
        <w:tc>
          <w:tcPr>
            <w:tcW w:w="3114" w:type="dxa"/>
            <w:gridSpan w:val="2"/>
            <w:shd w:val="clear" w:color="auto" w:fill="FFFFFF"/>
            <w:vAlign w:val="center"/>
          </w:tcPr>
          <w:p w14:paraId="01586775" w14:textId="77777777" w:rsidR="004B2BFC" w:rsidRPr="00895D0B" w:rsidRDefault="004B2BFC" w:rsidP="00B32198">
            <w:pPr>
              <w:autoSpaceDE w:val="0"/>
              <w:autoSpaceDN w:val="0"/>
              <w:adjustRightInd w:val="0"/>
              <w:spacing w:line="240" w:lineRule="auto"/>
              <w:ind w:left="60" w:right="60"/>
              <w:rPr>
                <w:rFonts w:cs="Times New Roman"/>
                <w:b/>
                <w:color w:val="000000" w:themeColor="text1"/>
                <w:szCs w:val="24"/>
              </w:rPr>
            </w:pPr>
            <w:r w:rsidRPr="00895D0B">
              <w:rPr>
                <w:rFonts w:cs="Times New Roman"/>
                <w:b/>
                <w:color w:val="000000" w:themeColor="text1"/>
                <w:szCs w:val="24"/>
              </w:rPr>
              <w:t xml:space="preserve">Total </w:t>
            </w:r>
          </w:p>
        </w:tc>
        <w:tc>
          <w:tcPr>
            <w:tcW w:w="1417" w:type="dxa"/>
            <w:shd w:val="clear" w:color="auto" w:fill="FFFFFF"/>
            <w:vAlign w:val="center"/>
          </w:tcPr>
          <w:p w14:paraId="3785B6DE" w14:textId="77777777" w:rsidR="004B2BFC" w:rsidRPr="00895D0B" w:rsidRDefault="004B2BFC"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127(72.6%)</w:t>
            </w:r>
          </w:p>
        </w:tc>
        <w:tc>
          <w:tcPr>
            <w:tcW w:w="2552" w:type="dxa"/>
            <w:gridSpan w:val="2"/>
            <w:shd w:val="clear" w:color="auto" w:fill="FFFFFF"/>
            <w:vAlign w:val="center"/>
          </w:tcPr>
          <w:p w14:paraId="1FC52171" w14:textId="77777777" w:rsidR="004B2BFC" w:rsidRPr="00895D0B" w:rsidRDefault="004B2BFC"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48(27.4%)</w:t>
            </w:r>
          </w:p>
        </w:tc>
        <w:tc>
          <w:tcPr>
            <w:tcW w:w="1417" w:type="dxa"/>
            <w:shd w:val="clear" w:color="auto" w:fill="FFFFFF"/>
            <w:vAlign w:val="center"/>
          </w:tcPr>
          <w:p w14:paraId="68A0B33B" w14:textId="77777777" w:rsidR="004B2BFC" w:rsidRPr="00895D0B" w:rsidRDefault="004B2BFC" w:rsidP="00B32198">
            <w:pPr>
              <w:autoSpaceDE w:val="0"/>
              <w:autoSpaceDN w:val="0"/>
              <w:adjustRightInd w:val="0"/>
              <w:spacing w:line="240" w:lineRule="auto"/>
              <w:ind w:left="60" w:right="60"/>
              <w:jc w:val="center"/>
              <w:rPr>
                <w:rFonts w:cs="Times New Roman"/>
                <w:b/>
                <w:color w:val="000000" w:themeColor="text1"/>
                <w:szCs w:val="24"/>
              </w:rPr>
            </w:pPr>
            <w:r w:rsidRPr="00895D0B">
              <w:rPr>
                <w:rFonts w:cs="Times New Roman"/>
                <w:b/>
                <w:color w:val="000000" w:themeColor="text1"/>
                <w:szCs w:val="24"/>
              </w:rPr>
              <w:t>175(100.0%)</w:t>
            </w:r>
          </w:p>
        </w:tc>
      </w:tr>
      <w:tr w:rsidR="00895D0B" w:rsidRPr="00895D0B" w14:paraId="119D3691" w14:textId="77777777" w:rsidTr="00382FC1">
        <w:trPr>
          <w:cantSplit/>
          <w:trHeight w:val="316"/>
        </w:trPr>
        <w:tc>
          <w:tcPr>
            <w:tcW w:w="8500" w:type="dxa"/>
            <w:gridSpan w:val="6"/>
            <w:tcBorders>
              <w:bottom w:val="single" w:sz="4" w:space="0" w:color="auto"/>
            </w:tcBorders>
            <w:shd w:val="clear" w:color="auto" w:fill="FFFFFF"/>
            <w:vAlign w:val="center"/>
          </w:tcPr>
          <w:p w14:paraId="04C8421E" w14:textId="77777777" w:rsidR="004B2BFC" w:rsidRPr="00895D0B" w:rsidRDefault="004B2BFC" w:rsidP="00B32198">
            <w:pPr>
              <w:autoSpaceDE w:val="0"/>
              <w:autoSpaceDN w:val="0"/>
              <w:adjustRightInd w:val="0"/>
              <w:spacing w:line="240" w:lineRule="auto"/>
              <w:ind w:right="60"/>
              <w:rPr>
                <w:rFonts w:cs="Times New Roman"/>
                <w:color w:val="000000" w:themeColor="text1"/>
                <w:szCs w:val="24"/>
              </w:rPr>
            </w:pPr>
            <m:oMath>
              <m:r>
                <w:rPr>
                  <w:rFonts w:ascii="Cambria Math" w:hAnsi="Cambria Math" w:cs="Times New Roman"/>
                  <w:color w:val="000000" w:themeColor="text1"/>
                  <w:szCs w:val="24"/>
                  <w:lang w:bidi="en-US"/>
                </w:rPr>
                <m:t xml:space="preserve">N=175, </m:t>
              </m:r>
              <m:sSup>
                <m:sSupPr>
                  <m:ctrlPr>
                    <w:rPr>
                      <w:rFonts w:ascii="Cambria Math" w:hAnsi="Cambria Math" w:cs="Times New Roman"/>
                      <w:i/>
                      <w:color w:val="000000" w:themeColor="text1"/>
                      <w:szCs w:val="24"/>
                      <w:lang w:bidi="en-US"/>
                    </w:rPr>
                  </m:ctrlPr>
                </m:sSupPr>
                <m:e>
                  <m:r>
                    <w:rPr>
                      <w:rFonts w:ascii="Cambria Math" w:hAnsi="Cambria Math" w:cs="Times New Roman"/>
                      <w:color w:val="000000" w:themeColor="text1"/>
                      <w:szCs w:val="24"/>
                      <w:lang w:bidi="en-US"/>
                    </w:rPr>
                    <m:t>x</m:t>
                  </m:r>
                </m:e>
                <m:sup>
                  <m:r>
                    <w:rPr>
                      <w:rFonts w:ascii="Cambria Math" w:hAnsi="Cambria Math" w:cs="Times New Roman"/>
                      <w:color w:val="000000" w:themeColor="text1"/>
                      <w:szCs w:val="24"/>
                      <w:lang w:bidi="en-US"/>
                    </w:rPr>
                    <m:t>2</m:t>
                  </m:r>
                </m:sup>
              </m:sSup>
              <m:r>
                <w:rPr>
                  <w:rFonts w:ascii="Cambria Math" w:hAnsi="Cambria Math" w:cs="Times New Roman"/>
                  <w:color w:val="000000" w:themeColor="text1"/>
                  <w:szCs w:val="24"/>
                  <w:lang w:bidi="en-US"/>
                </w:rPr>
                <m:t xml:space="preserve">= </m:t>
              </m:r>
              <m:r>
                <m:rPr>
                  <m:sty m:val="p"/>
                </m:rPr>
                <w:rPr>
                  <w:rFonts w:ascii="Cambria Math" w:hAnsi="Cambria Math" w:cs="Times New Roman"/>
                  <w:color w:val="000000" w:themeColor="text1"/>
                  <w:szCs w:val="24"/>
                </w:rPr>
                <m:t>4.347</m:t>
              </m:r>
              <m:r>
                <w:rPr>
                  <w:rFonts w:ascii="Cambria Math" w:hAnsi="Cambria Math" w:cs="Times New Roman"/>
                  <w:color w:val="000000" w:themeColor="text1"/>
                  <w:szCs w:val="24"/>
                  <w:lang w:bidi="en-US"/>
                </w:rPr>
                <m:t>, df=1, p= 0.037</m:t>
              </m:r>
            </m:oMath>
            <w:r w:rsidRPr="00895D0B">
              <w:rPr>
                <w:rFonts w:eastAsiaTheme="minorEastAsia" w:cs="Times New Roman"/>
                <w:color w:val="000000" w:themeColor="text1"/>
                <w:szCs w:val="24"/>
                <w:lang w:bidi="en-US"/>
              </w:rPr>
              <w:t xml:space="preserve"> and </w:t>
            </w:r>
            <m:oMath>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Cramer</m:t>
                  </m:r>
                  <m:ctrlPr>
                    <w:rPr>
                      <w:rFonts w:ascii="Cambria Math" w:hAnsi="Cambria Math" w:cs="Times New Roman"/>
                      <w:i/>
                      <w:color w:val="000000" w:themeColor="text1"/>
                      <w:szCs w:val="24"/>
                      <w:lang w:bidi="en-US"/>
                    </w:rPr>
                  </m:ctrlPr>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s V=0.158</m:t>
              </m:r>
            </m:oMath>
            <w:r w:rsidRPr="00895D0B">
              <w:rPr>
                <w:rFonts w:eastAsiaTheme="minorEastAsia" w:cs="Times New Roman"/>
                <w:color w:val="000000" w:themeColor="text1"/>
                <w:szCs w:val="24"/>
              </w:rPr>
              <w:t xml:space="preserve"> &gt; 0.15</w:t>
            </w:r>
          </w:p>
        </w:tc>
      </w:tr>
      <w:tr w:rsidR="00895D0B" w:rsidRPr="00895D0B" w14:paraId="4C94B50D" w14:textId="77777777" w:rsidTr="00382FC1">
        <w:trPr>
          <w:cantSplit/>
          <w:trHeight w:val="316"/>
        </w:trPr>
        <w:tc>
          <w:tcPr>
            <w:tcW w:w="8500" w:type="dxa"/>
            <w:gridSpan w:val="6"/>
            <w:tcBorders>
              <w:top w:val="single" w:sz="4" w:space="0" w:color="auto"/>
            </w:tcBorders>
            <w:shd w:val="clear" w:color="auto" w:fill="FFFFFF"/>
            <w:vAlign w:val="center"/>
          </w:tcPr>
          <w:p w14:paraId="57431EF5" w14:textId="7EC6AA4E" w:rsidR="004B2BFC" w:rsidRPr="00895D0B" w:rsidRDefault="004B2BFC" w:rsidP="00B32198">
            <w:pPr>
              <w:spacing w:line="240" w:lineRule="auto"/>
              <w:rPr>
                <w:rFonts w:eastAsia="Calibri" w:cs="Times New Roman"/>
                <w:color w:val="000000" w:themeColor="text1"/>
                <w:szCs w:val="24"/>
                <w:lang w:bidi="en-US"/>
              </w:rPr>
            </w:pPr>
            <w:r w:rsidRPr="00895D0B">
              <w:rPr>
                <w:rFonts w:eastAsia="Calibri" w:cs="Times New Roman"/>
                <w:color w:val="000000" w:themeColor="text1"/>
                <w:szCs w:val="24"/>
                <w:lang w:bidi="en-US"/>
              </w:rPr>
              <w:t xml:space="preserve">***Cramer’s V &gt; 0.25, strong relationship; Cramer’s V &gt; 0.10, moderate relationship; Cramer’s V &gt; 0.05, weak relationship and Cramer’s V &gt; 0, no or very weak relationship </w:t>
            </w:r>
          </w:p>
          <w:p w14:paraId="45078561" w14:textId="77777777" w:rsidR="004B2BFC" w:rsidRPr="00895D0B" w:rsidRDefault="004B2BFC" w:rsidP="00B32198">
            <w:pPr>
              <w:autoSpaceDE w:val="0"/>
              <w:autoSpaceDN w:val="0"/>
              <w:adjustRightInd w:val="0"/>
              <w:spacing w:line="240" w:lineRule="auto"/>
              <w:ind w:right="60"/>
              <w:rPr>
                <w:rFonts w:eastAsia="Calibri" w:cs="Times New Roman"/>
                <w:color w:val="000000" w:themeColor="text1"/>
                <w:szCs w:val="24"/>
                <w:lang w:bidi="en-US"/>
              </w:rPr>
            </w:pPr>
            <w:r w:rsidRPr="00895D0B">
              <w:rPr>
                <w:rFonts w:eastAsia="Calibri" w:cs="Times New Roman"/>
                <w:color w:val="000000" w:themeColor="text1"/>
                <w:szCs w:val="24"/>
                <w:lang w:bidi="en-US"/>
              </w:rPr>
              <w:t>*** p-value &lt; 0.05, statistically significant; p-value &gt; 0.05, statistically insignificant</w:t>
            </w:r>
          </w:p>
        </w:tc>
      </w:tr>
    </w:tbl>
    <w:p w14:paraId="7FF29341" w14:textId="77777777" w:rsidR="004B2BFC" w:rsidRPr="00895D0B" w:rsidRDefault="004B2BFC" w:rsidP="004B2BFC">
      <w:pPr>
        <w:spacing w:before="240" w:line="360" w:lineRule="auto"/>
        <w:rPr>
          <w:rFonts w:cs="Times New Roman"/>
          <w:color w:val="000000" w:themeColor="text1"/>
          <w:szCs w:val="24"/>
        </w:rPr>
      </w:pPr>
      <w:r w:rsidRPr="00895D0B">
        <w:rPr>
          <w:rFonts w:cs="Times New Roman"/>
          <w:b/>
          <w:color w:val="000000" w:themeColor="text1"/>
          <w:szCs w:val="24"/>
        </w:rPr>
        <w:t>Source:</w:t>
      </w:r>
      <w:r w:rsidRPr="00895D0B">
        <w:rPr>
          <w:rFonts w:cs="Times New Roman"/>
          <w:color w:val="000000" w:themeColor="text1"/>
          <w:szCs w:val="24"/>
        </w:rPr>
        <w:t xml:space="preserve"> Field Work, 2022</w:t>
      </w:r>
    </w:p>
    <w:p w14:paraId="129D5453" w14:textId="77777777" w:rsidR="00146590" w:rsidRPr="00895D0B" w:rsidRDefault="00146590" w:rsidP="00146590">
      <w:pPr>
        <w:spacing w:line="360" w:lineRule="auto"/>
        <w:rPr>
          <w:rFonts w:eastAsia="Times New Roman" w:cs="Times New Roman"/>
          <w:color w:val="000000" w:themeColor="text1"/>
          <w:szCs w:val="24"/>
          <w:lang w:eastAsia="en-GB"/>
        </w:rPr>
      </w:pPr>
    </w:p>
    <w:p w14:paraId="5A62C5D3" w14:textId="77777777" w:rsidR="00146590" w:rsidRPr="00895D0B" w:rsidRDefault="00146590" w:rsidP="009864E3">
      <w:pPr>
        <w:spacing w:after="240"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xml:space="preserve">Further, interviews with stakeholders’ reveal that the Ministry of Food and Agriculture (MoFA) is critical in the promotion of urban agriculture. The MoFA, through its agricultural extension workers in Ghana and particularly in Wa Municipality, has several functions to support farmers and promote rural development. These functions include facilitating knowledge transfer. Agricultural extension workers act as intermediaries between research organizations and farmers, helping to improve farmers' knowledge and understanding of agricultural practices. Another function is the provision of technical assistance. They offer technical guidance and support to farmers, helping them implement modern and effective farming techniques. The extension workers also conduct training programs within their areas of operation within the municipality to enhance farmers' skills and knowledge. It was also discovered that the MoFA, through its agencies like the crops and animals departments, supports farmers' technological adoption and dissemination of information. They assist farmers in </w:t>
      </w:r>
      <w:r w:rsidRPr="00895D0B">
        <w:rPr>
          <w:rFonts w:eastAsia="Times New Roman" w:cs="Times New Roman"/>
          <w:color w:val="000000" w:themeColor="text1"/>
          <w:szCs w:val="24"/>
          <w:lang w:eastAsia="en-GB"/>
        </w:rPr>
        <w:lastRenderedPageBreak/>
        <w:t>adopting new technologies and practices, such as improved seeds, irrigation systems, and post-harvest handling techniques, to increase productivity and income. They also play a crucial role in providing relevant and up-to-date information to farmers on topics such as crop production, pest management, soil fertility, and climate-smart agriculture. A respondent shared the following:</w:t>
      </w:r>
    </w:p>
    <w:p w14:paraId="1A4C23F2" w14:textId="77777777" w:rsidR="00146590" w:rsidRPr="00895D0B" w:rsidRDefault="00146590" w:rsidP="009864E3">
      <w:pPr>
        <w:spacing w:after="240" w:line="360" w:lineRule="auto"/>
        <w:ind w:left="720"/>
        <w:rPr>
          <w:rFonts w:eastAsia="Times New Roman" w:cs="Times New Roman"/>
          <w:color w:val="000000" w:themeColor="text1"/>
          <w:szCs w:val="24"/>
          <w:lang w:eastAsia="en-GB"/>
        </w:rPr>
      </w:pPr>
      <w:r w:rsidRPr="00895D0B">
        <w:rPr>
          <w:rFonts w:eastAsia="Times New Roman" w:cs="Times New Roman"/>
          <w:i/>
          <w:iCs/>
          <w:color w:val="000000" w:themeColor="text1"/>
          <w:szCs w:val="24"/>
          <w:lang w:eastAsia="en-GB"/>
        </w:rPr>
        <w:t xml:space="preserve">“…Our roles in agriculture are many; we help to plan agricultural activities in the municipality, collaborating with agricultural agencies, NGOs, and other stakeholders to develop and implement programs and policies that benefit farmers…” </w:t>
      </w:r>
      <w:r w:rsidRPr="00895D0B">
        <w:rPr>
          <w:rFonts w:eastAsia="Times New Roman" w:cs="Times New Roman"/>
          <w:color w:val="000000" w:themeColor="text1"/>
          <w:szCs w:val="24"/>
          <w:lang w:eastAsia="en-GB"/>
        </w:rPr>
        <w:t>(Key Informant Interview, 2022).</w:t>
      </w:r>
    </w:p>
    <w:p w14:paraId="760BAACA" w14:textId="77777777" w:rsidR="00146590" w:rsidRPr="00895D0B" w:rsidRDefault="00146590" w:rsidP="009864E3">
      <w:pPr>
        <w:spacing w:after="240"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Overall, the findings suggest that the functions of agricultural extension workers in Ghana revolve around knowledge transfer, technical assistance, information dissemination, training, planning support, technology adoption, resource facilitation, and institutional support to improve farming practices and enhance rural and urban development. However, it was clear that agricultural extension services are limited to only the rural farmers in the municipality. The findings reveal that urban crop farmers do not benefit from in-person assistance from agricultural extension services as compared to rural crop farmers. However, the institutional-level findings indicate that mass media programming, such as the use of radio, is instrumental in educating farmers in general, which urban farmers also stand to benefit from. This means that urban farmers practically do have the opportunity to directly benefit from extension services, as ascertained in the study. The results added that urban farmers who are into animal production get assistance from the Veterinary Department of MoFA. The department, with time, undertakes outreach exercises to vaccinate all categories of farm animals and educate farmers on the safekeeping of animals. Due to this familiarity, urban farmers call for veterinary service through phone calls when the need arises. In line with this, an informant said:</w:t>
      </w:r>
    </w:p>
    <w:p w14:paraId="38A40A35" w14:textId="77777777" w:rsidR="00146590" w:rsidRDefault="00146590" w:rsidP="00146590">
      <w:pPr>
        <w:spacing w:line="360" w:lineRule="auto"/>
        <w:rPr>
          <w:rFonts w:eastAsia="Times New Roman" w:cs="Times New Roman"/>
          <w:color w:val="000000" w:themeColor="text1"/>
          <w:szCs w:val="24"/>
          <w:lang w:eastAsia="en-GB"/>
        </w:rPr>
      </w:pPr>
      <w:r w:rsidRPr="00895D0B">
        <w:rPr>
          <w:rFonts w:eastAsia="Times New Roman" w:cs="Times New Roman"/>
          <w:i/>
          <w:iCs/>
          <w:color w:val="000000" w:themeColor="text1"/>
          <w:szCs w:val="24"/>
          <w:lang w:eastAsia="en-GB"/>
        </w:rPr>
        <w:t xml:space="preserve">“… Agricultural extension services to urban crop farmers are limited because the urban farmers are not into large-scale production, which makes our attention less on them…” </w:t>
      </w:r>
      <w:r w:rsidRPr="00895D0B">
        <w:rPr>
          <w:rFonts w:eastAsia="Times New Roman" w:cs="Times New Roman"/>
          <w:color w:val="000000" w:themeColor="text1"/>
          <w:szCs w:val="24"/>
          <w:lang w:eastAsia="en-GB"/>
        </w:rPr>
        <w:t>(Key Informant Interview, 2022).</w:t>
      </w:r>
    </w:p>
    <w:p w14:paraId="115416CE" w14:textId="77777777" w:rsidR="009864E3" w:rsidRDefault="009864E3" w:rsidP="00146590">
      <w:pPr>
        <w:spacing w:line="360" w:lineRule="auto"/>
        <w:rPr>
          <w:rFonts w:eastAsia="Times New Roman" w:cs="Times New Roman"/>
          <w:color w:val="000000" w:themeColor="text1"/>
          <w:szCs w:val="24"/>
          <w:lang w:eastAsia="en-GB"/>
        </w:rPr>
      </w:pPr>
    </w:p>
    <w:p w14:paraId="0E099A23" w14:textId="77777777" w:rsidR="009864E3" w:rsidRDefault="009864E3" w:rsidP="00146590">
      <w:pPr>
        <w:spacing w:line="360" w:lineRule="auto"/>
        <w:rPr>
          <w:rFonts w:eastAsia="Times New Roman" w:cs="Times New Roman"/>
          <w:color w:val="000000" w:themeColor="text1"/>
          <w:szCs w:val="24"/>
          <w:lang w:eastAsia="en-GB"/>
        </w:rPr>
      </w:pPr>
    </w:p>
    <w:p w14:paraId="2022368C" w14:textId="77777777" w:rsidR="009864E3" w:rsidRPr="00895D0B" w:rsidRDefault="009864E3" w:rsidP="00146590">
      <w:pPr>
        <w:spacing w:line="360" w:lineRule="auto"/>
        <w:rPr>
          <w:rFonts w:eastAsia="Times New Roman" w:cs="Times New Roman"/>
          <w:color w:val="000000" w:themeColor="text1"/>
          <w:szCs w:val="24"/>
          <w:lang w:eastAsia="en-GB"/>
        </w:rPr>
      </w:pPr>
    </w:p>
    <w:p w14:paraId="082872CB" w14:textId="77777777" w:rsidR="00146590" w:rsidRPr="00895D0B" w:rsidRDefault="00146590" w:rsidP="009864E3">
      <w:pPr>
        <w:spacing w:after="240"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lastRenderedPageBreak/>
        <w:t>Another respondent said:</w:t>
      </w:r>
    </w:p>
    <w:p w14:paraId="12C87991" w14:textId="77777777" w:rsidR="00146590" w:rsidRPr="00895D0B" w:rsidRDefault="00146590" w:rsidP="00146590">
      <w:pPr>
        <w:spacing w:line="360" w:lineRule="auto"/>
        <w:ind w:left="360"/>
        <w:rPr>
          <w:rFonts w:eastAsia="Times New Roman" w:cs="Times New Roman"/>
          <w:color w:val="000000" w:themeColor="text1"/>
          <w:szCs w:val="24"/>
          <w:lang w:eastAsia="en-GB"/>
        </w:rPr>
      </w:pPr>
      <w:r w:rsidRPr="00895D0B">
        <w:rPr>
          <w:rFonts w:eastAsia="Times New Roman" w:cs="Times New Roman"/>
          <w:i/>
          <w:iCs/>
          <w:color w:val="000000" w:themeColor="text1"/>
          <w:szCs w:val="24"/>
          <w:lang w:eastAsia="en-GB"/>
        </w:rPr>
        <w:t xml:space="preserve">“Aside from our routine outreach exercises, farmers themselves call on us to visit their animals. The outreach is seasonal, that is, during the harmattan and rainy seasons when animals are susceptible to extreme weather conditions” </w:t>
      </w:r>
      <w:r w:rsidRPr="00895D0B">
        <w:rPr>
          <w:rFonts w:eastAsia="Times New Roman" w:cs="Times New Roman"/>
          <w:color w:val="000000" w:themeColor="text1"/>
          <w:szCs w:val="24"/>
          <w:lang w:eastAsia="en-GB"/>
        </w:rPr>
        <w:t>(Key Informant Interview, 2022).</w:t>
      </w:r>
    </w:p>
    <w:p w14:paraId="4BE36575" w14:textId="77777777" w:rsidR="004B2BFC" w:rsidRPr="00895D0B" w:rsidRDefault="004B2BFC" w:rsidP="009864E3">
      <w:pPr>
        <w:pStyle w:val="NoSpacing"/>
      </w:pPr>
    </w:p>
    <w:p w14:paraId="42367269" w14:textId="77777777" w:rsidR="001B4ED5" w:rsidRPr="00895D0B" w:rsidRDefault="006B41C0">
      <w:pPr>
        <w:pStyle w:val="Heading2"/>
      </w:pPr>
      <w:bookmarkStart w:id="182" w:name="_Toc167379953"/>
      <w:r w:rsidRPr="00895D0B">
        <w:t>7.5 Discussions of major findings</w:t>
      </w:r>
      <w:bookmarkEnd w:id="182"/>
      <w:r w:rsidRPr="00895D0B">
        <w:t xml:space="preserve"> </w:t>
      </w:r>
    </w:p>
    <w:p w14:paraId="3DD00AA0" w14:textId="268065CD"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U</w:t>
      </w:r>
      <w:r w:rsidR="002C6658" w:rsidRPr="00895D0B">
        <w:rPr>
          <w:rFonts w:cs="Times New Roman"/>
          <w:color w:val="000000" w:themeColor="text1"/>
          <w:szCs w:val="24"/>
        </w:rPr>
        <w:t>0</w:t>
      </w:r>
      <w:r w:rsidRPr="00895D0B">
        <w:rPr>
          <w:rFonts w:cs="Times New Roman"/>
          <w:color w:val="000000" w:themeColor="text1"/>
          <w:szCs w:val="24"/>
        </w:rPr>
        <w:t xml:space="preserve">rban farmers shared knowledge about climate change. Urban farmers have access to information on climate change because the urban area serves as an incentive to farmers. The urban environment has all the necessities such as access to telephone services, electricity, and mass media (radio and television) which serve as sources of information for urban dwellers including urban farmers. The climate change knowledge of urban farmers is taken from diversified sources. They source this knowledge basically from their friend and neighbours and agricultural extension service workers. Others include the mass media such as television and radio as well as farmers' observations. This is in line with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{"citationItems":[{"id":"ITEM-1","itemData":{"DOI":"10.1177/0266666916638712","ISSN":"17416469","abstract":"This study assesses sources of information for vegetable farmers in urban part of Accra, Ghana. One hundred vegetable farmers in the study area were sampled and interviewed using structured questionnaires. Findings revealed that urban vegetable farming is regarded as the business of men. Most of the urban vegetable farmers use radio as a source of agricultural information. Farmers use information on agrochemicals acquired in applying fertilizer, weedicides and pest control. A challenge to the urban vegetable farmers in Accra is poor public relations on the part of agricultural extension agents. The study recommends that the Ministry of Food and Agriculture roll out a programme to educate urban vegetable farmers on the various sources of agricultural information and sponsor adult education programmes in the local languages on national radio and television for farmers to help them make use of different sources of agricultural information effectively.","author":[{"dropping-particle":"","family":"Osei","given":"S. K.","non-dropping-particle":"","parse-names":false,"suffix":""},{"dropping-particle":"","family":"Folitse","given":"B. Y.","non-dropping-particle":"","parse-names":false,"suffix":""},{"dropping-particle":"","family":"Dzandu","given":"L. P.","non-dropping-particle":"","parse-names":false,"suffix":""},{"dropping-particle":"","family":"Obeng-Koranteng","given":"G.","non-dropping-particle":"","parse-names":false,"suffix":""}],"container-title":"Information Development","id":"ITEM-1","issue":"1","issued":{"date-parts":[["2017"]]},"page":"72-79","title":"Sources of information for urban vegetable farmers in Accra, Ghana","type":"article-journal","volume":"33"},"uris":["http://www.mendeley.com/documents/?uuid=b75004e3-d871-40b5-962f-869a3374eccc"]}],"mendeley":{"formattedCitation":"(Osei et al., 2017)","manualFormatting":"Osei et al. (2017)","plainTextFormattedCitation":"(Osei et al., 2017)","previouslyFormattedCitation":"(Osei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Osei et al. (2017)</w:t>
      </w:r>
      <w:r w:rsidRPr="00895D0B">
        <w:rPr>
          <w:rFonts w:cs="Times New Roman"/>
          <w:color w:val="000000" w:themeColor="text1"/>
          <w:szCs w:val="24"/>
        </w:rPr>
        <w:fldChar w:fldCharType="end"/>
      </w:r>
      <w:r w:rsidRPr="00895D0B">
        <w:rPr>
          <w:rFonts w:cs="Times New Roman"/>
          <w:color w:val="000000" w:themeColor="text1"/>
          <w:szCs w:val="24"/>
          <w:shd w:val="clear" w:color="auto" w:fill="FFFFFF"/>
        </w:rPr>
        <w:t xml:space="preserve"> who concluded that sources of information available to farmers in Ghana include the Ministry of Food and Agriculture (MoFA), radios, and agricultural extension officers. </w:t>
      </w:r>
      <w:r w:rsidRPr="00895D0B">
        <w:rPr>
          <w:rFonts w:cs="Times New Roman"/>
          <w:color w:val="000000" w:themeColor="text1"/>
          <w:szCs w:val="24"/>
        </w:rPr>
        <w:t xml:space="preserve">Also, this supports the work of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{"citationItems":[{"id":"ITEM-1","itemData":{"ISBN":"0000000310","abstract":"… Soybean, in particular, has become one of the most important commodities, and its production has been promoted by the Ministry of Food and Agriculture (MFA) to increase cash income and improve the nutritional status of rural households. However, as yet there has been little …","author":[{"dropping-particle":"","family":"Kansiime","given":"M K","non-dropping-particle":"","parse-names":false,"suffix":""},{"dropping-particle":"","family":"Macharia","given":"M","non-dropping-particle":"","parse-names":false,"suffix":""},{"dropping-particle":"","family":"Adraki","given":"P K","non-dropping-particle":"","parse-names":false,"suffix":""},{"dropping-particle":"","family":"Obeng","given":"F","non-dropping-particle":"","parse-names":false,"suffix":""},{"dropping-particle":"","family":"...","given":"","non-dropping-particle":"","parse-names":false,"suffix":""}],"id":"ITEM-1","issue":"April","issued":{"date-parts":[["2021"]]},"page":"1-21","title":"Agricultural knowledge and information flows within smallholder farming households in Ghana","type":"article-journal"},"uris":["http://www.mendeley.com/documents/?uuid=a00b3191-c6aa-427e-8050-39da7b22370e"]}],"mendeley":{"formattedCitation":"(Kansiime et al., 2021)","manualFormatting":"Kansiime et al. (2021)","plainTextFormattedCitation":"(Kansiime et al., 2021)","previouslyFormattedCitation":"(Kansiime et al., 2021)"},"properties":{"noteIndex":0},"schema":"https://github.com/citation-style-language/schema/raw/master/csl-citation.json"}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Kansiime et al. (2021)</w:t>
      </w:r>
      <w:r w:rsidRPr="00895D0B">
        <w:rPr>
          <w:rFonts w:cs="Times New Roman"/>
          <w:color w:val="000000" w:themeColor="text1"/>
          <w:szCs w:val="24"/>
        </w:rPr>
        <w:fldChar w:fldCharType="end"/>
      </w:r>
      <w:r w:rsidRPr="00895D0B">
        <w:rPr>
          <w:rFonts w:cs="Times New Roman"/>
          <w:color w:val="000000" w:themeColor="text1"/>
          <w:szCs w:val="24"/>
        </w:rPr>
        <w:t xml:space="preserve"> who stated that t</w:t>
      </w:r>
      <w:r w:rsidRPr="00895D0B">
        <w:rPr>
          <w:rFonts w:cs="Times New Roman"/>
          <w:color w:val="000000" w:themeColor="text1"/>
          <w:szCs w:val="24"/>
          <w:shd w:val="clear" w:color="auto" w:fill="FFFFFF"/>
        </w:rPr>
        <w:t xml:space="preserve">hese sources aim to provide farmers with agricultural knowledge, information on best practices, market information, weather forecasts, and access to government programs and services. However, the study </w:t>
      </w:r>
      <w:r w:rsidR="00E94514" w:rsidRPr="00895D0B">
        <w:rPr>
          <w:rFonts w:cs="Times New Roman"/>
          <w:color w:val="000000" w:themeColor="text1"/>
          <w:szCs w:val="24"/>
          <w:shd w:val="clear" w:color="auto" w:fill="FFFFFF"/>
        </w:rPr>
        <w:t>does not corroborates</w:t>
      </w:r>
      <w:r w:rsidRPr="00895D0B">
        <w:rPr>
          <w:rFonts w:cs="Times New Roman"/>
          <w:color w:val="000000" w:themeColor="text1"/>
          <w:szCs w:val="24"/>
          <w:shd w:val="clear" w:color="auto" w:fill="FFFFFF"/>
        </w:rPr>
        <w:t xml:space="preserve"> with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{"citationItems":[{"id":"ITEM-1","itemData":{"DOI":"10.1177/0266666916638712","ISSN":"17416469","abstract":"This study assesses sources of information for vegetable farmers in urban part of Accra, Ghana. One hundred vegetable farmers in the study area were sampled and interviewed using structured questionnaires. Findings revealed that urban vegetable farming is regarded as the business of men. Most of the urban vegetable farmers use radio as a source of agricultural information. Farmers use information on agrochemicals acquired in applying fertilizer, weedicides and pest control. A challenge to the urban vegetable farmers in Accra is poor public relations on the part of agricultural extension agents. The study recommends that the Ministry of Food and Agriculture roll out a programme to educate urban vegetable farmers on the various sources of agricultural information and sponsor adult education programmes in the local languages on national radio and television for farmers to help them make use of different sources of agricultural information effectively.","author":[{"dropping-particle":"","family":"Osei","given":"S. K.","non-dropping-particle":"","parse-names":false,"suffix":""},{"dropping-particle":"","family":"Folitse","given":"B. Y.","non-dropping-particle":"","parse-names":false,"suffix":""},{"dropping-particle":"","family":"Dzandu","given":"L. P.","non-dropping-particle":"","parse-names":false,"suffix":""},{"dropping-particle":"","family":"Obeng-Koranteng","given":"G.","non-dropping-particle":"","parse-names":false,"suffix":""}],"container-title":"Information Development","id":"ITEM-1","issue":"1","issued":{"date-parts":[["2017"]]},"page":"72-79","title":"Sources of information for urban vegetable farmers in Accra, Ghana","type":"article-journal","volume":"33"},"uris":["http://www.mendeley.com/documents/?uuid=b75004e3-d871-40b5-962f-869a3374eccc"]}],"mendeley":{"formattedCitation":"(Osei et al., 2017)","manualFormatting":"Osei et al. (2017)","plainTextFormattedCitation":"(Osei et al., 2017)","previouslyFormattedCitation":"(Osei et al., 2017)"},"properties":{"noteIndex":0},"schema":"https://github.com/citation-style-language/schema/raw/master/csl-citation.json"}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Osei et al. (2017)</w:t>
      </w:r>
      <w:r w:rsidRPr="00895D0B">
        <w:rPr>
          <w:rFonts w:cs="Times New Roman"/>
          <w:color w:val="000000" w:themeColor="text1"/>
          <w:szCs w:val="24"/>
        </w:rPr>
        <w:fldChar w:fldCharType="end"/>
      </w:r>
      <w:r w:rsidRPr="00895D0B">
        <w:rPr>
          <w:rFonts w:cs="Times New Roman"/>
          <w:color w:val="000000" w:themeColor="text1"/>
          <w:szCs w:val="24"/>
          <w:shd w:val="clear" w:color="auto" w:fill="FFFFFF"/>
        </w:rPr>
        <w:t xml:space="preserve"> in a way, as they said other sources of information for farmers are agricultural cooperatives, farmer-based organizations, and agricultural research institutions. This is not practicable in the urban environment, especially in Africa with disorganized urban farmers and low organizations and researchers' interest. This confirms that there is limited information specifically addressing sources of information for farmers in urban communities in Ghana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{"citationItems":[{"id":"ITEM-1","itemData":{"DOI":"10.1080/10572317.2017.1351020","ISSN":"10959297","abstract":"A survey was conducted to assess poultry farmers' information needs and sources in selected rural communities in the Greater Accra Region of Ghana. Data were collected from 150 poultry farmers in 13 communities. Information on disease management, egg storage, feeding and nutrition, vaccination, shelter, pesticide application, marketing of poultry products, and debeaking were the major information needs of the poultry farmers in the study area. The major sources of information for the poultry farmers were from family and friends, the Internet, books, the veterinary office, leaflets, television, researchers, and newspapers. Some of the major constraints faced by poultry farmers when accessing information include lack of skills to access information, inadequate information resources on poultry, inadequate veterinary officers, lack of information centers, and inappropriate airing time of agricultural program on radio stations. The study recommended that community libraries and information centers should be established: It is important that such rural libraries and information centers should contain simple agricultural reading materials, such as leaflets, agricultural magazines, books, and research reports that are written in non-technical language. The veterinary service department of the Ministry of Food and Agriculture should identify relevant sources and use them to deliver information to the poultry farmers.","author":[{"dropping-particle":"","family":"Folitse","given":"B. Y.","non-dropping-particle":"","parse-names":false,"suffix":""},{"dropping-particle":"","family":"Sam","given":"J.","non-dropping-particle":"","parse-names":false,"suffix":""},{"dropping-particle":"","family":"Dzandu","given":"L. P.","non-dropping-particle":"","parse-names":false,"suffix":""},{"dropping-particle":"","family":"Osei","given":"S. K.","non-dropping-particle":"","parse-names":false,"suffix":""}],"container-title":"International Information and Library Review","id":"ITEM-1","issue":"1","issued":{"date-parts":[["2018"]]},"page":"1-12","publisher":"Taylor &amp; Francis","title":"Poultry Farmers' Information Needs and Sources in Selected Rural Communities in the Greater Accra Region, Ghana","type":"article-journal","volume":"50"},"uris":["http://www.mendeley.com/documents/?uuid=c14fbf35-b29b-4c6d-98b6-c3c072660858"]}],"mendeley":{"formattedCitation":"(Folitse et al., 2018)","plainTextFormattedCitation":"(Folitse et al., 2018)","previouslyFormattedCitation":"(Folitse et al., 2018)"},"properties":{"noteIndex":0},"schema":"https://github.com/citation-style-language/schema/raw/master/csl-citation.json"}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(Folitse et al., 2018)</w:t>
      </w:r>
      <w:r w:rsidRPr="00895D0B">
        <w:rPr>
          <w:rFonts w:cs="Times New Roman"/>
          <w:color w:val="000000" w:themeColor="text1"/>
          <w:szCs w:val="24"/>
          <w:shd w:val="clear" w:color="auto" w:fill="FFFFFF"/>
        </w:rPr>
        <w:fldChar w:fldCharType="end"/>
      </w:r>
      <w:r w:rsidRPr="00895D0B">
        <w:rPr>
          <w:rFonts w:cs="Times New Roman"/>
          <w:color w:val="000000" w:themeColor="text1"/>
          <w:szCs w:val="24"/>
          <w:shd w:val="clear" w:color="auto" w:fill="FFFFFF"/>
        </w:rPr>
        <w:t xml:space="preserve">. From the results, urban farmers' age and gender do not determine their ability to get climate change adaptation information to guide crop and animal production. This is associated with differences in an urban environment as compared to the rural environment. Most people in the urban neighbourhood are exposed to several sources of information and might not necessarily be guided by their age and gender though in a rural environment, it is possible. This does not support the work of </w:t>
      </w:r>
      <w:r w:rsidRPr="00895D0B">
        <w:rPr>
          <w:rFonts w:cs="Times New Roman"/>
          <w:color w:val="000000" w:themeColor="text1"/>
          <w:szCs w:val="24"/>
          <w:shd w:val="clear" w:color="auto" w:fill="FFFFFF"/>
        </w:rPr>
        <w:fldChar w:fldCharType="begin" w:fldLock="1"/>
      </w:r>
      <w:r w:rsidRPr="00895D0B">
        <w:rPr>
          <w:rFonts w:cs="Times New Roman"/>
          <w:color w:val="000000" w:themeColor="text1"/>
          <w:szCs w:val="24"/>
          <w:shd w:val="clear" w:color="auto" w:fill="FFFFFF"/>
        </w:rPr>
        <w:instrText>ADDIN CSL_CITATION {"citationItems":[{"id":"ITEM-1","itemData":{"DOI":"10.1016/j.jrurstud.2017.01.020","ISSN":"07430167","abstract":"The widespread transformations in farming practices during recent decades across many parts of Europe – increased capital intensity, scale enlargement, specialization, intensification and mechanization have been accompanied by a quite dramatic shift towards more standardized agricultural information and knowledge. Previous research reveals that transition towards more sustainable agriculture requires a new knowledge base, with new content and forms of knowledge and new processes of learning. In this paper, we explore the relevance of informal farmer knowledge and learning practices in constructing alternative pathways in sustainable agriculture and strengthening agricultural resilience. It is based on 11 case studies carried out within the international RETHINK research programme. The cases reveal the diversity of knowledge sources and learning forms that farmers use and the particular role of farmers’ experience-based knowledge. Farmers greatly value local experiential knowledge as they see it as having practical, personal and local relevance. Given the limitations of more standardized information and knowledge, and the urgent need for a transition towards more sustainable and resource-efficient practices, we argue that the potential of local farmer knowledge is not being optimally used and that a better integration of various forms of knowledge is needed. We identify several ways in which different kinds of knowledge can be integrated. For the individual farmer this can be done by synthesising knowledge from different sources. It can also be done through farmer networking – whether or not facilitated by formal agricultural knowledge institutions, through collaboration between farmers and researchers as knowledge co-generators, and through multi-actor knowledge networks that bring together participants from various fields. We conclude that the dynamic contexts, complexity and the local specificity of the current challenges facing agriculture and the many roles it is being asked to fulfil require more inclusive, flexible modes of governing the generation, integration and sharing of knowledge. All stakeholders, including farmers, need to be recognised as equal co-authors of knowledge generation, and all kinds of knowledge, both formal and informal, need be brought together in innovation processes. Knowledge networking and multi-actor knowledge networks that facilitate knowledge exchanges, joint learning and the generation of new more integrated solutions…","author":[{"dropping-particle":"","family":"Šūmane","given":"S.","non-dropping-particle":"","parse-names":false,"suffix":""},{"dropping-particle":"","family":"Kunda","given":"I.","non-dropping-particle":"","parse-names":false,"suffix":""},{"dropping-particle":"","family":"Knickel","given":"K.","non-dropping-particle":"","parse-names":false,"suffix":""},{"dropping-particle":"","family":"Strauss","given":"A.","non-dropping-particle":"","parse-names":false,"suffix":""},{"dropping-particle":"","family":"Tisenkopfs","given":"T.","non-dropping-particle":"","parse-names":false,"suffix":""},{"dropping-particle":"","family":"Rios","given":"I. I.","non-dropping-particle":"","parse-names":false,"suffix":""},{"dropping-particle":"","family":"Rivera","given":"M.","non-dropping-particle":"","parse-names":false,"suffix":""},{"dropping-particle":"","family":"Chebach","given":"T.","non-dropping-particle":"","parse-names":false,"suffix":""},{"dropping-particle":"","family":"Ashkenazy","given":"A.","non-dropping-particle":"","parse-names":false,"suffix":""}],"container-title":"Journal of Rural Studies","id":"ITEM-1","issued":{"date-parts":[["2018"]]},"page":"232-241","title":"Local and farmers' knowledge matters! How integrating informal and formal knowledge enhances sustainable and resilient agriculture","type":"article-journal","volume":"59"},"uris":["http://www.mendeley.com/documents/?uuid=6658fef0-87da-4ff9-977a-01ca4521cd80"]}],"mendeley":{"formattedCitation":"(Šūmane et al., 2018)","manualFormatting":"Šūmane et al. (2018)","plainTextFormattedCitation":"(Šūmane et al., 2018)","previouslyFormattedCitation":"(Šūmane et al., 2018)"},"properties":{"noteIndex":0},"schema":"https://github.com/citation-style-language/schema/raw/master/csl-citation.json"}</w:instrText>
      </w:r>
      <w:r w:rsidRPr="00895D0B">
        <w:rPr>
          <w:rFonts w:cs="Times New Roman"/>
          <w:color w:val="000000" w:themeColor="text1"/>
          <w:szCs w:val="24"/>
          <w:shd w:val="clear" w:color="auto" w:fill="FFFFFF"/>
        </w:rPr>
        <w:fldChar w:fldCharType="separate"/>
      </w:r>
      <w:r w:rsidRPr="00895D0B">
        <w:rPr>
          <w:rFonts w:cs="Times New Roman"/>
          <w:noProof/>
          <w:color w:val="000000" w:themeColor="text1"/>
          <w:szCs w:val="24"/>
          <w:shd w:val="clear" w:color="auto" w:fill="FFFFFF"/>
        </w:rPr>
        <w:t>Šūmane et al. (2018)</w:t>
      </w:r>
      <w:r w:rsidRPr="00895D0B">
        <w:rPr>
          <w:rFonts w:cs="Times New Roman"/>
          <w:color w:val="000000" w:themeColor="text1"/>
          <w:szCs w:val="24"/>
          <w:shd w:val="clear" w:color="auto" w:fill="FFFFFF"/>
        </w:rPr>
        <w:fldChar w:fldCharType="end"/>
      </w:r>
      <w:r w:rsidRPr="00895D0B">
        <w:rPr>
          <w:rFonts w:cs="Times New Roman"/>
          <w:color w:val="000000" w:themeColor="text1"/>
          <w:szCs w:val="24"/>
        </w:rPr>
        <w:t xml:space="preserve"> and </w:t>
      </w:r>
      <w:r w:rsidRPr="00895D0B">
        <w:rPr>
          <w:rFonts w:cs="Times New Roman"/>
          <w:color w:val="000000" w:themeColor="text1"/>
          <w:szCs w:val="24"/>
        </w:rPr>
        <w:fldChar w:fldCharType="begin" w:fldLock="1"/>
      </w:r>
      <w:r w:rsidRPr="00895D0B">
        <w:rPr>
          <w:rFonts w:cs="Times New Roman"/>
          <w:color w:val="000000" w:themeColor="text1"/>
          <w:szCs w:val="24"/>
        </w:rPr>
        <w:instrText>ADDIN CSL_CITATION {"citationItems":[{"id":"ITEM-1","itemData":{"DOI":"10.11648/j.jps.20200806.11","ISSN":"2331-0723","abstract":"Agricultural extension work in Ethiopia began in 1931 with the establishment of the Ambo Agricultural School which is one of the oldest institutions and the first agricultural high school offering general education with major emphasis on agriculture. In the recent development of the Ethiopian Agricultural Extension System, the participatory approach is complemented by a scaling“-up” of technologies or the establishing of best practice for technology transfer at larger scales. Agricultural extension staffs are involved in multiple activities of agriculture and rural development. In Ethiopia, for example, the goal of extension goes beyond implementing the national agricultural development goals of achieving food security, improving rural livelihoods, and Natural Resource Management (NRM). In many countries of the world, agricultural extension services had been transformed from training and dissemination of specific innovations to farmers’ group formation and partnership-building with various service providers such as credit institutions. In Ethiopia, despite the massive amount of resources being put into the system by the state, the agricultural extension system faces a number of serious challenges. Improving access to agricultural inputs and technologies that assist farmers in boosting production are among opportunities of Ethiopian agricultural extension system. Agricultural extension service could be the government agency or ministry responsible for promoting the adoption and utilization of new scientific farming practices through educational procedures.","author":[{"dropping-particle":"","family":"Debelo","given":"W. B.","non-dropping-particle":"","parse-names":false,"suffix":""}],"container-title":"Journal of Plant Sciences","id":"ITEM-1","issue":"6","issued":{"date-parts":[["2020"]]},"page":"189","title":"Review on Roles and Challenges of Agricultural Extension System on Growth of Agricultural Production in Ethiopia","type":"article-journal","volume":"8"},"uris":["http://www.mendeley.com/documents/?uuid=5b17a443-6840-4bbe-98a3-fd957da489a8"]}],"mendeley":{"formattedCitation":"(Debelo, 2020)","manualFormatting":"Debelo (2020)","plainTextFormattedCitation":"(Debelo, 2020)","previouslyFormattedCitation":"(Debelo, 2020)"},"properties":{"noteIndex":0},"schema":"https://github.com/citation-style-language/schema/raw/master/csl-citation.json"}</w:instrText>
      </w:r>
      <w:r w:rsidRPr="00895D0B">
        <w:rPr>
          <w:rFonts w:cs="Times New Roman"/>
          <w:color w:val="000000" w:themeColor="text1"/>
          <w:szCs w:val="24"/>
        </w:rPr>
        <w:fldChar w:fldCharType="separate"/>
      </w:r>
      <w:r w:rsidRPr="00895D0B">
        <w:rPr>
          <w:rFonts w:cs="Times New Roman"/>
          <w:noProof/>
          <w:color w:val="000000" w:themeColor="text1"/>
          <w:szCs w:val="24"/>
        </w:rPr>
        <w:t>Debelo (2020)</w:t>
      </w:r>
      <w:r w:rsidRPr="00895D0B">
        <w:rPr>
          <w:rFonts w:cs="Times New Roman"/>
          <w:color w:val="000000" w:themeColor="text1"/>
          <w:szCs w:val="24"/>
        </w:rPr>
        <w:fldChar w:fldCharType="end"/>
      </w:r>
      <w:r w:rsidRPr="00895D0B">
        <w:rPr>
          <w:rFonts w:cs="Times New Roman"/>
          <w:color w:val="000000" w:themeColor="text1"/>
          <w:szCs w:val="24"/>
        </w:rPr>
        <w:t xml:space="preserve"> that formal </w:t>
      </w:r>
      <w:r w:rsidRPr="00895D0B">
        <w:rPr>
          <w:rFonts w:cs="Times New Roman"/>
          <w:color w:val="000000" w:themeColor="text1"/>
          <w:szCs w:val="24"/>
        </w:rPr>
        <w:lastRenderedPageBreak/>
        <w:t xml:space="preserve">education is an incentive for farmers to access information on farming as this finding was generalized without taking into consideration the differences that exist between rural and urban farmers environment which can affect information accessibility.  </w:t>
      </w:r>
    </w:p>
    <w:p w14:paraId="713465DA" w14:textId="77777777" w:rsidR="001B4ED5" w:rsidRPr="00895D0B" w:rsidRDefault="001B4ED5" w:rsidP="00D0101A">
      <w:pPr>
        <w:pStyle w:val="NoSpacing"/>
      </w:pPr>
    </w:p>
    <w:p w14:paraId="02345236" w14:textId="77777777" w:rsidR="001B4ED5" w:rsidRPr="00895D0B" w:rsidRDefault="006B41C0">
      <w:pPr>
        <w:pStyle w:val="NormalWeb"/>
        <w:shd w:val="clear" w:color="auto" w:fill="FFFFFF"/>
        <w:spacing w:before="0" w:beforeAutospacing="0" w:after="0" w:afterAutospacing="0" w:line="360" w:lineRule="auto"/>
        <w:jc w:val="both"/>
        <w:rPr>
          <w:color w:val="000000" w:themeColor="text1"/>
        </w:rPr>
      </w:pPr>
      <w:r w:rsidRPr="00895D0B">
        <w:rPr>
          <w:color w:val="000000" w:themeColor="text1"/>
        </w:rPr>
        <w:t>Urban farmers adopt land preparation strategies with the aim of conserving water on their urban farms. They prepare their farmlands using ridges, mulching, and to some extent cover cropping. This implies that to sustain farming under unpredictable rainfall from climate change and variability, these farmers prepare their farmland in a way that will contain water after sometimes without rain (</w:t>
      </w:r>
      <w:r w:rsidRPr="00895D0B">
        <w:rPr>
          <w:color w:val="000000" w:themeColor="text1"/>
        </w:rPr>
        <w:fldChar w:fldCharType="begin" w:fldLock="1"/>
      </w:r>
      <w:r w:rsidRPr="00895D0B">
        <w:rPr>
          <w:color w:val="000000" w:themeColor="text1"/>
        </w:rPr>
        <w:instrText>ADDIN CSL_CITATION {"citationItems":[{"id":"ITEM-1","itemData":{"DOI":"10.2134/urbanag2018.06.0002","ISSN":"25751220","abstract":"Core Ideas: Infiltration rate, but also irrigation demand, was highest in compost raised beds. Compost in raised beds reduced the need for mineral fertilization across two seasons. Weed abundance in raised beds increased when top soil was mixed with compost. Crop yield was usually highest in raised beds, regardless of media composition. Raised beds are commonly used in urban agriculture, but crop production benefits have not been well studied. The objective of this 2-yr field experiment in Illinois was to determine the effects of urban production system (direct soil, raised bed with compost, or raised bed with mixed compost and soil) and fertilizer source on growing media properties, weed abundance, and vegetable crop yield. Due to the presence of compost, raised bed media had higher pH, organic matter, and nutrient concentrations. Water infiltration rate was 20× higher in raised beds with compost only compared to soil. Mixing soil with compost in raised beds reduced nutrient concentrations and water infiltration rate compared to compost-only beds. Compost-only raised beds required more irrigation than direct soil due to lower bulk density and greater porosity, but mixing soil with compost in raised beds reduced irrigation demand by 32% in year two. Compared to direct soil, compost-only raised beds reduced grass and broadleaf weed abundance by as much as 97 and 93%, respectively. Radish (Raphanus sativus L.), kale (Brassica oleracea L.), and cilantro (Coriandrum sativum L.) yields were highest in raised beds, regardless of growing media composition, whereas garlic (Allium sativum L.) and pepper (Capsicum annuum L.) yields were less influenced by production system. We recommend raised beds with a mix of compost and soil for vegetable production in urban agriculture.","author":[{"dropping-particle":"","family":"Miernicki","given":"E. A.","non-dropping-particle":"","parse-names":false,"suffix":""},{"dropping-particle":"","family":"Lovell","given":"S. T.","non-dropping-particle":"","parse-names":false,"suffix":""},{"dropping-particle":"","family":"Wortman","given":"S. E.","non-dropping-particle":"","parse-names":false,"suffix":""}],"container-title":"Urban Agriculture and Regional Food Systems","id":"ITEM-1","issue":"1","issued":{"date-parts":[["2018"]]},"page":"1-10","title":"Raised Beds for Vegetable Production in Urban Agriculture","type":"article-journal","volume":"3"},"uris":["http://www.mendeley.com/documents/?uuid=c38c0ac7-1496-4b6f-908c-af81dcdae385"]}],"mendeley":{"formattedCitation":"(Miernicki et al., 2018)","manualFormatting":"Miernicki et al., 2018)","plainTextFormattedCitation":"(Miernicki et al., 2018)","previouslyFormattedCitation":"(Miernicki et al., 2018)"},"properties":{"noteIndex":0},"schema":"https://github.com/citation-style-language/schema/raw/master/csl-citation.json"}</w:instrText>
      </w:r>
      <w:r w:rsidRPr="00895D0B">
        <w:rPr>
          <w:color w:val="000000" w:themeColor="text1"/>
        </w:rPr>
        <w:fldChar w:fldCharType="separate"/>
      </w:r>
      <w:r w:rsidRPr="00895D0B">
        <w:rPr>
          <w:noProof/>
          <w:color w:val="000000" w:themeColor="text1"/>
        </w:rPr>
        <w:t>Miernicki et al., 2018)</w:t>
      </w:r>
      <w:r w:rsidRPr="00895D0B">
        <w:rPr>
          <w:color w:val="000000" w:themeColor="text1"/>
        </w:rPr>
        <w:fldChar w:fldCharType="end"/>
      </w:r>
      <w:r w:rsidRPr="00895D0B">
        <w:rPr>
          <w:color w:val="000000" w:themeColor="text1"/>
        </w:rPr>
        <w:t xml:space="preserve">. This will support the resiliency of crops under irregular rainfall. The farmers can also implement efficient water management techniques to cope with water scarcity or excessive rainfall. This may involve the use of rainwater harvesting systems, drip irrigation, or water-efficient techniques to optimize water use and reduce wastage </w:t>
      </w:r>
      <w:r w:rsidRPr="00895D0B">
        <w:rPr>
          <w:color w:val="000000" w:themeColor="text1"/>
        </w:rPr>
        <w:fldChar w:fldCharType="begin" w:fldLock="1"/>
      </w:r>
      <w:r w:rsidRPr="00895D0B">
        <w:rPr>
          <w:color w:val="000000" w:themeColor="text1"/>
        </w:rPr>
        <w:instrText>ADDIN CSL_CITATION {"citationItems":[{"id":"ITEM-1","itemData":{"author":[{"dropping-particle":"","family":"Salomon","given":"M.","non-dropping-particle":"","parse-names":false,"suffix":""}],"container-title":"Thesis","id":"ITEM-1","issued":{"date-parts":[["2021"]]},"title":"Soil health in urban agriculture with an emphasis on arbuscular mycorrhizal","type":"article-journal"},"uris":["http://www.mendeley.com/documents/?uuid=c1c8291e-8a63-4605-89bc-a4cea9b857b8"]}],"mendeley":{"formattedCitation":"(Salomon, 2021)","plainTextFormattedCitation":"(Salomon, 2021)","previouslyFormattedCitation":"(Salomon,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(Salomon, 2021)</w:t>
      </w:r>
      <w:r w:rsidRPr="00895D0B">
        <w:rPr>
          <w:color w:val="000000" w:themeColor="text1"/>
        </w:rPr>
        <w:fldChar w:fldCharType="end"/>
      </w:r>
      <w:r w:rsidRPr="00895D0B">
        <w:rPr>
          <w:color w:val="000000" w:themeColor="text1"/>
        </w:rPr>
        <w:t>.</w:t>
      </w:r>
      <w:r w:rsidRPr="00895D0B">
        <w:rPr>
          <w:rFonts w:eastAsiaTheme="majorEastAsia"/>
          <w:b/>
          <w:bCs/>
          <w:color w:val="000000" w:themeColor="text1"/>
          <w:spacing w:val="24"/>
        </w:rPr>
        <w:t xml:space="preserve"> </w:t>
      </w:r>
      <w:r w:rsidRPr="00895D0B">
        <w:rPr>
          <w:color w:val="000000" w:themeColor="text1"/>
        </w:rPr>
        <w:t xml:space="preserve">Urban farmers adopt soil conservation practices such as mulching, cover cropping, and composting to enhance soil health and fertility. Healthy soils are more resilient to climate change impacts and can better retain moisture, withstand extreme weather events, and support crop growth </w:t>
      </w:r>
      <w:r w:rsidRPr="00895D0B">
        <w:rPr>
          <w:color w:val="000000" w:themeColor="text1"/>
        </w:rPr>
        <w:fldChar w:fldCharType="begin" w:fldLock="1"/>
      </w:r>
      <w:r w:rsidRPr="00895D0B">
        <w:rPr>
          <w:color w:val="000000" w:themeColor="text1"/>
        </w:rPr>
        <w:instrText>ADDIN CSL_CITATION {"citationItems":[{"id":"ITEM-1","itemData":{"DOI":"10.1007/s12134-017-0535-z","ISSN":"18746365","abstract":"Immigrant entrepreneurship comes in two forms: domestic and transnational entrepreneurship. Domestic immigrant entrepreneurs depend on the host society for business success while transnational immigrant entrepreneurs depend on the contacts and partners in their countries of origin and other countries. In recent years, immigrants’ entrepreneurial activity has moved from the domestic to the transnational level because of the simultaneous business activities that such entrepreneurs conduct between their home and host countries. Transnational entrepreneurship has become one of the pathways that immigrants use to settle and integrate into the host society’s labor market, and at the same time contribute to their countries of origin. From this perspective, this paper explores the causes, nature, and practices of transnational entrepreneurial activities of Ghanaian immigrants in Canada. Using in-depth interviews and focus groups, the study finds that transnational entrepreneurship has become an essential strategy among Ghanaian immigrant entrepreneurs due to the large and growing number of immigrant communities and demand for ethnic products and services that are not produced in Canada. The study also finds that transnational entrepreneurship has become an avenue for immigrants to connect and create ties with Ghana and contribute to its economic development.","author":[{"dropping-particle":"","family":"Nkrumah","given":"A.","non-dropping-particle":"","parse-names":false,"suffix":""}],"container-title":"Journal of International Migration and Integration","id":"ITEM-1","issue":"1","issued":{"date-parts":[["2018"]]},"page":"195-211","title":"Immigrants’ Transnational Entrepreneurial Activities: the Case of Ghanaian Immigrants in Canada","type":"article-journal","volume":"19"},"uris":["http://www.mendeley.com/documents/?uuid=351b027b-4f53-40df-a07b-5510eee63612"]}],"mendeley":{"formattedCitation":"(Nkrumah, 2018)","plainTextFormattedCitation":"(Nkrumah, 2018)","previouslyFormattedCitation":"(Nkrumah, 2018)"},"properties":{"noteIndex":0},"schema":"https://github.com/citation-style-language/schema/raw/master/csl-citation.json"}</w:instrText>
      </w:r>
      <w:r w:rsidRPr="00895D0B">
        <w:rPr>
          <w:color w:val="000000" w:themeColor="text1"/>
        </w:rPr>
        <w:fldChar w:fldCharType="separate"/>
      </w:r>
      <w:r w:rsidRPr="00895D0B">
        <w:rPr>
          <w:noProof/>
          <w:color w:val="000000" w:themeColor="text1"/>
        </w:rPr>
        <w:t>(Nkrumah, 2018)</w:t>
      </w:r>
      <w:r w:rsidRPr="00895D0B">
        <w:rPr>
          <w:color w:val="000000" w:themeColor="text1"/>
        </w:rPr>
        <w:fldChar w:fldCharType="end"/>
      </w:r>
      <w:r w:rsidRPr="00895D0B">
        <w:rPr>
          <w:color w:val="000000" w:themeColor="text1"/>
        </w:rPr>
        <w:t xml:space="preserve">. For soil fertility management, inorganic fertilizers usage happened to be minimal. However, they adopt the use of organic fertilizers such as crop residues, manure and compost, and household wastes </w:t>
      </w:r>
      <w:r w:rsidRPr="00895D0B">
        <w:rPr>
          <w:color w:val="000000" w:themeColor="text1"/>
        </w:rPr>
        <w:fldChar w:fldCharType="begin" w:fldLock="1"/>
      </w:r>
      <w:r w:rsidRPr="00895D0B">
        <w:rPr>
          <w:color w:val="000000" w:themeColor="text1"/>
        </w:rPr>
        <w:instrText>ADDIN CSL_CITATION {"citationItems":[{"id":"ITEM-1","itemData":{"DOI":"10.32473/edis-vh021-2015","abstract":"Vegetable gardening offers fresh air, sunshine, exercise, enjoyment, mental therapy, nutritious fresh vegetables, and economic savings, as well as many other benefits. With some attention to planning and planting, vegetables can be grown year-round in Florida. This revised 11-page guide provides recommendations primarily for traditional home gardens, including planning your garden and choosing crops, soil preparation and maintenance, fertilization, irrigation, pest management, and other gardening know-how. Includes a planting guide, table of suggested varieties, and table of products labeled for insect and mite management in home vegetable gardens. Written by Sydney Park Brown, Danielle Treadwell, J. M. Stephens, and Susan Webb, and published by the Environmental Horticulture Department, October 2015. SP 103/VH021: Florida Vegetable Gardening Guide (ufl.edu)","author":[{"dropping-particle":"","family":"Brown","given":"S. P.","non-dropping-particle":"","parse-names":false,"suffix":""},{"dropping-particle":"","family":"Treadwell","given":"D. J. M.","non-dropping-particle":"","parse-names":false,"suffix":""},{"dropping-particle":"","family":"Webb","given":"S.","non-dropping-particle":"","parse-names":false,"suffix":""}],"container-title":"Edis","id":"ITEM-1","issue":"9","issued":{"date-parts":[["2015"]]},"page":"11","title":"Florida Vegetable Gardening Guide","type":"article-journal","volume":"2015"},"uris":["http://www.mendeley.com/documents/?uuid=f435f260-3c6c-433f-9305-567fe7c32372"]}],"mendeley":{"formattedCitation":"(Brown et al., 2015)","plainTextFormattedCitation":"(Brown et al., 2015)","previouslyFormattedCitation":"(Brown et al., 2015)"},"properties":{"noteIndex":0},"schema":"https://github.com/citation-style-language/schema/raw/master/csl-citation.json"}</w:instrText>
      </w:r>
      <w:r w:rsidRPr="00895D0B">
        <w:rPr>
          <w:color w:val="000000" w:themeColor="text1"/>
        </w:rPr>
        <w:fldChar w:fldCharType="separate"/>
      </w:r>
      <w:r w:rsidRPr="00895D0B">
        <w:rPr>
          <w:noProof/>
          <w:color w:val="000000" w:themeColor="text1"/>
        </w:rPr>
        <w:t>(Brown et al., 2015)</w:t>
      </w:r>
      <w:r w:rsidRPr="00895D0B">
        <w:rPr>
          <w:color w:val="000000" w:themeColor="text1"/>
        </w:rPr>
        <w:fldChar w:fldCharType="end"/>
      </w:r>
      <w:r w:rsidRPr="00895D0B">
        <w:rPr>
          <w:color w:val="000000" w:themeColor="text1"/>
        </w:rPr>
        <w:t xml:space="preserve">. This suggests that in terms of soil fertility management, employ integrated crops and animal fertility management systems </w:t>
      </w:r>
      <w:r w:rsidRPr="00895D0B">
        <w:rPr>
          <w:color w:val="000000" w:themeColor="text1"/>
        </w:rPr>
        <w:fldChar w:fldCharType="begin" w:fldLock="1"/>
      </w:r>
      <w:r w:rsidRPr="00895D0B">
        <w:rPr>
          <w:color w:val="000000" w:themeColor="text1"/>
        </w:rPr>
        <w:instrText>ADDIN CSL_CITATION {"citationItems":[{"id":"ITEM-1","itemData":{"DOI":"10.32473/edis-ss506-2009","abstract":"SL-293, a 9-page illustrated fact sheet by George Hochmuth, Robert Hochmuth, and Rao Mylavarapu, answers vegetable producers’ questions about what poultry manure and litter are, what plant nutrients they contain, considerations for using them, results of research in Florida, how to use it in a mulched-bed system, and how to collect and submit for testing poultry manure samples. Includes references. Published by the UF Department of Soil and Water Science, October 2009. SL 293/SS506: Using Composted Poultry Manure (Litter) in Mulched Vegetable Production (ufl.edu)","author":[{"dropping-particle":"","family":"Hochmuth","given":"G.","non-dropping-particle":"","parse-names":false,"suffix":""},{"dropping-particle":"","family":"Hochmuth","given":"R.","non-dropping-particle":"","parse-names":false,"suffix":""},{"dropping-particle":"","family":"Mylavarapu","given":"R.","non-dropping-particle":"","parse-names":false,"suffix":""}],"container-title":"Edis","id":"ITEM-1","issue":"9","issued":{"date-parts":[["2021"]]},"page":"1-9","title":"Using Composted Poultry Manure (Litter) in Mulched Vegetable Production","type":"article-journal","volume":"2009"},"uris":["http://www.mendeley.com/documents/?uuid=c4525cb5-d506-4311-a946-ae043b82c176"]}],"mendeley":{"formattedCitation":"(Hochmuth et al., 2021)","plainTextFormattedCitation":"(Hochmuth et al., 2021)","previouslyFormattedCitation":"(Hochmuth et al.,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(Hochmuth et al., 2021)</w:t>
      </w:r>
      <w:r w:rsidRPr="00895D0B">
        <w:rPr>
          <w:color w:val="000000" w:themeColor="text1"/>
        </w:rPr>
        <w:fldChar w:fldCharType="end"/>
      </w:r>
      <w:r w:rsidRPr="00895D0B">
        <w:rPr>
          <w:color w:val="000000" w:themeColor="text1"/>
        </w:rPr>
        <w:t xml:space="preserve">. Animal manure is used to fertilize urban farms to improve soil nutrients in the era of climate change where nutrient loss can result from soil erosion resulting from excessive rains </w:t>
      </w:r>
      <w:r w:rsidRPr="00895D0B">
        <w:rPr>
          <w:color w:val="000000" w:themeColor="text1"/>
        </w:rPr>
        <w:fldChar w:fldCharType="begin" w:fldLock="1"/>
      </w:r>
      <w:r w:rsidRPr="00895D0B">
        <w:rPr>
          <w:color w:val="000000" w:themeColor="text1"/>
        </w:rPr>
        <w:instrText>ADDIN CSL_CITATION {"citationItems":[{"id":"ITEM-1","itemData":{"author":[{"dropping-particle":"","family":"Tyson","given":"R.","non-dropping-particle":"","parse-names":false,"suffix":""},{"dropping-particle":"","family":"Simonne","given":"E.","non-dropping-particle":"","parse-names":false,"suffix":""}],"container-title":"IFAS Extetion","id":"ITEM-1","issued":{"date-parts":[["2014"]]},"page":"1-10","title":"A Practical Guide for Aquaponics as an Alternative Choosing the Fish and Plants","type":"article-journal"},"uris":["http://www.mendeley.com/documents/?uuid=5117bc0e-ecb3-47b6-bae2-898c2c258ee8"]}],"mendeley":{"formattedCitation":"(Tyson &amp; Simonne, 2014)","plainTextFormattedCitation":"(Tyson &amp; Simonne, 2014)","previouslyFormattedCitation":"(Tyson &amp; Simonne, 2014)"},"properties":{"noteIndex":0},"schema":"https://github.com/citation-style-language/schema/raw/master/csl-citation.json"}</w:instrText>
      </w:r>
      <w:r w:rsidRPr="00895D0B">
        <w:rPr>
          <w:color w:val="000000" w:themeColor="text1"/>
        </w:rPr>
        <w:fldChar w:fldCharType="separate"/>
      </w:r>
      <w:r w:rsidRPr="00895D0B">
        <w:rPr>
          <w:noProof/>
          <w:color w:val="000000" w:themeColor="text1"/>
        </w:rPr>
        <w:t>(Tyson &amp; Simonne, 2014)</w:t>
      </w:r>
      <w:r w:rsidRPr="00895D0B">
        <w:rPr>
          <w:color w:val="000000" w:themeColor="text1"/>
        </w:rPr>
        <w:fldChar w:fldCharType="end"/>
      </w:r>
      <w:r w:rsidRPr="00895D0B">
        <w:rPr>
          <w:color w:val="000000" w:themeColor="text1"/>
        </w:rPr>
        <w:t xml:space="preserve">. This supports the assertion that farmers implementing efficient irrigation techniques, such as drip irrigation or precision watering, can optimize water use and conserve water resources </w:t>
      </w:r>
      <w:r w:rsidRPr="00895D0B">
        <w:rPr>
          <w:color w:val="000000" w:themeColor="text1"/>
        </w:rPr>
        <w:fldChar w:fldCharType="begin" w:fldLock="1"/>
      </w:r>
      <w:r w:rsidRPr="00895D0B">
        <w:rPr>
          <w:color w:val="000000" w:themeColor="text1"/>
        </w:rPr>
        <w:instrText>ADDIN CSL_CITATION {"citationItems":[{"id":"ITEM-1","itemData":{"ISBN":"978-92-9090-798-5","abstract":"… and land issues conditioning the potential for urban agriculture to contribute towards an environmentally sustainable and just urbanization process. Located on institutional land in …","author":[{"dropping-particle":"","family":"Allen","given":"A.","non-dropping-particle":"","parse-names":false,"suffix":""},{"dropping-particle":"","family":"Apsan Frediani","given":"A.","non-dropping-particle":"","parse-names":false,"suffix":""},{"dropping-particle":"","family":"Wood Hill","given":"M.","non-dropping-particle":"","parse-names":false,"suffix":""}],"container-title":"Irrigated urban vegetable production in Ghana: characteristics, benefits and risk mitigation","id":"ITEM-1","issued":{"date-parts":[["2014"]]},"page":"161-179","title":"Land and planning for urban agriculture in Accra: Sustained urban agriculture or sustainable urbanisation?","type":"article-journal"},"uris":["http://www.mendeley.com/documents/?uuid=c2542548-6530-4d12-b7ce-6475e50504cc"]}],"mendeley":{"formattedCitation":"(Allen et al., 2014)","plainTextFormattedCitation":"(Allen et al., 2014)","previouslyFormattedCitation":"(Allen et al., 2014)"},"properties":{"noteIndex":0},"schema":"https://github.com/citation-style-language/schema/raw/master/csl-citation.json"}</w:instrText>
      </w:r>
      <w:r w:rsidRPr="00895D0B">
        <w:rPr>
          <w:color w:val="000000" w:themeColor="text1"/>
        </w:rPr>
        <w:fldChar w:fldCharType="separate"/>
      </w:r>
      <w:r w:rsidRPr="00895D0B">
        <w:rPr>
          <w:noProof/>
          <w:color w:val="000000" w:themeColor="text1"/>
        </w:rPr>
        <w:t>(Allen et al., 2014)</w:t>
      </w:r>
      <w:r w:rsidRPr="00895D0B">
        <w:rPr>
          <w:color w:val="000000" w:themeColor="text1"/>
        </w:rPr>
        <w:fldChar w:fldCharType="end"/>
      </w:r>
      <w:r w:rsidRPr="00895D0B">
        <w:rPr>
          <w:color w:val="000000" w:themeColor="text1"/>
        </w:rPr>
        <w:t xml:space="preserve">. This helps crops withstand drought conditions and ensures their productivity. However, in some instances, this applies to farmers that are found within an environment that favours irrigational practices, especially in urban settings. The findings support the work of </w:t>
      </w:r>
      <w:r w:rsidRPr="00895D0B">
        <w:rPr>
          <w:color w:val="000000" w:themeColor="text1"/>
        </w:rPr>
        <w:fldChar w:fldCharType="begin" w:fldLock="1"/>
      </w:r>
      <w:r w:rsidRPr="00895D0B">
        <w:rPr>
          <w:color w:val="000000" w:themeColor="text1"/>
        </w:rPr>
        <w:instrText>ADDIN CSL_CITATION {"citationItems":[{"id":"ITEM-1","itemData":{"DOI":"10.1007/978-981-13-5904-0","ISBN":"9789811359040","abstract":"Soil fertility is the backbone of agricultural systems and plays a key role in determining food quantity and quality. In recent decades, soil fertility has decreased due to indiscriminate use of agrochemicals, and nations around the globe are now facing the challenge of increasing food production while sustainably maintaining soil fertility. Written by leading international scientists in the field, this book explores soil fertility management strategies, including agronomic, microbiological and soil-science based strategies. Highlighting the practices that can be incorporated into organic farming and discussing recent advances, it is a valuable resource for researchers wanting to broaden their vision and the scope of their investigations.","author":[{"dropping-particle":"","family":"Panpatte","given":"D. G.","non-dropping-particle":"","parse-names":false,"suffix":""},{"dropping-particle":"","family":"Jhala","given":"Y. K.","non-dropping-particle":"","parse-names":false,"suffix":""}],"container-title":"Soil Fertility Management for Sustainable Development","id":"ITEM-1","issued":{"date-parts":[["2019"]]},"page":"1-291","title":"Soil fertility management for sustainable development","type":"article-journal"},"uris":["http://www.mendeley.com/documents/?uuid=a1a77cea-90a5-452c-bd1a-de9e1e6172b8"]}],"mendeley":{"formattedCitation":"(Panpatte &amp; Jhala, 2019)","manualFormatting":"Panpatte and Jhala (2019)","plainTextFormattedCitation":"(Panpatte &amp; Jhala, 2019)","previouslyFormattedCitation":"(Panpatte &amp; Jhala, 2019)"},"properties":{"noteIndex":0},"schema":"https://github.com/citation-style-language/schema/raw/master/csl-citation.json"}</w:instrText>
      </w:r>
      <w:r w:rsidRPr="00895D0B">
        <w:rPr>
          <w:color w:val="000000" w:themeColor="text1"/>
        </w:rPr>
        <w:fldChar w:fldCharType="separate"/>
      </w:r>
      <w:r w:rsidRPr="00895D0B">
        <w:rPr>
          <w:noProof/>
          <w:color w:val="000000" w:themeColor="text1"/>
        </w:rPr>
        <w:t>Panpatte and Jhala (2019)</w:t>
      </w:r>
      <w:r w:rsidRPr="00895D0B">
        <w:rPr>
          <w:color w:val="000000" w:themeColor="text1"/>
        </w:rPr>
        <w:fldChar w:fldCharType="end"/>
      </w:r>
      <w:r w:rsidRPr="00895D0B">
        <w:rPr>
          <w:color w:val="000000" w:themeColor="text1"/>
        </w:rPr>
        <w:t xml:space="preserve"> and </w:t>
      </w:r>
      <w:r w:rsidRPr="00895D0B">
        <w:rPr>
          <w:color w:val="000000" w:themeColor="text1"/>
        </w:rPr>
        <w:fldChar w:fldCharType="begin" w:fldLock="1"/>
      </w:r>
      <w:r w:rsidRPr="00895D0B">
        <w:rPr>
          <w:color w:val="000000" w:themeColor="text1"/>
        </w:rPr>
        <w:instrText>ADDIN CSL_CITATION {"citationItems":[{"id":"ITEM-1","itemData":{"DOI":"10.3390/agronomy13041026","ISSN":"20734395","author":[{"dropping-particle":"","family":"Havlin","given":"J.","non-dropping-particle":"","parse-names":false,"suffix":""},{"dropping-particle":"","family":"Heiniger","given":"R.","non-dropping-particle":"","parse-names":false,"suffix":""}],"container-title":"Agronomy","id":"ITEM-1","issue":"4","issued":{"date-parts":[["2020"]]},"page":"1-5","title":"Soil Fertility Management for Sustainable Crop Production","type":"article-journal","volume":"13"},"uris":["http://www.mendeley.com/documents/?uuid=f76035bd-e35e-4f94-91d1-8b3b61a491a5"]}],"mendeley":{"formattedCitation":"(Havlin &amp; Heiniger, 2020)","manualFormatting":"Havlin and Heiniger (2020)","plainTextFormattedCitation":"(Havlin &amp; Heiniger, 2020)","previouslyFormattedCitation":"(Havlin &amp; Heiniger, 2020)"},"properties":{"noteIndex":0},"schema":"https://github.com/citation-style-language/schema/raw/master/csl-citation.json"}</w:instrText>
      </w:r>
      <w:r w:rsidRPr="00895D0B">
        <w:rPr>
          <w:color w:val="000000" w:themeColor="text1"/>
        </w:rPr>
        <w:fldChar w:fldCharType="separate"/>
      </w:r>
      <w:r w:rsidRPr="00895D0B">
        <w:rPr>
          <w:noProof/>
          <w:color w:val="000000" w:themeColor="text1"/>
        </w:rPr>
        <w:t>Havlin and Heiniger (2020)</w:t>
      </w:r>
      <w:r w:rsidRPr="00895D0B">
        <w:rPr>
          <w:color w:val="000000" w:themeColor="text1"/>
        </w:rPr>
        <w:fldChar w:fldCharType="end"/>
      </w:r>
      <w:r w:rsidRPr="00895D0B">
        <w:rPr>
          <w:color w:val="000000" w:themeColor="text1"/>
        </w:rPr>
        <w:t xml:space="preserve"> who asserted that soil conservation practices like conservation tillage, cover cropping, and rotational grazing help maintain soil health and fertility. Healthy soil can better withstand extreme weather events and retain moisture, supporting crop growth. </w:t>
      </w:r>
    </w:p>
    <w:p w14:paraId="2C429864" w14:textId="77777777" w:rsidR="001B4ED5" w:rsidRPr="00895D0B" w:rsidRDefault="001B4ED5">
      <w:pPr>
        <w:pStyle w:val="NormalWeb"/>
        <w:shd w:val="clear" w:color="auto" w:fill="FFFFFF"/>
        <w:spacing w:before="0" w:beforeAutospacing="0" w:after="0" w:afterAutospacing="0" w:line="360" w:lineRule="auto"/>
        <w:jc w:val="both"/>
        <w:rPr>
          <w:color w:val="000000" w:themeColor="text1"/>
        </w:rPr>
      </w:pPr>
    </w:p>
    <w:p w14:paraId="11DD05B5" w14:textId="77777777" w:rsidR="001B4ED5" w:rsidRPr="00895D0B" w:rsidRDefault="006B41C0">
      <w:pPr>
        <w:pStyle w:val="NormalWeb"/>
        <w:shd w:val="clear" w:color="auto" w:fill="FFFFFF"/>
        <w:spacing w:before="0" w:beforeAutospacing="0" w:after="0" w:afterAutospacing="0" w:line="360" w:lineRule="auto"/>
        <w:jc w:val="both"/>
        <w:rPr>
          <w:color w:val="000000" w:themeColor="text1"/>
        </w:rPr>
      </w:pPr>
      <w:r w:rsidRPr="00895D0B">
        <w:rPr>
          <w:color w:val="000000" w:themeColor="text1"/>
        </w:rPr>
        <w:lastRenderedPageBreak/>
        <w:t xml:space="preserve">Aside from soil moisture and nutrients management strategies, urban farmers improve crop production by planting multiple crop varieties indigenous and improved to adapt to climate change impacts. The use of indigenous and improved varieties is climate change adaptation strategy because, in the situation where one variety fails, the other could be a buffer. This has been confirmed in the extant literature as climate change adaptation strategies </w:t>
      </w:r>
      <w:r w:rsidRPr="00895D0B">
        <w:rPr>
          <w:color w:val="000000" w:themeColor="text1"/>
        </w:rPr>
        <w:fldChar w:fldCharType="begin" w:fldLock="1"/>
      </w:r>
      <w:r w:rsidRPr="00895D0B">
        <w:rPr>
          <w:color w:val="000000" w:themeColor="text1"/>
        </w:rPr>
        <w:instrText>ADDIN CSL_CITATION {"citationItems":[{"id":"ITEM-1","itemData":{"DOI":"10.1016/j.heliyon.2019.e02854","ISSN":"24058440","abstract":"This study analyzed gender differences in climate adaptation by farming households in Ghana. This involved 300 farmers from two districts of Ghana and the data analyzed using descriptive statistics. The results showed severer climate impacts on the livelihoods of females than males in Ghana. On the contrary, the adaptive capacity of males was found to be higher than that of females. This was supported by the observed differences in gender climate adaptation where both male heads and male household members had higher mean climate adaptations than both female heads and female household members. Overall, the climate adaptation strategies mostly adopted by both males and females include changing planting dates, row planting, planting early maturing and drought tolerant seed varieties, mixed farming, intercropping and refiling of farm plots. Except for zero tillage and intercropping, male farmers had high adoption levels than female farmers. It is concluded that the observed gender adaptation differences were due to the levels and intensity of adoption other than differences in the type of strategies adopted by the different gender groups. The Ministry of Food and Agriculture should consider integrating climate adaptation policies into current agricultural policies such as “planting for food and jobs” policy.","author":[{"dropping-particle":"","family":"Adzawla","given":"W.","non-dropping-particle":"","parse-names":false,"suffix":""},{"dropping-particle":"","family":"Azumah","given":"S. B.","non-dropping-particle":"","parse-names":false,"suffix":""},{"dropping-particle":"","family":"Anani","given":"P. Y.","non-dropping-particle":"","parse-names":false,"suffix":""},{"dropping-particle":"","family":"Donkoh","given":"S. A.","non-dropping-particle":"","parse-names":false,"suffix":""}],"container-title":"Heliyon","id":"ITEM-1","issue":"11","issued":{"date-parts":[["2019"]]},"page":"e02854","publisher":"Elsevier Ltd","title":"Gender perspectives of climate change adaptation in two selected districts of Ghana","type":"article-journal","volume":"5"},"uris":["http://www.mendeley.com/documents/?uuid=754a1a78-c21e-4b76-835d-f2911db88e73"]}],"mendeley":{"formattedCitation":"(Adzawla et al., 2019)","plainTextFormattedCitation":"(Adzawla et al., 2019)","previouslyFormattedCitation":"(Adzawla et al., 2019)"},"properties":{"noteIndex":0},"schema":"https://github.com/citation-style-language/schema/raw/master/csl-citation.json"}</w:instrText>
      </w:r>
      <w:r w:rsidRPr="00895D0B">
        <w:rPr>
          <w:color w:val="000000" w:themeColor="text1"/>
        </w:rPr>
        <w:fldChar w:fldCharType="separate"/>
      </w:r>
      <w:r w:rsidRPr="00895D0B">
        <w:rPr>
          <w:noProof/>
          <w:color w:val="000000" w:themeColor="text1"/>
        </w:rPr>
        <w:t>(Adzawla et al., 2019)</w:t>
      </w:r>
      <w:r w:rsidRPr="00895D0B">
        <w:rPr>
          <w:color w:val="000000" w:themeColor="text1"/>
        </w:rPr>
        <w:fldChar w:fldCharType="end"/>
      </w:r>
      <w:r w:rsidRPr="00895D0B">
        <w:rPr>
          <w:color w:val="000000" w:themeColor="text1"/>
        </w:rPr>
        <w:t xml:space="preserve">. These seeds are farmers' seeds and are bought from agro-chemical shops. This means that farmers use their seeds which are the indigenous variety and the improved variety is obtained from the agrochemical shops </w:t>
      </w:r>
      <w:r w:rsidRPr="00895D0B">
        <w:rPr>
          <w:color w:val="000000" w:themeColor="text1"/>
        </w:rPr>
        <w:fldChar w:fldCharType="begin" w:fldLock="1"/>
      </w:r>
      <w:r w:rsidRPr="00895D0B">
        <w:rPr>
          <w:color w:val="000000" w:themeColor="text1"/>
        </w:rPr>
        <w:instrText>ADDIN CSL_CITATION {"citationItems":[{"id":"ITEM-1","itemData":{"DOI":"10.1007/s10668-016-9906-4","ISBN":"1066801699064","ISSN":"15732975","abstract":"Crop diversity is central to traditional risk management practices on the Andean Altiplano and may find renewed importance in adapting to climate change. This study explored the role of crop diversity in farmers’ adaptation actions in eight Aymara communities on the northern Bolivian Altiplano. Using a combination of quantitative and qualitative methods, including multifactor analysis and a community resilience self-assessment, we investigated how farmers’ use of diversity in adaptation is related to their perceptions of crop and variety tolerances and other environmental, social, and economic factors. Few crops and varieties were perceived as tolerant to increasingly intense and unpredictable drought, frost, hail, and pest and disease outbreaks. Some local crops and varieties were perceived as vulnerable to emerging conditions (e.g. oca, papalisa, isaño), whereas bitter potatoes and wild relatives of quinoa and cañahua were perceived as highly stress tolerant and provide food in harsh periods. A total 19% of households surveyed (N = 193) had introduced new crops or varieties—often disease resistant or early maturing—as an adaptive action. Introduction of commercial crops was a common adaptation action, reflecting farmers’ response to warming temperatures and changing economic opportunities, but greater sensitivity of the introduced crops may cause maladaptation. Despite intensification of cropping systems, households continue to maintain a median four potato varieties with different tolerance traits, yet this risk management practice was not perceived as adaptation. Strengthening resilience will require a combination of actions, including maintaining and expanding crop portfolios and restoring soil and ecosystem health, using both traditional and innovative approaches.","author":[{"dropping-particle":"","family":"Meldrum","given":"G.","non-dropping-particle":"","parse-names":false,"suffix":""},{"dropping-particle":"","family":"Mijatović","given":"D.","non-dropping-particle":"","parse-names":false,"suffix":""},{"dropping-particle":"","family":"Rojas","given":"W.","non-dropping-particle":"","parse-names":false,"suffix":""},{"dropping-particle":"","family":"Flores","given":"J.","non-dropping-particle":"","parse-names":false,"suffix":""},{"dropping-particle":"","family":"Pinto","given":"M.","non-dropping-particle":"","parse-names":false,"suffix":""},{"dropping-particle":"","family":"Mamani","given":"G.","non-dropping-particle":"","parse-names":false,"suffix":""},{"dropping-particle":"","family":"Condori","given":"E.","non-dropping-particle":"","parse-names":false,"suffix":""},{"dropping-particle":"","family":"Hilaquita","given":"D.","non-dropping-particle":"","parse-names":false,"suffix":""},{"dropping-particle":"","family":"Gruberg","given":"H.","non-dropping-particle":"","parse-names":false,"suffix":""},{"dropping-particle":"","family":"Padulosi","given":"S.","non-dropping-particle":"","parse-names":false,"suffix":""}],"container-title":"Environment, Development and Sustainability","id":"ITEM-1","issue":"2","issued":{"date-parts":[["2018"]]},"page":"703-730","title":"Climate change and crop diversity: farmers’ perceptions and adaptation on the Bolivian Altiplano","type":"article-journal","volume":"20"},"uris":["http://www.mendeley.com/documents/?uuid=aadaa31f-da49-42f4-b572-7aafe14cae50"]}],"mendeley":{"formattedCitation":"(Meldrum et al., 2018)","plainTextFormattedCitation":"(Meldrum et al., 2018)","previouslyFormattedCitation":"(Meldrum et al., 2018)"},"properties":{"noteIndex":0},"schema":"https://github.com/citation-style-language/schema/raw/master/csl-citation.json"}</w:instrText>
      </w:r>
      <w:r w:rsidRPr="00895D0B">
        <w:rPr>
          <w:color w:val="000000" w:themeColor="text1"/>
        </w:rPr>
        <w:fldChar w:fldCharType="separate"/>
      </w:r>
      <w:r w:rsidRPr="00895D0B">
        <w:rPr>
          <w:noProof/>
          <w:color w:val="000000" w:themeColor="text1"/>
        </w:rPr>
        <w:t>(Meldrum et al., 2018)</w:t>
      </w:r>
      <w:r w:rsidRPr="00895D0B">
        <w:rPr>
          <w:color w:val="000000" w:themeColor="text1"/>
        </w:rPr>
        <w:fldChar w:fldCharType="end"/>
      </w:r>
      <w:r w:rsidRPr="00895D0B">
        <w:rPr>
          <w:color w:val="000000" w:themeColor="text1"/>
        </w:rPr>
        <w:t>. This means improving farmers' local knowledge and good seed keeping and encouraging agro-chemical dealers to operate within the means of urban farmers in terms of affordable seeds. Farmers explained that crop production yield is encouraging despite the current climatic effects. However, it is important to note that the specific adaptation measures employed by urban farmers may vary depending on their location, available resources, and the specific challenges posed by climate change in their area </w:t>
      </w:r>
      <w:r w:rsidRPr="00895D0B">
        <w:rPr>
          <w:color w:val="000000" w:themeColor="text1"/>
        </w:rPr>
        <w:fldChar w:fldCharType="begin" w:fldLock="1"/>
      </w:r>
      <w:r w:rsidRPr="00895D0B">
        <w:rPr>
          <w:color w:val="000000" w:themeColor="text1"/>
        </w:rPr>
        <w:instrText>ADDIN CSL_CITATION {"citationItems":[{"id":"ITEM-1","itemData":{"DOI":"10.1016/j.regsus.2021.05.002","ISSN":"2666660X","abstract":"Climate change adaptation strategies provide a cushion for smallholder farmers, especially in sub-Saharan Africa against the risks posed by climate hazards such as droughts and floods. However, the decision-making process in climate adaptation is complex. To better understand the dynamics of the process, we strive to answer this question: what are the potential trade-offs and synergies related to decision-making and implementation of climate adaptation strategies among smallholder farmers in sub-Saharan Africa region? A systematic literature review methodology was used through the Preferred Reporting Items for Systematic Review and Meta-Analysis (PRISMA) statement with the four-stage inclusion/exclusion criteria to identify the literature from selected databases (Scopus and Google Scholar). The climate adaptation strategies are organized into five broad categories (crop management, risk management, soil/land management, water management, and livestock management strategies). Evidence suggests that potential trade-offs may arise concerning added costs, additional labor requirements, and competition among objectives or available resources. The synergies, on the other hand, arise from implementing two or more adaptation strategies concurrently in respect of increased productivity, resilience, yield stability, sustainability, and environmental protection. Trade-offs and synergies may also differ among the various adaptation strategies with minimum/zero tillage, comparatively, presenting more trade-offs. The development and promotion of low-cost adaptation strategies and complementary climate adaptation options that minimize the trade-offs and maximize the synergies are suggested. Skills and knowledge on proper implementation of climate change adaptation strategies are encouraged, especially at the local farm level.","author":[{"dropping-particle":"","family":"Akinyi","given":"D. P.","non-dropping-particle":"","parse-names":false,"suffix":""},{"dropping-particle":"","family":"Ng'ang'a","given":"S. K.","non-dropping-particle":"","parse-names":false,"suffix":""},{"dropping-particle":"","family":"Girvetz","given":"E. H.","non-dropping-particle":"","parse-names":false,"suffix":""}],"container-title":"Regional Sustainability","id":"ITEM-1","issue":"2","issued":{"date-parts":[["2021"]]},"page":"130-143","publisher":"Elsevier Ltd","title":"Trade-offs and synergies of climate change adaptation strategies among smallholder farmers in sub-Saharan Africa: A systematic review","type":"article-journal","volume":"2"},"uris":["http://www.mendeley.com/documents/?uuid=cb6e273a-2eeb-4c6b-86be-4855ee0b8cec"]}],"mendeley":{"formattedCitation":"(Akinyi et al., 2021)","plainTextFormattedCitation":"(Akinyi et al., 2021)","previouslyFormattedCitation":"(Akinyi et al.,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(Akinyi et al., 2021)</w:t>
      </w:r>
      <w:r w:rsidRPr="00895D0B">
        <w:rPr>
          <w:color w:val="000000" w:themeColor="text1"/>
        </w:rPr>
        <w:fldChar w:fldCharType="end"/>
      </w:r>
      <w:r w:rsidRPr="00895D0B">
        <w:rPr>
          <w:color w:val="000000" w:themeColor="text1"/>
        </w:rPr>
        <w:t xml:space="preserve">. This finding supports the recent idea that despite the climate change challenges farmers face they can adjust farming practices to increase production of food crops </w:t>
      </w:r>
      <w:r w:rsidRPr="00895D0B">
        <w:rPr>
          <w:color w:val="000000" w:themeColor="text1"/>
        </w:rPr>
        <w:fldChar w:fldCharType="begin" w:fldLock="1"/>
      </w:r>
      <w:r w:rsidRPr="00895D0B">
        <w:rPr>
          <w:color w:val="000000" w:themeColor="text1"/>
        </w:rPr>
        <w:instrText>ADDIN CSL_CITATION {"citationItems":[{"id":"ITEM-1","itemData":{"DOI":"10.17582/JOURNAL.SJA/2021/37.2.406.418","ISSN":"22245383","abstract":"This study aimed to improve understanding of the nexus between climate variability and yam (Dioscorea spp.) production in Ikom Local Government Area of Cross River State, Nigeria. Rainfall, temperature, sunshine and relative humidity (1976-2016), as well as yam yield data (1990-2016) were considered. Results revealed that climate elements fluctuated steadily during the period with a marginal increase in yam yield. The projections from the Time Series Modeler showed that relative humidity will decrease slightly while yam yield will increase by an additional 265 metric tons in 2026. Although minimal, and not significant to the declining food production trend in Nigeria, the projected increase in yam production in the area would support the deficit in food availability. The nexus between both variables was hypothesized using the multiple linear regression analysis. The result revealed that only sunshine intensity was a significant predictor of yam yield (p =0.011), whereas rain days (p = 0.332), rainfall volume (p = 0.393), temperature (p = 0.235) and relative humidity (p = 0.963) were not. This suggests that key climate variables do not significantly influence yam yield in the area, implying that non-climatic factors likely have more impact. This provides better opportunities to upscale yam production in the area and gives room for better planning by farmers and policy makers.","author":[{"dropping-particle":"","family":"Okongor","given":"G.","non-dropping-particle":"","parse-names":false,"suffix":""},{"dropping-particle":"","family":"Njoku","given":"C.","non-dropping-particle":"","parse-names":false,"suffix":""},{"dropping-particle":"","family":"Essoka","given":"P.","non-dropping-particle":"","parse-names":false,"suffix":""},{"dropping-particle":"","family":"Efiong","given":"J.","non-dropping-particle":"","parse-names":false,"suffix":""}],"container-title":"Sarhad Journal of Agriculture","id":"ITEM-1","issue":"2","issued":{"date-parts":[["2021"]]},"page":"406-418","title":"Climate Variability and Yam Production: Nexus and Projections","type":"article-journal","volume":"37"},"uris":["http://www.mendeley.com/documents/?uuid=0d10d87d-ea0d-4080-9303-b95cd88de980"]}],"mendeley":{"formattedCitation":"(Okongor et al., 2021)","plainTextFormattedCitation":"(Okongor et al., 2021)","previouslyFormattedCitation":"(Okongor et al.,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(Okongor et al., 2021)</w:t>
      </w:r>
      <w:r w:rsidRPr="00895D0B">
        <w:rPr>
          <w:color w:val="000000" w:themeColor="text1"/>
        </w:rPr>
        <w:fldChar w:fldCharType="end"/>
      </w:r>
      <w:r w:rsidRPr="00895D0B">
        <w:rPr>
          <w:color w:val="000000" w:themeColor="text1"/>
        </w:rPr>
        <w:t xml:space="preserve">. Even though urban farmers use manure, compost, and mulching just a few examples of basic agricultural inputs that may not be as easily accessible as they are in rural agricultural communities </w:t>
      </w:r>
      <w:r w:rsidRPr="00895D0B">
        <w:rPr>
          <w:color w:val="000000" w:themeColor="text1"/>
        </w:rPr>
        <w:fldChar w:fldCharType="begin" w:fldLock="1"/>
      </w:r>
      <w:r w:rsidRPr="00895D0B">
        <w:rPr>
          <w:color w:val="000000" w:themeColor="text1"/>
        </w:rPr>
        <w:instrText>ADDIN CSL_CITATION {"citationItems":[{"id":"ITEM-1","itemData":{"DOI":"10.1007/s00227-021-03901-3","ISSN":"14321793","abstract":"Under predicted future ocean conditions, reefs exposed to elevated nutrients will simultaneously experience ocean acidification and elevated temperature. We evaluated if moderate nutrients mitigate, minimize, or exacerbate negative effects of predicted future ocean conditions on coral physiology. For 30 days, Acropora millepora and Turbinaria reniformis were exposed to a fully factorial experiment of eight treatments including two seawater temperatures (26.4 °C and 29.8 °C), pCO2 levels (401 μatm pCO2 and 760 μatm pCO2), and nutrient concentrations (ambient: 0.40 μmol L−1 NO3− and 0.22 μmol L−1 PO43−, and moderate: 3.56 μmol L−1 NO3− and 0.31 μmol L−1 PO43−). Added nitrate was taken up by the algal endosymbionts and transferred to the coral hosts in both species, though to a much higher degree in A. millepora. When exposed to elevated temperature, elevated pCO2, or both, effects observed for chlorophyll a, calcification, biomass, and energy reserves were not compounded by the moderate nutrient concentrations in either species. Moderate nutrients enabled A. millepora to continue to meet daily metabolic demand via photosynthesis under predicted future ocean conditions and T. reniformis to greatly exceed daily metabolic demand via photosynthesis and heterotrophy. Our results suggest that balanced moderate nutrients are not detrimental to corals under predicted future ocean conditions and may even provide some benefits.","author":[{"dropping-particle":"","family":"Dobson","given":"K. L.","non-dropping-particle":"","parse-names":false,"suffix":""},{"dropping-particle":"","family":"Levas","given":"S.","non-dropping-particle":"","parse-names":false,"suffix":""},{"dropping-particle":"","family":"Schoepf","given":"V.","non-dropping-particle":"","parse-names":false,"suffix":""},{"dropping-particle":"","family":"Warner","given":"M. E.","non-dropping-particle":"","parse-names":false,"suffix":""},{"dropping-particle":"","family":"Cai","given":"W. J.","non-dropping-particle":"","parse-names":false,"suffix":""},{"dropping-particle":"","family":"Hoadley","given":"K. D.","non-dropping-particle":"","parse-names":false,"suffix":""},{"dropping-particle":"","family":"Yuan","given":"X.","non-dropping-particle":"","parse-names":false,"suffix":""},{"dropping-particle":"","family":"Matsui","given":"Y.","non-dropping-particle":"","parse-names":false,"suffix":""},{"dropping-particle":"","family":"Melman","given":"T. F.","non-dropping-particle":"","parse-names":false,"suffix":""},{"dropping-particle":"","family":"Grottoli","given":"A. G.","non-dropping-particle":"","parse-names":false,"suffix":""}],"container-title":"Marine Biology","id":"ITEM-1","issue":"7","issued":{"date-parts":[["2021"]]},"title":"Moderate nutrient concentrations are not detrimental to corals under future ocean conditions","type":"article-journal","volume":"168"},"uris":["http://www.mendeley.com/documents/?uuid=65388d9a-2281-4f2f-890e-34e096a64ac8"]}],"mendeley":{"formattedCitation":"(Dobson et al., 2021)","plainTextFormattedCitation":"(Dobson et al., 2021)","previouslyFormattedCitation":"(Dobson et al.,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(Dobson et al., 2021)</w:t>
      </w:r>
      <w:r w:rsidRPr="00895D0B">
        <w:rPr>
          <w:color w:val="000000" w:themeColor="text1"/>
        </w:rPr>
        <w:fldChar w:fldCharType="end"/>
      </w:r>
      <w:r w:rsidRPr="00895D0B">
        <w:rPr>
          <w:color w:val="000000" w:themeColor="text1"/>
        </w:rPr>
        <w:t xml:space="preserve">. However, some farm and gardening materials are becoming increasingly accessible in urban areas as demand rises. Urban farmers who cultivate crops and raise animals can employ various climate change adaptation measures. These measures aim to mitigate the impacts of climate change and enhance the resilience of urban agricultural systems. This supports the work of </w:t>
      </w:r>
      <w:r w:rsidRPr="00895D0B">
        <w:rPr>
          <w:color w:val="000000" w:themeColor="text1"/>
        </w:rPr>
        <w:fldChar w:fldCharType="begin" w:fldLock="1"/>
      </w:r>
      <w:r w:rsidRPr="00895D0B">
        <w:rPr>
          <w:color w:val="000000" w:themeColor="text1"/>
        </w:rPr>
        <w:instrText>ADDIN CSL_CITATION {"citationItems":[{"id":"ITEM-1","itemData":{"DOI":"10.3390/environments5010015","ISBN":"4176578440","ISSN":"20763298","abstract":"Climate change is a global phenomenon. Its impact on agricultural activities in developing countries has increased dramatically. Understanding how farmers perceive climate change and how they adapt to it is very important to the implementation of adequate policies for agricultural and food security. This paper aims to contribute to an understanding of farmers’ adaptation choices, determinants of the adaptation choices and the long-term implications of the adaptation choices. Data were collected from 120 respondents in the Zou Department of Benin. A binary logit model was used to analyze the factors influencing household decisions to adapt to climate change. Multinomial logistic regression analysis was estimated to analyze the factors influencing households’ choice of adaptation strategies to climate change. The results show that farmers have a developed perception of climate change. These changes are translated by rainfall disturbances (rainfall delays, early cessation, bad rainfall distribution etc.), shortening of the small dry season, increasing of temperature and sometimes, violent winds. The survey reveals that Benin farmers adopt many strategies in response to climate change. These strategies include “Crop–livestock diversification and other good practices (mulching, organic fertilizer),” “Use of improved varieties, chemical fertilizers and pesticides,” “Agroforestry and perennial plantation” and “Diversification of income-generating activities.” The findings also reveal that most of the respondents use these strategies in combination. From the binary logit model, we know that “farming experience” and “educational level of household head” positively influence adaptation decisions. The result of the multinomial logit analysis shows that farming experience, educational level, farm size and gender have a significant impact on climate change adaptation strategies. Based on in-depth analysis of each strategy, we identify crop diversification and agroforestry as being the most promising strategies with benefits for farmers, the environment and future generations.","author":[{"dropping-particle":"","family":"Fadina","given":"A. M. R.","non-dropping-particle":"","parse-names":false,"suffix":""},{"dropping-particle":"","family":"Barjolle","given":"D.","non-dropping-particle":"","parse-names":false,"suffix":""}],"container-title":"Environments - MDPI","id":"ITEM-1","issue":"1","issued":{"date-parts":[["2018"]]},"page":"1-17","title":"Farmers’ adaptation strategies to climate change and their implications in the Zou department of South Benin","type":"article-journal","volume":"5"},"uris":["http://www.mendeley.com/documents/?uuid=fa9c079d-948e-41f1-b4df-69a4297e7fff"]}],"mendeley":{"formattedCitation":"(Fadina &amp; Barjolle, 2018)","manualFormatting":"Fadina and Barjolle (2018)","plainTextFormattedCitation":"(Fadina &amp; Barjolle, 2018)","previouslyFormattedCitation":"(Fadina &amp; Barjolle, 2018)"},"properties":{"noteIndex":0},"schema":"https://github.com/citation-style-language/schema/raw/master/csl-citation.json"}</w:instrText>
      </w:r>
      <w:r w:rsidRPr="00895D0B">
        <w:rPr>
          <w:color w:val="000000" w:themeColor="text1"/>
        </w:rPr>
        <w:fldChar w:fldCharType="separate"/>
      </w:r>
      <w:r w:rsidRPr="00895D0B">
        <w:rPr>
          <w:noProof/>
          <w:color w:val="000000" w:themeColor="text1"/>
        </w:rPr>
        <w:t>Fadina and Barjolle (2018)</w:t>
      </w:r>
      <w:r w:rsidRPr="00895D0B">
        <w:rPr>
          <w:color w:val="000000" w:themeColor="text1"/>
        </w:rPr>
        <w:fldChar w:fldCharType="end"/>
      </w:r>
      <w:r w:rsidRPr="00895D0B">
        <w:rPr>
          <w:color w:val="000000" w:themeColor="text1"/>
        </w:rPr>
        <w:t xml:space="preserve"> on adaptation measures employed by urban farmers including crop diversification. Urban farmers can diversify their crop selection to include a variety of plant species that are resilient to different climatic conditions. This helps to reduce the vulnerability of their agricultural systems to climate-related risks such as extreme temperatures, drought, or heavy rainfall </w:t>
      </w:r>
      <w:r w:rsidRPr="00895D0B">
        <w:rPr>
          <w:color w:val="000000" w:themeColor="text1"/>
        </w:rPr>
        <w:fldChar w:fldCharType="begin" w:fldLock="1"/>
      </w:r>
      <w:r w:rsidRPr="00895D0B">
        <w:rPr>
          <w:color w:val="000000" w:themeColor="text1"/>
        </w:rPr>
        <w:instrText>ADDIN CSL_CITATION {"citationItems":[{"id":"ITEM-1","itemData":{"DOI":"10.3390/environments5010015","ISBN":"4176578440","ISSN":"20763298","abstract":"Climate change is a global phenomenon. Its impact on agricultural activities in developing countries has increased dramatically. Understanding how farmers perceive climate change and how they adapt to it is very important to the implementation of adequate policies for agricultural and food security. This paper aims to contribute to an understanding of farmers’ adaptation choices, determinants of the adaptation choices and the long-term implications of the adaptation choices. Data were collected from 120 respondents in the Zou Department of Benin. A binary logit model was used to analyze the factors influencing household decisions to adapt to climate change. Multinomial logistic regression analysis was estimated to analyze the factors influencing households’ choice of adaptation strategies to climate change. The results show that farmers have a developed perception of climate change. These changes are translated by rainfall disturbances (rainfall delays, early cessation, bad rainfall distribution etc.), shortening of the small dry season, increasing of temperature and sometimes, violent winds. The survey reveals that Benin farmers adopt many strategies in response to climate change. These strategies include “Crop–livestock diversification and other good practices (mulching, organic fertilizer),” “Use of improved varieties, chemical fertilizers and pesticides,” “Agroforestry and perennial plantation” and “Diversification of income-generating activities.” The findings also reveal that most of the respondents use these strategies in combination. From the binary logit model, we know that “farming experience” and “educational level of household head” positively influence adaptation decisions. The result of the multinomial logit analysis shows that farming experience, educational level, farm size and gender have a significant impact on climate change adaptation strategies. Based on in-depth analysis of each strategy, we identify crop diversification and agroforestry as being the most promising strategies with benefits for farmers, the environment and future generations.","author":[{"dropping-particle":"","family":"Fadina","given":"A. M. R.","non-dropping-particle":"","parse-names":false,"suffix":""},{"dropping-particle":"","family":"Barjolle","given":"D.","non-dropping-particle":"","parse-names":false,"suffix":""}],"container-title":"Environments - MDPI","id":"ITEM-1","issue":"1","issued":{"date-parts":[["2018"]]},"page":"1-17","title":"Farmers’ adaptation strategies to climate change and their implications in the Zou department of South Benin","type":"article-journal","volume":"5"},"uris":["http://www.mendeley.com/documents/?uuid=fa9c079d-948e-41f1-b4df-69a4297e7fff"]}],"mendeley":{"formattedCitation":"(Fadina &amp; Barjolle, 2018)","plainTextFormattedCitation":"(Fadina &amp; Barjolle, 2018)","previouslyFormattedCitation":"(Fadina &amp; Barjolle, 2018)"},"properties":{"noteIndex":0},"schema":"https://github.com/citation-style-language/schema/raw/master/csl-citation.json"}</w:instrText>
      </w:r>
      <w:r w:rsidRPr="00895D0B">
        <w:rPr>
          <w:color w:val="000000" w:themeColor="text1"/>
        </w:rPr>
        <w:fldChar w:fldCharType="separate"/>
      </w:r>
      <w:r w:rsidRPr="00895D0B">
        <w:rPr>
          <w:noProof/>
          <w:color w:val="000000" w:themeColor="text1"/>
        </w:rPr>
        <w:t>(Fadina &amp; Barjolle, 2018)</w:t>
      </w:r>
      <w:r w:rsidRPr="00895D0B">
        <w:rPr>
          <w:color w:val="000000" w:themeColor="text1"/>
        </w:rPr>
        <w:fldChar w:fldCharType="end"/>
      </w:r>
      <w:r w:rsidRPr="00895D0B">
        <w:rPr>
          <w:color w:val="000000" w:themeColor="text1"/>
        </w:rPr>
        <w:t>.</w:t>
      </w:r>
    </w:p>
    <w:p w14:paraId="67309EE8" w14:textId="77777777" w:rsidR="001B4ED5" w:rsidRPr="00895D0B" w:rsidRDefault="001B4ED5" w:rsidP="00D0101A">
      <w:pPr>
        <w:pStyle w:val="NoSpacing"/>
      </w:pPr>
    </w:p>
    <w:p w14:paraId="4F4D2649" w14:textId="77777777" w:rsidR="001B4ED5" w:rsidRPr="00895D0B" w:rsidRDefault="006B41C0">
      <w:pPr>
        <w:pStyle w:val="NormalWeb"/>
        <w:shd w:val="clear" w:color="auto" w:fill="FFFFFF"/>
        <w:spacing w:before="0" w:beforeAutospacing="0" w:after="0" w:afterAutospacing="0" w:line="360" w:lineRule="auto"/>
        <w:jc w:val="both"/>
        <w:rPr>
          <w:color w:val="000000" w:themeColor="text1"/>
        </w:rPr>
      </w:pPr>
      <w:r w:rsidRPr="00895D0B">
        <w:rPr>
          <w:color w:val="000000" w:themeColor="text1"/>
        </w:rPr>
        <w:t xml:space="preserve">Highlighting urban farmers’ livestock production, there are interesting findings within the confines of climate change adaptations. Adopting adaptive livestock management practices, such as rotational grazing, can help sustain grazing lands and reduce overgrazing. Proper nutrition, health care, and shelter can enhance animal resilience to </w:t>
      </w:r>
      <w:r w:rsidRPr="00895D0B">
        <w:rPr>
          <w:color w:val="000000" w:themeColor="text1"/>
        </w:rPr>
        <w:lastRenderedPageBreak/>
        <w:t xml:space="preserve">extreme temperatures and diseases </w:t>
      </w:r>
      <w:r w:rsidRPr="00895D0B">
        <w:rPr>
          <w:color w:val="000000" w:themeColor="text1"/>
        </w:rPr>
        <w:fldChar w:fldCharType="begin" w:fldLock="1"/>
      </w:r>
      <w:r w:rsidRPr="00895D0B">
        <w:rPr>
          <w:color w:val="000000" w:themeColor="text1"/>
        </w:rPr>
        <w:instrText>ADDIN CSL_CITATION {"citationItems":[{"id":"ITEM-1","itemData":{"DOI":"10.1016/j.heliyon.2022.e12200","ISSN":"24058440","abstract":"The aim of this study is to assess livestock farmers' perception of climate change (CC)/variability and adaptation strategies in the Gera district. Rainfall and temperature were the variables taken in the CC perception study. A total of 190 smallholder livestock farmers were sampled for the survey. Primary data were collected through semi-structured questionnaire interviews, focus group discussions (FGDs) and meteorological data series of 2001–2020. The Statistical Package for Social Sciences (SPSS) version 20.0 was used to analyze the data. The results revealed that 79.17% of respondents perceived climate change over the past 20 years. About 84.9% and 82.9% of respondents perceived increasing temperature and decreasing rainfall over the past 20 years, respectively. Farmers' perception was consistent with meteorological data of the area, which also showed increasing trend in temperature and decreasing trend in rainfall. Farmers' perceived that anthropogenic action and natural processes, anthropogenic action, natural processes, and God's anger against human sins were the main causes of CC, in decreasing order. No statistical difference (p &gt; 0.05) was found between AEZs regarding effects of CC except for incidence of trypanosomiasis. Decreased quality and quantity of feeds, water availability, milk production, and animal fertility, and increased calving interval, number of services per conception, incidence of animal disease, and parasite were perceived as the major impacts (indicators) of CC on livestock production and productivity in their order of importance. Diversification of mixed crop-livestock, diversification of livestock species, feed conservation, reducing herd sizes, water harvesting, provision of supplementary feeds, and forage production were the most practiced adaptation strategies. Lack of technical know-how about water harvesting, shortage of land for forage production, lack of improved forage seeds, lack of supplementary feed, poor livestock management skill, lack of feed conservation practices and poor access to market were the most important barriers to CC adaptation. It is concluded that there is a need for policy makers and livestock development stakeholders to formulate and implement intervention that promote farmers' perception and adaptation abilities to CC impacts and address the identified barriers for improving livestock productivity in the study area.","author":[{"dropping-particle":"","family":"Abazinab","given":"H.","non-dropping-particle":"","parse-names":false,"suffix":""},{"dropping-particle":"","family":"Duguma","given":"B.","non-dropping-particle":"","parse-names":false,"suffix":""},{"dropping-particle":"","family":"Muleta","given":"E.","non-dropping-particle":"","parse-names":false,"suffix":""}],"container-title":"Heliyon","id":"ITEM-1","issue":"12","issued":{"date-parts":[["2022"]]},"page":"e12200","publisher":"The Author(s)","title":"Livestock farmers' perception of climate change and adaptation strategies in the Gera district, Jimma zone, Oromia Regional state, southwest Ethiopia","type":"article-journal","volume":"8"},"uris":["http://www.mendeley.com/documents/?uuid=d9a78cae-4a63-402e-b447-071c4a124ef4"]}],"mendeley":{"formattedCitation":"(Abazinab et al., 2022)","plainTextFormattedCitation":"(Abazinab et al., 2022)","previouslyFormattedCitation":"(Abazinab et al., 2022)"},"properties":{"noteIndex":0},"schema":"https://github.com/citation-style-language/schema/raw/master/csl-citation.json"}</w:instrText>
      </w:r>
      <w:r w:rsidRPr="00895D0B">
        <w:rPr>
          <w:color w:val="000000" w:themeColor="text1"/>
        </w:rPr>
        <w:fldChar w:fldCharType="separate"/>
      </w:r>
      <w:r w:rsidRPr="00895D0B">
        <w:rPr>
          <w:noProof/>
          <w:color w:val="000000" w:themeColor="text1"/>
        </w:rPr>
        <w:t>(Abazinab et al., 2022)</w:t>
      </w:r>
      <w:r w:rsidRPr="00895D0B">
        <w:rPr>
          <w:color w:val="000000" w:themeColor="text1"/>
        </w:rPr>
        <w:fldChar w:fldCharType="end"/>
      </w:r>
      <w:r w:rsidRPr="00895D0B">
        <w:rPr>
          <w:color w:val="000000" w:themeColor="text1"/>
        </w:rPr>
        <w:t xml:space="preserve">. Climate change creates systems for pests, diseases, and extreme weather events that lead to a reduction in animal production. Farmers decide on the animal breeds to rear, livestock producers can make informed decisions by accessing climate information and forecasts. This enables them to adjust breeding schedules, optimize resource allocation, and reduce climate-related risks. It is good to note that climate change adaptation measures may vary depending on the specific climate conditions, location, and agricultural practices in different regions. Farmers resort to appropriate feeds and sources to enable safe animal producers from feeding climate change-related problems. Urban farmers can adopt climate-smart livestock management practices to adapt to changing climatic conditions. This may include adjusting feeding strategies, providing shade or shelter, and ensuring access to clean water to mitigate the impacts of heat stress on animals </w:t>
      </w:r>
      <w:r w:rsidRPr="00895D0B">
        <w:rPr>
          <w:color w:val="000000" w:themeColor="text1"/>
        </w:rPr>
        <w:fldChar w:fldCharType="begin" w:fldLock="1"/>
      </w:r>
      <w:r w:rsidRPr="00895D0B">
        <w:rPr>
          <w:color w:val="000000" w:themeColor="text1"/>
        </w:rPr>
        <w:instrText>ADDIN CSL_CITATION {"citationItems":[{"id":"ITEM-1","itemData":{"DOI":"10.3390/environments5010015","ISBN":"4176578440","ISSN":"20763298","abstract":"Climate change is a global phenomenon. Its impact on agricultural activities in developing countries has increased dramatically. Understanding how farmers perceive climate change and how they adapt to it is very important to the implementation of adequate policies for agricultural and food security. This paper aims to contribute to an understanding of farmers’ adaptation choices, determinants of the adaptation choices and the long-term implications of the adaptation choices. Data were collected from 120 respondents in the Zou Department of Benin. A binary logit model was used to analyze the factors influencing household decisions to adapt to climate change. Multinomial logistic regression analysis was estimated to analyze the factors influencing households’ choice of adaptation strategies to climate change. The results show that farmers have a developed perception of climate change. These changes are translated by rainfall disturbances (rainfall delays, early cessation, bad rainfall distribution etc.), shortening of the small dry season, increasing of temperature and sometimes, violent winds. The survey reveals that Benin farmers adopt many strategies in response to climate change. These strategies include “Crop–livestock diversification and other good practices (mulching, organic fertilizer),” “Use of improved varieties, chemical fertilizers and pesticides,” “Agroforestry and perennial plantation” and “Diversification of income-generating activities.” The findings also reveal that most of the respondents use these strategies in combination. From the binary logit model, we know that “farming experience” and “educational level of household head” positively influence adaptation decisions. The result of the multinomial logit analysis shows that farming experience, educational level, farm size and gender have a significant impact on climate change adaptation strategies. Based on in-depth analysis of each strategy, we identify crop diversification and agroforestry as being the most promising strategies with benefits for farmers, the environment and future generations.","author":[{"dropping-particle":"","family":"Fadina","given":"A. M. R.","non-dropping-particle":"","parse-names":false,"suffix":""},{"dropping-particle":"","family":"Barjolle","given":"D.","non-dropping-particle":"","parse-names":false,"suffix":""}],"container-title":"Environments - MDPI","id":"ITEM-1","issue":"1","issued":{"date-parts":[["2018"]]},"page":"1-17","title":"Farmers’ adaptation strategies to climate change and their implications in the Zou department of South Benin","type":"article-journal","volume":"5"},"uris":["http://www.mendeley.com/documents/?uuid=fa9c079d-948e-41f1-b4df-69a4297e7fff"]}],"mendeley":{"formattedCitation":"(Fadina &amp; Barjolle, 2018)","plainTextFormattedCitation":"(Fadina &amp; Barjolle, 2018)","previouslyFormattedCitation":"(Fadina &amp; Barjolle, 2018)"},"properties":{"noteIndex":0},"schema":"https://github.com/citation-style-language/schema/raw/master/csl-citation.json"}</w:instrText>
      </w:r>
      <w:r w:rsidRPr="00895D0B">
        <w:rPr>
          <w:color w:val="000000" w:themeColor="text1"/>
        </w:rPr>
        <w:fldChar w:fldCharType="separate"/>
      </w:r>
      <w:r w:rsidRPr="00895D0B">
        <w:rPr>
          <w:noProof/>
          <w:color w:val="000000" w:themeColor="text1"/>
        </w:rPr>
        <w:t>(Fadina &amp; Barjolle, 2018)</w:t>
      </w:r>
      <w:r w:rsidRPr="00895D0B">
        <w:rPr>
          <w:color w:val="000000" w:themeColor="text1"/>
        </w:rPr>
        <w:fldChar w:fldCharType="end"/>
      </w:r>
      <w:r w:rsidRPr="00895D0B">
        <w:rPr>
          <w:color w:val="000000" w:themeColor="text1"/>
        </w:rPr>
        <w:t>.</w:t>
      </w:r>
    </w:p>
    <w:p w14:paraId="5DC2AFF6" w14:textId="77777777" w:rsidR="001B4ED5" w:rsidRPr="00895D0B" w:rsidRDefault="001B4ED5" w:rsidP="00D0101A">
      <w:pPr>
        <w:pStyle w:val="NoSpacing"/>
      </w:pPr>
    </w:p>
    <w:p w14:paraId="19C290F5" w14:textId="77777777" w:rsidR="006116B9" w:rsidRPr="00895D0B" w:rsidRDefault="006B41C0">
      <w:pPr>
        <w:pStyle w:val="NormalWeb"/>
        <w:shd w:val="clear" w:color="auto" w:fill="FFFFFF"/>
        <w:spacing w:before="0" w:beforeAutospacing="0" w:after="0" w:afterAutospacing="0" w:line="360" w:lineRule="auto"/>
        <w:jc w:val="both"/>
        <w:rPr>
          <w:color w:val="000000" w:themeColor="text1"/>
        </w:rPr>
      </w:pPr>
      <w:r w:rsidRPr="00895D0B">
        <w:rPr>
          <w:color w:val="000000" w:themeColor="text1"/>
        </w:rPr>
        <w:t xml:space="preserve">The study revealed that urban farmers manage their animals' health from climate change through vaccination, giving animals pills, disinfecting animals’ pens, and spraying farm animals with insecticides. In terms of animal treatment, it is essential to consider the well-being and health of the animals in the face of climate change. This may involve providing proper shelter and ensuring adequate ventilation to reduce the impacts of extreme weather events </w:t>
      </w:r>
      <w:r w:rsidRPr="00895D0B">
        <w:rPr>
          <w:color w:val="000000" w:themeColor="text1"/>
        </w:rPr>
        <w:fldChar w:fldCharType="begin" w:fldLock="1"/>
      </w:r>
      <w:r w:rsidRPr="00895D0B">
        <w:rPr>
          <w:color w:val="000000" w:themeColor="text1"/>
        </w:rPr>
        <w:instrText>ADDIN CSL_CITATION {"citationItems":[{"id":"ITEM-1","itemData":{"DOI":"10.3390/cli5040095","ISSN":"22251154","abstract":"The livestock sector is vulnerable to climate change and related policy in two ways. First, livestock production and performance are directly impacted by climate with many projected effects being negative. Second, the sector may need to alter operations to limit the effects of climate change through adaptation and mitigation. Potential adaptation strategies involve land use decisions, animal feeding changes, genetic manipulation and alterations in species and/or breeds. In terms of mitigation, livestock is a substantial contributor to global non-CO2 greenhouse gas emissions. Mitigation opportunities involve altered land use for grazing and feed production, feeding practices, manure treatment and herd size reduction. In addition, strengthening institutions that promote markets and trade, as well as local support programs can help both mitigation and adaptation. Previous literature has summarized the options available to individual producers. This overview extends the literature by including sector-level response as well as the relationships between adaptation and mitigation activities.","author":[{"dropping-particle":"","family":"Zhang","given":"Y. W.","non-dropping-particle":"","parse-names":false,"suffix":""},{"dropping-particle":"","family":"McCarl","given":"B. A.","non-dropping-particle":"","parse-names":false,"suffix":""},{"dropping-particle":"","family":"Jones","given":"J. P.H.","non-dropping-particle":"","parse-names":false,"suffix":""}],"container-title":"Climate","id":"ITEM-1","issue":"4","issued":{"date-parts":[["2017"]]},"page":"1-15","title":"An overview of mitigation and adaptation needs and strategies for the livestock sector","type":"article-journal","volume":"5"},"uris":["http://www.mendeley.com/documents/?uuid=ad79c796-ed21-477d-8fb9-9f44acb134e5"]}],"mendeley":{"formattedCitation":"(Zhang et al., 2017)","plainTextFormattedCitation":"(Zhang et al., 2017)","previouslyFormattedCitation":"(Zhang et al., 2017)"},"properties":{"noteIndex":0},"schema":"https://github.com/citation-style-language/schema/raw/master/csl-citation.json"}</w:instrText>
      </w:r>
      <w:r w:rsidRPr="00895D0B">
        <w:rPr>
          <w:color w:val="000000" w:themeColor="text1"/>
        </w:rPr>
        <w:fldChar w:fldCharType="separate"/>
      </w:r>
      <w:r w:rsidRPr="00895D0B">
        <w:rPr>
          <w:noProof/>
          <w:color w:val="000000" w:themeColor="text1"/>
        </w:rPr>
        <w:t>(Zhang et al., 2017)</w:t>
      </w:r>
      <w:r w:rsidRPr="00895D0B">
        <w:rPr>
          <w:color w:val="000000" w:themeColor="text1"/>
        </w:rPr>
        <w:fldChar w:fldCharType="end"/>
      </w:r>
      <w:r w:rsidRPr="00895D0B">
        <w:rPr>
          <w:color w:val="000000" w:themeColor="text1"/>
        </w:rPr>
        <w:t xml:space="preserve">. Additionally, farmers can adapt their animal feeding practices to ensure the animals receive appropriate nutrition and hydration during periods of heat stress or drought. It is worth noting that specific adaptation measures for animal treatment in urban farming may vary depending on the local context and available resources </w:t>
      </w:r>
      <w:r w:rsidRPr="00895D0B">
        <w:rPr>
          <w:color w:val="000000" w:themeColor="text1"/>
        </w:rPr>
        <w:fldChar w:fldCharType="begin" w:fldLock="1"/>
      </w:r>
      <w:r w:rsidRPr="00895D0B">
        <w:rPr>
          <w:color w:val="000000" w:themeColor="text1"/>
        </w:rPr>
        <w:instrText>ADDIN CSL_CITATION {"citationItems":[{"id":"ITEM-1","itemData":{"DOI":"10.3390/ijfs11010019","ISSN":"22277072","abstract":"Financial recording is still difficult due to the limited knowledge of farmers, whereas financial recordings are crucial for producing important reports for business development. This study aims to analyze the factors related to farmers’ activity in recording farm finances and the impact on farmers’ production and income. The study was carried out in West Java and included 200 potato farmers in the Garut and Bandung Districts. Factors related to the farmers’ experiences recording farm finances were investigated using logistic regression analysis. The results of this study showed that the significant factors related to farmers’ activity recording farm finances are the farmers’ education, their participation in the training of financial records, and their experience in obtaining finance from farmers’ associations, traders and agricultural input kiosks. Furthermore, this study also showed that recording financial transactions in agricultural business can increase farmers’ production and income. This study provides insights to policymakers and financial providers, showing the need to provide farmers with assistance in financial recording.","author":[{"dropping-particle":"","family":"Wulandari","given":"E.","non-dropping-particle":"","parse-names":false,"suffix":""},{"dropping-particle":"","family":"Karyani","given":"T.","non-dropping-particle":"","parse-names":false,"suffix":""},{"dropping-particle":"","family":"Ernah","given":"","non-dropping-particle":"","parse-names":false,"suffix":""},{"dropping-particle":"","family":"Alamsyah","given":"R. T. P.","non-dropping-particle":"","parse-names":false,"suffix":""}],"container-title":"International Journal of Financial Studies","id":"ITEM-1","issue":"1","issued":{"date-parts":[["2023"]]},"title":"What Makes Farmers Record Farm Financial Transactions? Empirical Evidence from Potato Farmers in Indonesia","type":"article-journal","volume":"11"},"uris":["http://www.mendeley.com/documents/?uuid=71d1f98b-8f58-448a-bb8d-bcd63ed92988"]}],"mendeley":{"formattedCitation":"(E. Wulandari et al., 2023)","manualFormatting":"(Wulandari et al., 2023)","plainTextFormattedCitation":"(E. Wulandari et al., 2023)","previouslyFormattedCitation":"(E. Wulandari et al., 2023)"},"properties":{"noteIndex":0},"schema":"https://github.com/citation-style-language/schema/raw/master/csl-citation.json"}</w:instrText>
      </w:r>
      <w:r w:rsidRPr="00895D0B">
        <w:rPr>
          <w:color w:val="000000" w:themeColor="text1"/>
        </w:rPr>
        <w:fldChar w:fldCharType="separate"/>
      </w:r>
      <w:r w:rsidRPr="00895D0B">
        <w:rPr>
          <w:noProof/>
          <w:color w:val="000000" w:themeColor="text1"/>
        </w:rPr>
        <w:t>(Wulandari et al., 2023)</w:t>
      </w:r>
      <w:r w:rsidRPr="00895D0B">
        <w:rPr>
          <w:color w:val="000000" w:themeColor="text1"/>
        </w:rPr>
        <w:fldChar w:fldCharType="end"/>
      </w:r>
      <w:r w:rsidRPr="00895D0B">
        <w:rPr>
          <w:color w:val="000000" w:themeColor="text1"/>
        </w:rPr>
        <w:t xml:space="preserve">. Since there is limited information on this specific topic, it is advisable to consult local agricultural extension services or organizations specializing in urban farming for more tailored and up-to-date guidance in this regard. The provision of extension services to urban farmers is an important aspect of supporting and promoting urban agriculture. The finding supports the fact that extension services involve the dissemination of information, knowledge, and technical assistance to farmers to enhance their productivity and sustainability </w:t>
      </w:r>
      <w:r w:rsidRPr="00895D0B">
        <w:rPr>
          <w:color w:val="000000" w:themeColor="text1"/>
        </w:rPr>
        <w:fldChar w:fldCharType="begin" w:fldLock="1"/>
      </w:r>
      <w:r w:rsidRPr="00895D0B">
        <w:rPr>
          <w:color w:val="000000" w:themeColor="text1"/>
        </w:rPr>
        <w:instrText>ADDIN CSL_CITATION {"citationItems":[{"id":"ITEM-1","itemData":{"DOI":"10.24259/fs.v5i1.7389","ISSN":"25494333","abstract":"The Batutegi Forest Management Unit (FMU) in Lampung Province, Indonesia is beginning to observe the consequences of climate change. Meanwhile, communities in Batutegi are also suggesting that effects of climate change are becoming more prominent in their region. Indicators include rising air temperature and the increasing regularity of extreme weather changes. Studies show that land cover has decreased by up to 95% in the region. As these trends intensify, predictions note that the Batutegi reservoir and the productivity of the surrounding protected forests will be affected. This research examines FMU efforts to adapt to vulnerabilities from environmental and climate change. The broader objective of this research is to determine the appropriate climate change adaptation efforts, specifically regarding the management of sustainable forest protection. The method is conducted through regression analysis to identify significant variables and applies the Analytic Hierarchy Process (AHP) to identify priorities for planned interventions for climate change adaptation by the FMU. Based on regression results there were four significant variables, i.e. appropriate agroforestry initiatives, non-timber forest products, community institutional support, and local policy engagement. This research also considers various kinds of technologies of adaptation applied by local communities. Examining community efforts also presents possibilities for improving FMU institutional planning that is locally responsive. This is done primarily through agroforestry techniques and other community conservation practices. Based on the result of the AHP analysis, the findings highlight various programs related to agroforestry technologies as the top priority. Thereafter, priorities point to institutional development policies. Together, these priorities can form the basic considerations for developing climate change adaptation policies in Batutegi. These policies can be applied with, and by communities in managing forests through agroforestry, beginning with support for high quality seed procurement that also supports all phases of cultivation and supply chain through final product marketing. As a result, forest productivity and support for local income can form a robust approach for fulfilling community needs despite the effects of environmental and climate change in Batutegi.","author":[{"dropping-particle":"","family":"Wulandari","given":"C.","non-dropping-particle":"","parse-names":false,"suffix":""}],"container-title":"Forest and Society","id":"ITEM-1","issue":"1","issued":{"date-parts":[["2021"]]},"page":"48-59","title":"Identifying climate change adaptation efforts in the batutegi forest management unit, Indonesia","type":"article-journal","volume":"5"},"uris":["http://www.mendeley.com/documents/?uuid=e6d768d2-1332-4571-91d4-20cb1bd61617"]}],"mendeley":{"formattedCitation":"(C. Wulandari, 2021)","manualFormatting":"(Wulandari, 2021)","plainTextFormattedCitation":"(C. Wulandari, 2021)","previouslyFormattedCitation":"(C. Wulandari,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(Wulandari, 2021)</w:t>
      </w:r>
      <w:r w:rsidRPr="00895D0B">
        <w:rPr>
          <w:color w:val="000000" w:themeColor="text1"/>
        </w:rPr>
        <w:fldChar w:fldCharType="end"/>
      </w:r>
      <w:r w:rsidRPr="00895D0B">
        <w:rPr>
          <w:color w:val="000000" w:themeColor="text1"/>
        </w:rPr>
        <w:t xml:space="preserve">. However, farmers who are into animal production get extension services more than in crop production. </w:t>
      </w:r>
    </w:p>
    <w:p w14:paraId="150077D2" w14:textId="77777777" w:rsidR="006116B9" w:rsidRPr="00895D0B" w:rsidRDefault="006116B9">
      <w:pPr>
        <w:pStyle w:val="NormalWeb"/>
        <w:shd w:val="clear" w:color="auto" w:fill="FFFFFF"/>
        <w:spacing w:before="0" w:beforeAutospacing="0" w:after="0" w:afterAutospacing="0" w:line="360" w:lineRule="auto"/>
        <w:jc w:val="both"/>
        <w:rPr>
          <w:color w:val="000000" w:themeColor="text1"/>
        </w:rPr>
      </w:pPr>
    </w:p>
    <w:p w14:paraId="10E54A5C" w14:textId="69163BC9" w:rsidR="001B4ED5" w:rsidRPr="00895D0B" w:rsidRDefault="006B41C0">
      <w:pPr>
        <w:pStyle w:val="NormalWeb"/>
        <w:shd w:val="clear" w:color="auto" w:fill="FFFFFF"/>
        <w:spacing w:before="0" w:beforeAutospacing="0" w:after="0" w:afterAutospacing="0" w:line="360" w:lineRule="auto"/>
        <w:jc w:val="both"/>
        <w:rPr>
          <w:color w:val="000000" w:themeColor="text1"/>
        </w:rPr>
      </w:pPr>
      <w:r w:rsidRPr="00895D0B">
        <w:rPr>
          <w:color w:val="000000" w:themeColor="text1"/>
        </w:rPr>
        <w:lastRenderedPageBreak/>
        <w:t>In urban areas, extension workers play a crucial role in providing urban farmers with guidance and information tailored to their specific needs. They work closely with farmer groups and communities to address their challenges and help them adopt best practices in urban farming </w:t>
      </w:r>
      <w:r w:rsidRPr="00895D0B">
        <w:rPr>
          <w:color w:val="000000" w:themeColor="text1"/>
        </w:rPr>
        <w:fldChar w:fldCharType="begin" w:fldLock="1"/>
      </w:r>
      <w:r w:rsidRPr="00895D0B">
        <w:rPr>
          <w:color w:val="000000" w:themeColor="text1"/>
        </w:rPr>
        <w:instrText>ADDIN CSL_CITATION {"citationItems":[{"id":"ITEM-1","itemData":{"DOI":"10.1186/s40066-018-0212-2","ISSN":"20487010","abstract":"Background: This paper devotes to determinants of crop-livestock diversification in the mixed farming systems in the Gudo Beret watershed, central highlands of Ethiopia. In the highland agro-ecologies, the mixed farming-dominated agriculture is persistently confronted with food insecurity, feed scarcity and land degradation. During heavy rains or drought periods, farmers become vulnerable to food and feed shortfalls. To fill such gaps, the government of Ethiopia has made efforts to enhance the productive capacity of soils and thereby increase productivity on diversified farms in different agro-systems. Anthropogenic and natural calamities adversely affect the livelihoods of smallholders in general and crop-livestock systems in particular. The aim of this study is to examine the determinants of crop-livestock diversification and evaluate the link between farm activities and household food supplies. Methods: Both qualitative and quantitative data were collected from 211 randomly selected household-heads in Gudo Beret watershed, central highlands of Ethiopia. Descriptive statistics, inferential tests, and econometric models were employed for analysis. Results: Tobit model results revealed that livestock holding is positive and significantly influence the extent of crop-livestock diversification at 1% significant level. Extension contact and irrigated land are also positive and significantly influence the extent of diversification at 5% level, while land rent-out, improved seed and soil fertility status are negative and significantly influence the crop-livestock diversification at 1, 5, and 5% significant levels. Ordinary least square regression results show that barley, wheat- and faba bean-based farming have positive correlation and significant effects on the household food energy, while vegetables and highland fruits production have negative correlation with the household food supply and significant at 1% level. Conclusions: Crop-livestock diversification is the best potential livelihood strategy for farm households. Barley, wheat and faba bean are the most dominant crops that have immense contribution for human nutrition and crop residue mainly used to feed livestock. Therefore, crop-livestock producers, agricultural practitioners, the Ethiopian government and partner organizations need to give due attention for agricultural extension service, investment for supplementary irrigation and integrated mixed crop-livestock systems.","author":[{"dropping-particle":"","family":"Mekuria","given":"W.","non-dropping-particle":"","parse-names":false,"suffix":""},{"dropping-particle":"","family":"Mekonnen","given":"K.","non-dropping-particle":"","parse-names":false,"suffix":""}],"container-title":"Agriculture and Food Security","id":"ITEM-1","issue":"1","issued":{"date-parts":[["2018"]]},"page":"1-15","publisher":"BioMed Central","title":"Determinants of crop-livestock diversification in the mixed farming systems: Evidence from central highlands of Ethiopia","type":"article-journal","volume":"7"},"uris":["http://www.mendeley.com/documents/?uuid=60619e90-c0c9-42e4-93d2-f9a7e3c4f30a"]}],"mendeley":{"formattedCitation":"(Mekuria &amp; Mekonnen, 2018)","plainTextFormattedCitation":"(Mekuria &amp; Mekonnen, 2018)","previouslyFormattedCitation":"(Mekuria &amp; Mekonnen, 2018)"},"properties":{"noteIndex":0},"schema":"https://github.com/citation-style-language/schema/raw/master/csl-citation.json"}</w:instrText>
      </w:r>
      <w:r w:rsidRPr="00895D0B">
        <w:rPr>
          <w:color w:val="000000" w:themeColor="text1"/>
        </w:rPr>
        <w:fldChar w:fldCharType="separate"/>
      </w:r>
      <w:r w:rsidRPr="00895D0B">
        <w:rPr>
          <w:noProof/>
          <w:color w:val="000000" w:themeColor="text1"/>
        </w:rPr>
        <w:t>(Mekuria &amp; Mekonnen, 2018)</w:t>
      </w:r>
      <w:r w:rsidRPr="00895D0B">
        <w:rPr>
          <w:color w:val="000000" w:themeColor="text1"/>
        </w:rPr>
        <w:fldChar w:fldCharType="end"/>
      </w:r>
      <w:r w:rsidRPr="00895D0B">
        <w:rPr>
          <w:color w:val="000000" w:themeColor="text1"/>
        </w:rPr>
        <w:t>. The extension workers typically collaborate with local government agencies, agricultural departments, and other relevant organizations to ensure that the information provided is in line with the city's agriculture and food policies </w:t>
      </w:r>
      <w:r w:rsidRPr="00895D0B">
        <w:rPr>
          <w:color w:val="000000" w:themeColor="text1"/>
        </w:rPr>
        <w:fldChar w:fldCharType="begin" w:fldLock="1"/>
      </w:r>
      <w:r w:rsidRPr="00895D0B">
        <w:rPr>
          <w:color w:val="000000" w:themeColor="text1"/>
        </w:rPr>
        <w:instrText>ADDIN CSL_CITATION {"citationItems":[{"id":"ITEM-1","itemData":{"DOI":"10.1108/JADEE-06-2017-0065","ISSN":"20440847","abstract":"Purpose: The purpose of this paper is twofold: first, to take stock of the current state of knowledge about inclusive value-chain development (VCD) in the context of international agricultural research; and second, to draw out the implications for future research and action. Design/methodology/approach: This paper is based on a review of recent research papers authored by professionals affiliated with international agricultural research centers and their partners in Africa, Asia, and Latin America. Findings: The studies reviewed in the paper identify the opportunities emerging from new and expanding markets for agricultural products and challenges to smallholder participation in these markets. It identifies key attributes of successful value-chain interventions, emphasizing the importance of combining value-chain approaches with other approaches, including those emerging from innovation systems and rural livelihoods frameworks. Methods are offered for evaluating complex value-chain interventions. Research limitations/implications: The paper summarizes the state of knowledge as of early 2016 in a dynamic field. Important contributions to knowledge may have been made since then. Originality/value: The paper summarizes the state of knowledge in the field, and identifies emerging issues and policy implications, knowledge gaps, and priorities for future applied research.","author":[{"dropping-particle":"","family":"Devaux","given":"A.","non-dropping-particle":"","parse-names":false,"suffix":""},{"dropping-particle":"","family":"Torero","given":"M.","non-dropping-particle":"","parse-names":false,"suffix":""},{"dropping-particle":"","family":"Donovan","given":"J.","non-dropping-particle":"","parse-names":false,"suffix":""},{"dropping-particle":"","family":"Horton","given":"D.","non-dropping-particle":"","parse-names":false,"suffix":""}],"container-title":"Journal of Agribusiness in Developing and Emerging Economies","id":"ITEM-1","issue":"1","issued":{"date-parts":[["2018"]]},"page":"99-123","title":"Agricultural innovation and inclusive value-chain development: a review","type":"article-journal","volume":"8"},"uris":["http://www.mendeley.com/documents/?uuid=7bdd9778-44e9-44e8-b438-16811b289cb0"]}],"mendeley":{"formattedCitation":"(Devaux et al., 2018)","plainTextFormattedCitation":"(Devaux et al., 2018)","previouslyFormattedCitation":"(Devaux et al., 2018)"},"properties":{"noteIndex":0},"schema":"https://github.com/citation-style-language/schema/raw/master/csl-citation.json"}</w:instrText>
      </w:r>
      <w:r w:rsidRPr="00895D0B">
        <w:rPr>
          <w:color w:val="000000" w:themeColor="text1"/>
        </w:rPr>
        <w:fldChar w:fldCharType="separate"/>
      </w:r>
      <w:r w:rsidRPr="00895D0B">
        <w:rPr>
          <w:noProof/>
          <w:color w:val="000000" w:themeColor="text1"/>
        </w:rPr>
        <w:t>(Devaux et al., 2018)</w:t>
      </w:r>
      <w:r w:rsidRPr="00895D0B">
        <w:rPr>
          <w:color w:val="000000" w:themeColor="text1"/>
        </w:rPr>
        <w:fldChar w:fldCharType="end"/>
      </w:r>
      <w:r w:rsidRPr="00895D0B">
        <w:rPr>
          <w:color w:val="000000" w:themeColor="text1"/>
        </w:rPr>
        <w:t>. These extension services can cover a wide range of topics, including crop selection and cultivation techniques, pest and disease management, soil fertility enhancement, water management, and post-harvest handling </w:t>
      </w:r>
      <w:r w:rsidRPr="00895D0B">
        <w:rPr>
          <w:color w:val="000000" w:themeColor="text1"/>
        </w:rPr>
        <w:fldChar w:fldCharType="begin" w:fldLock="1"/>
      </w:r>
      <w:r w:rsidRPr="00895D0B">
        <w:rPr>
          <w:color w:val="000000" w:themeColor="text1"/>
        </w:rPr>
        <w:instrText>ADDIN CSL_CITATION {"citationItems":[{"id":"ITEM-1","itemData":{"DOI":"10.1016/j.landusepol.2019.03.030","ISSN":"02648377","abstract":"Smallholder farmers in the mid-hills of Nepal are facing an acute labor shortage due to out-migration which, in general, has affected the capacity to achieve timely crop establishment, harvest, and inter-cultural operations. These effects are more visible in the case of labor-intensive crops such as rice and promoting higher levels of rural mechanization has emerged as the primary policy response option. Nevertheless, quantitative evidence for the ability of mechanization to offset the adverse effects of shortages increasing labor prices in these systems is largely absent. This study investigates the impacts associated with adoption of mini-tillers (5 to 9 horsepower) for land preparation on smallholder rice productivity in the mid-hills of Nepal. We use an endogenous switching regression that accounts for both observed and unobserved sources of heterogeneity between mini-tiller adopters and non-adopters. Findings demonstrate that rising on-farm rural wage rates and an emerging decline in draft animal availability are driving adoption of the mini-tiller. Among users, the mini-tiller increased rice productivity by 1,110 kg/ha (27%). Further, regression results suggest that mini-tiller non-adopters would be able to increase their rice productivity by 1,250 kg/ha (26%) if they adopt. Moreover, our analysis revealed that very small farms (≤0.25 ha) that adopt mini-tillers are benefited the most in terms of gains in rice productivity. These findings support policies that favor the expansion of small-scale mechanization in the hill production ecologies of South Asia and highlight the need to foster the emergence of an associated service economy that will permit smallholders access to capital-intensive machinery such as the mini-tiller.","author":[{"dropping-particle":"","family":"Paudel","given":"G. P.","non-dropping-particle":"","parse-names":false,"suffix":""},{"dropping-particle":"","family":"KC","given":"D. B.","non-dropping-particle":"","parse-names":false,"suffix":""},{"dropping-particle":"","family":"Rahut","given":"D. B.","non-dropping-particle":"","parse-names":false,"suffix":""},{"dropping-particle":"","family":"Justice","given":"S. E.","non-dropping-particle":"","parse-names":false,"suffix":""},{"dropping-particle":"","family":"McDonald","given":"A. J.","non-dropping-particle":"","parse-names":false,"suffix":""}],"container-title":"Land Use Policy","id":"ITEM-1","issue":"October 2018","issued":{"date-parts":[["2019"]]},"page":"104-113","publisher":"Elsevier","title":"Scale-appropriate mechanization impacts on productivity among smallholders: Evidence from rice systems in the mid-hills of Nepal","type":"article-journal","volume":"85"},"uris":["http://www.mendeley.com/documents/?uuid=29912ab3-dbd1-473c-b1f6-7c1984544894"]}],"mendeley":{"formattedCitation":"(Paudel et al., 2019)","plainTextFormattedCitation":"(Paudel et al., 2019)","previouslyFormattedCitation":"(Paudel et al., 2019)"},"properties":{"noteIndex":0},"schema":"https://github.com/citation-style-language/schema/raw/master/csl-citation.json"}</w:instrText>
      </w:r>
      <w:r w:rsidRPr="00895D0B">
        <w:rPr>
          <w:color w:val="000000" w:themeColor="text1"/>
        </w:rPr>
        <w:fldChar w:fldCharType="separate"/>
      </w:r>
      <w:r w:rsidRPr="00895D0B">
        <w:rPr>
          <w:noProof/>
          <w:color w:val="000000" w:themeColor="text1"/>
        </w:rPr>
        <w:t>(Paudel et al., 2019)</w:t>
      </w:r>
      <w:r w:rsidRPr="00895D0B">
        <w:rPr>
          <w:color w:val="000000" w:themeColor="text1"/>
        </w:rPr>
        <w:fldChar w:fldCharType="end"/>
      </w:r>
      <w:r w:rsidRPr="00895D0B">
        <w:rPr>
          <w:color w:val="000000" w:themeColor="text1"/>
        </w:rPr>
        <w:t>. By offering extension services, urban farmers can gain access to valuable resources and knowledge that can improve their farming practices and increase their yields. This support can also contribute to the overall development of sustainable urban agriculture and food security in urban areas. Overall, the provision of extension services to urban farmers is crucial in empowering them with the necessary skills and knowledge to thrive in urban agriculture, ensuring the sustainability and productivity of their farming activities </w:t>
      </w:r>
      <w:r w:rsidRPr="00895D0B">
        <w:rPr>
          <w:color w:val="000000" w:themeColor="text1"/>
        </w:rPr>
        <w:fldChar w:fldCharType="begin" w:fldLock="1"/>
      </w:r>
      <w:r w:rsidRPr="00895D0B">
        <w:rPr>
          <w:color w:val="000000" w:themeColor="text1"/>
        </w:rPr>
        <w:instrText>ADDIN CSL_CITATION {"citationItems":[{"id":"ITEM-1","itemData":{"DOI":"10.24259/fs.v5i1.7389","ISSN":"25494333","abstract":"The Batutegi Forest Management Unit (FMU) in Lampung Province, Indonesia is beginning to observe the consequences of climate change. Meanwhile, communities in Batutegi are also suggesting that effects of climate change are becoming more prominent in their region. Indicators include rising air temperature and the increasing regularity of extreme weather changes. Studies show that land cover has decreased by up to 95% in the region. As these trends intensify, predictions note that the Batutegi reservoir and the productivity of the surrounding protected forests will be affected. This research examines FMU efforts to adapt to vulnerabilities from environmental and climate change. The broader objective of this research is to determine the appropriate climate change adaptation efforts, specifically regarding the management of sustainable forest protection. The method is conducted through regression analysis to identify significant variables and applies the Analytic Hierarchy Process (AHP) to identify priorities for planned interventions for climate change adaptation by the FMU. Based on regression results there were four significant variables, i.e. appropriate agroforestry initiatives, non-timber forest products, community institutional support, and local policy engagement. This research also considers various kinds of technologies of adaptation applied by local communities. Examining community efforts also presents possibilities for improving FMU institutional planning that is locally responsive. This is done primarily through agroforestry techniques and other community conservation practices. Based on the result of the AHP analysis, the findings highlight various programs related to agroforestry technologies as the top priority. Thereafter, priorities point to institutional development policies. Together, these priorities can form the basic considerations for developing climate change adaptation policies in Batutegi. These policies can be applied with, and by communities in managing forests through agroforestry, beginning with support for high quality seed procurement that also supports all phases of cultivation and supply chain through final product marketing. As a result, forest productivity and support for local income can form a robust approach for fulfilling community needs despite the effects of environmental and climate change in Batutegi.","author":[{"dropping-particle":"","family":"Wulandari","given":"C.","non-dropping-particle":"","parse-names":false,"suffix":""}],"container-title":"Forest and Society","id":"ITEM-1","issue":"1","issued":{"date-parts":[["2021"]]},"page":"48-59","title":"Identifying climate change adaptation efforts in the batutegi forest management unit, Indonesia","type":"article-journal","volume":"5"},"uris":["http://www.mendeley.com/documents/?uuid=e6d768d2-1332-4571-91d4-20cb1bd61617"]}],"mendeley":{"formattedCitation":"(C. Wulandari, 2021)","manualFormatting":"(Wulandari, 2021)","plainTextFormattedCitation":"(C. Wulandari, 2021)","previouslyFormattedCitation":"(C. Wulandari, 2021)"},"properties":{"noteIndex":0},"schema":"https://github.com/citation-style-language/schema/raw/master/csl-citation.json"}</w:instrText>
      </w:r>
      <w:r w:rsidRPr="00895D0B">
        <w:rPr>
          <w:color w:val="000000" w:themeColor="text1"/>
        </w:rPr>
        <w:fldChar w:fldCharType="separate"/>
      </w:r>
      <w:r w:rsidRPr="00895D0B">
        <w:rPr>
          <w:noProof/>
          <w:color w:val="000000" w:themeColor="text1"/>
        </w:rPr>
        <w:t>(Wulandari, 2021)</w:t>
      </w:r>
      <w:r w:rsidRPr="00895D0B">
        <w:rPr>
          <w:color w:val="000000" w:themeColor="text1"/>
        </w:rPr>
        <w:fldChar w:fldCharType="end"/>
      </w:r>
      <w:r w:rsidRPr="00895D0B">
        <w:rPr>
          <w:color w:val="000000" w:themeColor="text1"/>
        </w:rPr>
        <w:t>.</w:t>
      </w:r>
    </w:p>
    <w:p w14:paraId="476264AB" w14:textId="77777777" w:rsidR="001B4ED5" w:rsidRPr="00895D0B" w:rsidRDefault="001B4ED5" w:rsidP="00D0101A">
      <w:pPr>
        <w:pStyle w:val="NoSpacing"/>
      </w:pPr>
    </w:p>
    <w:p w14:paraId="24BCC545" w14:textId="77777777" w:rsidR="001B4ED5" w:rsidRPr="00895D0B" w:rsidRDefault="006B41C0" w:rsidP="009864E3">
      <w:pPr>
        <w:pStyle w:val="Heading3"/>
      </w:pPr>
      <w:bookmarkStart w:id="183" w:name="_Toc167379954"/>
      <w:r w:rsidRPr="00895D0B">
        <w:t>7.5.1 Theoretical reflection</w:t>
      </w:r>
      <w:bookmarkEnd w:id="183"/>
      <w:r w:rsidRPr="00895D0B">
        <w:t xml:space="preserve"> </w:t>
      </w:r>
    </w:p>
    <w:p w14:paraId="78E8B70A" w14:textId="77777777" w:rsidR="001B4ED5" w:rsidRPr="00895D0B" w:rsidRDefault="006B41C0">
      <w:pPr>
        <w:pStyle w:val="NormalWeb"/>
        <w:shd w:val="clear" w:color="auto" w:fill="FFFFFF"/>
        <w:spacing w:before="0" w:beforeAutospacing="0" w:after="0" w:afterAutospacing="0" w:line="360" w:lineRule="auto"/>
        <w:jc w:val="both"/>
        <w:rPr>
          <w:color w:val="000000" w:themeColor="text1"/>
        </w:rPr>
      </w:pPr>
      <w:r w:rsidRPr="00895D0B">
        <w:rPr>
          <w:color w:val="000000" w:themeColor="text1"/>
        </w:rPr>
        <w:t xml:space="preserve">The findings in chapter six reflect the social practice theory in several spheres based on the concept of images (common understanding and social norms), skills (competence, knowledge and techniques) and stuff (materials and technologies) in relation to urban farmers climate change adaptation strategies. In terms of climate change adaptations, urban farmers require a diverse set of knowledge and skills in crop and animal production to be successful. For instance, general farming skills are needed to have a solid foundation in general farming practices. This includes knowledge of soil management, crop rotation, pest control, and irrigation techniques. Also, in animal husbandry, farmers must possess the skills and knowledge necessary for the care and management of livestock. This includes feeding, breeding, health monitoring, and ensuring proper housing and welfare. It could also be that in terms of crop management, farmers need to understand the specific requirements of different crops, including planting, fertilizing, cultivation and harvesting techniques. They must also be able to identify and address common crop diseases and pests. Farmers also need problem-solving ability for solving problems that may arise on the farm, such as equipment </w:t>
      </w:r>
      <w:r w:rsidRPr="00895D0B">
        <w:rPr>
          <w:color w:val="000000" w:themeColor="text1"/>
        </w:rPr>
        <w:lastRenderedPageBreak/>
        <w:t>breakdowns, weather-related challenges, or disease outbreaks. They need to be resourceful and quick-thinking to find solutions.</w:t>
      </w:r>
    </w:p>
    <w:p w14:paraId="12C2E5B5" w14:textId="77777777" w:rsidR="001B4ED5" w:rsidRPr="00895D0B" w:rsidRDefault="001B4ED5" w:rsidP="00D0101A">
      <w:pPr>
        <w:pStyle w:val="NoSpacing"/>
      </w:pPr>
    </w:p>
    <w:p w14:paraId="59F319F5" w14:textId="77777777" w:rsidR="001B4ED5" w:rsidRPr="00895D0B" w:rsidRDefault="006B41C0">
      <w:pPr>
        <w:pStyle w:val="Heading2"/>
      </w:pPr>
      <w:bookmarkStart w:id="184" w:name="_Toc167379955"/>
      <w:r w:rsidRPr="00895D0B">
        <w:t>7.6 Summary of the Chapter</w:t>
      </w:r>
      <w:bookmarkEnd w:id="184"/>
    </w:p>
    <w:p w14:paraId="4697D3D9" w14:textId="3424BC29" w:rsidR="00936FFB"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This section summarized urban farmers’ climate change adaptation strategies. The </w:t>
      </w:r>
      <w:r w:rsidR="00936FFB" w:rsidRPr="00895D0B">
        <w:rPr>
          <w:rFonts w:cs="Times New Roman"/>
          <w:color w:val="000000" w:themeColor="text1"/>
          <w:szCs w:val="24"/>
        </w:rPr>
        <w:t>issues raised were on urban farmers</w:t>
      </w:r>
      <w:r w:rsidR="00F50D61" w:rsidRPr="00895D0B">
        <w:rPr>
          <w:rFonts w:cs="Times New Roman"/>
          <w:color w:val="000000" w:themeColor="text1"/>
          <w:szCs w:val="24"/>
        </w:rPr>
        <w:t>’</w:t>
      </w:r>
      <w:r w:rsidR="00936FFB" w:rsidRPr="00895D0B">
        <w:rPr>
          <w:rFonts w:cs="Times New Roman"/>
          <w:color w:val="000000" w:themeColor="text1"/>
          <w:szCs w:val="24"/>
        </w:rPr>
        <w:t xml:space="preserve"> climate change knowledge, crops and anim</w:t>
      </w:r>
      <w:r w:rsidR="00F50D61" w:rsidRPr="00895D0B">
        <w:rPr>
          <w:rFonts w:cs="Times New Roman"/>
          <w:color w:val="000000" w:themeColor="text1"/>
          <w:szCs w:val="24"/>
        </w:rPr>
        <w:t>a</w:t>
      </w:r>
      <w:r w:rsidR="00936FFB" w:rsidRPr="00895D0B">
        <w:rPr>
          <w:rFonts w:cs="Times New Roman"/>
          <w:color w:val="000000" w:themeColor="text1"/>
          <w:szCs w:val="24"/>
        </w:rPr>
        <w:t>ls</w:t>
      </w:r>
      <w:r w:rsidR="00F50D61" w:rsidRPr="00895D0B">
        <w:rPr>
          <w:rFonts w:cs="Times New Roman"/>
          <w:color w:val="000000" w:themeColor="text1"/>
          <w:szCs w:val="24"/>
        </w:rPr>
        <w:t>’</w:t>
      </w:r>
      <w:r w:rsidR="00936FFB" w:rsidRPr="00895D0B">
        <w:rPr>
          <w:rFonts w:cs="Times New Roman"/>
          <w:color w:val="000000" w:themeColor="text1"/>
          <w:szCs w:val="24"/>
        </w:rPr>
        <w:t xml:space="preserve"> production activities and how farmers adapt to clima</w:t>
      </w:r>
      <w:r w:rsidR="00F50D61" w:rsidRPr="00895D0B">
        <w:rPr>
          <w:rFonts w:cs="Times New Roman"/>
          <w:color w:val="000000" w:themeColor="text1"/>
          <w:szCs w:val="24"/>
        </w:rPr>
        <w:t>te change stressors. The finding</w:t>
      </w:r>
      <w:r w:rsidR="00936FFB" w:rsidRPr="00895D0B">
        <w:rPr>
          <w:rFonts w:cs="Times New Roman"/>
          <w:color w:val="000000" w:themeColor="text1"/>
          <w:szCs w:val="24"/>
        </w:rPr>
        <w:t xml:space="preserve">s in these areas were discussed with literature and drew some theoretical reflections from the findings. </w:t>
      </w:r>
    </w:p>
    <w:p w14:paraId="7754F0FD" w14:textId="3BDD8A21" w:rsidR="00AF581A" w:rsidRPr="00895D0B" w:rsidRDefault="00AF581A">
      <w:pPr>
        <w:spacing w:line="360" w:lineRule="auto"/>
        <w:rPr>
          <w:rFonts w:cs="Times New Roman"/>
          <w:color w:val="000000" w:themeColor="text1"/>
          <w:szCs w:val="24"/>
        </w:rPr>
      </w:pPr>
    </w:p>
    <w:p w14:paraId="3D08F53F" w14:textId="66EBB201" w:rsidR="00AF581A" w:rsidRPr="00895D0B" w:rsidRDefault="00AF581A">
      <w:pPr>
        <w:spacing w:line="360" w:lineRule="auto"/>
        <w:rPr>
          <w:rFonts w:cs="Times New Roman"/>
          <w:color w:val="000000" w:themeColor="text1"/>
          <w:szCs w:val="24"/>
        </w:rPr>
      </w:pPr>
    </w:p>
    <w:p w14:paraId="7B18D13D" w14:textId="3264A9E7" w:rsidR="00AF581A" w:rsidRPr="00895D0B" w:rsidRDefault="00AF581A">
      <w:pPr>
        <w:spacing w:line="360" w:lineRule="auto"/>
        <w:rPr>
          <w:rFonts w:cs="Times New Roman"/>
          <w:color w:val="000000" w:themeColor="text1"/>
          <w:szCs w:val="24"/>
        </w:rPr>
      </w:pPr>
    </w:p>
    <w:p w14:paraId="5AD6CB99" w14:textId="4B9FB6BC" w:rsidR="00AF581A" w:rsidRPr="00895D0B" w:rsidRDefault="00AF581A">
      <w:pPr>
        <w:spacing w:line="360" w:lineRule="auto"/>
        <w:rPr>
          <w:rFonts w:cs="Times New Roman"/>
          <w:color w:val="000000" w:themeColor="text1"/>
          <w:szCs w:val="24"/>
        </w:rPr>
      </w:pPr>
    </w:p>
    <w:p w14:paraId="4932355F" w14:textId="5D174799" w:rsidR="00AF581A" w:rsidRPr="00895D0B" w:rsidRDefault="00AF581A">
      <w:pPr>
        <w:spacing w:line="360" w:lineRule="auto"/>
        <w:rPr>
          <w:rFonts w:cs="Times New Roman"/>
          <w:color w:val="000000" w:themeColor="text1"/>
          <w:szCs w:val="24"/>
        </w:rPr>
      </w:pPr>
    </w:p>
    <w:p w14:paraId="61228FB9" w14:textId="2DF19C30" w:rsidR="00AF581A" w:rsidRDefault="00AF581A">
      <w:pPr>
        <w:spacing w:line="360" w:lineRule="auto"/>
        <w:rPr>
          <w:rFonts w:cs="Times New Roman"/>
          <w:color w:val="000000" w:themeColor="text1"/>
          <w:szCs w:val="24"/>
        </w:rPr>
      </w:pPr>
    </w:p>
    <w:p w14:paraId="6564286F" w14:textId="77777777" w:rsidR="009864E3" w:rsidRDefault="009864E3">
      <w:pPr>
        <w:spacing w:line="360" w:lineRule="auto"/>
        <w:rPr>
          <w:rFonts w:cs="Times New Roman"/>
          <w:color w:val="000000" w:themeColor="text1"/>
          <w:szCs w:val="24"/>
        </w:rPr>
      </w:pPr>
    </w:p>
    <w:p w14:paraId="6C6F2F08" w14:textId="77777777" w:rsidR="009864E3" w:rsidRDefault="009864E3">
      <w:pPr>
        <w:spacing w:line="360" w:lineRule="auto"/>
        <w:rPr>
          <w:rFonts w:cs="Times New Roman"/>
          <w:color w:val="000000" w:themeColor="text1"/>
          <w:szCs w:val="24"/>
        </w:rPr>
      </w:pPr>
    </w:p>
    <w:p w14:paraId="547155DA" w14:textId="77777777" w:rsidR="009864E3" w:rsidRDefault="009864E3">
      <w:pPr>
        <w:spacing w:line="360" w:lineRule="auto"/>
        <w:rPr>
          <w:rFonts w:cs="Times New Roman"/>
          <w:color w:val="000000" w:themeColor="text1"/>
          <w:szCs w:val="24"/>
        </w:rPr>
      </w:pPr>
    </w:p>
    <w:p w14:paraId="21E6CF54" w14:textId="77777777" w:rsidR="009864E3" w:rsidRDefault="009864E3">
      <w:pPr>
        <w:spacing w:line="360" w:lineRule="auto"/>
        <w:rPr>
          <w:rFonts w:cs="Times New Roman"/>
          <w:color w:val="000000" w:themeColor="text1"/>
          <w:szCs w:val="24"/>
        </w:rPr>
      </w:pPr>
    </w:p>
    <w:p w14:paraId="2BD09C1A" w14:textId="77777777" w:rsidR="009864E3" w:rsidRDefault="009864E3">
      <w:pPr>
        <w:spacing w:line="360" w:lineRule="auto"/>
        <w:rPr>
          <w:rFonts w:cs="Times New Roman"/>
          <w:color w:val="000000" w:themeColor="text1"/>
          <w:szCs w:val="24"/>
        </w:rPr>
      </w:pPr>
    </w:p>
    <w:p w14:paraId="35AF588B" w14:textId="77777777" w:rsidR="009864E3" w:rsidRDefault="009864E3">
      <w:pPr>
        <w:spacing w:line="360" w:lineRule="auto"/>
        <w:rPr>
          <w:rFonts w:cs="Times New Roman"/>
          <w:color w:val="000000" w:themeColor="text1"/>
          <w:szCs w:val="24"/>
        </w:rPr>
      </w:pPr>
    </w:p>
    <w:p w14:paraId="38A004FC" w14:textId="77777777" w:rsidR="009864E3" w:rsidRDefault="009864E3">
      <w:pPr>
        <w:spacing w:line="360" w:lineRule="auto"/>
        <w:rPr>
          <w:rFonts w:cs="Times New Roman"/>
          <w:color w:val="000000" w:themeColor="text1"/>
          <w:szCs w:val="24"/>
        </w:rPr>
      </w:pPr>
    </w:p>
    <w:p w14:paraId="12B4A80A" w14:textId="77777777" w:rsidR="009864E3" w:rsidRPr="00895D0B" w:rsidRDefault="009864E3">
      <w:pPr>
        <w:spacing w:line="360" w:lineRule="auto"/>
        <w:rPr>
          <w:rFonts w:cs="Times New Roman"/>
          <w:color w:val="000000" w:themeColor="text1"/>
          <w:szCs w:val="24"/>
        </w:rPr>
      </w:pPr>
    </w:p>
    <w:p w14:paraId="2901A91E" w14:textId="76AD5EDB" w:rsidR="00AF581A" w:rsidRPr="00895D0B" w:rsidRDefault="00AF581A">
      <w:pPr>
        <w:spacing w:line="360" w:lineRule="auto"/>
        <w:rPr>
          <w:rFonts w:cs="Times New Roman"/>
          <w:color w:val="000000" w:themeColor="text1"/>
          <w:szCs w:val="24"/>
        </w:rPr>
      </w:pPr>
    </w:p>
    <w:p w14:paraId="741CE0D4" w14:textId="0AFDDDA8" w:rsidR="00AF581A" w:rsidRPr="00895D0B" w:rsidRDefault="00AF581A">
      <w:pPr>
        <w:spacing w:line="360" w:lineRule="auto"/>
        <w:rPr>
          <w:rFonts w:cs="Times New Roman"/>
          <w:color w:val="000000" w:themeColor="text1"/>
          <w:szCs w:val="24"/>
        </w:rPr>
      </w:pPr>
    </w:p>
    <w:p w14:paraId="482D2DC7" w14:textId="40E9B1EE" w:rsidR="00AF581A" w:rsidRPr="00895D0B" w:rsidRDefault="00AF581A">
      <w:pPr>
        <w:spacing w:line="360" w:lineRule="auto"/>
        <w:rPr>
          <w:rFonts w:cs="Times New Roman"/>
          <w:color w:val="000000" w:themeColor="text1"/>
          <w:szCs w:val="24"/>
        </w:rPr>
      </w:pPr>
    </w:p>
    <w:p w14:paraId="605BC456" w14:textId="77777777" w:rsidR="00AF581A" w:rsidRPr="00895D0B" w:rsidRDefault="00AF581A">
      <w:pPr>
        <w:spacing w:line="360" w:lineRule="auto"/>
        <w:rPr>
          <w:rFonts w:cs="Times New Roman"/>
          <w:color w:val="000000" w:themeColor="text1"/>
          <w:szCs w:val="24"/>
        </w:rPr>
      </w:pPr>
    </w:p>
    <w:p w14:paraId="0C29EEAD" w14:textId="77777777" w:rsidR="001B4ED5" w:rsidRPr="00895D0B" w:rsidRDefault="001B4ED5">
      <w:pPr>
        <w:spacing w:line="360" w:lineRule="auto"/>
        <w:rPr>
          <w:rFonts w:cs="Times New Roman"/>
          <w:color w:val="000000" w:themeColor="text1"/>
          <w:szCs w:val="24"/>
        </w:rPr>
      </w:pPr>
    </w:p>
    <w:p w14:paraId="457DD71A" w14:textId="77777777" w:rsidR="001B4ED5" w:rsidRPr="00895D0B" w:rsidRDefault="006B41C0" w:rsidP="009745EC">
      <w:pPr>
        <w:pStyle w:val="Heading1"/>
      </w:pPr>
      <w:bookmarkStart w:id="185" w:name="_Toc167379956"/>
      <w:r w:rsidRPr="00895D0B">
        <w:lastRenderedPageBreak/>
        <w:t>CHAPTER EIGHT</w:t>
      </w:r>
      <w:bookmarkEnd w:id="185"/>
      <w:r w:rsidRPr="00895D0B">
        <w:t xml:space="preserve"> </w:t>
      </w:r>
    </w:p>
    <w:p w14:paraId="4EED1EB9" w14:textId="13D17518" w:rsidR="001B4ED5" w:rsidRPr="00895D0B" w:rsidRDefault="006B41C0" w:rsidP="009745EC">
      <w:pPr>
        <w:pStyle w:val="Heading1"/>
      </w:pPr>
      <w:bookmarkStart w:id="186" w:name="_Toc167379957"/>
      <w:r w:rsidRPr="00895D0B">
        <w:t>SUMMARY OF FINDINGS, CONCLUSIONS AND RECOMMENDATIONS</w:t>
      </w:r>
      <w:bookmarkEnd w:id="186"/>
      <w:r w:rsidRPr="00895D0B">
        <w:t xml:space="preserve"> </w:t>
      </w:r>
    </w:p>
    <w:p w14:paraId="79C07F0A" w14:textId="77777777" w:rsidR="001B4ED5" w:rsidRPr="00895D0B" w:rsidRDefault="006B41C0">
      <w:pPr>
        <w:pStyle w:val="Heading2"/>
      </w:pPr>
      <w:bookmarkStart w:id="187" w:name="_Toc167379958"/>
      <w:r w:rsidRPr="00895D0B">
        <w:t>8.1 Introduction</w:t>
      </w:r>
      <w:bookmarkEnd w:id="187"/>
      <w:r w:rsidRPr="00895D0B">
        <w:t xml:space="preserve"> </w:t>
      </w:r>
    </w:p>
    <w:p w14:paraId="68D688AF"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This chapter presents a summary of the major findings of the study. It also consists of the conclusions and recommendations of each objective based on the major findings. Recommendations for future research are also made. </w:t>
      </w:r>
    </w:p>
    <w:p w14:paraId="09468AB4" w14:textId="77777777" w:rsidR="001B4ED5" w:rsidRPr="00895D0B" w:rsidRDefault="001B4ED5" w:rsidP="009864E3">
      <w:pPr>
        <w:pStyle w:val="NoSpacing"/>
      </w:pPr>
    </w:p>
    <w:p w14:paraId="7243C8CB" w14:textId="77777777" w:rsidR="001B4ED5" w:rsidRPr="00895D0B" w:rsidRDefault="006B41C0">
      <w:pPr>
        <w:pStyle w:val="Heading2"/>
      </w:pPr>
      <w:bookmarkStart w:id="188" w:name="_Toc167379959"/>
      <w:r w:rsidRPr="00895D0B">
        <w:t>8.2 Summary of Major Findings</w:t>
      </w:r>
      <w:bookmarkEnd w:id="188"/>
      <w:r w:rsidRPr="00895D0B">
        <w:t xml:space="preserve"> </w:t>
      </w:r>
    </w:p>
    <w:p w14:paraId="65BEB01D" w14:textId="541F3003" w:rsidR="002909BB" w:rsidRDefault="00B0100F" w:rsidP="00566042">
      <w:pPr>
        <w:pStyle w:val="NormalWeb"/>
        <w:spacing w:before="0" w:beforeAutospacing="0" w:after="0" w:afterAutospacing="0" w:line="360" w:lineRule="auto"/>
        <w:jc w:val="both"/>
        <w:rPr>
          <w:color w:val="000000" w:themeColor="text1"/>
        </w:rPr>
      </w:pPr>
      <w:r w:rsidRPr="00895D0B">
        <w:rPr>
          <w:color w:val="000000" w:themeColor="text1"/>
        </w:rPr>
        <w:t>The study focused on the characterization of urban agriculture under climate change and farmers’ adaptation strategies. The study's objectives were to assess the characteristics of urban agriculture, the distribution of urban agricultural activities across space, the factors that determine urban households' participation in urban agriculture, and how the farmers are adapting their activities to the recent climatic stressors. The study employed a mixed method for data collection and analysis. Descriptive statistics like frequency, percentages, and chi-square tests were done from the survey, and thematic and content analysis was done from the interview data. The nearest likelihood ratio was analysed from the spatial data collected, and binary regression analysis was done to address the determinants of households participating in urban agriculture. The following are the major findings emanating from the study:</w:t>
      </w:r>
    </w:p>
    <w:p w14:paraId="4B81C313" w14:textId="77777777" w:rsidR="00566042" w:rsidRPr="00895D0B" w:rsidRDefault="00566042" w:rsidP="009864E3">
      <w:pPr>
        <w:pStyle w:val="NoSpacing"/>
      </w:pPr>
    </w:p>
    <w:p w14:paraId="4C7F3D6C" w14:textId="6E9AFB99" w:rsidR="002909BB" w:rsidRPr="00895D0B" w:rsidRDefault="002909BB" w:rsidP="009864E3">
      <w:pPr>
        <w:pStyle w:val="Heading3"/>
      </w:pPr>
      <w:bookmarkStart w:id="189" w:name="_Toc167379960"/>
      <w:r w:rsidRPr="00895D0B">
        <w:t>8.2.1 Characteristics of urban food crop and livestock production</w:t>
      </w:r>
      <w:bookmarkEnd w:id="189"/>
    </w:p>
    <w:p w14:paraId="2FC11131" w14:textId="43252FAF" w:rsidR="008F7590" w:rsidRPr="00895D0B" w:rsidRDefault="00B0100F">
      <w:pPr>
        <w:spacing w:line="360" w:lineRule="auto"/>
        <w:rPr>
          <w:rFonts w:cs="Times New Roman"/>
          <w:color w:val="000000" w:themeColor="text1"/>
          <w:szCs w:val="24"/>
        </w:rPr>
      </w:pPr>
      <w:r w:rsidRPr="00895D0B">
        <w:rPr>
          <w:rFonts w:cs="Times New Roman"/>
          <w:color w:val="000000" w:themeColor="text1"/>
          <w:szCs w:val="24"/>
        </w:rPr>
        <w:t xml:space="preserve">The study revealed that, in the era of climate change and variability, urban agriculture in the Wa Municipality is predominantly characterized by the cultivation of crops, which is done by about 73.8% of the households, while a few, about 15.2%, are into mixed farming (the cultivation of crops and animals). Urban farmers are adapting to climate change effects through mixed farming, which is the cultivation of crops and rearing of farm animals at the same time as a coping mechanism. Farmers cultivate more than one type of crop as well as rear more than one type of animal to secure themselves against failure in crop and animal production resulting from climatic stressors. The crop production pattern consists of both dry and wet seasons, with the wet season dominating. Vegetables such as cabbage, pumpkin leaves, okra, tomatoes, and pepper are common in urban settings in both wet and dry seasons. Even though cereals such as maize and millet are commonly produced, legumes like beans and tubers </w:t>
      </w:r>
      <w:r w:rsidRPr="00895D0B">
        <w:rPr>
          <w:rFonts w:cs="Times New Roman"/>
          <w:color w:val="000000" w:themeColor="text1"/>
          <w:szCs w:val="24"/>
        </w:rPr>
        <w:lastRenderedPageBreak/>
        <w:t>like yam are also cultivated in the wet season. However, despite the long dry season, which can be associated with climatic stressors, urban farmers leverage irrigation from wells and streams for vegetable production. Crops such as cassava and groundnuts/cowpeas are less cultivated due to the lack of availability of space. In the case of poultry, chicken and guinea fowl production dominates, while small ruminants in the form of sheep are also reared. These categories of animals are common because urban farmers easily manage them within their neighbourhoods. Some animals, like cattle, goats, and pigs, and poultry, like ducks and turkeys, are less reared because of the difficulties in managing them. Evidentially, urban farms are located in household homes and along riversides. Largely, the lands used for urban agriculture are acquired through leasing or purchasing from the initial owners. The homes are for both crop and animal production, while the riversides are meant for crop production only, particularly, vegetable production. The location of most farms around household dwelling places resulted in the fencing of crop farms and the housing of animals to be able to control animal destruction and the movement of farm animals. Different types of materials, such as wire mesh, sticks, and blocks/bricks, are used in fencing urban crop farms, and blocks/bricks and wooden structures are used in housing farm animals. Urban crop and animal production is affected by land use planning and acquisition. Landlords are not aware of the need to factor urban farming into the sale of lands to developers. This is because city authorities are equally not paying attention to the integration of urban food production into urban land use planning backed by legislation.</w:t>
      </w:r>
    </w:p>
    <w:p w14:paraId="59D72F1F" w14:textId="77777777" w:rsidR="00B0100F" w:rsidRPr="00895D0B" w:rsidRDefault="00B0100F" w:rsidP="00D0101A">
      <w:pPr>
        <w:pStyle w:val="NoSpacing"/>
      </w:pPr>
    </w:p>
    <w:p w14:paraId="64F7E264" w14:textId="359E0FEE" w:rsidR="002909BB" w:rsidRPr="00895D0B" w:rsidRDefault="002909BB" w:rsidP="009864E3">
      <w:pPr>
        <w:pStyle w:val="Heading3"/>
      </w:pPr>
      <w:bookmarkStart w:id="190" w:name="_Toc167379961"/>
      <w:r w:rsidRPr="00895D0B">
        <w:t>8.2.2 Spatial distributions and patterns of urban food crop and livestock production</w:t>
      </w:r>
      <w:bookmarkEnd w:id="190"/>
      <w:r w:rsidRPr="00895D0B">
        <w:t xml:space="preserve"> </w:t>
      </w:r>
    </w:p>
    <w:p w14:paraId="1DE74CD8" w14:textId="31695FF6" w:rsidR="008618D4" w:rsidRPr="00895D0B" w:rsidRDefault="008618D4">
      <w:pPr>
        <w:spacing w:line="360" w:lineRule="auto"/>
        <w:rPr>
          <w:rFonts w:cs="Times New Roman"/>
          <w:color w:val="000000" w:themeColor="text1"/>
          <w:szCs w:val="24"/>
        </w:rPr>
      </w:pPr>
      <w:r w:rsidRPr="00895D0B">
        <w:rPr>
          <w:rFonts w:cs="Times New Roman"/>
          <w:color w:val="000000" w:themeColor="text1"/>
          <w:szCs w:val="24"/>
        </w:rPr>
        <w:t xml:space="preserve">The spatial dynamic shows that poultry, cattle, sheep, and goat production showed a uniform distribution across the zones. Even though these animals are produced in at least one of the zones (inner, transition, and outer), they are clustered at some points. This pattern implies that these are areas with available spaces. In addition, in the era of climatic effects, the housing of animals is paramount. As such, it was clear that the rearing of animals in open spaces is dispersed across the urban setting, and housing of animals in walls and wooden structures roofed with zinc followed clustered distributions across the zones. The use of a housing system is a way not only to control the movement of animals within the urban space but also to protect animals against the contraction of disease, especially, in extreme weather like high temperatures and </w:t>
      </w:r>
      <w:r w:rsidRPr="00895D0B">
        <w:rPr>
          <w:rFonts w:cs="Times New Roman"/>
          <w:color w:val="000000" w:themeColor="text1"/>
          <w:szCs w:val="24"/>
        </w:rPr>
        <w:lastRenderedPageBreak/>
        <w:t>rainfall. In terms of the sizes of the farms for both crops and animal production, farms that are either one or half an acre are randomly distributed across the urban neighbourhood. This is the result of the unavailability of enough space across the urban neighbourhood and farmers leverage this undeveloped space for farming purposes. Again, farms that are either one-third or less than one-third of an acre are clustered across spaces due to the availability of patches of undeveloped land in almost all the zones.</w:t>
      </w:r>
    </w:p>
    <w:p w14:paraId="673D2B67" w14:textId="77777777" w:rsidR="008F7590" w:rsidRPr="00895D0B" w:rsidRDefault="008F7590" w:rsidP="00D0101A">
      <w:pPr>
        <w:pStyle w:val="NoSpacing"/>
      </w:pPr>
    </w:p>
    <w:p w14:paraId="62ECA6C8" w14:textId="448B0C3E" w:rsidR="001B4ED5" w:rsidRPr="00895D0B" w:rsidRDefault="008F1E13" w:rsidP="009864E3">
      <w:pPr>
        <w:pStyle w:val="Heading3"/>
      </w:pPr>
      <w:bookmarkStart w:id="191" w:name="_Toc167379962"/>
      <w:r w:rsidRPr="00895D0B">
        <w:t xml:space="preserve">8.2.3 </w:t>
      </w:r>
      <w:r w:rsidR="002909BB" w:rsidRPr="00895D0B">
        <w:t>Demographic factors that influence urban dwellers' participation in urban agriculture</w:t>
      </w:r>
      <w:bookmarkEnd w:id="191"/>
    </w:p>
    <w:p w14:paraId="2BC733C1" w14:textId="670213E0" w:rsidR="001B4ED5" w:rsidRPr="00895D0B" w:rsidRDefault="006B41C0">
      <w:pPr>
        <w:spacing w:line="360" w:lineRule="auto"/>
        <w:rPr>
          <w:rFonts w:cs="Times New Roman"/>
          <w:color w:val="000000" w:themeColor="text1"/>
          <w:szCs w:val="24"/>
          <w:lang w:eastAsia="en-GB"/>
        </w:rPr>
      </w:pPr>
      <w:r w:rsidRPr="00895D0B">
        <w:rPr>
          <w:rFonts w:cs="Times New Roman"/>
          <w:color w:val="000000" w:themeColor="text1"/>
          <w:szCs w:val="24"/>
        </w:rPr>
        <w:t xml:space="preserve">The study assessed </w:t>
      </w:r>
      <w:r w:rsidRPr="00895D0B">
        <w:rPr>
          <w:rFonts w:cs="Times New Roman"/>
          <w:color w:val="000000" w:themeColor="text1"/>
          <w:szCs w:val="24"/>
          <w:lang w:eastAsia="en-GB"/>
        </w:rPr>
        <w:t>the socio-demographic characteristics of urban agricultural households and how they influence a household’s participation in urban agriculture in the era of climate change. The findings revealed that urban farmers’ decision to engage in urban agricultural production is influenced by the household size and the monthly income of the said household. For instance, urban household size is significant in determining the participation in urban agricultural production in that urban households with members between 1 and 5 are statistically significant. Again, urban households with a monthly income greater than GHS1000.00</w:t>
      </w:r>
      <w:r w:rsidR="00505FC0" w:rsidRPr="00895D0B">
        <w:rPr>
          <w:rFonts w:cs="Times New Roman"/>
          <w:color w:val="000000" w:themeColor="text1"/>
          <w:szCs w:val="24"/>
          <w:lang w:eastAsia="en-GB"/>
        </w:rPr>
        <w:t xml:space="preserve"> </w:t>
      </w:r>
      <w:r w:rsidR="00505FC0" w:rsidRPr="00895D0B">
        <w:rPr>
          <w:rFonts w:cs="Times New Roman"/>
          <w:color w:val="000000" w:themeColor="text1"/>
          <w:szCs w:val="24"/>
        </w:rPr>
        <w:t>(at the time $1.00 = GHS11.54)</w:t>
      </w:r>
      <w:r w:rsidRPr="00895D0B">
        <w:rPr>
          <w:rFonts w:cs="Times New Roman"/>
          <w:color w:val="000000" w:themeColor="text1"/>
          <w:szCs w:val="24"/>
          <w:lang w:eastAsia="en-GB"/>
        </w:rPr>
        <w:t xml:space="preserve"> are more likely to participate in urban agriculture production in urban centres. Conversely, the findings revealed that urban households' socio-demographic variables such as age, marital status, employment type, and education are not determining factors for an urban household to participate in urban agricultural production activity. This suggests that household size which defines a household's food demands labour availability, and income which influences urban household to undertake urban farming practices adaptable to climate change is necessary. </w:t>
      </w:r>
    </w:p>
    <w:p w14:paraId="473B4C3B" w14:textId="77777777" w:rsidR="008F7590" w:rsidRPr="00895D0B" w:rsidRDefault="008F7590" w:rsidP="00D0101A">
      <w:pPr>
        <w:pStyle w:val="NoSpacing"/>
        <w:rPr>
          <w:lang w:eastAsia="en-GB"/>
        </w:rPr>
      </w:pPr>
    </w:p>
    <w:p w14:paraId="096543BF" w14:textId="4F7F3AF4" w:rsidR="002909BB" w:rsidRPr="00895D0B" w:rsidRDefault="008F1E13" w:rsidP="009864E3">
      <w:pPr>
        <w:pStyle w:val="Heading3"/>
      </w:pPr>
      <w:bookmarkStart w:id="192" w:name="_Toc167379963"/>
      <w:r w:rsidRPr="00895D0B">
        <w:t xml:space="preserve">8.2.4 </w:t>
      </w:r>
      <w:r w:rsidR="002909BB" w:rsidRPr="00895D0B">
        <w:t>Climate change adaptation strategies of urban farmers.</w:t>
      </w:r>
      <w:bookmarkEnd w:id="192"/>
    </w:p>
    <w:p w14:paraId="269C217E" w14:textId="3BD42CA5" w:rsidR="001B4ED5" w:rsidRPr="00895D0B" w:rsidRDefault="00642FFA">
      <w:pPr>
        <w:spacing w:line="360" w:lineRule="auto"/>
        <w:rPr>
          <w:rFonts w:cs="Times New Roman"/>
          <w:color w:val="000000" w:themeColor="text1"/>
          <w:szCs w:val="24"/>
        </w:rPr>
      </w:pPr>
      <w:r w:rsidRPr="00895D0B">
        <w:rPr>
          <w:rFonts w:cs="Times New Roman"/>
          <w:color w:val="000000" w:themeColor="text1"/>
          <w:szCs w:val="24"/>
        </w:rPr>
        <w:t>T</w:t>
      </w:r>
      <w:r w:rsidR="006B41C0" w:rsidRPr="00895D0B">
        <w:rPr>
          <w:rFonts w:cs="Times New Roman"/>
          <w:color w:val="000000" w:themeColor="text1"/>
          <w:szCs w:val="24"/>
        </w:rPr>
        <w:t xml:space="preserve">he study looked at the urban farmers' climate change adaptation strategies. The findings showed that about 93.3% of urban farmers have some knowledge about the current climate change and accept that urban agriculture is affected by climate change stressors. Urban farmers' knowledge of climate change based on the age, educational status, and gender of the household heads is statistically insignificant (p-value = 0.931, 0.716, and 0.034 &gt; 0.05) which presents weak relationships between these socio-demographic variables and the climate change knowledge of the farmer. However, </w:t>
      </w:r>
      <w:r w:rsidR="006B41C0" w:rsidRPr="00895D0B">
        <w:rPr>
          <w:rFonts w:cs="Times New Roman"/>
          <w:color w:val="000000" w:themeColor="text1"/>
          <w:szCs w:val="24"/>
        </w:rPr>
        <w:lastRenderedPageBreak/>
        <w:t xml:space="preserve">urban farmers get their climate change knowledge from television and friends/neighbours, which is statistically significant at an alpha 0.05 (p-value = 0.00 and 0.037 &lt; 0.05) by educational attainment and gender respectively. This implies that urban farmers' ability to know about climate change is not determined by an urban household head's age, educational level, and gender but sources of the climate information have education and gender dimensions. In an era of climate change, farmers' soil moisture conservation strategies include ridging and mulching while nutrients are managed using crop residues, manure, and compost. It was clear that urban farmers grow more indigenous crop varieties and sometimes plant the improved crop varieties under the current climatic stressors with good yields. Farmers plant their own seeds or seeds bought from agro-chemical shops. In animal production, urban residents rear more exotic breeds and fewer indigenous breeds, and feeding is gotten from the open market and farmers' own feeds which results in average production. This means that urban farmers' climate choices in the type of crops and animals are adaptable to climate change stressors. In the treatment of animals under climate change effects, urban farmers use vaccination, giving animals pills, disinfecting the pens, and spraying animals with insecticides. These were significant at an alpha 0.05 (0.001, 0.000, 0.014, and 0.015 &lt; 0.05) respectively. Therefore, under the current climate change effects, urban farmers' adaptation methods in animal production are strongly associated with the type of treatment methods used. The sources of treatment are either the farmers’ own treatment methods or the service of the Veterinary Department of MoFA. </w:t>
      </w:r>
    </w:p>
    <w:p w14:paraId="4EBD9A31" w14:textId="77777777" w:rsidR="001B4ED5" w:rsidRPr="00895D0B" w:rsidRDefault="001B4ED5" w:rsidP="00D0101A">
      <w:pPr>
        <w:pStyle w:val="NoSpacing"/>
      </w:pPr>
    </w:p>
    <w:p w14:paraId="441C8681" w14:textId="77777777" w:rsidR="001B4ED5" w:rsidRPr="00895D0B" w:rsidRDefault="006B41C0">
      <w:pPr>
        <w:pStyle w:val="Heading2"/>
      </w:pPr>
      <w:bookmarkStart w:id="193" w:name="_Toc167379964"/>
      <w:r w:rsidRPr="00895D0B">
        <w:t>8.3 Conclusions</w:t>
      </w:r>
      <w:bookmarkEnd w:id="193"/>
      <w:r w:rsidRPr="00895D0B">
        <w:t xml:space="preserve"> </w:t>
      </w:r>
    </w:p>
    <w:p w14:paraId="34D937B3" w14:textId="4D580DF3" w:rsidR="00230C6E" w:rsidRPr="00895D0B" w:rsidRDefault="00230C6E" w:rsidP="005B5E0D">
      <w:pPr>
        <w:spacing w:line="360" w:lineRule="auto"/>
        <w:rPr>
          <w:rFonts w:cs="Times New Roman"/>
          <w:color w:val="000000" w:themeColor="text1"/>
          <w:szCs w:val="24"/>
        </w:rPr>
      </w:pPr>
      <w:bookmarkStart w:id="194" w:name="_Hlk160023513"/>
      <w:r w:rsidRPr="00895D0B">
        <w:rPr>
          <w:rFonts w:cs="Times New Roman"/>
          <w:color w:val="000000" w:themeColor="text1"/>
          <w:szCs w:val="24"/>
        </w:rPr>
        <w:t xml:space="preserve">The study explored the spatial dynamics, urban agricultural production practices, and how urban farmers are adapting to climate change stressors in the Wa township. The study used mixed methods of data collection and analysis. The study therefore looked at the characteristics of urban agriculture production and how that informs the adaptation of farmers to climate change using descriptive and inferential statistics such as frequencies and chi-square tests. Also, the average nearest neighbourhood (ANN) ratio in ArcGIS version 10.8 was calculated, supplemented by a chi-square test, to assess the spatial distribution of urban agricultural production activities and the implications for urban farmers' climate change adaptation strategies in animal and crop production across the urban core, transitional zones, and outer zones. A binary logistic model from SPSS version 20.0 was used on the demographic characteristics that </w:t>
      </w:r>
      <w:r w:rsidRPr="00895D0B">
        <w:rPr>
          <w:rFonts w:cs="Times New Roman"/>
          <w:color w:val="000000" w:themeColor="text1"/>
          <w:szCs w:val="24"/>
        </w:rPr>
        <w:lastRenderedPageBreak/>
        <w:t>determine an urban household's engagement in urban agricultural production. Lastly, descriptive and inferential statistics from SPSS version 20.0 were used to determine the impact of climate change adaptation strategies on crop and animal production. The study therefore concludes in the following ways:</w:t>
      </w:r>
    </w:p>
    <w:p w14:paraId="078D9C2A" w14:textId="77777777" w:rsidR="006D59CF" w:rsidRPr="00D0101A" w:rsidRDefault="006D59CF" w:rsidP="00D0101A">
      <w:pPr>
        <w:pStyle w:val="NoSpacing"/>
      </w:pPr>
    </w:p>
    <w:p w14:paraId="4997E912" w14:textId="69F4BA82" w:rsidR="00924E16" w:rsidRPr="00895D0B" w:rsidRDefault="00924E16" w:rsidP="009864E3">
      <w:pPr>
        <w:pStyle w:val="Heading3"/>
      </w:pPr>
      <w:bookmarkStart w:id="195" w:name="_Toc167379965"/>
      <w:bookmarkEnd w:id="194"/>
      <w:r w:rsidRPr="00895D0B">
        <w:t>8.3.1 Characteristics of urban food crop and livestock production</w:t>
      </w:r>
      <w:bookmarkEnd w:id="195"/>
    </w:p>
    <w:p w14:paraId="5EFBCFD9" w14:textId="6282CEB1" w:rsidR="006D59CF" w:rsidRPr="00895D0B" w:rsidRDefault="005B5E0D">
      <w:pPr>
        <w:spacing w:line="360" w:lineRule="auto"/>
        <w:rPr>
          <w:rFonts w:cs="Times New Roman"/>
          <w:color w:val="000000" w:themeColor="text1"/>
          <w:szCs w:val="24"/>
        </w:rPr>
      </w:pPr>
      <w:r w:rsidRPr="00895D0B">
        <w:rPr>
          <w:rFonts w:cs="Times New Roman"/>
          <w:color w:val="000000" w:themeColor="text1"/>
          <w:szCs w:val="24"/>
        </w:rPr>
        <w:t>The study concluded that agricultural production remains a dominant livelihood source for many households in Ghana including urban residents, and contributes to the national food basket irrespective of the current climatic effects on production. Urban agricultural production is an emerging approach to increasing food availability for the teeming urban population if only urban farmers' production can withstand climatic shocks. The characteristics of urban farming have several implications. For instance, to a large extent, agricultural production drives the climate change adaptation strategies of urban farmers. This is reflected in the adoption of mixed farming, which is predominated by crop diversification, to buffer against total production failure. Farmers cultivate legumes, vegetables, cereals, and livestock. However, urban farmers' crop and livestock production is done around undeveloped land at their homes in the form of gardens fenced with different materials, which are largely purchased from relatives, and friends’ lands. There are strong relationships between the types of urban farming, land acquisition, and residential classes. Different types of crops and animals are produced at the same time as climate change adaptation strategies. Bricks or blocks roofed with zinc and wooden structures roofed with zinc are used to accommodate the animals reared in the urban landscape.</w:t>
      </w:r>
    </w:p>
    <w:p w14:paraId="4F40431A" w14:textId="77777777" w:rsidR="005B5E0D" w:rsidRPr="00895D0B" w:rsidRDefault="005B5E0D" w:rsidP="00D0101A">
      <w:pPr>
        <w:pStyle w:val="NoSpacing"/>
      </w:pPr>
    </w:p>
    <w:p w14:paraId="3C1A1D22" w14:textId="525F2610" w:rsidR="00924E16" w:rsidRPr="00895D0B" w:rsidRDefault="00924E16" w:rsidP="009864E3">
      <w:pPr>
        <w:pStyle w:val="Heading3"/>
      </w:pPr>
      <w:bookmarkStart w:id="196" w:name="_Toc167379966"/>
      <w:r w:rsidRPr="00895D0B">
        <w:t>8.</w:t>
      </w:r>
      <w:r w:rsidR="00CB0B79" w:rsidRPr="00895D0B">
        <w:t>3</w:t>
      </w:r>
      <w:r w:rsidRPr="00895D0B">
        <w:t>.2 Spatial distributions and patterns of urban food crop and livestock production</w:t>
      </w:r>
      <w:bookmarkEnd w:id="196"/>
      <w:r w:rsidRPr="00895D0B">
        <w:t xml:space="preserve"> </w:t>
      </w:r>
    </w:p>
    <w:p w14:paraId="12BD6076" w14:textId="33E88BFD" w:rsidR="005B5E0D" w:rsidRPr="00895D0B" w:rsidRDefault="005B5E0D" w:rsidP="006B68B5">
      <w:pPr>
        <w:pStyle w:val="NormalWeb"/>
        <w:spacing w:before="0" w:beforeAutospacing="0" w:after="0" w:afterAutospacing="0" w:line="360" w:lineRule="auto"/>
        <w:jc w:val="both"/>
        <w:rPr>
          <w:color w:val="000000" w:themeColor="text1"/>
        </w:rPr>
      </w:pPr>
      <w:r w:rsidRPr="00895D0B">
        <w:rPr>
          <w:color w:val="000000" w:themeColor="text1"/>
        </w:rPr>
        <w:t xml:space="preserve">The study therefore concluded that urban agricultural activities have diversified spatial dynamics across urban neighbourhoods. For instance, urban farm sizes are less than an acre of land and show a clustered distribution pattern across urban space in all the zones—lower, middle, and higher classes—just like the production of ruminants and poultry. Meanwhile, while the rearing of farm animals in open spaces shows a dispersed distribution across the urban space, the housing of animals in wooden structures and walls roofed with zinc shows a cluster distribution. The clustered distribution of urban farms can facilitate collaborative adaptation strategies among urban farmers, allowing </w:t>
      </w:r>
      <w:r w:rsidRPr="00895D0B">
        <w:rPr>
          <w:color w:val="000000" w:themeColor="text1"/>
        </w:rPr>
        <w:lastRenderedPageBreak/>
        <w:t>for shared resources, knowledge exchange, and collective action to address climate change impacts effectively. Moreover, the choice of animals' housing types on urban farms can significantly impact urban farmers' climate change adaptation strategies, influencing factors such as resource efficiency, animal welfare, and resilience to extreme weather events.</w:t>
      </w:r>
    </w:p>
    <w:p w14:paraId="0394CA55" w14:textId="4DBCB970" w:rsidR="006D59CF" w:rsidRPr="00895D0B" w:rsidRDefault="006D59CF" w:rsidP="005D1ECB">
      <w:pPr>
        <w:pStyle w:val="NoSpacing"/>
      </w:pPr>
    </w:p>
    <w:p w14:paraId="13D2C92B" w14:textId="0E4FF5F2" w:rsidR="00301F61" w:rsidRPr="00895D0B" w:rsidRDefault="00CB0B79" w:rsidP="009864E3">
      <w:pPr>
        <w:pStyle w:val="Heading3"/>
      </w:pPr>
      <w:bookmarkStart w:id="197" w:name="_Toc167379967"/>
      <w:r w:rsidRPr="00895D0B">
        <w:t xml:space="preserve">8.3.3 Demographic factors that influence urban dwellers' participation in urban </w:t>
      </w:r>
      <w:r w:rsidR="00301F61" w:rsidRPr="00895D0B">
        <w:t>a</w:t>
      </w:r>
      <w:r w:rsidRPr="00895D0B">
        <w:t>griculture</w:t>
      </w:r>
      <w:bookmarkEnd w:id="197"/>
    </w:p>
    <w:p w14:paraId="61912289" w14:textId="061BE49B" w:rsidR="007A44C7" w:rsidRDefault="005B5E0D" w:rsidP="007A44C7">
      <w:pPr>
        <w:spacing w:line="360" w:lineRule="auto"/>
        <w:rPr>
          <w:rFonts w:cs="Times New Roman"/>
          <w:color w:val="000000" w:themeColor="text1"/>
          <w:szCs w:val="24"/>
          <w:shd w:val="clear" w:color="auto" w:fill="FFFFFF"/>
        </w:rPr>
      </w:pPr>
      <w:r w:rsidRPr="00895D0B">
        <w:rPr>
          <w:rFonts w:cs="Times New Roman"/>
          <w:color w:val="000000" w:themeColor="text1"/>
          <w:szCs w:val="24"/>
          <w:shd w:val="clear" w:color="auto" w:fill="FFFFFF"/>
        </w:rPr>
        <w:t>Evidentially, it is enough to conclude that the demographic variables of urban residents—age, type of employment, household size, and income—significantly determine their participation in urban agricultural production. These are factors relating to individual social and economic conditions that influence their decision to engage in farming activities within the urban space. Understanding these determinants can provide valuable insights into why individuals choose to engage in urban agriculture and can inform policies and strategies to support and promote sustainable urban farming practices.</w:t>
      </w:r>
    </w:p>
    <w:p w14:paraId="5EB82686" w14:textId="77777777" w:rsidR="005D1ECB" w:rsidRPr="00895D0B" w:rsidRDefault="005D1ECB" w:rsidP="005D1ECB">
      <w:pPr>
        <w:pStyle w:val="NoSpacing"/>
        <w:rPr>
          <w:shd w:val="clear" w:color="auto" w:fill="FFFFFF"/>
        </w:rPr>
      </w:pPr>
    </w:p>
    <w:p w14:paraId="1001765F" w14:textId="77777777" w:rsidR="00DE04CB" w:rsidRPr="00895D0B" w:rsidRDefault="00CB0B79" w:rsidP="009864E3">
      <w:pPr>
        <w:pStyle w:val="Heading3"/>
      </w:pPr>
      <w:bookmarkStart w:id="198" w:name="_Toc167379968"/>
      <w:r w:rsidRPr="00895D0B">
        <w:t>8.3.4 Climate change adaptation strategies of urban farm</w:t>
      </w:r>
      <w:bookmarkEnd w:id="198"/>
    </w:p>
    <w:p w14:paraId="670DBFEE" w14:textId="253FA1ED" w:rsidR="005B5E0D" w:rsidRDefault="005B5E0D">
      <w:pPr>
        <w:spacing w:line="360" w:lineRule="auto"/>
        <w:rPr>
          <w:rFonts w:cs="Times New Roman"/>
          <w:color w:val="000000" w:themeColor="text1"/>
          <w:szCs w:val="24"/>
        </w:rPr>
      </w:pPr>
      <w:r w:rsidRPr="00895D0B">
        <w:rPr>
          <w:rFonts w:cs="Times New Roman"/>
          <w:color w:val="000000" w:themeColor="text1"/>
          <w:szCs w:val="24"/>
        </w:rPr>
        <w:t>Lastly, urban crop and livestock farmers' responses to climate change have demonstrated ingenuity by implementing various adaptation strategies to safeguard their livelihoods and enhance food security in urban areas. Through a combination of innovative practices and technology adoption, urban farmers have shown their ability to mitigate the impacts of climate change on agricultural production. There is a diversity of adaptation strategies employed by urban farmers, including the adoption of drought-resistant crop varieties, soil moisture and nutrient management techniques, and diversified livestock rearing. Indigenous and improved crop varieties and exotic breeds of animals are produced by urban farmers under the current climatic conditions. Soil fertility management employed by the farmers includes the use of crop residues, animal manure, and compost. Vaccination and/or pen disinfection through self-medication and/or veterinary officers are used to treat the farm animals. However, despite their adaptive capacity, urban farmers are challenged by the inaccessibility of extension services in crop production.</w:t>
      </w:r>
    </w:p>
    <w:p w14:paraId="1533C3F0" w14:textId="246F74FC" w:rsidR="00566042" w:rsidRDefault="00566042">
      <w:pPr>
        <w:spacing w:line="360" w:lineRule="auto"/>
        <w:rPr>
          <w:rFonts w:cs="Times New Roman"/>
          <w:color w:val="000000" w:themeColor="text1"/>
          <w:szCs w:val="24"/>
        </w:rPr>
      </w:pPr>
    </w:p>
    <w:p w14:paraId="352FDCC3" w14:textId="77777777" w:rsidR="001B4ED5" w:rsidRPr="00895D0B" w:rsidRDefault="006B41C0" w:rsidP="00F3127A">
      <w:pPr>
        <w:pStyle w:val="Heading2"/>
      </w:pPr>
      <w:bookmarkStart w:id="199" w:name="_Toc167379969"/>
      <w:r w:rsidRPr="00895D0B">
        <w:lastRenderedPageBreak/>
        <w:t>8.4 Recommendations</w:t>
      </w:r>
      <w:bookmarkEnd w:id="199"/>
      <w:r w:rsidRPr="00895D0B">
        <w:t xml:space="preserve"> </w:t>
      </w:r>
    </w:p>
    <w:p w14:paraId="0834FF22" w14:textId="41C35E25" w:rsidR="001B4ED5" w:rsidRDefault="006B41C0" w:rsidP="005D1ECB">
      <w:pPr>
        <w:shd w:val="clear" w:color="auto" w:fill="FFFFFF"/>
        <w:spacing w:after="90"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Drawing from the study findings, recommendations are made for policy action and improving urban agricultural production. These recommendations aim to enhance urban agricultural production, increase food availability, and create sustainable and resilient urban food systems in the following ways:</w:t>
      </w:r>
    </w:p>
    <w:p w14:paraId="4480A898" w14:textId="77777777" w:rsidR="005D1ECB" w:rsidRPr="005D1ECB" w:rsidRDefault="005D1ECB" w:rsidP="005D1ECB">
      <w:pPr>
        <w:pStyle w:val="NoSpacing"/>
        <w:rPr>
          <w:sz w:val="14"/>
          <w:szCs w:val="14"/>
          <w:lang w:eastAsia="en-GB"/>
        </w:rPr>
      </w:pPr>
    </w:p>
    <w:p w14:paraId="2257758B" w14:textId="08D928BF" w:rsidR="009842D8" w:rsidRPr="00895D0B" w:rsidRDefault="009842D8" w:rsidP="00F3127A">
      <w:pPr>
        <w:pStyle w:val="Heading3"/>
      </w:pPr>
      <w:bookmarkStart w:id="200" w:name="_Toc167379970"/>
      <w:r w:rsidRPr="00895D0B">
        <w:t>8.4.1 Characteristics of urban food crop and livestock production</w:t>
      </w:r>
      <w:bookmarkEnd w:id="200"/>
    </w:p>
    <w:p w14:paraId="3BFFD4A6" w14:textId="6A05AEA9" w:rsidR="00943936" w:rsidRPr="00895D0B" w:rsidRDefault="0045230F" w:rsidP="006B68B5">
      <w:pPr>
        <w:shd w:val="clear" w:color="auto" w:fill="FFFFFF"/>
        <w:spacing w:line="360" w:lineRule="auto"/>
        <w:rPr>
          <w:rFonts w:eastAsia="Times New Roman" w:cs="Times New Roman"/>
          <w:color w:val="000000" w:themeColor="text1"/>
          <w:szCs w:val="24"/>
          <w:lang w:eastAsia="en-GB"/>
        </w:rPr>
      </w:pPr>
      <w:bookmarkStart w:id="201" w:name="_Hlk160094846"/>
      <w:r w:rsidRPr="00895D0B">
        <w:rPr>
          <w:rFonts w:eastAsia="Times New Roman" w:cs="Times New Roman"/>
          <w:color w:val="000000" w:themeColor="text1"/>
          <w:szCs w:val="24"/>
          <w:lang w:eastAsia="en-GB"/>
        </w:rPr>
        <w:t>The study recommends the integration of urban agriculture production into national-level agricultural and urban planning policies: To improve urban agricultural production under climate uncertainty, the study advocates for the integration of urban agriculture into national-level agricultural and urban planning policies to harness the full potential embedded in them at the municipal level. Therefore, the Ministry of Food and Agriculture (MoFA), NGOs, and CSOs should streamline climate change adaptation policy interventions in urban agriculture to reflect agriculture intensification. The study discovered that urban farmers leverage mixed farming and crop diversification to adapt to climate change, despite farm sizes not exceeding one-third of an acre. Mixed farming and crop diversification serve as a buffer against production failure in a single cropping system. This will set the basis for promoting urban agriculture within secondary cities.</w:t>
      </w:r>
    </w:p>
    <w:p w14:paraId="770A8027" w14:textId="77777777" w:rsidR="0045230F" w:rsidRPr="00895D0B" w:rsidRDefault="0045230F" w:rsidP="00F3127A">
      <w:pPr>
        <w:pStyle w:val="NoSpacing"/>
        <w:rPr>
          <w:lang w:eastAsia="en-GB"/>
        </w:rPr>
      </w:pPr>
    </w:p>
    <w:p w14:paraId="4E24D757" w14:textId="6C5F6AA6" w:rsidR="009842D8" w:rsidRPr="00895D0B" w:rsidRDefault="009842D8" w:rsidP="00F3127A">
      <w:pPr>
        <w:pStyle w:val="Heading3"/>
      </w:pPr>
      <w:bookmarkStart w:id="202" w:name="_Toc167379971"/>
      <w:bookmarkEnd w:id="201"/>
      <w:r w:rsidRPr="00895D0B">
        <w:t>8.4.2 Spatial distributions and patterns of urban food crop and livestock production</w:t>
      </w:r>
      <w:bookmarkEnd w:id="202"/>
      <w:r w:rsidRPr="00895D0B">
        <w:t xml:space="preserve"> </w:t>
      </w:r>
    </w:p>
    <w:p w14:paraId="5AE97891" w14:textId="77777777" w:rsidR="0045230F" w:rsidRPr="00895D0B" w:rsidRDefault="0045230F" w:rsidP="0045230F">
      <w:pPr>
        <w:spacing w:line="360" w:lineRule="auto"/>
        <w:rPr>
          <w:rFonts w:cs="Times New Roman"/>
          <w:color w:val="000000" w:themeColor="text1"/>
          <w:szCs w:val="24"/>
          <w:lang w:eastAsia="en-GB"/>
        </w:rPr>
      </w:pPr>
      <w:r w:rsidRPr="00895D0B">
        <w:rPr>
          <w:rFonts w:cs="Times New Roman"/>
          <w:color w:val="000000" w:themeColor="text1"/>
          <w:szCs w:val="24"/>
          <w:lang w:eastAsia="en-GB"/>
        </w:rPr>
        <w:t>Again, the study recommends the integration of urban agriculture and land use planning and zoning by the Town and Country Planning Department. Promoting urban agricultural production despite climate stressors calls for collaboration and knowledge-sharing among neighbouring farms while implementing resilient and adaptable infrastructure to mitigate climate change risks and enhance sustainability in urban agriculture in Africa, particularly Ghana. Therefore, developmental policies should focus on the integration of urban agriculture and land use planning and zoning by the Town and Country Planning Departments. The study ascertained a clustered and random distribution of urban agricultural activities under unregulated patterns. To promote urban agricultural production, improving access to resources such as land and water for urban farmers is recommended through the configuration of urban planning, zoning, and urban agricultural production activities.</w:t>
      </w:r>
    </w:p>
    <w:p w14:paraId="21D8FC8D" w14:textId="589C2B27" w:rsidR="009B1B20" w:rsidRPr="00895D0B" w:rsidRDefault="0045230F" w:rsidP="00F3127A">
      <w:pPr>
        <w:pStyle w:val="Heading3"/>
      </w:pPr>
      <w:r w:rsidRPr="00895D0B">
        <w:rPr>
          <w:rFonts w:cs="Times New Roman"/>
          <w:lang w:eastAsia="en-GB"/>
        </w:rPr>
        <w:lastRenderedPageBreak/>
        <w:t> </w:t>
      </w:r>
      <w:bookmarkStart w:id="203" w:name="_Toc167379972"/>
      <w:r w:rsidR="009B1B20" w:rsidRPr="00895D0B">
        <w:t>8.4.3 Demographic factors that influence urban dwellers' participation in urban agriculture</w:t>
      </w:r>
      <w:bookmarkEnd w:id="203"/>
    </w:p>
    <w:p w14:paraId="7C541CE2" w14:textId="49A11B60" w:rsidR="0090180E" w:rsidRPr="00895D0B" w:rsidRDefault="0090180E" w:rsidP="006B68B5">
      <w:pPr>
        <w:spacing w:line="360" w:lineRule="auto"/>
        <w:rPr>
          <w:rFonts w:cs="Times New Roman"/>
          <w:color w:val="000000" w:themeColor="text1"/>
          <w:szCs w:val="24"/>
          <w:lang w:eastAsia="en-GB"/>
        </w:rPr>
      </w:pPr>
      <w:r w:rsidRPr="00895D0B">
        <w:rPr>
          <w:rFonts w:cs="Times New Roman"/>
          <w:color w:val="000000" w:themeColor="text1"/>
          <w:szCs w:val="24"/>
          <w:lang w:eastAsia="en-GB"/>
        </w:rPr>
        <w:t>It again recommends that the government of Ghana and civil society organizations formulate and roll out pro-poor urban policies: The study revealed that participation in urban agriculture is determined by household size and monthly income. The study suggests that policymakers, urban planners, and community stakeholders should harness the potential of urban agriculture for sustainable development and resilience in the face of climate change. This should be done by rolling out pro-poor urban development policies. These policies should include, but are not limited to, pro-poor rights and legislation in urban areas; poor access to financial markets; and land tenure reforms that include flexible land holding and access by the poor.</w:t>
      </w:r>
    </w:p>
    <w:p w14:paraId="07F0E5E2" w14:textId="77777777" w:rsidR="009B7419" w:rsidRPr="00895D0B" w:rsidRDefault="009B7419" w:rsidP="005D1ECB">
      <w:pPr>
        <w:pStyle w:val="NoSpacing"/>
        <w:rPr>
          <w:lang w:eastAsia="en-GB"/>
        </w:rPr>
      </w:pPr>
    </w:p>
    <w:p w14:paraId="734A7BCA" w14:textId="5C9F72C7" w:rsidR="009B1B20" w:rsidRPr="00895D0B" w:rsidRDefault="009B1B20" w:rsidP="00F3127A">
      <w:pPr>
        <w:pStyle w:val="Heading3"/>
      </w:pPr>
      <w:bookmarkStart w:id="204" w:name="_Toc167379973"/>
      <w:r w:rsidRPr="00895D0B">
        <w:t>8.4.4 Climate change adaptation strategies of urban farmers.</w:t>
      </w:r>
      <w:bookmarkEnd w:id="204"/>
    </w:p>
    <w:p w14:paraId="5E7DC1BA" w14:textId="19891892" w:rsidR="00C41399" w:rsidRPr="00895D0B" w:rsidRDefault="007368B8" w:rsidP="006B68B5">
      <w:pPr>
        <w:pStyle w:val="NoSpacing"/>
        <w:spacing w:line="360" w:lineRule="auto"/>
        <w:jc w:val="both"/>
        <w:rPr>
          <w:rFonts w:ascii="Times New Roman" w:hAnsi="Times New Roman" w:cs="Times New Roman"/>
          <w:color w:val="000000" w:themeColor="text1"/>
          <w:sz w:val="24"/>
          <w:szCs w:val="24"/>
          <w:lang w:eastAsia="en-GB"/>
        </w:rPr>
      </w:pPr>
      <w:r w:rsidRPr="00895D0B">
        <w:rPr>
          <w:rFonts w:ascii="Times New Roman" w:hAnsi="Times New Roman" w:cs="Times New Roman"/>
          <w:color w:val="000000" w:themeColor="text1"/>
          <w:sz w:val="24"/>
          <w:szCs w:val="24"/>
          <w:lang w:eastAsia="en-GB"/>
        </w:rPr>
        <w:t>Non-governmental organizations and the Ministry of Agriculture should promote research and capacity-building investment in urban agricultural production. The study findings showed that urban farmers use multiple climate change adaptation measures for crop and animal production; soil moisture and nutrient management, choices in crop varieties, and animal breeds. This is without access to extension services in crop prediction. Therefore, there is a need to invest in research and development to identify urban-oriented climate change adaptation strategies and promote high-yield crop varieties and animal breeds suitable for urban environments. This should be backed by strategies to make extension services accessible to urban crop producers. Also, to promote urban agricultural production, government and non-government organizations, as well as civil society organizations, should integrate capacity-building initiatives, training programmes, and extension services into urban agricultural policies, which are critical to enhancing farmers' knowledge and skills in climate change adaptation. In adherence to this policy recommendation and fostering an enabling environment for urban crop and livestock farmers, governments can support the development of resilient and sustainable urban food systems that contribute to climate change adaptation, food security, and inclusive development in urban areas.</w:t>
      </w:r>
    </w:p>
    <w:p w14:paraId="3B80470C" w14:textId="77777777" w:rsidR="007368B8" w:rsidRPr="00D0101A" w:rsidRDefault="007368B8" w:rsidP="006B68B5">
      <w:pPr>
        <w:pStyle w:val="NoSpacing"/>
        <w:spacing w:line="360" w:lineRule="auto"/>
        <w:jc w:val="both"/>
        <w:rPr>
          <w:rFonts w:ascii="Times New Roman" w:hAnsi="Times New Roman" w:cs="Times New Roman"/>
          <w:color w:val="000000" w:themeColor="text1"/>
          <w:sz w:val="16"/>
          <w:szCs w:val="16"/>
          <w:lang w:eastAsia="en-GB"/>
        </w:rPr>
      </w:pPr>
    </w:p>
    <w:p w14:paraId="2B6B8AA5" w14:textId="0C6E9492" w:rsidR="001B4ED5" w:rsidRPr="00895D0B" w:rsidRDefault="006B41C0" w:rsidP="009864E3">
      <w:pPr>
        <w:pStyle w:val="Heading3"/>
        <w:rPr>
          <w:rFonts w:eastAsia="Times New Roman"/>
        </w:rPr>
      </w:pPr>
      <w:bookmarkStart w:id="205" w:name="_Toc167379974"/>
      <w:r w:rsidRPr="00895D0B">
        <w:t>8.4.</w:t>
      </w:r>
      <w:r w:rsidR="00AD7FC2">
        <w:t>5</w:t>
      </w:r>
      <w:r w:rsidRPr="00895D0B">
        <w:t xml:space="preserve"> Recommendation for Future Research</w:t>
      </w:r>
      <w:bookmarkEnd w:id="205"/>
    </w:p>
    <w:p w14:paraId="34BF927F" w14:textId="77777777" w:rsidR="007368B8" w:rsidRPr="00895D0B" w:rsidRDefault="007368B8" w:rsidP="005D1ECB">
      <w:pPr>
        <w:spacing w:after="100" w:afterAutospacing="1"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The study recommends that further research on urban agriculture should consider the following gray areas, as this study did not cover them:</w:t>
      </w:r>
    </w:p>
    <w:p w14:paraId="3463EAA1" w14:textId="77777777" w:rsidR="007368B8" w:rsidRPr="00895D0B" w:rsidRDefault="007368B8" w:rsidP="007368B8">
      <w:pPr>
        <w:numPr>
          <w:ilvl w:val="0"/>
          <w:numId w:val="193"/>
        </w:numPr>
        <w:spacing w:before="100" w:beforeAutospacing="1" w:after="100" w:afterAutospacing="1"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lastRenderedPageBreak/>
        <w:t>Future research should explore ways of improving urban agricultural production through a value chain approach in Ghanaian cities.</w:t>
      </w:r>
    </w:p>
    <w:p w14:paraId="782CE9D1" w14:textId="77777777" w:rsidR="007368B8" w:rsidRPr="00895D0B" w:rsidRDefault="007368B8" w:rsidP="007368B8">
      <w:pPr>
        <w:numPr>
          <w:ilvl w:val="0"/>
          <w:numId w:val="193"/>
        </w:numPr>
        <w:spacing w:before="100" w:beforeAutospacing="1" w:after="100" w:afterAutospacing="1" w:line="360" w:lineRule="auto"/>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A study focused on urban agricultural stakeholder perspectives may be useful in gaining support and financial and technical know-how for urban farmers to adapt to the ravaging climate change and variability stressors. </w:t>
      </w:r>
    </w:p>
    <w:p w14:paraId="014FBBEB" w14:textId="6F7B15E2" w:rsidR="001B4ED5" w:rsidRPr="00895D0B" w:rsidRDefault="007368B8" w:rsidP="00A433A5">
      <w:pPr>
        <w:spacing w:before="100" w:beforeAutospacing="1" w:after="100" w:afterAutospacing="1" w:line="240" w:lineRule="auto"/>
        <w:jc w:val="left"/>
        <w:rPr>
          <w:rFonts w:eastAsia="Times New Roman" w:cs="Times New Roman"/>
          <w:color w:val="000000" w:themeColor="text1"/>
          <w:szCs w:val="24"/>
          <w:lang w:eastAsia="en-GB"/>
        </w:rPr>
      </w:pPr>
      <w:r w:rsidRPr="00895D0B">
        <w:rPr>
          <w:rFonts w:eastAsia="Times New Roman" w:cs="Times New Roman"/>
          <w:color w:val="000000" w:themeColor="text1"/>
          <w:szCs w:val="24"/>
          <w:lang w:eastAsia="en-GB"/>
        </w:rPr>
        <w:t> </w:t>
      </w:r>
    </w:p>
    <w:p w14:paraId="60037E67" w14:textId="5654E73E" w:rsidR="00524E2D" w:rsidRPr="00895D0B" w:rsidRDefault="00524E2D" w:rsidP="00A433A5">
      <w:pPr>
        <w:spacing w:before="100" w:beforeAutospacing="1" w:after="100" w:afterAutospacing="1" w:line="240" w:lineRule="auto"/>
        <w:jc w:val="left"/>
        <w:rPr>
          <w:rFonts w:eastAsia="Times New Roman" w:cs="Times New Roman"/>
          <w:color w:val="000000" w:themeColor="text1"/>
          <w:szCs w:val="24"/>
          <w:lang w:eastAsia="en-GB"/>
        </w:rPr>
      </w:pPr>
    </w:p>
    <w:p w14:paraId="123809E5" w14:textId="6FCD8A39" w:rsidR="00524E2D" w:rsidRPr="00895D0B" w:rsidRDefault="00524E2D" w:rsidP="00A433A5">
      <w:pPr>
        <w:spacing w:before="100" w:beforeAutospacing="1" w:after="100" w:afterAutospacing="1" w:line="240" w:lineRule="auto"/>
        <w:jc w:val="left"/>
        <w:rPr>
          <w:rFonts w:eastAsia="Times New Roman" w:cs="Times New Roman"/>
          <w:color w:val="000000" w:themeColor="text1"/>
          <w:szCs w:val="24"/>
          <w:lang w:eastAsia="en-GB"/>
        </w:rPr>
      </w:pPr>
    </w:p>
    <w:p w14:paraId="3B3C9AED" w14:textId="3BAD7CF7" w:rsidR="00524E2D" w:rsidRDefault="00524E2D" w:rsidP="00A433A5">
      <w:pPr>
        <w:spacing w:before="100" w:beforeAutospacing="1" w:after="100" w:afterAutospacing="1" w:line="240" w:lineRule="auto"/>
        <w:jc w:val="left"/>
        <w:rPr>
          <w:rFonts w:eastAsia="Times New Roman" w:cs="Times New Roman"/>
          <w:color w:val="000000" w:themeColor="text1"/>
          <w:szCs w:val="24"/>
          <w:lang w:eastAsia="en-GB"/>
        </w:rPr>
      </w:pPr>
    </w:p>
    <w:p w14:paraId="099FE17B" w14:textId="2C16679D" w:rsidR="00566042" w:rsidRDefault="00566042" w:rsidP="00A433A5">
      <w:pPr>
        <w:spacing w:before="100" w:beforeAutospacing="1" w:after="100" w:afterAutospacing="1" w:line="240" w:lineRule="auto"/>
        <w:jc w:val="left"/>
        <w:rPr>
          <w:rFonts w:eastAsia="Times New Roman" w:cs="Times New Roman"/>
          <w:color w:val="000000" w:themeColor="text1"/>
          <w:szCs w:val="24"/>
          <w:lang w:eastAsia="en-GB"/>
        </w:rPr>
      </w:pPr>
    </w:p>
    <w:p w14:paraId="7291BD56" w14:textId="5A792EAF" w:rsidR="00566042" w:rsidRDefault="00566042" w:rsidP="00A433A5">
      <w:pPr>
        <w:spacing w:before="100" w:beforeAutospacing="1" w:after="100" w:afterAutospacing="1" w:line="240" w:lineRule="auto"/>
        <w:jc w:val="left"/>
        <w:rPr>
          <w:rFonts w:eastAsia="Times New Roman" w:cs="Times New Roman"/>
          <w:color w:val="000000" w:themeColor="text1"/>
          <w:szCs w:val="24"/>
          <w:lang w:eastAsia="en-GB"/>
        </w:rPr>
      </w:pPr>
    </w:p>
    <w:p w14:paraId="7600D074" w14:textId="016FA163" w:rsidR="00566042" w:rsidRDefault="00566042" w:rsidP="00A433A5">
      <w:pPr>
        <w:spacing w:before="100" w:beforeAutospacing="1" w:after="100" w:afterAutospacing="1" w:line="240" w:lineRule="auto"/>
        <w:jc w:val="left"/>
        <w:rPr>
          <w:rFonts w:eastAsia="Times New Roman" w:cs="Times New Roman"/>
          <w:color w:val="000000" w:themeColor="text1"/>
          <w:szCs w:val="24"/>
          <w:lang w:eastAsia="en-GB"/>
        </w:rPr>
      </w:pPr>
    </w:p>
    <w:p w14:paraId="328EF967" w14:textId="096E6081" w:rsidR="00566042" w:rsidRDefault="00566042" w:rsidP="00A433A5">
      <w:pPr>
        <w:spacing w:before="100" w:beforeAutospacing="1" w:after="100" w:afterAutospacing="1" w:line="240" w:lineRule="auto"/>
        <w:jc w:val="left"/>
        <w:rPr>
          <w:rFonts w:eastAsia="Times New Roman" w:cs="Times New Roman"/>
          <w:color w:val="000000" w:themeColor="text1"/>
          <w:szCs w:val="24"/>
          <w:lang w:eastAsia="en-GB"/>
        </w:rPr>
      </w:pPr>
    </w:p>
    <w:p w14:paraId="6A78F2C0" w14:textId="3ECC1271" w:rsidR="00566042" w:rsidRDefault="00566042" w:rsidP="00A433A5">
      <w:pPr>
        <w:spacing w:before="100" w:beforeAutospacing="1" w:after="100" w:afterAutospacing="1" w:line="240" w:lineRule="auto"/>
        <w:jc w:val="left"/>
        <w:rPr>
          <w:rFonts w:eastAsia="Times New Roman" w:cs="Times New Roman"/>
          <w:color w:val="000000" w:themeColor="text1"/>
          <w:szCs w:val="24"/>
          <w:lang w:eastAsia="en-GB"/>
        </w:rPr>
      </w:pPr>
    </w:p>
    <w:p w14:paraId="35EC530A" w14:textId="027F9B0C" w:rsidR="00566042" w:rsidRDefault="00566042" w:rsidP="00A433A5">
      <w:pPr>
        <w:spacing w:before="100" w:beforeAutospacing="1" w:after="100" w:afterAutospacing="1" w:line="240" w:lineRule="auto"/>
        <w:jc w:val="left"/>
        <w:rPr>
          <w:rFonts w:eastAsia="Times New Roman" w:cs="Times New Roman"/>
          <w:color w:val="000000" w:themeColor="text1"/>
          <w:szCs w:val="24"/>
          <w:lang w:eastAsia="en-GB"/>
        </w:rPr>
      </w:pPr>
    </w:p>
    <w:p w14:paraId="746BBD00" w14:textId="56858317" w:rsidR="00566042" w:rsidRDefault="00566042" w:rsidP="00A433A5">
      <w:pPr>
        <w:spacing w:before="100" w:beforeAutospacing="1" w:after="100" w:afterAutospacing="1" w:line="240" w:lineRule="auto"/>
        <w:jc w:val="left"/>
        <w:rPr>
          <w:rFonts w:eastAsia="Times New Roman" w:cs="Times New Roman"/>
          <w:color w:val="000000" w:themeColor="text1"/>
          <w:szCs w:val="24"/>
          <w:lang w:eastAsia="en-GB"/>
        </w:rPr>
      </w:pPr>
    </w:p>
    <w:p w14:paraId="5B02F134" w14:textId="35F4B3D7" w:rsidR="00566042" w:rsidRDefault="00566042" w:rsidP="00A433A5">
      <w:pPr>
        <w:spacing w:before="100" w:beforeAutospacing="1" w:after="100" w:afterAutospacing="1" w:line="240" w:lineRule="auto"/>
        <w:jc w:val="left"/>
        <w:rPr>
          <w:rFonts w:eastAsia="Times New Roman" w:cs="Times New Roman"/>
          <w:color w:val="000000" w:themeColor="text1"/>
          <w:szCs w:val="24"/>
          <w:lang w:eastAsia="en-GB"/>
        </w:rPr>
      </w:pPr>
    </w:p>
    <w:p w14:paraId="07A41A72" w14:textId="77777777" w:rsidR="00566042" w:rsidRDefault="00566042" w:rsidP="00A433A5">
      <w:pPr>
        <w:spacing w:before="100" w:beforeAutospacing="1" w:after="100" w:afterAutospacing="1" w:line="240" w:lineRule="auto"/>
        <w:jc w:val="left"/>
        <w:rPr>
          <w:rFonts w:eastAsia="Times New Roman" w:cs="Times New Roman"/>
          <w:color w:val="000000" w:themeColor="text1"/>
          <w:szCs w:val="24"/>
          <w:lang w:eastAsia="en-GB"/>
        </w:rPr>
      </w:pPr>
    </w:p>
    <w:p w14:paraId="37BAB788" w14:textId="77777777" w:rsidR="00F3127A" w:rsidRDefault="00F3127A" w:rsidP="00A433A5">
      <w:pPr>
        <w:spacing w:before="100" w:beforeAutospacing="1" w:after="100" w:afterAutospacing="1" w:line="240" w:lineRule="auto"/>
        <w:jc w:val="left"/>
        <w:rPr>
          <w:rFonts w:eastAsia="Times New Roman" w:cs="Times New Roman"/>
          <w:color w:val="000000" w:themeColor="text1"/>
          <w:szCs w:val="24"/>
          <w:lang w:eastAsia="en-GB"/>
        </w:rPr>
      </w:pPr>
    </w:p>
    <w:p w14:paraId="0768EE88" w14:textId="77777777" w:rsidR="00F3127A" w:rsidRDefault="00F3127A" w:rsidP="00A433A5">
      <w:pPr>
        <w:spacing w:before="100" w:beforeAutospacing="1" w:after="100" w:afterAutospacing="1" w:line="240" w:lineRule="auto"/>
        <w:jc w:val="left"/>
        <w:rPr>
          <w:rFonts w:eastAsia="Times New Roman" w:cs="Times New Roman"/>
          <w:color w:val="000000" w:themeColor="text1"/>
          <w:szCs w:val="24"/>
          <w:lang w:eastAsia="en-GB"/>
        </w:rPr>
      </w:pPr>
    </w:p>
    <w:p w14:paraId="37E82CEF" w14:textId="77777777" w:rsidR="00F3127A" w:rsidRDefault="00F3127A" w:rsidP="00A433A5">
      <w:pPr>
        <w:spacing w:before="100" w:beforeAutospacing="1" w:after="100" w:afterAutospacing="1" w:line="240" w:lineRule="auto"/>
        <w:jc w:val="left"/>
        <w:rPr>
          <w:rFonts w:eastAsia="Times New Roman" w:cs="Times New Roman"/>
          <w:color w:val="000000" w:themeColor="text1"/>
          <w:szCs w:val="24"/>
          <w:lang w:eastAsia="en-GB"/>
        </w:rPr>
      </w:pPr>
    </w:p>
    <w:p w14:paraId="0796DFDC" w14:textId="77777777" w:rsidR="005D1ECB" w:rsidRDefault="005D1ECB" w:rsidP="00A433A5">
      <w:pPr>
        <w:spacing w:before="100" w:beforeAutospacing="1" w:after="100" w:afterAutospacing="1" w:line="240" w:lineRule="auto"/>
        <w:jc w:val="left"/>
        <w:rPr>
          <w:rFonts w:eastAsia="Times New Roman" w:cs="Times New Roman"/>
          <w:color w:val="000000" w:themeColor="text1"/>
          <w:szCs w:val="24"/>
          <w:lang w:eastAsia="en-GB"/>
        </w:rPr>
      </w:pPr>
    </w:p>
    <w:p w14:paraId="0ADF5543" w14:textId="77777777" w:rsidR="005D1ECB" w:rsidRDefault="005D1ECB" w:rsidP="00A433A5">
      <w:pPr>
        <w:spacing w:before="100" w:beforeAutospacing="1" w:after="100" w:afterAutospacing="1" w:line="240" w:lineRule="auto"/>
        <w:jc w:val="left"/>
        <w:rPr>
          <w:rFonts w:eastAsia="Times New Roman" w:cs="Times New Roman"/>
          <w:color w:val="000000" w:themeColor="text1"/>
          <w:szCs w:val="24"/>
          <w:lang w:eastAsia="en-GB"/>
        </w:rPr>
      </w:pPr>
    </w:p>
    <w:p w14:paraId="27CE52A7" w14:textId="77777777" w:rsidR="005D1ECB" w:rsidRPr="00895D0B" w:rsidRDefault="005D1ECB" w:rsidP="00A433A5">
      <w:pPr>
        <w:spacing w:before="100" w:beforeAutospacing="1" w:after="100" w:afterAutospacing="1" w:line="240" w:lineRule="auto"/>
        <w:jc w:val="left"/>
        <w:rPr>
          <w:rFonts w:eastAsia="Times New Roman" w:cs="Times New Roman"/>
          <w:color w:val="000000" w:themeColor="text1"/>
          <w:szCs w:val="24"/>
          <w:lang w:eastAsia="en-GB"/>
        </w:rPr>
      </w:pPr>
    </w:p>
    <w:p w14:paraId="39E501EB" w14:textId="77777777" w:rsidR="00524E2D" w:rsidRPr="00895D0B" w:rsidRDefault="00524E2D" w:rsidP="00A433A5">
      <w:pPr>
        <w:spacing w:before="100" w:beforeAutospacing="1" w:after="100" w:afterAutospacing="1" w:line="240" w:lineRule="auto"/>
        <w:jc w:val="left"/>
        <w:rPr>
          <w:rFonts w:cs="Times New Roman"/>
          <w:color w:val="000000" w:themeColor="text1"/>
          <w:szCs w:val="24"/>
        </w:rPr>
      </w:pPr>
    </w:p>
    <w:p w14:paraId="7F7088BB" w14:textId="77777777" w:rsidR="001B4ED5" w:rsidRPr="00895D0B" w:rsidRDefault="006B41C0" w:rsidP="00F3127A">
      <w:pPr>
        <w:pStyle w:val="Heading2"/>
      </w:pPr>
      <w:bookmarkStart w:id="206" w:name="_Toc167379975"/>
      <w:r w:rsidRPr="00895D0B">
        <w:lastRenderedPageBreak/>
        <w:t>8.5 References</w:t>
      </w:r>
      <w:bookmarkEnd w:id="206"/>
      <w:r w:rsidRPr="00895D0B">
        <w:t xml:space="preserve"> </w:t>
      </w:r>
    </w:p>
    <w:p w14:paraId="07215F54" w14:textId="6ECAA9E7" w:rsidR="00EC20CA" w:rsidRPr="00895D0B" w:rsidRDefault="006B41C0"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color w:val="000000" w:themeColor="text1"/>
          <w:szCs w:val="24"/>
          <w:lang w:val="en-US"/>
        </w:rPr>
        <w:fldChar w:fldCharType="begin" w:fldLock="1"/>
      </w:r>
      <w:r w:rsidRPr="00895D0B">
        <w:rPr>
          <w:rFonts w:cs="Times New Roman"/>
          <w:color w:val="000000" w:themeColor="text1"/>
          <w:szCs w:val="24"/>
          <w:lang w:val="en-US"/>
        </w:rPr>
        <w:instrText xml:space="preserve">ADDIN Mendeley Bibliography CSL_BIBLIOGRAPHY </w:instrText>
      </w:r>
      <w:r w:rsidRPr="00895D0B">
        <w:rPr>
          <w:rFonts w:cs="Times New Roman"/>
          <w:color w:val="000000" w:themeColor="text1"/>
          <w:szCs w:val="24"/>
          <w:lang w:val="en-US"/>
        </w:rPr>
        <w:fldChar w:fldCharType="separate"/>
      </w:r>
      <w:r w:rsidR="00EC20CA" w:rsidRPr="00895D0B">
        <w:rPr>
          <w:rFonts w:cs="Times New Roman"/>
          <w:noProof/>
          <w:color w:val="000000" w:themeColor="text1"/>
          <w:szCs w:val="24"/>
        </w:rPr>
        <w:t xml:space="preserve">Abass, K., Adanu, S. K., &amp; Agyemang, S. (2018). Peri-urbanisation and loss of arable land in Kumasi Metropolis in three decades: Evidence from remote sensing image analysis. </w:t>
      </w:r>
      <w:r w:rsidR="00EC20CA" w:rsidRPr="00895D0B">
        <w:rPr>
          <w:rFonts w:cs="Times New Roman"/>
          <w:i/>
          <w:iCs/>
          <w:noProof/>
          <w:color w:val="000000" w:themeColor="text1"/>
          <w:szCs w:val="24"/>
        </w:rPr>
        <w:t>Land Use Policy</w:t>
      </w:r>
      <w:r w:rsidR="00EC20CA" w:rsidRPr="00895D0B">
        <w:rPr>
          <w:rFonts w:cs="Times New Roman"/>
          <w:noProof/>
          <w:color w:val="000000" w:themeColor="text1"/>
          <w:szCs w:val="24"/>
        </w:rPr>
        <w:t xml:space="preserve">, </w:t>
      </w:r>
      <w:r w:rsidR="00EC20CA" w:rsidRPr="00895D0B">
        <w:rPr>
          <w:rFonts w:cs="Times New Roman"/>
          <w:i/>
          <w:iCs/>
          <w:noProof/>
          <w:color w:val="000000" w:themeColor="text1"/>
          <w:szCs w:val="24"/>
        </w:rPr>
        <w:t>72</w:t>
      </w:r>
      <w:r w:rsidR="00EC20CA" w:rsidRPr="00895D0B">
        <w:rPr>
          <w:rFonts w:cs="Times New Roman"/>
          <w:noProof/>
          <w:color w:val="000000" w:themeColor="text1"/>
          <w:szCs w:val="24"/>
        </w:rPr>
        <w:t>(February 2017), 470–479. https://doi.org/10.1016/j.landusepol.2018.01.013</w:t>
      </w:r>
    </w:p>
    <w:p w14:paraId="2652DF0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Abazinab, H., Duguma, B., &amp; Muleta, E. (2022). Livestock farmers’ perception of climate change and adaptation strategies in the Gera district, Jimma zone, Oromia Regional state, southwest Ethiopia. </w:t>
      </w:r>
      <w:r w:rsidRPr="00895D0B">
        <w:rPr>
          <w:rFonts w:cs="Times New Roman"/>
          <w:i/>
          <w:iCs/>
          <w:noProof/>
          <w:color w:val="000000" w:themeColor="text1"/>
          <w:szCs w:val="24"/>
        </w:rPr>
        <w:t>Heliyon</w:t>
      </w:r>
      <w:r w:rsidRPr="00895D0B">
        <w:rPr>
          <w:rFonts w:cs="Times New Roman"/>
          <w:noProof/>
          <w:color w:val="000000" w:themeColor="text1"/>
          <w:szCs w:val="24"/>
        </w:rPr>
        <w:t xml:space="preserve">, </w:t>
      </w:r>
      <w:r w:rsidRPr="00895D0B">
        <w:rPr>
          <w:rFonts w:cs="Times New Roman"/>
          <w:i/>
          <w:iCs/>
          <w:noProof/>
          <w:color w:val="000000" w:themeColor="text1"/>
          <w:szCs w:val="24"/>
        </w:rPr>
        <w:t>8</w:t>
      </w:r>
      <w:r w:rsidRPr="00895D0B">
        <w:rPr>
          <w:rFonts w:cs="Times New Roman"/>
          <w:noProof/>
          <w:color w:val="000000" w:themeColor="text1"/>
          <w:szCs w:val="24"/>
        </w:rPr>
        <w:t>(12), e12200. https://doi.org/10.1016/j.heliyon.2022.e12200</w:t>
      </w:r>
    </w:p>
    <w:p w14:paraId="5443BEC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Abdulai, I. A. (2022). Rearing livestock on the edge of secondary cities: examining small ruminant production on the fringes of Wa, Ghana. </w:t>
      </w:r>
      <w:r w:rsidRPr="00895D0B">
        <w:rPr>
          <w:rFonts w:cs="Times New Roman"/>
          <w:i/>
          <w:iCs/>
          <w:noProof/>
          <w:color w:val="000000" w:themeColor="text1"/>
          <w:szCs w:val="24"/>
        </w:rPr>
        <w:t>Heliyon</w:t>
      </w:r>
      <w:r w:rsidRPr="00895D0B">
        <w:rPr>
          <w:rFonts w:cs="Times New Roman"/>
          <w:noProof/>
          <w:color w:val="000000" w:themeColor="text1"/>
          <w:szCs w:val="24"/>
        </w:rPr>
        <w:t xml:space="preserve">, </w:t>
      </w:r>
      <w:r w:rsidRPr="00895D0B">
        <w:rPr>
          <w:rFonts w:cs="Times New Roman"/>
          <w:i/>
          <w:iCs/>
          <w:noProof/>
          <w:color w:val="000000" w:themeColor="text1"/>
          <w:szCs w:val="24"/>
        </w:rPr>
        <w:t>8</w:t>
      </w:r>
      <w:r w:rsidRPr="00895D0B">
        <w:rPr>
          <w:rFonts w:cs="Times New Roman"/>
          <w:noProof/>
          <w:color w:val="000000" w:themeColor="text1"/>
          <w:szCs w:val="24"/>
        </w:rPr>
        <w:t>(4), e09347. https://doi.org/10.1016/j.heliyon.2022.e09347</w:t>
      </w:r>
    </w:p>
    <w:p w14:paraId="45FAB5F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Abdulai, I. A., Dongzagla, A., &amp; Ahmed, A. (2020). </w:t>
      </w:r>
      <w:r w:rsidRPr="00895D0B">
        <w:rPr>
          <w:rFonts w:cs="Times New Roman"/>
          <w:i/>
          <w:iCs/>
          <w:noProof/>
          <w:color w:val="000000" w:themeColor="text1"/>
          <w:szCs w:val="24"/>
        </w:rPr>
        <w:t>Urban livestock rearing and the paradox of sustainable cities and urban governance in West Africa: Empirical evidence from Wa, Ghana</w:t>
      </w:r>
      <w:r w:rsidRPr="00895D0B">
        <w:rPr>
          <w:rFonts w:cs="Times New Roman"/>
          <w:noProof/>
          <w:color w:val="000000" w:themeColor="text1"/>
          <w:szCs w:val="24"/>
        </w:rPr>
        <w:t xml:space="preserve">. </w:t>
      </w:r>
      <w:r w:rsidRPr="00895D0B">
        <w:rPr>
          <w:rFonts w:cs="Times New Roman"/>
          <w:i/>
          <w:iCs/>
          <w:noProof/>
          <w:color w:val="000000" w:themeColor="text1"/>
          <w:szCs w:val="24"/>
        </w:rPr>
        <w:t>xxxx</w:t>
      </w:r>
      <w:r w:rsidRPr="00895D0B">
        <w:rPr>
          <w:rFonts w:cs="Times New Roman"/>
          <w:noProof/>
          <w:color w:val="000000" w:themeColor="text1"/>
          <w:szCs w:val="24"/>
        </w:rPr>
        <w:t>, 1–11.</w:t>
      </w:r>
    </w:p>
    <w:p w14:paraId="3E232D6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Abdullah, R. F., Ahamad, R., Ali, S., Chandio, A. A., Ahmad, W., Ilyas, A., &amp; Din, I. U. (2019). Determinants of commercialization and its impact on the welfare of smallholder rice farmers by using Heckman’s two-stage approach. </w:t>
      </w:r>
      <w:r w:rsidRPr="00895D0B">
        <w:rPr>
          <w:rFonts w:cs="Times New Roman"/>
          <w:i/>
          <w:iCs/>
          <w:noProof/>
          <w:color w:val="000000" w:themeColor="text1"/>
          <w:szCs w:val="24"/>
        </w:rPr>
        <w:t>Journal of the Saudi Society of Agricultural Sciences</w:t>
      </w:r>
      <w:r w:rsidRPr="00895D0B">
        <w:rPr>
          <w:rFonts w:cs="Times New Roman"/>
          <w:noProof/>
          <w:color w:val="000000" w:themeColor="text1"/>
          <w:szCs w:val="24"/>
        </w:rPr>
        <w:t xml:space="preserve">, </w:t>
      </w:r>
      <w:r w:rsidRPr="00895D0B">
        <w:rPr>
          <w:rFonts w:cs="Times New Roman"/>
          <w:i/>
          <w:iCs/>
          <w:noProof/>
          <w:color w:val="000000" w:themeColor="text1"/>
          <w:szCs w:val="24"/>
        </w:rPr>
        <w:t>18</w:t>
      </w:r>
      <w:r w:rsidRPr="00895D0B">
        <w:rPr>
          <w:rFonts w:cs="Times New Roman"/>
          <w:noProof/>
          <w:color w:val="000000" w:themeColor="text1"/>
          <w:szCs w:val="24"/>
        </w:rPr>
        <w:t>(2), 224–233. https://doi.org/10.1016/j.jssas.2017.06.001</w:t>
      </w:r>
    </w:p>
    <w:p w14:paraId="66929BF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Abdulmunem, S. A., Alrawi, A. K., Al-hussaini, Z. I. H., &amp; Shakir, A. (2023). Integrating Urban Agriculture into Neighborhood Planning for Sustainable Development: People’s Perceptions of the Potentials of the Al-Bastanah in Al-Za’faraniya, Iraq. </w:t>
      </w:r>
      <w:r w:rsidRPr="00895D0B">
        <w:rPr>
          <w:rFonts w:cs="Times New Roman"/>
          <w:i/>
          <w:iCs/>
          <w:noProof/>
          <w:color w:val="000000" w:themeColor="text1"/>
          <w:szCs w:val="24"/>
        </w:rPr>
        <w:t>International Society for the Study of Vernacular Settlements</w:t>
      </w:r>
      <w:r w:rsidRPr="00895D0B">
        <w:rPr>
          <w:rFonts w:cs="Times New Roman"/>
          <w:noProof/>
          <w:color w:val="000000" w:themeColor="text1"/>
          <w:szCs w:val="24"/>
        </w:rPr>
        <w:t xml:space="preserve">, </w:t>
      </w:r>
      <w:r w:rsidRPr="00895D0B">
        <w:rPr>
          <w:rFonts w:cs="Times New Roman"/>
          <w:i/>
          <w:iCs/>
          <w:noProof/>
          <w:color w:val="000000" w:themeColor="text1"/>
          <w:szCs w:val="24"/>
        </w:rPr>
        <w:t>10</w:t>
      </w:r>
      <w:r w:rsidRPr="00895D0B">
        <w:rPr>
          <w:rFonts w:cs="Times New Roman"/>
          <w:noProof/>
          <w:color w:val="000000" w:themeColor="text1"/>
          <w:szCs w:val="24"/>
        </w:rPr>
        <w:t>(12), 520–534. https://doi.org/10.61275/isvsej-2023-10-12-36</w:t>
      </w:r>
    </w:p>
    <w:p w14:paraId="2177409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Acevedo, M., Pixley, K., Zinyengere, N., Meng, S., Tufan, H., Cichy, K., Bizikova, L., Isaacs, K., Ghezzi-Kopel, K., &amp; Porciello, J. (2020). A scoping review of adoption of climate-resilient crops by small-scale producers in low- and middle-income countries. </w:t>
      </w:r>
      <w:r w:rsidRPr="00895D0B">
        <w:rPr>
          <w:rFonts w:cs="Times New Roman"/>
          <w:i/>
          <w:iCs/>
          <w:noProof/>
          <w:color w:val="000000" w:themeColor="text1"/>
          <w:szCs w:val="24"/>
        </w:rPr>
        <w:t>Nature Plants</w:t>
      </w:r>
      <w:r w:rsidRPr="00895D0B">
        <w:rPr>
          <w:rFonts w:cs="Times New Roman"/>
          <w:noProof/>
          <w:color w:val="000000" w:themeColor="text1"/>
          <w:szCs w:val="24"/>
        </w:rPr>
        <w:t xml:space="preserve">, </w:t>
      </w:r>
      <w:r w:rsidRPr="00895D0B">
        <w:rPr>
          <w:rFonts w:cs="Times New Roman"/>
          <w:i/>
          <w:iCs/>
          <w:noProof/>
          <w:color w:val="000000" w:themeColor="text1"/>
          <w:szCs w:val="24"/>
        </w:rPr>
        <w:t>6</w:t>
      </w:r>
      <w:r w:rsidRPr="00895D0B">
        <w:rPr>
          <w:rFonts w:cs="Times New Roman"/>
          <w:noProof/>
          <w:color w:val="000000" w:themeColor="text1"/>
          <w:szCs w:val="24"/>
        </w:rPr>
        <w:t>(10), 1231–1241. https://doi.org/10.1038/s41477-020-00783-z</w:t>
      </w:r>
    </w:p>
    <w:p w14:paraId="76F6524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Achandi, E. L., Mujawamariya, G., Agboh-Noameshie, A. R., Gebremariam, S., Rahalivavololona, N., &amp; Rodenburg, J. (2018). Women’s access to agricultural technologies in rice production and processing hubs: A comparative analysis of Ethiopia, Madagascar and Tanzania. </w:t>
      </w:r>
      <w:r w:rsidRPr="00895D0B">
        <w:rPr>
          <w:rFonts w:cs="Times New Roman"/>
          <w:i/>
          <w:iCs/>
          <w:noProof/>
          <w:color w:val="000000" w:themeColor="text1"/>
          <w:szCs w:val="24"/>
        </w:rPr>
        <w:t>Journal of Rural Studies</w:t>
      </w:r>
      <w:r w:rsidRPr="00895D0B">
        <w:rPr>
          <w:rFonts w:cs="Times New Roman"/>
          <w:noProof/>
          <w:color w:val="000000" w:themeColor="text1"/>
          <w:szCs w:val="24"/>
        </w:rPr>
        <w:t xml:space="preserve">, </w:t>
      </w:r>
      <w:r w:rsidRPr="00895D0B">
        <w:rPr>
          <w:rFonts w:cs="Times New Roman"/>
          <w:i/>
          <w:iCs/>
          <w:noProof/>
          <w:color w:val="000000" w:themeColor="text1"/>
          <w:szCs w:val="24"/>
        </w:rPr>
        <w:t>60</w:t>
      </w:r>
      <w:r w:rsidRPr="00895D0B">
        <w:rPr>
          <w:rFonts w:cs="Times New Roman"/>
          <w:noProof/>
          <w:color w:val="000000" w:themeColor="text1"/>
          <w:szCs w:val="24"/>
        </w:rPr>
        <w:t>(February 2017), 188–198. https://doi.org/10.1016/j.jrurstud.2018.03.011</w:t>
      </w:r>
    </w:p>
    <w:p w14:paraId="62BF2AB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Adam, A. G. (2019). Thinking outside the box and introducing land readjustment against the conventional urban land acquisition and delivery method in Ethiopia.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81</w:t>
      </w:r>
      <w:r w:rsidRPr="00895D0B">
        <w:rPr>
          <w:rFonts w:cs="Times New Roman"/>
          <w:noProof/>
          <w:color w:val="000000" w:themeColor="text1"/>
          <w:szCs w:val="24"/>
        </w:rPr>
        <w:t>(August 2017), 624–631. https://doi.org/10.1016/j.landusepol.2018.11.028</w:t>
      </w:r>
    </w:p>
    <w:p w14:paraId="5AD6558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Adams, A. (2016). </w:t>
      </w:r>
      <w:r w:rsidRPr="00895D0B">
        <w:rPr>
          <w:rFonts w:cs="Times New Roman"/>
          <w:i/>
          <w:iCs/>
          <w:noProof/>
          <w:color w:val="000000" w:themeColor="text1"/>
          <w:szCs w:val="24"/>
        </w:rPr>
        <w:t>The Shea Industry and Rural Livelihoods among Women in the Wa Municipality , Ghana</w:t>
      </w:r>
      <w:r w:rsidRPr="00895D0B">
        <w:rPr>
          <w:rFonts w:cs="Times New Roman"/>
          <w:noProof/>
          <w:color w:val="000000" w:themeColor="text1"/>
          <w:szCs w:val="24"/>
        </w:rPr>
        <w:t xml:space="preserve">. </w:t>
      </w:r>
      <w:r w:rsidRPr="00895D0B">
        <w:rPr>
          <w:rFonts w:cs="Times New Roman"/>
          <w:i/>
          <w:iCs/>
          <w:noProof/>
          <w:color w:val="000000" w:themeColor="text1"/>
          <w:szCs w:val="24"/>
        </w:rPr>
        <w:t>3</w:t>
      </w:r>
      <w:r w:rsidRPr="00895D0B">
        <w:rPr>
          <w:rFonts w:cs="Times New Roman"/>
          <w:noProof/>
          <w:color w:val="000000" w:themeColor="text1"/>
          <w:szCs w:val="24"/>
        </w:rPr>
        <w:t>(2), 40–56. https://doi.org/10.5296/jsss.v3i2.8706</w:t>
      </w:r>
    </w:p>
    <w:p w14:paraId="6B9B9B2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Adiku, S. G. K., Debrah-afanyede, E., Greatrex, H., Zougmore, R., &amp; Maccarthy, D. S. (2017). Weather-index based crop insurance as a social adaptation to climate change and variability in the Upper West Region of Ghana Developing a participatory approach. </w:t>
      </w:r>
      <w:r w:rsidRPr="00895D0B">
        <w:rPr>
          <w:rFonts w:cs="Times New Roman"/>
          <w:i/>
          <w:iCs/>
          <w:noProof/>
          <w:color w:val="000000" w:themeColor="text1"/>
          <w:szCs w:val="24"/>
        </w:rPr>
        <w:t>CCAFS Working Paper</w:t>
      </w:r>
      <w:r w:rsidRPr="00895D0B">
        <w:rPr>
          <w:rFonts w:cs="Times New Roman"/>
          <w:noProof/>
          <w:color w:val="000000" w:themeColor="text1"/>
          <w:szCs w:val="24"/>
        </w:rPr>
        <w:t xml:space="preserve">, </w:t>
      </w:r>
      <w:r w:rsidRPr="00895D0B">
        <w:rPr>
          <w:rFonts w:cs="Times New Roman"/>
          <w:i/>
          <w:iCs/>
          <w:noProof/>
          <w:color w:val="000000" w:themeColor="text1"/>
          <w:szCs w:val="24"/>
        </w:rPr>
        <w:t>No.189</w:t>
      </w:r>
      <w:r w:rsidRPr="00895D0B">
        <w:rPr>
          <w:rFonts w:cs="Times New Roman"/>
          <w:noProof/>
          <w:color w:val="000000" w:themeColor="text1"/>
          <w:szCs w:val="24"/>
        </w:rPr>
        <w:t>, 44 p.</w:t>
      </w:r>
    </w:p>
    <w:p w14:paraId="4B9BAD6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Adzawla, W., Azumah, S. B., Anani, P. Y., &amp; Donkoh, S. A. (2019). Gender perspectives of climate change adaptation in two selected districts of Ghana. </w:t>
      </w:r>
      <w:r w:rsidRPr="00895D0B">
        <w:rPr>
          <w:rFonts w:cs="Times New Roman"/>
          <w:i/>
          <w:iCs/>
          <w:noProof/>
          <w:color w:val="000000" w:themeColor="text1"/>
          <w:szCs w:val="24"/>
        </w:rPr>
        <w:t>Heliyon</w:t>
      </w:r>
      <w:r w:rsidRPr="00895D0B">
        <w:rPr>
          <w:rFonts w:cs="Times New Roman"/>
          <w:noProof/>
          <w:color w:val="000000" w:themeColor="text1"/>
          <w:szCs w:val="24"/>
        </w:rPr>
        <w:t xml:space="preserve">, </w:t>
      </w:r>
      <w:r w:rsidRPr="00895D0B">
        <w:rPr>
          <w:rFonts w:cs="Times New Roman"/>
          <w:i/>
          <w:iCs/>
          <w:noProof/>
          <w:color w:val="000000" w:themeColor="text1"/>
          <w:szCs w:val="24"/>
        </w:rPr>
        <w:t>5</w:t>
      </w:r>
      <w:r w:rsidRPr="00895D0B">
        <w:rPr>
          <w:rFonts w:cs="Times New Roman"/>
          <w:noProof/>
          <w:color w:val="000000" w:themeColor="text1"/>
          <w:szCs w:val="24"/>
        </w:rPr>
        <w:t>(11), e02854. https://doi.org/10.1016/j.heliyon.2019.e02854</w:t>
      </w:r>
    </w:p>
    <w:p w14:paraId="2E578BC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Agency, T. G. M. (2022). </w:t>
      </w:r>
      <w:r w:rsidRPr="00895D0B">
        <w:rPr>
          <w:rFonts w:cs="Times New Roman"/>
          <w:i/>
          <w:iCs/>
          <w:noProof/>
          <w:color w:val="000000" w:themeColor="text1"/>
          <w:szCs w:val="24"/>
        </w:rPr>
        <w:t>Climate and average weather year round in Wa, Ghana</w:t>
      </w:r>
      <w:r w:rsidRPr="00895D0B">
        <w:rPr>
          <w:rFonts w:cs="Times New Roman"/>
          <w:noProof/>
          <w:color w:val="000000" w:themeColor="text1"/>
          <w:szCs w:val="24"/>
        </w:rPr>
        <w:t>. https://www.meteo.gov.gh/gmet/climatology/</w:t>
      </w:r>
    </w:p>
    <w:p w14:paraId="6F9B135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Agmas, B. (2021). </w:t>
      </w:r>
      <w:r w:rsidRPr="00895D0B">
        <w:rPr>
          <w:rFonts w:cs="Times New Roman"/>
          <w:i/>
          <w:iCs/>
          <w:noProof/>
          <w:color w:val="000000" w:themeColor="text1"/>
          <w:szCs w:val="24"/>
        </w:rPr>
        <w:t>Client ’ s Satisfaction and its Predictors with Delivery of Veterinary Services in Peri-Urban Area in North Western Ethiopia</w:t>
      </w:r>
      <w:r w:rsidRPr="00895D0B">
        <w:rPr>
          <w:rFonts w:cs="Times New Roman"/>
          <w:noProof/>
          <w:color w:val="000000" w:themeColor="text1"/>
          <w:szCs w:val="24"/>
        </w:rPr>
        <w:t xml:space="preserve">. </w:t>
      </w:r>
      <w:r w:rsidRPr="00895D0B">
        <w:rPr>
          <w:rFonts w:cs="Times New Roman"/>
          <w:i/>
          <w:iCs/>
          <w:noProof/>
          <w:color w:val="000000" w:themeColor="text1"/>
          <w:szCs w:val="24"/>
        </w:rPr>
        <w:t>October</w:t>
      </w:r>
      <w:r w:rsidRPr="00895D0B">
        <w:rPr>
          <w:rFonts w:cs="Times New Roman"/>
          <w:noProof/>
          <w:color w:val="000000" w:themeColor="text1"/>
          <w:szCs w:val="24"/>
        </w:rPr>
        <w:t>, 19–22.</w:t>
      </w:r>
    </w:p>
    <w:p w14:paraId="2B41983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Ahani, S., &amp; Dadashpoor, H. (2021). Land conflict management measures in peri-urban areas: a meta-synthesis review. </w:t>
      </w:r>
      <w:r w:rsidRPr="00895D0B">
        <w:rPr>
          <w:rFonts w:cs="Times New Roman"/>
          <w:i/>
          <w:iCs/>
          <w:noProof/>
          <w:color w:val="000000" w:themeColor="text1"/>
          <w:szCs w:val="24"/>
        </w:rPr>
        <w:t>Journal of Environmental Planning and Management</w:t>
      </w:r>
      <w:r w:rsidRPr="00895D0B">
        <w:rPr>
          <w:rFonts w:cs="Times New Roman"/>
          <w:noProof/>
          <w:color w:val="000000" w:themeColor="text1"/>
          <w:szCs w:val="24"/>
        </w:rPr>
        <w:t xml:space="preserve">, </w:t>
      </w:r>
      <w:r w:rsidRPr="00895D0B">
        <w:rPr>
          <w:rFonts w:cs="Times New Roman"/>
          <w:i/>
          <w:iCs/>
          <w:noProof/>
          <w:color w:val="000000" w:themeColor="text1"/>
          <w:szCs w:val="24"/>
        </w:rPr>
        <w:t>64</w:t>
      </w:r>
      <w:r w:rsidRPr="00895D0B">
        <w:rPr>
          <w:rFonts w:cs="Times New Roman"/>
          <w:noProof/>
          <w:color w:val="000000" w:themeColor="text1"/>
          <w:szCs w:val="24"/>
        </w:rPr>
        <w:t>(11), 1909–1939. https://doi.org/10.1080/09640568.2020.1852916</w:t>
      </w:r>
    </w:p>
    <w:p w14:paraId="0E7A5FD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Ahmed, A., Korah, P. I., Dongzagla, A., Nunbogu, A. M., Niminga-Beka, R., Kuusaana, E. D., &amp; Abubakari, Z. (2020). City profile: Wa, Ghana. </w:t>
      </w:r>
      <w:r w:rsidRPr="00895D0B">
        <w:rPr>
          <w:rFonts w:cs="Times New Roman"/>
          <w:i/>
          <w:iCs/>
          <w:noProof/>
          <w:color w:val="000000" w:themeColor="text1"/>
          <w:szCs w:val="24"/>
        </w:rPr>
        <w:t>Cities</w:t>
      </w:r>
      <w:r w:rsidRPr="00895D0B">
        <w:rPr>
          <w:rFonts w:cs="Times New Roman"/>
          <w:noProof/>
          <w:color w:val="000000" w:themeColor="text1"/>
          <w:szCs w:val="24"/>
        </w:rPr>
        <w:t xml:space="preserve">, </w:t>
      </w:r>
      <w:r w:rsidRPr="00895D0B">
        <w:rPr>
          <w:rFonts w:cs="Times New Roman"/>
          <w:i/>
          <w:iCs/>
          <w:noProof/>
          <w:color w:val="000000" w:themeColor="text1"/>
          <w:szCs w:val="24"/>
        </w:rPr>
        <w:t>97</w:t>
      </w:r>
      <w:r w:rsidRPr="00895D0B">
        <w:rPr>
          <w:rFonts w:cs="Times New Roman"/>
          <w:noProof/>
          <w:color w:val="000000" w:themeColor="text1"/>
          <w:szCs w:val="24"/>
        </w:rPr>
        <w:t>, 1–14. https://doi.org/10.1016/j.cities.2019.102524</w:t>
      </w:r>
    </w:p>
    <w:p w14:paraId="07BA678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Ahmed, S., Dávila, J. D., Allen, A., Haklay, M., Tacoli, C., &amp; Fèvre, E. M. (2019). Does urbanization make emergence of zoonosis more likely? Evidence, myths and gaps. </w:t>
      </w:r>
      <w:r w:rsidRPr="00895D0B">
        <w:rPr>
          <w:rFonts w:cs="Times New Roman"/>
          <w:i/>
          <w:iCs/>
          <w:noProof/>
          <w:color w:val="000000" w:themeColor="text1"/>
          <w:szCs w:val="24"/>
        </w:rPr>
        <w:t>Environment and Urbanization</w:t>
      </w:r>
      <w:r w:rsidRPr="00895D0B">
        <w:rPr>
          <w:rFonts w:cs="Times New Roman"/>
          <w:noProof/>
          <w:color w:val="000000" w:themeColor="text1"/>
          <w:szCs w:val="24"/>
        </w:rPr>
        <w:t xml:space="preserve">, </w:t>
      </w:r>
      <w:r w:rsidRPr="00895D0B">
        <w:rPr>
          <w:rFonts w:cs="Times New Roman"/>
          <w:i/>
          <w:iCs/>
          <w:noProof/>
          <w:color w:val="000000" w:themeColor="text1"/>
          <w:szCs w:val="24"/>
        </w:rPr>
        <w:t>31</w:t>
      </w:r>
      <w:r w:rsidRPr="00895D0B">
        <w:rPr>
          <w:rFonts w:cs="Times New Roman"/>
          <w:noProof/>
          <w:color w:val="000000" w:themeColor="text1"/>
          <w:szCs w:val="24"/>
        </w:rPr>
        <w:t>(2), 443–460. https://doi.org/10.1177/0956247819866124</w:t>
      </w:r>
    </w:p>
    <w:p w14:paraId="1521C1D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Akinyemi, B. E., &amp; Mushunje, A. (2019). Land ownership and usage for agriculture : Empirical evidence from South African Living Conditions Survey Land ownership and usage for agriculture : Empirical evidence from South African Living Conditions Survey. </w:t>
      </w:r>
      <w:r w:rsidRPr="00895D0B">
        <w:rPr>
          <w:rFonts w:cs="Times New Roman"/>
          <w:i/>
          <w:iCs/>
          <w:noProof/>
          <w:color w:val="000000" w:themeColor="text1"/>
          <w:szCs w:val="24"/>
        </w:rPr>
        <w:t>Cogent Social Sciences</w:t>
      </w:r>
      <w:r w:rsidRPr="00895D0B">
        <w:rPr>
          <w:rFonts w:cs="Times New Roman"/>
          <w:noProof/>
          <w:color w:val="000000" w:themeColor="text1"/>
          <w:szCs w:val="24"/>
        </w:rPr>
        <w:t xml:space="preserve">, </w:t>
      </w:r>
      <w:r w:rsidRPr="00895D0B">
        <w:rPr>
          <w:rFonts w:cs="Times New Roman"/>
          <w:i/>
          <w:iCs/>
          <w:noProof/>
          <w:color w:val="000000" w:themeColor="text1"/>
          <w:szCs w:val="24"/>
        </w:rPr>
        <w:t>5</w:t>
      </w:r>
      <w:r w:rsidRPr="00895D0B">
        <w:rPr>
          <w:rFonts w:cs="Times New Roman"/>
          <w:noProof/>
          <w:color w:val="000000" w:themeColor="text1"/>
          <w:szCs w:val="24"/>
        </w:rPr>
        <w:t>(1). https://doi.org/10.1080/23311886.2019.1663691</w:t>
      </w:r>
    </w:p>
    <w:p w14:paraId="4B171AB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Akinyi, D. P., Ng’ang’a, S. K., &amp; Girvetz, E. H. (2021). Trade-offs and synergies of climate change adaptation strategies among smallholder farmers in sub-Saharan Africa: A systematic review. </w:t>
      </w:r>
      <w:r w:rsidRPr="00895D0B">
        <w:rPr>
          <w:rFonts w:cs="Times New Roman"/>
          <w:i/>
          <w:iCs/>
          <w:noProof/>
          <w:color w:val="000000" w:themeColor="text1"/>
          <w:szCs w:val="24"/>
        </w:rPr>
        <w:t>Regional Sustainability</w:t>
      </w:r>
      <w:r w:rsidRPr="00895D0B">
        <w:rPr>
          <w:rFonts w:cs="Times New Roman"/>
          <w:noProof/>
          <w:color w:val="000000" w:themeColor="text1"/>
          <w:szCs w:val="24"/>
        </w:rPr>
        <w:t xml:space="preserve">, </w:t>
      </w:r>
      <w:r w:rsidRPr="00895D0B">
        <w:rPr>
          <w:rFonts w:cs="Times New Roman"/>
          <w:i/>
          <w:iCs/>
          <w:noProof/>
          <w:color w:val="000000" w:themeColor="text1"/>
          <w:szCs w:val="24"/>
        </w:rPr>
        <w:t>2</w:t>
      </w:r>
      <w:r w:rsidRPr="00895D0B">
        <w:rPr>
          <w:rFonts w:cs="Times New Roman"/>
          <w:noProof/>
          <w:color w:val="000000" w:themeColor="text1"/>
          <w:szCs w:val="24"/>
        </w:rPr>
        <w:t>(2), 130–143. https://doi.org/10.1016/j.regsus.2021.05.002</w:t>
      </w:r>
    </w:p>
    <w:p w14:paraId="5069D49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Akoto-Danso, E. K., Manka’abusi, D., Steiner, C., Werner, S., Häring, V., Nyarko, G., Marschner, B., Drechsel, P., &amp; Buerkert, A. (2019). Agronomic effects of biochar and wastewater irrigation in urban crop production of Tamale, northern Ghana. </w:t>
      </w:r>
      <w:r w:rsidRPr="00895D0B">
        <w:rPr>
          <w:rFonts w:cs="Times New Roman"/>
          <w:i/>
          <w:iCs/>
          <w:noProof/>
          <w:color w:val="000000" w:themeColor="text1"/>
          <w:szCs w:val="24"/>
        </w:rPr>
        <w:t>Nutrient Cycling in Agroecosystems</w:t>
      </w:r>
      <w:r w:rsidRPr="00895D0B">
        <w:rPr>
          <w:rFonts w:cs="Times New Roman"/>
          <w:noProof/>
          <w:color w:val="000000" w:themeColor="text1"/>
          <w:szCs w:val="24"/>
        </w:rPr>
        <w:t xml:space="preserve">, </w:t>
      </w:r>
      <w:r w:rsidRPr="00895D0B">
        <w:rPr>
          <w:rFonts w:cs="Times New Roman"/>
          <w:i/>
          <w:iCs/>
          <w:noProof/>
          <w:color w:val="000000" w:themeColor="text1"/>
          <w:szCs w:val="24"/>
        </w:rPr>
        <w:t>115</w:t>
      </w:r>
      <w:r w:rsidRPr="00895D0B">
        <w:rPr>
          <w:rFonts w:cs="Times New Roman"/>
          <w:noProof/>
          <w:color w:val="000000" w:themeColor="text1"/>
          <w:szCs w:val="24"/>
        </w:rPr>
        <w:t>(2), 231–247. https://doi.org/10.1007/s10705-018-9926-6</w:t>
      </w:r>
    </w:p>
    <w:p w14:paraId="070DC8C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Al-Kofahi, S. D., Gharaibeh, A. A., Bsoul, E. Y., Othman, Y. A., &amp; St. Hilaire, R. (2019). Investigating domestic gardens’ densities, spatial distribution and types among city districts. </w:t>
      </w:r>
      <w:r w:rsidRPr="00895D0B">
        <w:rPr>
          <w:rFonts w:cs="Times New Roman"/>
          <w:i/>
          <w:iCs/>
          <w:noProof/>
          <w:color w:val="000000" w:themeColor="text1"/>
          <w:szCs w:val="24"/>
        </w:rPr>
        <w:t>Urban Ecosystems</w:t>
      </w:r>
      <w:r w:rsidRPr="00895D0B">
        <w:rPr>
          <w:rFonts w:cs="Times New Roman"/>
          <w:noProof/>
          <w:color w:val="000000" w:themeColor="text1"/>
          <w:szCs w:val="24"/>
        </w:rPr>
        <w:t xml:space="preserve">, </w:t>
      </w:r>
      <w:r w:rsidRPr="00895D0B">
        <w:rPr>
          <w:rFonts w:cs="Times New Roman"/>
          <w:i/>
          <w:iCs/>
          <w:noProof/>
          <w:color w:val="000000" w:themeColor="text1"/>
          <w:szCs w:val="24"/>
        </w:rPr>
        <w:t>22</w:t>
      </w:r>
      <w:r w:rsidRPr="00895D0B">
        <w:rPr>
          <w:rFonts w:cs="Times New Roman"/>
          <w:noProof/>
          <w:color w:val="000000" w:themeColor="text1"/>
          <w:szCs w:val="24"/>
        </w:rPr>
        <w:t>(3), 567–581. https://doi.org/10.1007/s11252-019-0833-7</w:t>
      </w:r>
    </w:p>
    <w:p w14:paraId="36DD246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Alam, S., Barik, V. K., &amp; Vishal, W. (2012). </w:t>
      </w:r>
      <w:r w:rsidRPr="00895D0B">
        <w:rPr>
          <w:rFonts w:cs="Times New Roman"/>
          <w:i/>
          <w:iCs/>
          <w:noProof/>
          <w:color w:val="000000" w:themeColor="text1"/>
          <w:szCs w:val="24"/>
        </w:rPr>
        <w:t>Learning about data to learning with Data</w:t>
      </w:r>
      <w:r w:rsidRPr="00895D0B">
        <w:rPr>
          <w:rFonts w:cs="Times New Roman"/>
          <w:noProof/>
          <w:color w:val="000000" w:themeColor="text1"/>
          <w:szCs w:val="24"/>
        </w:rPr>
        <w:t xml:space="preserve">. </w:t>
      </w:r>
      <w:r w:rsidRPr="00895D0B">
        <w:rPr>
          <w:rFonts w:cs="Times New Roman"/>
          <w:i/>
          <w:iCs/>
          <w:noProof/>
          <w:color w:val="000000" w:themeColor="text1"/>
          <w:szCs w:val="24"/>
        </w:rPr>
        <w:t>66</w:t>
      </w:r>
      <w:r w:rsidRPr="00895D0B">
        <w:rPr>
          <w:rFonts w:cs="Times New Roman"/>
          <w:noProof/>
          <w:color w:val="000000" w:themeColor="text1"/>
          <w:szCs w:val="24"/>
        </w:rPr>
        <w:t>(1), 37–39.</w:t>
      </w:r>
    </w:p>
    <w:p w14:paraId="5CCB867F"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Albore, A. (2018). Review on the Role of Agricultural Extension Service on Increasing Farm Productivity in Ethiopia. </w:t>
      </w:r>
      <w:r w:rsidRPr="00895D0B">
        <w:rPr>
          <w:rFonts w:cs="Times New Roman"/>
          <w:i/>
          <w:iCs/>
          <w:noProof/>
          <w:color w:val="000000" w:themeColor="text1"/>
          <w:szCs w:val="24"/>
        </w:rPr>
        <w:t>International Journal of Finance Research</w:t>
      </w:r>
      <w:r w:rsidRPr="00895D0B">
        <w:rPr>
          <w:rFonts w:cs="Times New Roman"/>
          <w:noProof/>
          <w:color w:val="000000" w:themeColor="text1"/>
          <w:szCs w:val="24"/>
        </w:rPr>
        <w:t xml:space="preserve">, </w:t>
      </w:r>
      <w:r w:rsidRPr="00895D0B">
        <w:rPr>
          <w:rFonts w:cs="Times New Roman"/>
          <w:i/>
          <w:iCs/>
          <w:noProof/>
          <w:color w:val="000000" w:themeColor="text1"/>
          <w:szCs w:val="24"/>
        </w:rPr>
        <w:t>4</w:t>
      </w:r>
      <w:r w:rsidRPr="00895D0B">
        <w:rPr>
          <w:rFonts w:cs="Times New Roman"/>
          <w:noProof/>
          <w:color w:val="000000" w:themeColor="text1"/>
          <w:szCs w:val="24"/>
        </w:rPr>
        <w:t>(2), 77–89. https://doi.org/10.47747/ijfr.v4i2.1153</w:t>
      </w:r>
    </w:p>
    <w:p w14:paraId="0AF6A24E" w14:textId="77777777" w:rsidR="00F3127A" w:rsidRDefault="00F3127A"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1FF39201" w14:textId="77777777" w:rsidR="00F3127A" w:rsidRPr="00895D0B" w:rsidRDefault="00F3127A"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06F39D9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Alemneh, T., &amp; Getabalem, M. (2017). Beef Cattle Production Systems, Marketing and Constraints in Ethiopia. </w:t>
      </w:r>
      <w:r w:rsidRPr="00895D0B">
        <w:rPr>
          <w:rFonts w:cs="Times New Roman"/>
          <w:i/>
          <w:iCs/>
          <w:noProof/>
          <w:color w:val="000000" w:themeColor="text1"/>
          <w:szCs w:val="24"/>
        </w:rPr>
        <w:t>Journal of Marketing and Consumer Research</w:t>
      </w:r>
      <w:r w:rsidRPr="00895D0B">
        <w:rPr>
          <w:rFonts w:cs="Times New Roman"/>
          <w:noProof/>
          <w:color w:val="000000" w:themeColor="text1"/>
          <w:szCs w:val="24"/>
        </w:rPr>
        <w:t xml:space="preserve">, </w:t>
      </w:r>
      <w:r w:rsidRPr="00895D0B">
        <w:rPr>
          <w:rFonts w:cs="Times New Roman"/>
          <w:i/>
          <w:iCs/>
          <w:noProof/>
          <w:color w:val="000000" w:themeColor="text1"/>
          <w:szCs w:val="24"/>
        </w:rPr>
        <w:t>32</w:t>
      </w:r>
      <w:r w:rsidRPr="00895D0B">
        <w:rPr>
          <w:rFonts w:cs="Times New Roman"/>
          <w:noProof/>
          <w:color w:val="000000" w:themeColor="text1"/>
          <w:szCs w:val="24"/>
        </w:rPr>
        <w:t>(1), 1–7. https://doi.org/10.19080/JOJPH.2019.05.555651</w:t>
      </w:r>
    </w:p>
    <w:p w14:paraId="4AF263F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Alhassan, S. I., Shaibu, M. T., Kuwornu, J. K. M., &amp; Damba, O. T. (2018). Factors influencing farmers’ awareness and choice of indigenous practices in adapting to climate change and variability in Northern Ghana. </w:t>
      </w:r>
      <w:r w:rsidRPr="00895D0B">
        <w:rPr>
          <w:rFonts w:cs="Times New Roman"/>
          <w:i/>
          <w:iCs/>
          <w:noProof/>
          <w:color w:val="000000" w:themeColor="text1"/>
          <w:szCs w:val="24"/>
        </w:rPr>
        <w:t>West African Journal of Applied Ecology</w:t>
      </w:r>
      <w:r w:rsidRPr="00895D0B">
        <w:rPr>
          <w:rFonts w:cs="Times New Roman"/>
          <w:noProof/>
          <w:color w:val="000000" w:themeColor="text1"/>
          <w:szCs w:val="24"/>
        </w:rPr>
        <w:t xml:space="preserve">, </w:t>
      </w:r>
      <w:r w:rsidRPr="00895D0B">
        <w:rPr>
          <w:rFonts w:cs="Times New Roman"/>
          <w:i/>
          <w:iCs/>
          <w:noProof/>
          <w:color w:val="000000" w:themeColor="text1"/>
          <w:szCs w:val="24"/>
        </w:rPr>
        <w:t>26</w:t>
      </w:r>
      <w:r w:rsidRPr="00895D0B">
        <w:rPr>
          <w:rFonts w:cs="Times New Roman"/>
          <w:noProof/>
          <w:color w:val="000000" w:themeColor="text1"/>
          <w:szCs w:val="24"/>
        </w:rPr>
        <w:t>(Special Issue), 1–13.</w:t>
      </w:r>
    </w:p>
    <w:p w14:paraId="4FF1724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Alhassan, S. I., Shaibu, T., Kuwornu, J. K. M., Damba, T., &amp; Amikuzuno, J. (2020). </w:t>
      </w:r>
      <w:r w:rsidRPr="00895D0B">
        <w:rPr>
          <w:rFonts w:cs="Times New Roman"/>
          <w:i/>
          <w:iCs/>
          <w:noProof/>
          <w:color w:val="000000" w:themeColor="text1"/>
          <w:szCs w:val="24"/>
        </w:rPr>
        <w:t>The nexus of land grabbing and livelihood of farming households in Ghana</w:t>
      </w:r>
      <w:r w:rsidRPr="00895D0B">
        <w:rPr>
          <w:rFonts w:cs="Times New Roman"/>
          <w:noProof/>
          <w:color w:val="000000" w:themeColor="text1"/>
          <w:szCs w:val="24"/>
        </w:rPr>
        <w:t>. Springer Netherlands. https://doi.org/10.1007/s10668-020-00719-9</w:t>
      </w:r>
    </w:p>
    <w:p w14:paraId="7CB9606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Ali, D. A., Deininger, K., Mahofa, G., &amp; Nyakulama, R. (2019). Land Use Policy Sustaining land registration benefits by addressing the challenges of reversion to informality in Rwanda.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October</w:t>
      </w:r>
      <w:r w:rsidRPr="00895D0B">
        <w:rPr>
          <w:rFonts w:cs="Times New Roman"/>
          <w:noProof/>
          <w:color w:val="000000" w:themeColor="text1"/>
          <w:szCs w:val="24"/>
        </w:rPr>
        <w:t>, 104317. https://doi.org/10.1016/j.landusepol.2019.104317</w:t>
      </w:r>
    </w:p>
    <w:p w14:paraId="6EB38CF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Aliman, N. M., &amp; Kester, L. (2021). Epistemic defenses against scientific and empirical adversarial AI attacks. </w:t>
      </w:r>
      <w:r w:rsidRPr="00895D0B">
        <w:rPr>
          <w:rFonts w:cs="Times New Roman"/>
          <w:i/>
          <w:iCs/>
          <w:noProof/>
          <w:color w:val="000000" w:themeColor="text1"/>
          <w:szCs w:val="24"/>
        </w:rPr>
        <w:t>CEUR Workshop Proceedings</w:t>
      </w:r>
      <w:r w:rsidRPr="00895D0B">
        <w:rPr>
          <w:rFonts w:cs="Times New Roman"/>
          <w:noProof/>
          <w:color w:val="000000" w:themeColor="text1"/>
          <w:szCs w:val="24"/>
        </w:rPr>
        <w:t xml:space="preserve">, </w:t>
      </w:r>
      <w:r w:rsidRPr="00895D0B">
        <w:rPr>
          <w:rFonts w:cs="Times New Roman"/>
          <w:i/>
          <w:iCs/>
          <w:noProof/>
          <w:color w:val="000000" w:themeColor="text1"/>
          <w:szCs w:val="24"/>
        </w:rPr>
        <w:t>2916</w:t>
      </w:r>
      <w:r w:rsidRPr="00895D0B">
        <w:rPr>
          <w:rFonts w:cs="Times New Roman"/>
          <w:noProof/>
          <w:color w:val="000000" w:themeColor="text1"/>
          <w:szCs w:val="24"/>
        </w:rPr>
        <w:t>.</w:t>
      </w:r>
    </w:p>
    <w:p w14:paraId="7933687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Alimba, J. O., Olumba, C. C., &amp; Onunka, C. N. (2020). </w:t>
      </w:r>
      <w:r w:rsidRPr="00895D0B">
        <w:rPr>
          <w:rFonts w:cs="Times New Roman"/>
          <w:i/>
          <w:iCs/>
          <w:noProof/>
          <w:color w:val="000000" w:themeColor="text1"/>
          <w:szCs w:val="24"/>
        </w:rPr>
        <w:t>Assessing How Food Production in Urban Areas Contribute To Household Food Security in Southeast Nigeria Assessing How Food Production in Urban Areas Contribute To Household Food Security in Southeast Nigeria</w:t>
      </w:r>
      <w:r w:rsidRPr="00895D0B">
        <w:rPr>
          <w:rFonts w:cs="Times New Roman"/>
          <w:noProof/>
          <w:color w:val="000000" w:themeColor="text1"/>
          <w:szCs w:val="24"/>
        </w:rPr>
        <w:t xml:space="preserve">. </w:t>
      </w:r>
      <w:r w:rsidRPr="00895D0B">
        <w:rPr>
          <w:rFonts w:cs="Times New Roman"/>
          <w:i/>
          <w:iCs/>
          <w:noProof/>
          <w:color w:val="000000" w:themeColor="text1"/>
          <w:szCs w:val="24"/>
        </w:rPr>
        <w:t>February</w:t>
      </w:r>
      <w:r w:rsidRPr="00895D0B">
        <w:rPr>
          <w:rFonts w:cs="Times New Roman"/>
          <w:noProof/>
          <w:color w:val="000000" w:themeColor="text1"/>
          <w:szCs w:val="24"/>
        </w:rPr>
        <w:t>.</w:t>
      </w:r>
    </w:p>
    <w:p w14:paraId="443CB3B7" w14:textId="77777777" w:rsidR="00EC20CA" w:rsidRPr="00895D0B" w:rsidRDefault="00EC20CA" w:rsidP="00F3127A">
      <w:pPr>
        <w:widowControl w:val="0"/>
        <w:autoSpaceDE w:val="0"/>
        <w:autoSpaceDN w:val="0"/>
        <w:adjustRightInd w:val="0"/>
        <w:spacing w:after="240" w:line="360" w:lineRule="auto"/>
        <w:ind w:left="480" w:hanging="480"/>
        <w:jc w:val="left"/>
        <w:rPr>
          <w:rFonts w:cs="Times New Roman"/>
          <w:noProof/>
          <w:color w:val="000000" w:themeColor="text1"/>
          <w:szCs w:val="24"/>
        </w:rPr>
      </w:pPr>
      <w:r w:rsidRPr="00895D0B">
        <w:rPr>
          <w:rFonts w:cs="Times New Roman"/>
          <w:noProof/>
          <w:color w:val="000000" w:themeColor="text1"/>
          <w:szCs w:val="24"/>
        </w:rPr>
        <w:t xml:space="preserve">Allen, A., Apsan Frediani, A., &amp; Wood Hill, M. (2014). Land and planning for urban agriculture in Accra: Sustained urban agriculture or sustainable urbanisation? </w:t>
      </w:r>
      <w:r w:rsidRPr="00895D0B">
        <w:rPr>
          <w:rFonts w:cs="Times New Roman"/>
          <w:i/>
          <w:iCs/>
          <w:noProof/>
          <w:color w:val="000000" w:themeColor="text1"/>
          <w:szCs w:val="24"/>
        </w:rPr>
        <w:t>Irrigated Urban Vegetable Production in Ghana: Characteristics, Benefits and Risk Mitigation</w:t>
      </w:r>
      <w:r w:rsidRPr="00895D0B">
        <w:rPr>
          <w:rFonts w:cs="Times New Roman"/>
          <w:noProof/>
          <w:color w:val="000000" w:themeColor="text1"/>
          <w:szCs w:val="24"/>
        </w:rPr>
        <w:t>, 161–179. http://www.iwmi.cgiar.org/Publications/Books/PDF/irrigated_urban_vegetable_production_in_ghana-chapter-13.pdf</w:t>
      </w:r>
    </w:p>
    <w:p w14:paraId="67C75CC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Almalki, S. (2016). Integrating Quantitative and Qualitative Data in Mixed Methods Research—Challenges and Benefits. </w:t>
      </w:r>
      <w:r w:rsidRPr="00895D0B">
        <w:rPr>
          <w:rFonts w:cs="Times New Roman"/>
          <w:i/>
          <w:iCs/>
          <w:noProof/>
          <w:color w:val="000000" w:themeColor="text1"/>
          <w:szCs w:val="24"/>
        </w:rPr>
        <w:t>Journal of Education and Learning</w:t>
      </w:r>
      <w:r w:rsidRPr="00895D0B">
        <w:rPr>
          <w:rFonts w:cs="Times New Roman"/>
          <w:noProof/>
          <w:color w:val="000000" w:themeColor="text1"/>
          <w:szCs w:val="24"/>
        </w:rPr>
        <w:t xml:space="preserve">, </w:t>
      </w:r>
      <w:r w:rsidRPr="00895D0B">
        <w:rPr>
          <w:rFonts w:cs="Times New Roman"/>
          <w:i/>
          <w:iCs/>
          <w:noProof/>
          <w:color w:val="000000" w:themeColor="text1"/>
          <w:szCs w:val="24"/>
        </w:rPr>
        <w:t>5</w:t>
      </w:r>
      <w:r w:rsidRPr="00895D0B">
        <w:rPr>
          <w:rFonts w:cs="Times New Roman"/>
          <w:noProof/>
          <w:color w:val="000000" w:themeColor="text1"/>
          <w:szCs w:val="24"/>
        </w:rPr>
        <w:t>(3), 288. https://doi.org/10.5539/jel.v5n3p288</w:t>
      </w:r>
    </w:p>
    <w:p w14:paraId="663E39D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Amadu, F. O., McNamara, P. E., &amp; Miller, D. C. (2020). Understanding the adoption of climate-smart agriculture: A farm-level typology with empirical evidence from southern Malawi. </w:t>
      </w:r>
      <w:r w:rsidRPr="00895D0B">
        <w:rPr>
          <w:rFonts w:cs="Times New Roman"/>
          <w:i/>
          <w:iCs/>
          <w:noProof/>
          <w:color w:val="000000" w:themeColor="text1"/>
          <w:szCs w:val="24"/>
        </w:rPr>
        <w:t>World Development</w:t>
      </w:r>
      <w:r w:rsidRPr="00895D0B">
        <w:rPr>
          <w:rFonts w:cs="Times New Roman"/>
          <w:noProof/>
          <w:color w:val="000000" w:themeColor="text1"/>
          <w:szCs w:val="24"/>
        </w:rPr>
        <w:t xml:space="preserve">, </w:t>
      </w:r>
      <w:r w:rsidRPr="00895D0B">
        <w:rPr>
          <w:rFonts w:cs="Times New Roman"/>
          <w:i/>
          <w:iCs/>
          <w:noProof/>
          <w:color w:val="000000" w:themeColor="text1"/>
          <w:szCs w:val="24"/>
        </w:rPr>
        <w:t>126</w:t>
      </w:r>
      <w:r w:rsidRPr="00895D0B">
        <w:rPr>
          <w:rFonts w:cs="Times New Roman"/>
          <w:noProof/>
          <w:color w:val="000000" w:themeColor="text1"/>
          <w:szCs w:val="24"/>
        </w:rPr>
        <w:t>, 104692. https://doi.org/10.1016/j.worlddev.2019.104692</w:t>
      </w:r>
    </w:p>
    <w:p w14:paraId="7C3D01B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Amao, I. (2020). Urban Horticulture in Sub-Saharan Africa. </w:t>
      </w:r>
      <w:r w:rsidRPr="00895D0B">
        <w:rPr>
          <w:rFonts w:cs="Times New Roman"/>
          <w:i/>
          <w:iCs/>
          <w:noProof/>
          <w:color w:val="000000" w:themeColor="text1"/>
          <w:szCs w:val="24"/>
        </w:rPr>
        <w:t>Urban Horticulture - Necessity of the Future</w:t>
      </w:r>
      <w:r w:rsidRPr="00895D0B">
        <w:rPr>
          <w:rFonts w:cs="Times New Roman"/>
          <w:noProof/>
          <w:color w:val="000000" w:themeColor="text1"/>
          <w:szCs w:val="24"/>
        </w:rPr>
        <w:t>, 1–10. https://doi.org/10.5772/intechopen.90722</w:t>
      </w:r>
    </w:p>
    <w:p w14:paraId="4B7857F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Ambazamkandi, P., Veterinary, K., Thyagaraj, G., Sambasivan, S., Veterinary, K., Davis, J., &amp; Veterinary, K. (2015). </w:t>
      </w:r>
      <w:r w:rsidRPr="00895D0B">
        <w:rPr>
          <w:rFonts w:cs="Times New Roman"/>
          <w:i/>
          <w:iCs/>
          <w:noProof/>
          <w:color w:val="000000" w:themeColor="text1"/>
          <w:szCs w:val="24"/>
        </w:rPr>
        <w:t>Shelter Design for Different Livestock from a Climate Change Perspective</w:t>
      </w:r>
      <w:r w:rsidRPr="00895D0B">
        <w:rPr>
          <w:rFonts w:cs="Times New Roman"/>
          <w:noProof/>
          <w:color w:val="000000" w:themeColor="text1"/>
          <w:szCs w:val="24"/>
        </w:rPr>
        <w:t xml:space="preserve">. </w:t>
      </w:r>
      <w:r w:rsidRPr="00895D0B">
        <w:rPr>
          <w:rFonts w:cs="Times New Roman"/>
          <w:i/>
          <w:iCs/>
          <w:noProof/>
          <w:color w:val="000000" w:themeColor="text1"/>
          <w:szCs w:val="24"/>
        </w:rPr>
        <w:t>December 2020</w:t>
      </w:r>
      <w:r w:rsidRPr="00895D0B">
        <w:rPr>
          <w:rFonts w:cs="Times New Roman"/>
          <w:noProof/>
          <w:color w:val="000000" w:themeColor="text1"/>
          <w:szCs w:val="24"/>
        </w:rPr>
        <w:t>. https://doi.org/10.1007/978-81-322-2265-1</w:t>
      </w:r>
    </w:p>
    <w:p w14:paraId="62D3BAC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Anderson, C., Buchanan, C., Chang, M., Sanchez Rodriguez, J., &amp; Wakeford, T. (2017). Everyday Experts: How people’s knowledge can transform the food system. </w:t>
      </w:r>
      <w:r w:rsidRPr="00895D0B">
        <w:rPr>
          <w:rFonts w:cs="Times New Roman"/>
          <w:i/>
          <w:iCs/>
          <w:noProof/>
          <w:color w:val="000000" w:themeColor="text1"/>
          <w:szCs w:val="24"/>
        </w:rPr>
        <w:t>Everyday Experts: How People’s Knowledge Can Transform the Food System</w:t>
      </w:r>
      <w:r w:rsidRPr="00895D0B">
        <w:rPr>
          <w:rFonts w:cs="Times New Roman"/>
          <w:noProof/>
          <w:color w:val="000000" w:themeColor="text1"/>
          <w:szCs w:val="24"/>
        </w:rPr>
        <w:t>. https://doi.org/10.18552/9781846000751</w:t>
      </w:r>
    </w:p>
    <w:p w14:paraId="6FB2586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Anney, V. N. (2014). Ensuring the quality of the findings of qualitative research: looking at trustworthiness criteria. </w:t>
      </w:r>
      <w:r w:rsidRPr="00895D0B">
        <w:rPr>
          <w:rFonts w:cs="Times New Roman"/>
          <w:i/>
          <w:iCs/>
          <w:noProof/>
          <w:color w:val="000000" w:themeColor="text1"/>
          <w:szCs w:val="24"/>
        </w:rPr>
        <w:t>Journal of Emerging Trends in Educational Research and Policy Studies</w:t>
      </w:r>
      <w:r w:rsidRPr="00895D0B">
        <w:rPr>
          <w:rFonts w:cs="Times New Roman"/>
          <w:noProof/>
          <w:color w:val="000000" w:themeColor="text1"/>
          <w:szCs w:val="24"/>
        </w:rPr>
        <w:t xml:space="preserve">, </w:t>
      </w:r>
      <w:r w:rsidRPr="00895D0B">
        <w:rPr>
          <w:rFonts w:cs="Times New Roman"/>
          <w:i/>
          <w:iCs/>
          <w:noProof/>
          <w:color w:val="000000" w:themeColor="text1"/>
          <w:szCs w:val="24"/>
        </w:rPr>
        <w:t>5</w:t>
      </w:r>
      <w:r w:rsidRPr="00895D0B">
        <w:rPr>
          <w:rFonts w:cs="Times New Roman"/>
          <w:noProof/>
          <w:color w:val="000000" w:themeColor="text1"/>
          <w:szCs w:val="24"/>
        </w:rPr>
        <w:t>(2), 272–281.</w:t>
      </w:r>
    </w:p>
    <w:p w14:paraId="27F5A8D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Ansah, B. O., &amp; Chigbu, U. E. (2020). The nexus between peri-urban transformation and customary land rights disputes: Effects on peri-urban development in Trede, Ghana. </w:t>
      </w:r>
      <w:r w:rsidRPr="00895D0B">
        <w:rPr>
          <w:rFonts w:cs="Times New Roman"/>
          <w:i/>
          <w:iCs/>
          <w:noProof/>
          <w:color w:val="000000" w:themeColor="text1"/>
          <w:szCs w:val="24"/>
        </w:rPr>
        <w:t>Land</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(6), 1–28. https://doi.org/10.3390/LAND9060187</w:t>
      </w:r>
    </w:p>
    <w:p w14:paraId="165B99C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Anton, I. A. (2014). An overview of qualitative research methodology for public health researchers. </w:t>
      </w:r>
      <w:r w:rsidRPr="00895D0B">
        <w:rPr>
          <w:rFonts w:cs="Times New Roman"/>
          <w:i/>
          <w:iCs/>
          <w:noProof/>
          <w:color w:val="000000" w:themeColor="text1"/>
          <w:szCs w:val="24"/>
        </w:rPr>
        <w:t>International Journal of Medicine and Public Health</w:t>
      </w:r>
      <w:r w:rsidRPr="00895D0B">
        <w:rPr>
          <w:rFonts w:cs="Times New Roman"/>
          <w:noProof/>
          <w:color w:val="000000" w:themeColor="text1"/>
          <w:szCs w:val="24"/>
        </w:rPr>
        <w:t xml:space="preserve">, </w:t>
      </w:r>
      <w:r w:rsidRPr="00895D0B">
        <w:rPr>
          <w:rFonts w:cs="Times New Roman"/>
          <w:i/>
          <w:iCs/>
          <w:noProof/>
          <w:color w:val="000000" w:themeColor="text1"/>
          <w:szCs w:val="24"/>
        </w:rPr>
        <w:t>4</w:t>
      </w:r>
      <w:r w:rsidRPr="00895D0B">
        <w:rPr>
          <w:rFonts w:cs="Times New Roman"/>
          <w:noProof/>
          <w:color w:val="000000" w:themeColor="text1"/>
          <w:szCs w:val="24"/>
        </w:rPr>
        <w:t>(4), 318. https://doi.org/10.4103/2230-8598.144055</w:t>
      </w:r>
    </w:p>
    <w:p w14:paraId="53270DF5"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Antwi-Agyei, P., Dougill, A. J., Stringer, L. C., &amp; Codjoe, S. N. A. (2018). Adaptation opportunities and maladaptive outcomes in climate vulnerability hotspots of northern Ghana. </w:t>
      </w:r>
      <w:r w:rsidRPr="00895D0B">
        <w:rPr>
          <w:rFonts w:cs="Times New Roman"/>
          <w:i/>
          <w:iCs/>
          <w:noProof/>
          <w:color w:val="000000" w:themeColor="text1"/>
          <w:szCs w:val="24"/>
        </w:rPr>
        <w:t>Climate Risk Management</w:t>
      </w:r>
      <w:r w:rsidRPr="00895D0B">
        <w:rPr>
          <w:rFonts w:cs="Times New Roman"/>
          <w:noProof/>
          <w:color w:val="000000" w:themeColor="text1"/>
          <w:szCs w:val="24"/>
        </w:rPr>
        <w:t xml:space="preserve">, </w:t>
      </w:r>
      <w:r w:rsidRPr="00895D0B">
        <w:rPr>
          <w:rFonts w:cs="Times New Roman"/>
          <w:i/>
          <w:iCs/>
          <w:noProof/>
          <w:color w:val="000000" w:themeColor="text1"/>
          <w:szCs w:val="24"/>
        </w:rPr>
        <w:t>19</w:t>
      </w:r>
      <w:r w:rsidRPr="00895D0B">
        <w:rPr>
          <w:rFonts w:cs="Times New Roman"/>
          <w:noProof/>
          <w:color w:val="000000" w:themeColor="text1"/>
          <w:szCs w:val="24"/>
        </w:rPr>
        <w:t>, 83–93. https://doi.org/10.1016/j.crm.2017.11.003</w:t>
      </w:r>
    </w:p>
    <w:p w14:paraId="32796E36" w14:textId="77777777" w:rsidR="00F3127A" w:rsidRPr="00895D0B" w:rsidRDefault="00F3127A"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1C4F3F5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Anwar, M. M., Breuste, J. H., Ahmad, A., Aziz, A., &amp; Aldosari, A. A. (2023). Quantifying the Impacts of Urbanization on Urban Agriculture and Food Security in the Megacity Lahore, Pakistan. </w:t>
      </w:r>
      <w:r w:rsidRPr="00895D0B">
        <w:rPr>
          <w:rFonts w:cs="Times New Roman"/>
          <w:i/>
          <w:iCs/>
          <w:noProof/>
          <w:color w:val="000000" w:themeColor="text1"/>
          <w:szCs w:val="24"/>
        </w:rPr>
        <w:t>Sustainability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15</w:t>
      </w:r>
      <w:r w:rsidRPr="00895D0B">
        <w:rPr>
          <w:rFonts w:cs="Times New Roman"/>
          <w:noProof/>
          <w:color w:val="000000" w:themeColor="text1"/>
          <w:szCs w:val="24"/>
        </w:rPr>
        <w:t>(16). https://doi.org/10.3390/su151612143</w:t>
      </w:r>
    </w:p>
    <w:p w14:paraId="273E474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Anwarudin, O., &amp; Dayat, D. (2019). </w:t>
      </w:r>
      <w:r w:rsidRPr="00895D0B">
        <w:rPr>
          <w:rFonts w:cs="Times New Roman"/>
          <w:i/>
          <w:iCs/>
          <w:noProof/>
          <w:color w:val="000000" w:themeColor="text1"/>
          <w:szCs w:val="24"/>
        </w:rPr>
        <w:t>The Effect of Farmer Participation in Agricultural Extension on Agribusiness Sustainability in Bogor , Indonesia</w:t>
      </w:r>
      <w:r w:rsidRPr="00895D0B">
        <w:rPr>
          <w:rFonts w:cs="Times New Roman"/>
          <w:noProof/>
          <w:color w:val="000000" w:themeColor="text1"/>
          <w:szCs w:val="24"/>
        </w:rPr>
        <w:t>. 1061–1072.</w:t>
      </w:r>
    </w:p>
    <w:p w14:paraId="1B4016C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Arp, A., Smith, B., &amp; Spear, A. (2021). </w:t>
      </w:r>
      <w:r w:rsidRPr="00895D0B">
        <w:rPr>
          <w:rFonts w:cs="Times New Roman"/>
          <w:i/>
          <w:iCs/>
          <w:noProof/>
          <w:color w:val="000000" w:themeColor="text1"/>
          <w:szCs w:val="24"/>
        </w:rPr>
        <w:t>Building Ontologies with Basic Formal Ontology Detailed Table of Contents 3 Principles of Best Practice I : Domain Ontology Design</w:t>
      </w:r>
      <w:r w:rsidRPr="00895D0B">
        <w:rPr>
          <w:rFonts w:cs="Times New Roman"/>
          <w:noProof/>
          <w:color w:val="000000" w:themeColor="text1"/>
          <w:szCs w:val="24"/>
        </w:rPr>
        <w:t>. 1–6.</w:t>
      </w:r>
    </w:p>
    <w:p w14:paraId="04B6906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Arthur-Holmes, F., &amp; Busia, A. K. (2020). Household dynamics and the bargaining power of women in artisanal and small-scale mining in sub-Saharan Africa: A Ghanaian case study. </w:t>
      </w:r>
      <w:r w:rsidRPr="00895D0B">
        <w:rPr>
          <w:rFonts w:cs="Times New Roman"/>
          <w:i/>
          <w:iCs/>
          <w:noProof/>
          <w:color w:val="000000" w:themeColor="text1"/>
          <w:szCs w:val="24"/>
        </w:rPr>
        <w:t>Resources Policy</w:t>
      </w:r>
      <w:r w:rsidRPr="00895D0B">
        <w:rPr>
          <w:rFonts w:cs="Times New Roman"/>
          <w:noProof/>
          <w:color w:val="000000" w:themeColor="text1"/>
          <w:szCs w:val="24"/>
        </w:rPr>
        <w:t xml:space="preserve">, </w:t>
      </w:r>
      <w:r w:rsidRPr="00895D0B">
        <w:rPr>
          <w:rFonts w:cs="Times New Roman"/>
          <w:i/>
          <w:iCs/>
          <w:noProof/>
          <w:color w:val="000000" w:themeColor="text1"/>
          <w:szCs w:val="24"/>
        </w:rPr>
        <w:t>69</w:t>
      </w:r>
      <w:r w:rsidRPr="00895D0B">
        <w:rPr>
          <w:rFonts w:cs="Times New Roman"/>
          <w:noProof/>
          <w:color w:val="000000" w:themeColor="text1"/>
          <w:szCs w:val="24"/>
        </w:rPr>
        <w:t>(xxxx), 101884. https://doi.org/10.1016/j.resourpol.2020.101884</w:t>
      </w:r>
    </w:p>
    <w:p w14:paraId="6ACFB86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Asadu, A. N., Chah, J. M., Attamah, C. O., &amp; Igbokwe, E. M. (2021). Knowledge of Hazards Associated With Urban Livestock Farming in Southeast Nigeria. </w:t>
      </w:r>
      <w:r w:rsidRPr="00895D0B">
        <w:rPr>
          <w:rFonts w:cs="Times New Roman"/>
          <w:i/>
          <w:iCs/>
          <w:noProof/>
          <w:color w:val="000000" w:themeColor="text1"/>
          <w:szCs w:val="24"/>
        </w:rPr>
        <w:t>Frontiers in Veterinary Science</w:t>
      </w:r>
      <w:r w:rsidRPr="00895D0B">
        <w:rPr>
          <w:rFonts w:cs="Times New Roman"/>
          <w:noProof/>
          <w:color w:val="000000" w:themeColor="text1"/>
          <w:szCs w:val="24"/>
        </w:rPr>
        <w:t xml:space="preserve">, </w:t>
      </w:r>
      <w:r w:rsidRPr="00895D0B">
        <w:rPr>
          <w:rFonts w:cs="Times New Roman"/>
          <w:i/>
          <w:iCs/>
          <w:noProof/>
          <w:color w:val="000000" w:themeColor="text1"/>
          <w:szCs w:val="24"/>
        </w:rPr>
        <w:t>8</w:t>
      </w:r>
      <w:r w:rsidRPr="00895D0B">
        <w:rPr>
          <w:rFonts w:cs="Times New Roman"/>
          <w:noProof/>
          <w:color w:val="000000" w:themeColor="text1"/>
          <w:szCs w:val="24"/>
        </w:rPr>
        <w:t>(March), 1–10. https://doi.org/10.3389/fvets.2021.600299</w:t>
      </w:r>
    </w:p>
    <w:p w14:paraId="3DE15B1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Assalahi, H. (2015). The Philosophical Foundations of Educational Research: a Beginner’s Guide. </w:t>
      </w:r>
      <w:r w:rsidRPr="00895D0B">
        <w:rPr>
          <w:rFonts w:cs="Times New Roman"/>
          <w:i/>
          <w:iCs/>
          <w:noProof/>
          <w:color w:val="000000" w:themeColor="text1"/>
          <w:szCs w:val="24"/>
        </w:rPr>
        <w:t>American Journal of Educational Research</w:t>
      </w:r>
      <w:r w:rsidRPr="00895D0B">
        <w:rPr>
          <w:rFonts w:cs="Times New Roman"/>
          <w:noProof/>
          <w:color w:val="000000" w:themeColor="text1"/>
          <w:szCs w:val="24"/>
        </w:rPr>
        <w:t xml:space="preserve">, </w:t>
      </w:r>
      <w:r w:rsidRPr="00895D0B">
        <w:rPr>
          <w:rFonts w:cs="Times New Roman"/>
          <w:i/>
          <w:iCs/>
          <w:noProof/>
          <w:color w:val="000000" w:themeColor="text1"/>
          <w:szCs w:val="24"/>
        </w:rPr>
        <w:t>3</w:t>
      </w:r>
      <w:r w:rsidRPr="00895D0B">
        <w:rPr>
          <w:rFonts w:cs="Times New Roman"/>
          <w:noProof/>
          <w:color w:val="000000" w:themeColor="text1"/>
          <w:szCs w:val="24"/>
        </w:rPr>
        <w:t>(3), 312–317. https://doi.org/10.12691/education-3-3-10</w:t>
      </w:r>
    </w:p>
    <w:p w14:paraId="096FA8D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Attipoe, S. G., Jianmin, C., Opoku-kwanowaa, Y., &amp; Ohene-sefa, F. (2020). </w:t>
      </w:r>
      <w:r w:rsidRPr="00895D0B">
        <w:rPr>
          <w:rFonts w:cs="Times New Roman"/>
          <w:i/>
          <w:iCs/>
          <w:noProof/>
          <w:color w:val="000000" w:themeColor="text1"/>
          <w:szCs w:val="24"/>
        </w:rPr>
        <w:t>The Determinants of Technical Efficiency of Cocoa Production in Ghana: An Analysis of the Role of Rural and Community Banks.</w:t>
      </w:r>
    </w:p>
    <w:p w14:paraId="1BAE12A2"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Ayambire, R. A., Amponsah, O., Peprah, C., &amp; Takyi, S. A. (2019). A review of practices for sustaining urban and peri-urban agriculture: Implications for land use planning in rapidly urbanising Ghanaian cities.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84</w:t>
      </w:r>
      <w:r w:rsidRPr="00895D0B">
        <w:rPr>
          <w:rFonts w:cs="Times New Roman"/>
          <w:noProof/>
          <w:color w:val="000000" w:themeColor="text1"/>
          <w:szCs w:val="24"/>
        </w:rPr>
        <w:t>(March), 260–277. https://doi.org/10.1016/j.landusepol.2019.03.004</w:t>
      </w:r>
    </w:p>
    <w:p w14:paraId="66F92614" w14:textId="77777777" w:rsidR="00F3127A" w:rsidRPr="00895D0B" w:rsidRDefault="00F3127A"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000D9D5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Ayerakwa, H. M., Dzanku, F. M., &amp; Sarpong, D. B. (2020a). The geography of agriculture participation and food security in a small and a medium- sized city in Ghana. </w:t>
      </w:r>
      <w:r w:rsidRPr="00895D0B">
        <w:rPr>
          <w:rFonts w:cs="Times New Roman"/>
          <w:i/>
          <w:iCs/>
          <w:noProof/>
          <w:color w:val="000000" w:themeColor="text1"/>
          <w:szCs w:val="24"/>
        </w:rPr>
        <w:t>Agricultural and Food Economics</w:t>
      </w:r>
      <w:r w:rsidRPr="00895D0B">
        <w:rPr>
          <w:rFonts w:cs="Times New Roman"/>
          <w:noProof/>
          <w:color w:val="000000" w:themeColor="text1"/>
          <w:szCs w:val="24"/>
        </w:rPr>
        <w:t xml:space="preserve">, </w:t>
      </w:r>
      <w:r w:rsidRPr="00895D0B">
        <w:rPr>
          <w:rFonts w:cs="Times New Roman"/>
          <w:i/>
          <w:iCs/>
          <w:noProof/>
          <w:color w:val="000000" w:themeColor="text1"/>
          <w:szCs w:val="24"/>
        </w:rPr>
        <w:t>8</w:t>
      </w:r>
      <w:r w:rsidRPr="00895D0B">
        <w:rPr>
          <w:rFonts w:cs="Times New Roman"/>
          <w:noProof/>
          <w:color w:val="000000" w:themeColor="text1"/>
          <w:szCs w:val="24"/>
        </w:rPr>
        <w:t>(10), 1–21.</w:t>
      </w:r>
    </w:p>
    <w:p w14:paraId="255A70F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Ayerakwa, H. M., Dzanku, F. M., &amp; Sarpong, D. B. (2020b). The geography of agriculture participation and food security in a small and a medium-sized city in Ghana. </w:t>
      </w:r>
      <w:r w:rsidRPr="00895D0B">
        <w:rPr>
          <w:rFonts w:cs="Times New Roman"/>
          <w:i/>
          <w:iCs/>
          <w:noProof/>
          <w:color w:val="000000" w:themeColor="text1"/>
          <w:szCs w:val="24"/>
        </w:rPr>
        <w:t>Agricultural and Food Economics</w:t>
      </w:r>
      <w:r w:rsidRPr="00895D0B">
        <w:rPr>
          <w:rFonts w:cs="Times New Roman"/>
          <w:noProof/>
          <w:color w:val="000000" w:themeColor="text1"/>
          <w:szCs w:val="24"/>
        </w:rPr>
        <w:t xml:space="preserve">, </w:t>
      </w:r>
      <w:r w:rsidRPr="00895D0B">
        <w:rPr>
          <w:rFonts w:cs="Times New Roman"/>
          <w:i/>
          <w:iCs/>
          <w:noProof/>
          <w:color w:val="000000" w:themeColor="text1"/>
          <w:szCs w:val="24"/>
        </w:rPr>
        <w:t>8</w:t>
      </w:r>
      <w:r w:rsidRPr="00895D0B">
        <w:rPr>
          <w:rFonts w:cs="Times New Roman"/>
          <w:noProof/>
          <w:color w:val="000000" w:themeColor="text1"/>
          <w:szCs w:val="24"/>
        </w:rPr>
        <w:t>(1). https://doi.org/10.1186/s40100-020-00155-3</w:t>
      </w:r>
    </w:p>
    <w:p w14:paraId="19AD9E5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Aziz, A., Anwar, M., &amp; Dawood, M. (2021). The impact of neighborhood services on land values: an estimation through the hedonic pricing model. </w:t>
      </w:r>
      <w:r w:rsidRPr="00895D0B">
        <w:rPr>
          <w:rFonts w:cs="Times New Roman"/>
          <w:i/>
          <w:iCs/>
          <w:noProof/>
          <w:color w:val="000000" w:themeColor="text1"/>
          <w:szCs w:val="24"/>
        </w:rPr>
        <w:t>GeoJournal</w:t>
      </w:r>
      <w:r w:rsidRPr="00895D0B">
        <w:rPr>
          <w:rFonts w:cs="Times New Roman"/>
          <w:noProof/>
          <w:color w:val="000000" w:themeColor="text1"/>
          <w:szCs w:val="24"/>
        </w:rPr>
        <w:t xml:space="preserve">, </w:t>
      </w:r>
      <w:r w:rsidRPr="00895D0B">
        <w:rPr>
          <w:rFonts w:cs="Times New Roman"/>
          <w:i/>
          <w:iCs/>
          <w:noProof/>
          <w:color w:val="000000" w:themeColor="text1"/>
          <w:szCs w:val="24"/>
        </w:rPr>
        <w:t>86</w:t>
      </w:r>
      <w:r w:rsidRPr="00895D0B">
        <w:rPr>
          <w:rFonts w:cs="Times New Roman"/>
          <w:noProof/>
          <w:color w:val="000000" w:themeColor="text1"/>
          <w:szCs w:val="24"/>
        </w:rPr>
        <w:t>(4), 1915–1925. https://doi.org/10.1007/s10708-019-10127-w</w:t>
      </w:r>
    </w:p>
    <w:p w14:paraId="349F229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Azunre, G. A., Amponsah, O., Peprah, C., &amp; Takyi, S. A. (2019). A review of the role of urban agriculture in the sustainable city discourse. </w:t>
      </w:r>
      <w:r w:rsidRPr="00895D0B">
        <w:rPr>
          <w:rFonts w:cs="Times New Roman"/>
          <w:i/>
          <w:iCs/>
          <w:noProof/>
          <w:color w:val="000000" w:themeColor="text1"/>
          <w:szCs w:val="24"/>
        </w:rPr>
        <w:t>Cities</w:t>
      </w:r>
      <w:r w:rsidRPr="00895D0B">
        <w:rPr>
          <w:rFonts w:cs="Times New Roman"/>
          <w:noProof/>
          <w:color w:val="000000" w:themeColor="text1"/>
          <w:szCs w:val="24"/>
        </w:rPr>
        <w:t xml:space="preserve">, </w:t>
      </w:r>
      <w:r w:rsidRPr="00895D0B">
        <w:rPr>
          <w:rFonts w:cs="Times New Roman"/>
          <w:i/>
          <w:iCs/>
          <w:noProof/>
          <w:color w:val="000000" w:themeColor="text1"/>
          <w:szCs w:val="24"/>
        </w:rPr>
        <w:t>93</w:t>
      </w:r>
      <w:r w:rsidRPr="00895D0B">
        <w:rPr>
          <w:rFonts w:cs="Times New Roman"/>
          <w:noProof/>
          <w:color w:val="000000" w:themeColor="text1"/>
          <w:szCs w:val="24"/>
        </w:rPr>
        <w:t>(April), 104–119. https://doi.org/10.1016/j.cities.2019.04.006</w:t>
      </w:r>
    </w:p>
    <w:p w14:paraId="57FF48F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Azunre, G. A., Amponsah, O., Peprah, C., Takyi, S. A., &amp; Braimah, I. (2019). A review of the role of urban agriculture in the sustainable city discourse. </w:t>
      </w:r>
      <w:r w:rsidRPr="00895D0B">
        <w:rPr>
          <w:rFonts w:cs="Times New Roman"/>
          <w:i/>
          <w:iCs/>
          <w:noProof/>
          <w:color w:val="000000" w:themeColor="text1"/>
          <w:szCs w:val="24"/>
        </w:rPr>
        <w:t>Cities</w:t>
      </w:r>
      <w:r w:rsidRPr="00895D0B">
        <w:rPr>
          <w:rFonts w:cs="Times New Roman"/>
          <w:noProof/>
          <w:color w:val="000000" w:themeColor="text1"/>
          <w:szCs w:val="24"/>
        </w:rPr>
        <w:t xml:space="preserve">, </w:t>
      </w:r>
      <w:r w:rsidRPr="00895D0B">
        <w:rPr>
          <w:rFonts w:cs="Times New Roman"/>
          <w:i/>
          <w:iCs/>
          <w:noProof/>
          <w:color w:val="000000" w:themeColor="text1"/>
          <w:szCs w:val="24"/>
        </w:rPr>
        <w:t>93</w:t>
      </w:r>
      <w:r w:rsidRPr="00895D0B">
        <w:rPr>
          <w:rFonts w:cs="Times New Roman"/>
          <w:noProof/>
          <w:color w:val="000000" w:themeColor="text1"/>
          <w:szCs w:val="24"/>
        </w:rPr>
        <w:t>(March 2018), 104–119. https://doi.org/10.1016/j.cities.2019.04.006</w:t>
      </w:r>
    </w:p>
    <w:p w14:paraId="779FB99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Baiyegunhi, L. J. S., Majokweni, Z. P., &amp; Ferrer, S. R. D. (2019). Impact of outsourced agricultural extension program on smallholder farmers’ net farm income in Msinga, KwaZulu-Natal, South Africa. </w:t>
      </w:r>
      <w:r w:rsidRPr="00895D0B">
        <w:rPr>
          <w:rFonts w:cs="Times New Roman"/>
          <w:i/>
          <w:iCs/>
          <w:noProof/>
          <w:color w:val="000000" w:themeColor="text1"/>
          <w:szCs w:val="24"/>
        </w:rPr>
        <w:t>Technology in Society</w:t>
      </w:r>
      <w:r w:rsidRPr="00895D0B">
        <w:rPr>
          <w:rFonts w:cs="Times New Roman"/>
          <w:noProof/>
          <w:color w:val="000000" w:themeColor="text1"/>
          <w:szCs w:val="24"/>
        </w:rPr>
        <w:t xml:space="preserve">, </w:t>
      </w:r>
      <w:r w:rsidRPr="00895D0B">
        <w:rPr>
          <w:rFonts w:cs="Times New Roman"/>
          <w:i/>
          <w:iCs/>
          <w:noProof/>
          <w:color w:val="000000" w:themeColor="text1"/>
          <w:szCs w:val="24"/>
        </w:rPr>
        <w:t>57</w:t>
      </w:r>
      <w:r w:rsidRPr="00895D0B">
        <w:rPr>
          <w:rFonts w:cs="Times New Roman"/>
          <w:noProof/>
          <w:color w:val="000000" w:themeColor="text1"/>
          <w:szCs w:val="24"/>
        </w:rPr>
        <w:t>, 1–7. https://doi.org/10.1016/j.techsoc.2018.11.003</w:t>
      </w:r>
    </w:p>
    <w:p w14:paraId="45A0ECF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Balzani, A., &amp; Hanlon, A. (2020). Factors that influence farmers’ views on farm animal welfare: A semi-systematic review and thematic analysis. </w:t>
      </w:r>
      <w:r w:rsidRPr="00895D0B">
        <w:rPr>
          <w:rFonts w:cs="Times New Roman"/>
          <w:i/>
          <w:iCs/>
          <w:noProof/>
          <w:color w:val="000000" w:themeColor="text1"/>
          <w:szCs w:val="24"/>
        </w:rPr>
        <w:t>Animals</w:t>
      </w:r>
      <w:r w:rsidRPr="00895D0B">
        <w:rPr>
          <w:rFonts w:cs="Times New Roman"/>
          <w:noProof/>
          <w:color w:val="000000" w:themeColor="text1"/>
          <w:szCs w:val="24"/>
        </w:rPr>
        <w:t xml:space="preserve">, </w:t>
      </w:r>
      <w:r w:rsidRPr="00895D0B">
        <w:rPr>
          <w:rFonts w:cs="Times New Roman"/>
          <w:i/>
          <w:iCs/>
          <w:noProof/>
          <w:color w:val="000000" w:themeColor="text1"/>
          <w:szCs w:val="24"/>
        </w:rPr>
        <w:t>10</w:t>
      </w:r>
      <w:r w:rsidRPr="00895D0B">
        <w:rPr>
          <w:rFonts w:cs="Times New Roman"/>
          <w:noProof/>
          <w:color w:val="000000" w:themeColor="text1"/>
          <w:szCs w:val="24"/>
        </w:rPr>
        <w:t>(9), 1–25. https://doi.org/10.3390/ani10091524</w:t>
      </w:r>
    </w:p>
    <w:p w14:paraId="49AEADD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Bank, W. (2020). </w:t>
      </w:r>
      <w:r w:rsidRPr="00895D0B">
        <w:rPr>
          <w:rFonts w:cs="Times New Roman"/>
          <w:i/>
          <w:iCs/>
          <w:noProof/>
          <w:color w:val="000000" w:themeColor="text1"/>
          <w:szCs w:val="24"/>
        </w:rPr>
        <w:t>Ghana - Agriculture, forestry, and fishing, value added (% of GDP). World Development Indicators database.</w:t>
      </w:r>
      <w:r w:rsidRPr="00895D0B">
        <w:rPr>
          <w:rFonts w:cs="Times New Roman"/>
          <w:noProof/>
          <w:color w:val="000000" w:themeColor="text1"/>
          <w:szCs w:val="24"/>
        </w:rPr>
        <w:t xml:space="preserve"> 2020.</w:t>
      </w:r>
    </w:p>
    <w:p w14:paraId="4D501E9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Basu, A. K., Chau, N. H., Fields, G. S., &amp; Kanbur, R. (2019). Job creation in a multi-sector labour market model for developing economies. </w:t>
      </w:r>
      <w:r w:rsidRPr="00895D0B">
        <w:rPr>
          <w:rFonts w:cs="Times New Roman"/>
          <w:i/>
          <w:iCs/>
          <w:noProof/>
          <w:color w:val="000000" w:themeColor="text1"/>
          <w:szCs w:val="24"/>
        </w:rPr>
        <w:t>Oxford Economic Papers</w:t>
      </w:r>
      <w:r w:rsidRPr="00895D0B">
        <w:rPr>
          <w:rFonts w:cs="Times New Roman"/>
          <w:noProof/>
          <w:color w:val="000000" w:themeColor="text1"/>
          <w:szCs w:val="24"/>
        </w:rPr>
        <w:t xml:space="preserve">, </w:t>
      </w:r>
      <w:r w:rsidRPr="00895D0B">
        <w:rPr>
          <w:rFonts w:cs="Times New Roman"/>
          <w:i/>
          <w:iCs/>
          <w:noProof/>
          <w:color w:val="000000" w:themeColor="text1"/>
          <w:szCs w:val="24"/>
        </w:rPr>
        <w:t>71</w:t>
      </w:r>
      <w:r w:rsidRPr="00895D0B">
        <w:rPr>
          <w:rFonts w:cs="Times New Roman"/>
          <w:noProof/>
          <w:color w:val="000000" w:themeColor="text1"/>
          <w:szCs w:val="24"/>
        </w:rPr>
        <w:t>(1), 119–144. https://doi.org/10.1093/oep/gpy029</w:t>
      </w:r>
    </w:p>
    <w:p w14:paraId="15B19E7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Batitucci, T. D. O., Cortines, E., Almeida, F. S., &amp; De Almeida, Â. A. (2019). Agriculture in urban ecosystems: A step to cities sustainability. </w:t>
      </w:r>
      <w:r w:rsidRPr="00895D0B">
        <w:rPr>
          <w:rFonts w:cs="Times New Roman"/>
          <w:i/>
          <w:iCs/>
          <w:noProof/>
          <w:color w:val="000000" w:themeColor="text1"/>
          <w:szCs w:val="24"/>
        </w:rPr>
        <w:t>Ambiente e Sociedade</w:t>
      </w:r>
      <w:r w:rsidRPr="00895D0B">
        <w:rPr>
          <w:rFonts w:cs="Times New Roman"/>
          <w:noProof/>
          <w:color w:val="000000" w:themeColor="text1"/>
          <w:szCs w:val="24"/>
        </w:rPr>
        <w:t xml:space="preserve">, </w:t>
      </w:r>
      <w:r w:rsidRPr="00895D0B">
        <w:rPr>
          <w:rFonts w:cs="Times New Roman"/>
          <w:i/>
          <w:iCs/>
          <w:noProof/>
          <w:color w:val="000000" w:themeColor="text1"/>
          <w:szCs w:val="24"/>
        </w:rPr>
        <w:t>22</w:t>
      </w:r>
      <w:r w:rsidRPr="00895D0B">
        <w:rPr>
          <w:rFonts w:cs="Times New Roman"/>
          <w:noProof/>
          <w:color w:val="000000" w:themeColor="text1"/>
          <w:szCs w:val="24"/>
        </w:rPr>
        <w:t>, 0–3. https://doi.org/10.1590/1809-4422ASOC0277R3VU19L4AO</w:t>
      </w:r>
    </w:p>
    <w:p w14:paraId="5A19AD8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Battersby, J., &amp; Haysom, G. (2019). Linking urban food security, urban food systems, poverty, and urbanisation. In J. B. and V. Watson (Ed.), </w:t>
      </w:r>
      <w:r w:rsidRPr="00895D0B">
        <w:rPr>
          <w:rFonts w:cs="Times New Roman"/>
          <w:i/>
          <w:iCs/>
          <w:noProof/>
          <w:color w:val="000000" w:themeColor="text1"/>
          <w:szCs w:val="24"/>
        </w:rPr>
        <w:t>Urban Food Systems Governance and Poverty in African Cities - (Open Access)</w:t>
      </w:r>
      <w:r w:rsidRPr="00895D0B">
        <w:rPr>
          <w:rFonts w:cs="Times New Roman"/>
          <w:noProof/>
          <w:color w:val="000000" w:themeColor="text1"/>
          <w:szCs w:val="24"/>
        </w:rPr>
        <w:t xml:space="preserve"> (Second edi). Routledge. https://doi.org/10.4324/9781315191195</w:t>
      </w:r>
    </w:p>
    <w:p w14:paraId="2623BE0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Battersby, J., &amp; Marshak, M. (2013). Growing Communities: Integrating the Social and Economic Benefits of Urban Agriculture in Cape Town. </w:t>
      </w:r>
      <w:r w:rsidRPr="00895D0B">
        <w:rPr>
          <w:rFonts w:cs="Times New Roman"/>
          <w:i/>
          <w:iCs/>
          <w:noProof/>
          <w:color w:val="000000" w:themeColor="text1"/>
          <w:szCs w:val="24"/>
        </w:rPr>
        <w:t>Urban Forum</w:t>
      </w:r>
      <w:r w:rsidRPr="00895D0B">
        <w:rPr>
          <w:rFonts w:cs="Times New Roman"/>
          <w:noProof/>
          <w:color w:val="000000" w:themeColor="text1"/>
          <w:szCs w:val="24"/>
        </w:rPr>
        <w:t xml:space="preserve">, </w:t>
      </w:r>
      <w:r w:rsidRPr="00895D0B">
        <w:rPr>
          <w:rFonts w:cs="Times New Roman"/>
          <w:i/>
          <w:iCs/>
          <w:noProof/>
          <w:color w:val="000000" w:themeColor="text1"/>
          <w:szCs w:val="24"/>
        </w:rPr>
        <w:t>24</w:t>
      </w:r>
      <w:r w:rsidRPr="00895D0B">
        <w:rPr>
          <w:rFonts w:cs="Times New Roman"/>
          <w:noProof/>
          <w:color w:val="000000" w:themeColor="text1"/>
          <w:szCs w:val="24"/>
        </w:rPr>
        <w:t>(4), 447–461. https://doi.org/10.1007/s12132-013-9193-1</w:t>
      </w:r>
    </w:p>
    <w:p w14:paraId="443E218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Battersby, J., &amp; Watson, V. (2018). Addressing food security in African cities. </w:t>
      </w:r>
      <w:r w:rsidRPr="00895D0B">
        <w:rPr>
          <w:rFonts w:cs="Times New Roman"/>
          <w:i/>
          <w:iCs/>
          <w:noProof/>
          <w:color w:val="000000" w:themeColor="text1"/>
          <w:szCs w:val="24"/>
        </w:rPr>
        <w:t>Nature Sustainability</w:t>
      </w:r>
      <w:r w:rsidRPr="00895D0B">
        <w:rPr>
          <w:rFonts w:cs="Times New Roman"/>
          <w:noProof/>
          <w:color w:val="000000" w:themeColor="text1"/>
          <w:szCs w:val="24"/>
        </w:rPr>
        <w:t xml:space="preserve">, </w:t>
      </w:r>
      <w:r w:rsidRPr="00895D0B">
        <w:rPr>
          <w:rFonts w:cs="Times New Roman"/>
          <w:i/>
          <w:iCs/>
          <w:noProof/>
          <w:color w:val="000000" w:themeColor="text1"/>
          <w:szCs w:val="24"/>
        </w:rPr>
        <w:t>1</w:t>
      </w:r>
      <w:r w:rsidRPr="00895D0B">
        <w:rPr>
          <w:rFonts w:cs="Times New Roman"/>
          <w:noProof/>
          <w:color w:val="000000" w:themeColor="text1"/>
          <w:szCs w:val="24"/>
        </w:rPr>
        <w:t>(4), 153–155. https://doi.org/10.1038/s41893-018-0051-y</w:t>
      </w:r>
    </w:p>
    <w:p w14:paraId="1E98419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Benis, K., &amp; Ferrão, P. (2017). Potential mitigation of the environmental impacts of food systems through urban and peri-urban agriculture (UPA) – a life cycle assessment approach. </w:t>
      </w:r>
      <w:r w:rsidRPr="00895D0B">
        <w:rPr>
          <w:rFonts w:cs="Times New Roman"/>
          <w:i/>
          <w:iCs/>
          <w:noProof/>
          <w:color w:val="000000" w:themeColor="text1"/>
          <w:szCs w:val="24"/>
        </w:rPr>
        <w:t>Journal of Cleaner Production</w:t>
      </w:r>
      <w:r w:rsidRPr="00895D0B">
        <w:rPr>
          <w:rFonts w:cs="Times New Roman"/>
          <w:noProof/>
          <w:color w:val="000000" w:themeColor="text1"/>
          <w:szCs w:val="24"/>
        </w:rPr>
        <w:t xml:space="preserve">, </w:t>
      </w:r>
      <w:r w:rsidRPr="00895D0B">
        <w:rPr>
          <w:rFonts w:cs="Times New Roman"/>
          <w:i/>
          <w:iCs/>
          <w:noProof/>
          <w:color w:val="000000" w:themeColor="text1"/>
          <w:szCs w:val="24"/>
        </w:rPr>
        <w:t>140</w:t>
      </w:r>
      <w:r w:rsidRPr="00895D0B">
        <w:rPr>
          <w:rFonts w:cs="Times New Roman"/>
          <w:noProof/>
          <w:color w:val="000000" w:themeColor="text1"/>
          <w:szCs w:val="24"/>
        </w:rPr>
        <w:t>, 784–795. https://doi.org/10.1016/j.jclepro.2016.05.176</w:t>
      </w:r>
    </w:p>
    <w:p w14:paraId="5218C44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Berkovich, I., &amp; Eyal, O. (2017). Methodological review of studies on educational leaders and emotions (1992-2012): Insights into the meaning of an emerging research field in educational administration. </w:t>
      </w:r>
      <w:r w:rsidRPr="00895D0B">
        <w:rPr>
          <w:rFonts w:cs="Times New Roman"/>
          <w:i/>
          <w:iCs/>
          <w:noProof/>
          <w:color w:val="000000" w:themeColor="text1"/>
          <w:szCs w:val="24"/>
        </w:rPr>
        <w:t>Journal of Educational Administration</w:t>
      </w:r>
      <w:r w:rsidRPr="00895D0B">
        <w:rPr>
          <w:rFonts w:cs="Times New Roman"/>
          <w:noProof/>
          <w:color w:val="000000" w:themeColor="text1"/>
          <w:szCs w:val="24"/>
        </w:rPr>
        <w:t xml:space="preserve">, </w:t>
      </w:r>
      <w:r w:rsidRPr="00895D0B">
        <w:rPr>
          <w:rFonts w:cs="Times New Roman"/>
          <w:i/>
          <w:iCs/>
          <w:noProof/>
          <w:color w:val="000000" w:themeColor="text1"/>
          <w:szCs w:val="24"/>
        </w:rPr>
        <w:t>55</w:t>
      </w:r>
      <w:r w:rsidRPr="00895D0B">
        <w:rPr>
          <w:rFonts w:cs="Times New Roman"/>
          <w:noProof/>
          <w:color w:val="000000" w:themeColor="text1"/>
          <w:szCs w:val="24"/>
        </w:rPr>
        <w:t>(5), 469–491. https://doi.org/10.1108/JEA-07-2016-0078</w:t>
      </w:r>
    </w:p>
    <w:p w14:paraId="1B2F894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Bhattacharjee, A., Sadadev, B. M., Karmacharya, D. K., Baral, R., Pérez-García, J. M., Giménez Casalduero, A., Sánchez-Zapata, J. A., &amp; Anadón, J. D. (2022). Local ecological knowledge and education drive farmers’ contrasting perceptions of scavengers and their function in Nepal. </w:t>
      </w:r>
      <w:r w:rsidRPr="00895D0B">
        <w:rPr>
          <w:rFonts w:cs="Times New Roman"/>
          <w:i/>
          <w:iCs/>
          <w:noProof/>
          <w:color w:val="000000" w:themeColor="text1"/>
          <w:szCs w:val="24"/>
        </w:rPr>
        <w:t>People and Nature</w:t>
      </w:r>
      <w:r w:rsidRPr="00895D0B">
        <w:rPr>
          <w:rFonts w:cs="Times New Roman"/>
          <w:noProof/>
          <w:color w:val="000000" w:themeColor="text1"/>
          <w:szCs w:val="24"/>
        </w:rPr>
        <w:t xml:space="preserve">, </w:t>
      </w:r>
      <w:r w:rsidRPr="00895D0B">
        <w:rPr>
          <w:rFonts w:cs="Times New Roman"/>
          <w:i/>
          <w:iCs/>
          <w:noProof/>
          <w:color w:val="000000" w:themeColor="text1"/>
          <w:szCs w:val="24"/>
        </w:rPr>
        <w:t>4</w:t>
      </w:r>
      <w:r w:rsidRPr="00895D0B">
        <w:rPr>
          <w:rFonts w:cs="Times New Roman"/>
          <w:noProof/>
          <w:color w:val="000000" w:themeColor="text1"/>
          <w:szCs w:val="24"/>
        </w:rPr>
        <w:t>(3), 786–803. https://doi.org/10.1002/pan3.10315</w:t>
      </w:r>
    </w:p>
    <w:p w14:paraId="09B23154"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Bilimoria, N., Denoyelle, Y., &amp; Nguyen, A. (2020). </w:t>
      </w:r>
      <w:r w:rsidRPr="00895D0B">
        <w:rPr>
          <w:rFonts w:cs="Times New Roman"/>
          <w:i/>
          <w:iCs/>
          <w:noProof/>
          <w:color w:val="000000" w:themeColor="text1"/>
          <w:szCs w:val="24"/>
        </w:rPr>
        <w:t>The Role of Urban Agriculture in Advancing the SDGs : A Multidisciplinary Approach</w:t>
      </w:r>
      <w:r w:rsidRPr="00895D0B">
        <w:rPr>
          <w:rFonts w:cs="Times New Roman"/>
          <w:noProof/>
          <w:color w:val="000000" w:themeColor="text1"/>
          <w:szCs w:val="24"/>
        </w:rPr>
        <w:t>.</w:t>
      </w:r>
    </w:p>
    <w:p w14:paraId="72F9D755" w14:textId="77777777" w:rsidR="00F3127A" w:rsidRPr="00895D0B" w:rsidRDefault="00F3127A"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141B106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Bisaro, A., Roggero, M., &amp; Villamayor-Tomas, S. (2018). Institutional Analysis in Climate Change Adaptation Research: A Systematic Literature Review. </w:t>
      </w:r>
      <w:r w:rsidRPr="00895D0B">
        <w:rPr>
          <w:rFonts w:cs="Times New Roman"/>
          <w:i/>
          <w:iCs/>
          <w:noProof/>
          <w:color w:val="000000" w:themeColor="text1"/>
          <w:szCs w:val="24"/>
        </w:rPr>
        <w:t>Ecological Economics</w:t>
      </w:r>
      <w:r w:rsidRPr="00895D0B">
        <w:rPr>
          <w:rFonts w:cs="Times New Roman"/>
          <w:noProof/>
          <w:color w:val="000000" w:themeColor="text1"/>
          <w:szCs w:val="24"/>
        </w:rPr>
        <w:t xml:space="preserve">, </w:t>
      </w:r>
      <w:r w:rsidRPr="00895D0B">
        <w:rPr>
          <w:rFonts w:cs="Times New Roman"/>
          <w:i/>
          <w:iCs/>
          <w:noProof/>
          <w:color w:val="000000" w:themeColor="text1"/>
          <w:szCs w:val="24"/>
        </w:rPr>
        <w:t>151</w:t>
      </w:r>
      <w:r w:rsidRPr="00895D0B">
        <w:rPr>
          <w:rFonts w:cs="Times New Roman"/>
          <w:noProof/>
          <w:color w:val="000000" w:themeColor="text1"/>
          <w:szCs w:val="24"/>
        </w:rPr>
        <w:t>(November 2017), 34–43. https://doi.org/10.1016/j.ecolecon.2018.04.016</w:t>
      </w:r>
    </w:p>
    <w:p w14:paraId="6D50EB5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Blay-Palmer, A., Santini, G., Dubbeling, M., Renting, H., Taguchi, M., &amp; Giordano, T. (2018). Validating the City Region Food System approach: Enacting inclusive, transformational City Region Food Systems. </w:t>
      </w:r>
      <w:r w:rsidRPr="00895D0B">
        <w:rPr>
          <w:rFonts w:cs="Times New Roman"/>
          <w:i/>
          <w:iCs/>
          <w:noProof/>
          <w:color w:val="000000" w:themeColor="text1"/>
          <w:szCs w:val="24"/>
        </w:rPr>
        <w:t>Sustainability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10</w:t>
      </w:r>
      <w:r w:rsidRPr="00895D0B">
        <w:rPr>
          <w:rFonts w:cs="Times New Roman"/>
          <w:noProof/>
          <w:color w:val="000000" w:themeColor="text1"/>
          <w:szCs w:val="24"/>
        </w:rPr>
        <w:t>(5). https://doi.org/10.3390/su10051680</w:t>
      </w:r>
    </w:p>
    <w:p w14:paraId="5460B9E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Boakye, M. K., Agyemang, A. O., Wiafe, E. D., Dossou-Yovo, H. O., &amp; Ziekah, M. (2021). Animals Traded for Traditional Medicine Purposes in the Kumasi Central Market, Ghana: Conservation Implications. </w:t>
      </w:r>
      <w:r w:rsidRPr="00895D0B">
        <w:rPr>
          <w:rFonts w:cs="Times New Roman"/>
          <w:i/>
          <w:iCs/>
          <w:noProof/>
          <w:color w:val="000000" w:themeColor="text1"/>
          <w:szCs w:val="24"/>
        </w:rPr>
        <w:t>Conservation</w:t>
      </w:r>
      <w:r w:rsidRPr="00895D0B">
        <w:rPr>
          <w:rFonts w:cs="Times New Roman"/>
          <w:noProof/>
          <w:color w:val="000000" w:themeColor="text1"/>
          <w:szCs w:val="24"/>
        </w:rPr>
        <w:t xml:space="preserve">, </w:t>
      </w:r>
      <w:r w:rsidRPr="00895D0B">
        <w:rPr>
          <w:rFonts w:cs="Times New Roman"/>
          <w:i/>
          <w:iCs/>
          <w:noProof/>
          <w:color w:val="000000" w:themeColor="text1"/>
          <w:szCs w:val="24"/>
        </w:rPr>
        <w:t>1</w:t>
      </w:r>
      <w:r w:rsidRPr="00895D0B">
        <w:rPr>
          <w:rFonts w:cs="Times New Roman"/>
          <w:noProof/>
          <w:color w:val="000000" w:themeColor="text1"/>
          <w:szCs w:val="24"/>
        </w:rPr>
        <w:t>(2), 113–120. https://doi.org/10.3390/conservation1020010</w:t>
      </w:r>
    </w:p>
    <w:p w14:paraId="1DC98CC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Bolang, P. D., &amp; Osumanu, I. K. (2019). Formal sector workers’ participation in urban agriculture in Ghana: perspectives from the Wa Municipality. </w:t>
      </w:r>
      <w:r w:rsidRPr="00895D0B">
        <w:rPr>
          <w:rFonts w:cs="Times New Roman"/>
          <w:i/>
          <w:iCs/>
          <w:noProof/>
          <w:color w:val="000000" w:themeColor="text1"/>
          <w:szCs w:val="24"/>
        </w:rPr>
        <w:t>Heliyon</w:t>
      </w:r>
      <w:r w:rsidRPr="00895D0B">
        <w:rPr>
          <w:rFonts w:cs="Times New Roman"/>
          <w:noProof/>
          <w:color w:val="000000" w:themeColor="text1"/>
          <w:szCs w:val="24"/>
        </w:rPr>
        <w:t xml:space="preserve">, </w:t>
      </w:r>
      <w:r w:rsidRPr="00895D0B">
        <w:rPr>
          <w:rFonts w:cs="Times New Roman"/>
          <w:i/>
          <w:iCs/>
          <w:noProof/>
          <w:color w:val="000000" w:themeColor="text1"/>
          <w:szCs w:val="24"/>
        </w:rPr>
        <w:t>5</w:t>
      </w:r>
      <w:r w:rsidRPr="00895D0B">
        <w:rPr>
          <w:rFonts w:cs="Times New Roman"/>
          <w:noProof/>
          <w:color w:val="000000" w:themeColor="text1"/>
          <w:szCs w:val="24"/>
        </w:rPr>
        <w:t>(8), e02230. https://doi.org/10.1016/j.heliyon.2019.e02230</w:t>
      </w:r>
    </w:p>
    <w:p w14:paraId="582B1D7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Bonye, S. Z., Aasoglenang, T. A., &amp; Yiridomoh, G. Y. (2021). Urbanization, agricultural land use change and livelihood adaptation strategies in peri-urban Wa, Ghana. </w:t>
      </w:r>
      <w:r w:rsidRPr="00895D0B">
        <w:rPr>
          <w:rFonts w:cs="Times New Roman"/>
          <w:i/>
          <w:iCs/>
          <w:noProof/>
          <w:color w:val="000000" w:themeColor="text1"/>
          <w:szCs w:val="24"/>
        </w:rPr>
        <w:t>SN Social Sciences</w:t>
      </w:r>
      <w:r w:rsidRPr="00895D0B">
        <w:rPr>
          <w:rFonts w:cs="Times New Roman"/>
          <w:noProof/>
          <w:color w:val="000000" w:themeColor="text1"/>
          <w:szCs w:val="24"/>
        </w:rPr>
        <w:t xml:space="preserve">, </w:t>
      </w:r>
      <w:r w:rsidRPr="00895D0B">
        <w:rPr>
          <w:rFonts w:cs="Times New Roman"/>
          <w:i/>
          <w:iCs/>
          <w:noProof/>
          <w:color w:val="000000" w:themeColor="text1"/>
          <w:szCs w:val="24"/>
        </w:rPr>
        <w:t>1</w:t>
      </w:r>
      <w:r w:rsidRPr="00895D0B">
        <w:rPr>
          <w:rFonts w:cs="Times New Roman"/>
          <w:noProof/>
          <w:color w:val="000000" w:themeColor="text1"/>
          <w:szCs w:val="24"/>
        </w:rPr>
        <w:t>(1), 1–23. https://doi.org/10.1007/s43545-020-00017-1</w:t>
      </w:r>
    </w:p>
    <w:p w14:paraId="0916304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Borras, S. M., F., J. C., K., S. G. C., &amp; Max, S. (2020). Land grabbing in Latin America and the Caribbean Saturnino. </w:t>
      </w:r>
      <w:r w:rsidRPr="00895D0B">
        <w:rPr>
          <w:rFonts w:cs="Times New Roman"/>
          <w:i/>
          <w:iCs/>
          <w:noProof/>
          <w:color w:val="000000" w:themeColor="text1"/>
          <w:szCs w:val="24"/>
        </w:rPr>
        <w:t>The Journal of Peasant Studies</w:t>
      </w:r>
      <w:r w:rsidRPr="00895D0B">
        <w:rPr>
          <w:rFonts w:cs="Times New Roman"/>
          <w:noProof/>
          <w:color w:val="000000" w:themeColor="text1"/>
          <w:szCs w:val="24"/>
        </w:rPr>
        <w:t xml:space="preserve">, </w:t>
      </w:r>
      <w:r w:rsidRPr="00895D0B">
        <w:rPr>
          <w:rFonts w:cs="Times New Roman"/>
          <w:i/>
          <w:iCs/>
          <w:noProof/>
          <w:color w:val="000000" w:themeColor="text1"/>
          <w:szCs w:val="24"/>
        </w:rPr>
        <w:t>39</w:t>
      </w:r>
      <w:r w:rsidRPr="00895D0B">
        <w:rPr>
          <w:rFonts w:cs="Times New Roman"/>
          <w:noProof/>
          <w:color w:val="000000" w:themeColor="text1"/>
          <w:szCs w:val="24"/>
        </w:rPr>
        <w:t>(October), 845–872.</w:t>
      </w:r>
    </w:p>
    <w:p w14:paraId="3346E9A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Bounds, M., &amp; Zinyemba, O. (2018). Poultry farming: Lessening poverty in rural areas. </w:t>
      </w:r>
      <w:r w:rsidRPr="00895D0B">
        <w:rPr>
          <w:rFonts w:cs="Times New Roman"/>
          <w:i/>
          <w:iCs/>
          <w:noProof/>
          <w:color w:val="000000" w:themeColor="text1"/>
          <w:szCs w:val="24"/>
        </w:rPr>
        <w:t>مجلة جامعة الأمير عبد القادر للعلوم الإسلامية</w:t>
      </w:r>
      <w:r w:rsidRPr="00895D0B">
        <w:rPr>
          <w:rFonts w:cs="Times New Roman"/>
          <w:noProof/>
          <w:color w:val="000000" w:themeColor="text1"/>
          <w:szCs w:val="24"/>
        </w:rPr>
        <w:t xml:space="preserve">, </w:t>
      </w:r>
      <w:r w:rsidRPr="00895D0B">
        <w:rPr>
          <w:rFonts w:cs="Times New Roman"/>
          <w:i/>
          <w:iCs/>
          <w:noProof/>
          <w:color w:val="000000" w:themeColor="text1"/>
          <w:szCs w:val="24"/>
        </w:rPr>
        <w:t>46</w:t>
      </w:r>
      <w:r w:rsidRPr="00895D0B">
        <w:rPr>
          <w:rFonts w:cs="Times New Roman"/>
          <w:noProof/>
          <w:color w:val="000000" w:themeColor="text1"/>
          <w:szCs w:val="24"/>
        </w:rPr>
        <w:t>(1), 328. https://doi.org/10.37138/1425-032-001-012</w:t>
      </w:r>
    </w:p>
    <w:p w14:paraId="427ED86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Bourdieu, P. (1972). The logic of practice. </w:t>
      </w:r>
      <w:r w:rsidRPr="00895D0B">
        <w:rPr>
          <w:rFonts w:cs="Times New Roman"/>
          <w:i/>
          <w:iCs/>
          <w:noProof/>
          <w:color w:val="000000" w:themeColor="text1"/>
          <w:szCs w:val="24"/>
        </w:rPr>
        <w:t>Bourdieu</w:t>
      </w:r>
      <w:r w:rsidRPr="00895D0B">
        <w:rPr>
          <w:rFonts w:cs="Times New Roman"/>
          <w:noProof/>
          <w:color w:val="000000" w:themeColor="text1"/>
          <w:szCs w:val="24"/>
        </w:rPr>
        <w:t>, 208–239. https://doi.org/10.4324/9781003115083-9</w:t>
      </w:r>
    </w:p>
    <w:p w14:paraId="173FCED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Brown, S. P., Treadwell, D. J. M., &amp; Webb, S. (2015). Florida Vegetable Gardening Guide. </w:t>
      </w:r>
      <w:r w:rsidRPr="00895D0B">
        <w:rPr>
          <w:rFonts w:cs="Times New Roman"/>
          <w:i/>
          <w:iCs/>
          <w:noProof/>
          <w:color w:val="000000" w:themeColor="text1"/>
          <w:szCs w:val="24"/>
        </w:rPr>
        <w:t>Edis</w:t>
      </w:r>
      <w:r w:rsidRPr="00895D0B">
        <w:rPr>
          <w:rFonts w:cs="Times New Roman"/>
          <w:noProof/>
          <w:color w:val="000000" w:themeColor="text1"/>
          <w:szCs w:val="24"/>
        </w:rPr>
        <w:t xml:space="preserve">, </w:t>
      </w:r>
      <w:r w:rsidRPr="00895D0B">
        <w:rPr>
          <w:rFonts w:cs="Times New Roman"/>
          <w:i/>
          <w:iCs/>
          <w:noProof/>
          <w:color w:val="000000" w:themeColor="text1"/>
          <w:szCs w:val="24"/>
        </w:rPr>
        <w:t>2015</w:t>
      </w:r>
      <w:r w:rsidRPr="00895D0B">
        <w:rPr>
          <w:rFonts w:cs="Times New Roman"/>
          <w:noProof/>
          <w:color w:val="000000" w:themeColor="text1"/>
          <w:szCs w:val="24"/>
        </w:rPr>
        <w:t>(9), 11. https://doi.org/10.32473/edis-vh021-2015</w:t>
      </w:r>
    </w:p>
    <w:p w14:paraId="05EFD50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Bryceson, D. F. (2019). Gender and generational patterns of African deagrarianization: Evolving labour and land allocation in smallholder peasant household farming, 1980–2015. </w:t>
      </w:r>
      <w:r w:rsidRPr="00895D0B">
        <w:rPr>
          <w:rFonts w:cs="Times New Roman"/>
          <w:i/>
          <w:iCs/>
          <w:noProof/>
          <w:color w:val="000000" w:themeColor="text1"/>
          <w:szCs w:val="24"/>
        </w:rPr>
        <w:t>World Development</w:t>
      </w:r>
      <w:r w:rsidRPr="00895D0B">
        <w:rPr>
          <w:rFonts w:cs="Times New Roman"/>
          <w:noProof/>
          <w:color w:val="000000" w:themeColor="text1"/>
          <w:szCs w:val="24"/>
        </w:rPr>
        <w:t xml:space="preserve">, </w:t>
      </w:r>
      <w:r w:rsidRPr="00895D0B">
        <w:rPr>
          <w:rFonts w:cs="Times New Roman"/>
          <w:i/>
          <w:iCs/>
          <w:noProof/>
          <w:color w:val="000000" w:themeColor="text1"/>
          <w:szCs w:val="24"/>
        </w:rPr>
        <w:t>113</w:t>
      </w:r>
      <w:r w:rsidRPr="00895D0B">
        <w:rPr>
          <w:rFonts w:cs="Times New Roman"/>
          <w:noProof/>
          <w:color w:val="000000" w:themeColor="text1"/>
          <w:szCs w:val="24"/>
        </w:rPr>
        <w:t>, 60–72. https://doi.org/10.1016/j.worlddev.2018.08.021</w:t>
      </w:r>
    </w:p>
    <w:p w14:paraId="5CCBE76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Buddle, E. A., Bray, H. J., &amp; Pitchford, W. S. (2018). Green Open Access. </w:t>
      </w:r>
      <w:r w:rsidRPr="00895D0B">
        <w:rPr>
          <w:rFonts w:cs="Times New Roman"/>
          <w:i/>
          <w:iCs/>
          <w:noProof/>
          <w:color w:val="000000" w:themeColor="text1"/>
          <w:szCs w:val="24"/>
        </w:rPr>
        <w:t>Definitions</w:t>
      </w:r>
      <w:r w:rsidRPr="00895D0B">
        <w:rPr>
          <w:rFonts w:cs="Times New Roman"/>
          <w:noProof/>
          <w:color w:val="000000" w:themeColor="text1"/>
          <w:szCs w:val="24"/>
        </w:rPr>
        <w:t xml:space="preserve">, </w:t>
      </w:r>
      <w:r w:rsidRPr="00895D0B">
        <w:rPr>
          <w:rFonts w:cs="Times New Roman"/>
          <w:i/>
          <w:iCs/>
          <w:noProof/>
          <w:color w:val="000000" w:themeColor="text1"/>
          <w:szCs w:val="24"/>
        </w:rPr>
        <w:t>58</w:t>
      </w:r>
      <w:r w:rsidRPr="00895D0B">
        <w:rPr>
          <w:rFonts w:cs="Times New Roman"/>
          <w:noProof/>
          <w:color w:val="000000" w:themeColor="text1"/>
          <w:szCs w:val="24"/>
        </w:rPr>
        <w:t>(June), 435–444. https://doi.org/10.32388/991925</w:t>
      </w:r>
    </w:p>
    <w:p w14:paraId="157911F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Calvet-Mir, L., &amp; March, H. (2019). Crisis and post-crisis urban gardening initiatives from a Southern European perspective: The case of Barcelona. </w:t>
      </w:r>
      <w:r w:rsidRPr="00895D0B">
        <w:rPr>
          <w:rFonts w:cs="Times New Roman"/>
          <w:i/>
          <w:iCs/>
          <w:noProof/>
          <w:color w:val="000000" w:themeColor="text1"/>
          <w:szCs w:val="24"/>
        </w:rPr>
        <w:t>European Urban and Regional Studies</w:t>
      </w:r>
      <w:r w:rsidRPr="00895D0B">
        <w:rPr>
          <w:rFonts w:cs="Times New Roman"/>
          <w:noProof/>
          <w:color w:val="000000" w:themeColor="text1"/>
          <w:szCs w:val="24"/>
        </w:rPr>
        <w:t xml:space="preserve">, </w:t>
      </w:r>
      <w:r w:rsidRPr="00895D0B">
        <w:rPr>
          <w:rFonts w:cs="Times New Roman"/>
          <w:i/>
          <w:iCs/>
          <w:noProof/>
          <w:color w:val="000000" w:themeColor="text1"/>
          <w:szCs w:val="24"/>
        </w:rPr>
        <w:t>26</w:t>
      </w:r>
      <w:r w:rsidRPr="00895D0B">
        <w:rPr>
          <w:rFonts w:cs="Times New Roman"/>
          <w:noProof/>
          <w:color w:val="000000" w:themeColor="text1"/>
          <w:szCs w:val="24"/>
        </w:rPr>
        <w:t>(1), 97–112. https://doi.org/10.1177/0969776417736098</w:t>
      </w:r>
    </w:p>
    <w:p w14:paraId="60B214E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Campbell, C. G., Ruiz-Menjivar, J., &amp; Delong, A. (2022). Commercial Urban Agriculture in Florida: Needs, Opportunities, and Barriers. </w:t>
      </w:r>
      <w:r w:rsidRPr="00895D0B">
        <w:rPr>
          <w:rFonts w:cs="Times New Roman"/>
          <w:i/>
          <w:iCs/>
          <w:noProof/>
          <w:color w:val="000000" w:themeColor="text1"/>
          <w:szCs w:val="24"/>
        </w:rPr>
        <w:t>HortTechnology</w:t>
      </w:r>
      <w:r w:rsidRPr="00895D0B">
        <w:rPr>
          <w:rFonts w:cs="Times New Roman"/>
          <w:noProof/>
          <w:color w:val="000000" w:themeColor="text1"/>
          <w:szCs w:val="24"/>
        </w:rPr>
        <w:t xml:space="preserve">, </w:t>
      </w:r>
      <w:r w:rsidRPr="00895D0B">
        <w:rPr>
          <w:rFonts w:cs="Times New Roman"/>
          <w:i/>
          <w:iCs/>
          <w:noProof/>
          <w:color w:val="000000" w:themeColor="text1"/>
          <w:szCs w:val="24"/>
        </w:rPr>
        <w:t>32</w:t>
      </w:r>
      <w:r w:rsidRPr="00895D0B">
        <w:rPr>
          <w:rFonts w:cs="Times New Roman"/>
          <w:noProof/>
          <w:color w:val="000000" w:themeColor="text1"/>
          <w:szCs w:val="24"/>
        </w:rPr>
        <w:t>(4), 331–341. https://doi.org/10.21273/HORTTECH05038-22</w:t>
      </w:r>
    </w:p>
    <w:p w14:paraId="2AD7DCC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Cattivelli, V. (2020). The urban gardens in South Tyrol (IT): spatial distribution and some considerations about their role on mitigating the effects of ageing and urbanization. </w:t>
      </w:r>
      <w:r w:rsidRPr="00895D0B">
        <w:rPr>
          <w:rFonts w:cs="Times New Roman"/>
          <w:i/>
          <w:iCs/>
          <w:noProof/>
          <w:color w:val="000000" w:themeColor="text1"/>
          <w:szCs w:val="24"/>
        </w:rPr>
        <w:t>Regional Studies, Regional Science</w:t>
      </w:r>
      <w:r w:rsidRPr="00895D0B">
        <w:rPr>
          <w:rFonts w:cs="Times New Roman"/>
          <w:noProof/>
          <w:color w:val="000000" w:themeColor="text1"/>
          <w:szCs w:val="24"/>
        </w:rPr>
        <w:t xml:space="preserve">, </w:t>
      </w:r>
      <w:r w:rsidRPr="00895D0B">
        <w:rPr>
          <w:rFonts w:cs="Times New Roman"/>
          <w:i/>
          <w:iCs/>
          <w:noProof/>
          <w:color w:val="000000" w:themeColor="text1"/>
          <w:szCs w:val="24"/>
        </w:rPr>
        <w:t>7</w:t>
      </w:r>
      <w:r w:rsidRPr="00895D0B">
        <w:rPr>
          <w:rFonts w:cs="Times New Roman"/>
          <w:noProof/>
          <w:color w:val="000000" w:themeColor="text1"/>
          <w:szCs w:val="24"/>
        </w:rPr>
        <w:t>(1), 206–209. https://doi.org/10.1080/21681376.2020.1770121</w:t>
      </w:r>
    </w:p>
    <w:p w14:paraId="363D540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Chand, N. V. (2020). Women Farmer Participation and Its Determinants in Agricultural Training Programmes, for Central Division Fiji. </w:t>
      </w:r>
      <w:r w:rsidRPr="00895D0B">
        <w:rPr>
          <w:rFonts w:cs="Times New Roman"/>
          <w:i/>
          <w:iCs/>
          <w:noProof/>
          <w:color w:val="000000" w:themeColor="text1"/>
          <w:szCs w:val="24"/>
        </w:rPr>
        <w:t>Journal of Culture, Society and Development</w:t>
      </w:r>
      <w:r w:rsidRPr="00895D0B">
        <w:rPr>
          <w:rFonts w:cs="Times New Roman"/>
          <w:noProof/>
          <w:color w:val="000000" w:themeColor="text1"/>
          <w:szCs w:val="24"/>
        </w:rPr>
        <w:t xml:space="preserve">, </w:t>
      </w:r>
      <w:r w:rsidRPr="00895D0B">
        <w:rPr>
          <w:rFonts w:cs="Times New Roman"/>
          <w:i/>
          <w:iCs/>
          <w:noProof/>
          <w:color w:val="000000" w:themeColor="text1"/>
          <w:szCs w:val="24"/>
        </w:rPr>
        <w:t>57</w:t>
      </w:r>
      <w:r w:rsidRPr="00895D0B">
        <w:rPr>
          <w:rFonts w:cs="Times New Roman"/>
          <w:noProof/>
          <w:color w:val="000000" w:themeColor="text1"/>
          <w:szCs w:val="24"/>
        </w:rPr>
        <w:t>, 16–25. https://doi.org/10.7176/jcsd/57-03</w:t>
      </w:r>
    </w:p>
    <w:p w14:paraId="69CD379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Chandio, A. A., Jiang, Y., Abbas, Q., Amin, A., &amp; Mohsin, M. (2022). Does financial development enhance agricultural production in the long-run? Evidence from China. </w:t>
      </w:r>
      <w:r w:rsidRPr="00895D0B">
        <w:rPr>
          <w:rFonts w:cs="Times New Roman"/>
          <w:i/>
          <w:iCs/>
          <w:noProof/>
          <w:color w:val="000000" w:themeColor="text1"/>
          <w:szCs w:val="24"/>
        </w:rPr>
        <w:t>Journal of Public Affairs</w:t>
      </w:r>
      <w:r w:rsidRPr="00895D0B">
        <w:rPr>
          <w:rFonts w:cs="Times New Roman"/>
          <w:noProof/>
          <w:color w:val="000000" w:themeColor="text1"/>
          <w:szCs w:val="24"/>
        </w:rPr>
        <w:t xml:space="preserve">, </w:t>
      </w:r>
      <w:r w:rsidRPr="00895D0B">
        <w:rPr>
          <w:rFonts w:cs="Times New Roman"/>
          <w:i/>
          <w:iCs/>
          <w:noProof/>
          <w:color w:val="000000" w:themeColor="text1"/>
          <w:szCs w:val="24"/>
        </w:rPr>
        <w:t>22</w:t>
      </w:r>
      <w:r w:rsidRPr="00895D0B">
        <w:rPr>
          <w:rFonts w:cs="Times New Roman"/>
          <w:noProof/>
          <w:color w:val="000000" w:themeColor="text1"/>
          <w:szCs w:val="24"/>
        </w:rPr>
        <w:t>(2), 1–14. https://doi.org/10.1002/pa.2342</w:t>
      </w:r>
    </w:p>
    <w:p w14:paraId="00DA1AF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Chantziaras, I., Boyen, F., Callens, B., &amp; Dewulf, J. (2014). Correlation between veterinary antimicrobial use and antimicrobial resistance in food-producing animals: A report on seven countries. </w:t>
      </w:r>
      <w:r w:rsidRPr="00895D0B">
        <w:rPr>
          <w:rFonts w:cs="Times New Roman"/>
          <w:i/>
          <w:iCs/>
          <w:noProof/>
          <w:color w:val="000000" w:themeColor="text1"/>
          <w:szCs w:val="24"/>
        </w:rPr>
        <w:t>Journal of Antimicrobial Chemotherapy</w:t>
      </w:r>
      <w:r w:rsidRPr="00895D0B">
        <w:rPr>
          <w:rFonts w:cs="Times New Roman"/>
          <w:noProof/>
          <w:color w:val="000000" w:themeColor="text1"/>
          <w:szCs w:val="24"/>
        </w:rPr>
        <w:t xml:space="preserve">, </w:t>
      </w:r>
      <w:r w:rsidRPr="00895D0B">
        <w:rPr>
          <w:rFonts w:cs="Times New Roman"/>
          <w:i/>
          <w:iCs/>
          <w:noProof/>
          <w:color w:val="000000" w:themeColor="text1"/>
          <w:szCs w:val="24"/>
        </w:rPr>
        <w:t>69</w:t>
      </w:r>
      <w:r w:rsidRPr="00895D0B">
        <w:rPr>
          <w:rFonts w:cs="Times New Roman"/>
          <w:noProof/>
          <w:color w:val="000000" w:themeColor="text1"/>
          <w:szCs w:val="24"/>
        </w:rPr>
        <w:t>(3), 827–834. https://doi.org/10.1093/jac/dkt443</w:t>
      </w:r>
    </w:p>
    <w:p w14:paraId="4A48FBF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Cheng, M., Mccarl, B., &amp; Fei, C. (2022). </w:t>
      </w:r>
      <w:r w:rsidRPr="00895D0B">
        <w:rPr>
          <w:rFonts w:cs="Times New Roman"/>
          <w:i/>
          <w:iCs/>
          <w:noProof/>
          <w:color w:val="000000" w:themeColor="text1"/>
          <w:szCs w:val="24"/>
        </w:rPr>
        <w:t>Climate Change and Livestock Production : A Literature Review</w:t>
      </w:r>
      <w:r w:rsidRPr="00895D0B">
        <w:rPr>
          <w:rFonts w:cs="Times New Roman"/>
          <w:noProof/>
          <w:color w:val="000000" w:themeColor="text1"/>
          <w:szCs w:val="24"/>
        </w:rPr>
        <w:t>.</w:t>
      </w:r>
    </w:p>
    <w:p w14:paraId="6CF6760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Chihambakwe, M., Mafongoya, P., &amp; Jiri, O. (2018). Urban and Peri-Urban Agriculture as A Pathway to Food Security: A Review Mapping the Use of Food Sovereignty. </w:t>
      </w:r>
      <w:r w:rsidRPr="00895D0B">
        <w:rPr>
          <w:rFonts w:cs="Times New Roman"/>
          <w:i/>
          <w:iCs/>
          <w:noProof/>
          <w:color w:val="000000" w:themeColor="text1"/>
          <w:szCs w:val="24"/>
        </w:rPr>
        <w:t>Challenges</w:t>
      </w:r>
      <w:r w:rsidRPr="00895D0B">
        <w:rPr>
          <w:rFonts w:cs="Times New Roman"/>
          <w:noProof/>
          <w:color w:val="000000" w:themeColor="text1"/>
          <w:szCs w:val="24"/>
        </w:rPr>
        <w:t xml:space="preserve">, </w:t>
      </w:r>
      <w:r w:rsidRPr="00895D0B">
        <w:rPr>
          <w:rFonts w:cs="Times New Roman"/>
          <w:i/>
          <w:iCs/>
          <w:noProof/>
          <w:color w:val="000000" w:themeColor="text1"/>
          <w:szCs w:val="24"/>
        </w:rPr>
        <w:t>10</w:t>
      </w:r>
      <w:r w:rsidRPr="00895D0B">
        <w:rPr>
          <w:rFonts w:cs="Times New Roman"/>
          <w:noProof/>
          <w:color w:val="000000" w:themeColor="text1"/>
          <w:szCs w:val="24"/>
        </w:rPr>
        <w:t>(1), 6. https://doi.org/10.3390/challe10010006</w:t>
      </w:r>
    </w:p>
    <w:p w14:paraId="461B3DF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Chilundo, M., de Sousa, W., Christen, E. W., Faduco, J., Bjornlund, H., Cheveia, E., Munguambe, P., Jorge, F., Stirzaker, R., &amp; van Rooyen, A. F. (2020). Do agricultural innovation platforms and soil moisture and nutrient monitoring tools improve the production and livelihood of smallholder irrigators in Mozambique? </w:t>
      </w:r>
      <w:r w:rsidRPr="00895D0B">
        <w:rPr>
          <w:rFonts w:cs="Times New Roman"/>
          <w:i/>
          <w:iCs/>
          <w:noProof/>
          <w:color w:val="000000" w:themeColor="text1"/>
          <w:szCs w:val="24"/>
        </w:rPr>
        <w:t>International Journal of Water Resources Development</w:t>
      </w:r>
      <w:r w:rsidRPr="00895D0B">
        <w:rPr>
          <w:rFonts w:cs="Times New Roman"/>
          <w:noProof/>
          <w:color w:val="000000" w:themeColor="text1"/>
          <w:szCs w:val="24"/>
        </w:rPr>
        <w:t xml:space="preserve">, </w:t>
      </w:r>
      <w:r w:rsidRPr="00895D0B">
        <w:rPr>
          <w:rFonts w:cs="Times New Roman"/>
          <w:i/>
          <w:iCs/>
          <w:noProof/>
          <w:color w:val="000000" w:themeColor="text1"/>
          <w:szCs w:val="24"/>
        </w:rPr>
        <w:t>36</w:t>
      </w:r>
      <w:r w:rsidRPr="00895D0B">
        <w:rPr>
          <w:rFonts w:cs="Times New Roman"/>
          <w:noProof/>
          <w:color w:val="000000" w:themeColor="text1"/>
          <w:szCs w:val="24"/>
        </w:rPr>
        <w:t>(1), 1–21. https://doi.org/10.1080/07900627.2020.1760799</w:t>
      </w:r>
    </w:p>
    <w:p w14:paraId="1E26038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Contesse, M., van Vliet, B. J. M., &amp; Lenhart, J. (2018). Is urban agriculture urban green space? A comparison of policy arrangements for urban green space and urban agriculture in Santiago de Chile.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71</w:t>
      </w:r>
      <w:r w:rsidRPr="00895D0B">
        <w:rPr>
          <w:rFonts w:cs="Times New Roman"/>
          <w:noProof/>
          <w:color w:val="000000" w:themeColor="text1"/>
          <w:szCs w:val="24"/>
        </w:rPr>
        <w:t>(October), 566–577. https://doi.org/10.1016/j.landusepol.2017.11.006</w:t>
      </w:r>
    </w:p>
    <w:p w14:paraId="33622C1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Corcoran, M. P., &amp; Cavin, J. S. (2018). Introduction: Civil society and urban agriculture in Europe. </w:t>
      </w:r>
      <w:r w:rsidRPr="00895D0B">
        <w:rPr>
          <w:rFonts w:cs="Times New Roman"/>
          <w:i/>
          <w:iCs/>
          <w:noProof/>
          <w:color w:val="000000" w:themeColor="text1"/>
          <w:szCs w:val="24"/>
        </w:rPr>
        <w:t>Nature and Culture</w:t>
      </w:r>
      <w:r w:rsidRPr="00895D0B">
        <w:rPr>
          <w:rFonts w:cs="Times New Roman"/>
          <w:noProof/>
          <w:color w:val="000000" w:themeColor="text1"/>
          <w:szCs w:val="24"/>
        </w:rPr>
        <w:t xml:space="preserve">, </w:t>
      </w:r>
      <w:r w:rsidRPr="00895D0B">
        <w:rPr>
          <w:rFonts w:cs="Times New Roman"/>
          <w:i/>
          <w:iCs/>
          <w:noProof/>
          <w:color w:val="000000" w:themeColor="text1"/>
          <w:szCs w:val="24"/>
        </w:rPr>
        <w:t>13</w:t>
      </w:r>
      <w:r w:rsidRPr="00895D0B">
        <w:rPr>
          <w:rFonts w:cs="Times New Roman"/>
          <w:noProof/>
          <w:color w:val="000000" w:themeColor="text1"/>
          <w:szCs w:val="24"/>
        </w:rPr>
        <w:t>(1), 1–16. https://doi.org/10.3167/nc.2018.130101</w:t>
      </w:r>
    </w:p>
    <w:p w14:paraId="5842EE6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Creswell, J. W., &amp; Garrett, A. L. (2008). The “movement” of mixed methods research and the role of educators. </w:t>
      </w:r>
      <w:r w:rsidRPr="00895D0B">
        <w:rPr>
          <w:rFonts w:cs="Times New Roman"/>
          <w:i/>
          <w:iCs/>
          <w:noProof/>
          <w:color w:val="000000" w:themeColor="text1"/>
          <w:szCs w:val="24"/>
        </w:rPr>
        <w:t>South African Journal of Education</w:t>
      </w:r>
      <w:r w:rsidRPr="00895D0B">
        <w:rPr>
          <w:rFonts w:cs="Times New Roman"/>
          <w:noProof/>
          <w:color w:val="000000" w:themeColor="text1"/>
          <w:szCs w:val="24"/>
        </w:rPr>
        <w:t xml:space="preserve">, </w:t>
      </w:r>
      <w:r w:rsidRPr="00895D0B">
        <w:rPr>
          <w:rFonts w:cs="Times New Roman"/>
          <w:i/>
          <w:iCs/>
          <w:noProof/>
          <w:color w:val="000000" w:themeColor="text1"/>
          <w:szCs w:val="24"/>
        </w:rPr>
        <w:t>28</w:t>
      </w:r>
      <w:r w:rsidRPr="00895D0B">
        <w:rPr>
          <w:rFonts w:cs="Times New Roman"/>
          <w:noProof/>
          <w:color w:val="000000" w:themeColor="text1"/>
          <w:szCs w:val="24"/>
        </w:rPr>
        <w:t>(3), 321–333. https://doi.org/10.15700/saje.v28n3a176</w:t>
      </w:r>
    </w:p>
    <w:p w14:paraId="1AC018F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Crewell, J. W. (2014). </w:t>
      </w:r>
      <w:r w:rsidRPr="00895D0B">
        <w:rPr>
          <w:rFonts w:cs="Times New Roman"/>
          <w:i/>
          <w:iCs/>
          <w:noProof/>
          <w:color w:val="000000" w:themeColor="text1"/>
          <w:szCs w:val="24"/>
        </w:rPr>
        <w:t>Research design: qualitative, quantitative and mixed methods approaches</w:t>
      </w:r>
      <w:r w:rsidRPr="00895D0B">
        <w:rPr>
          <w:rFonts w:cs="Times New Roman"/>
          <w:noProof/>
          <w:color w:val="000000" w:themeColor="text1"/>
          <w:szCs w:val="24"/>
        </w:rPr>
        <w:t xml:space="preserve"> (V. Knight, J. Young, K. Bauhaus, &amp; B. Mauhaus (eds.); Fourth). SAGE Publications, Inc.</w:t>
      </w:r>
    </w:p>
    <w:p w14:paraId="568B979F"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Curry, N., Reed, M., Keech, D., Maye, D., &amp; Kirwan, J. (2014). Urban agriculture and the policies of the European Union: the need for renewal. </w:t>
      </w:r>
      <w:r w:rsidRPr="00895D0B">
        <w:rPr>
          <w:rFonts w:cs="Times New Roman"/>
          <w:i/>
          <w:iCs/>
          <w:noProof/>
          <w:color w:val="000000" w:themeColor="text1"/>
          <w:szCs w:val="24"/>
        </w:rPr>
        <w:t>Spanish Journal of Rural Development</w:t>
      </w:r>
      <w:r w:rsidRPr="00895D0B">
        <w:rPr>
          <w:rFonts w:cs="Times New Roman"/>
          <w:noProof/>
          <w:color w:val="000000" w:themeColor="text1"/>
          <w:szCs w:val="24"/>
        </w:rPr>
        <w:t>, 91–106. https://doi.org/10.5261/2014.esp1.08</w:t>
      </w:r>
    </w:p>
    <w:p w14:paraId="695963FE" w14:textId="77777777" w:rsidR="00F3127A" w:rsidRDefault="00F3127A"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21B3B79E" w14:textId="77777777" w:rsidR="00F3127A" w:rsidRDefault="00F3127A"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0D7B93CA" w14:textId="77777777" w:rsidR="00F3127A" w:rsidRPr="00895D0B" w:rsidRDefault="00F3127A"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4444965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D’Amour, C. B., Reitsma, F., Baiocchi, G., Barthel, S., Güneralp, B., Erb, K. H., Haberl, H., Creutzig, F., &amp; Seto, K. C. (2017). Future urban land expansion and implications for global croplands. </w:t>
      </w:r>
      <w:r w:rsidRPr="00895D0B">
        <w:rPr>
          <w:rFonts w:cs="Times New Roman"/>
          <w:i/>
          <w:iCs/>
          <w:noProof/>
          <w:color w:val="000000" w:themeColor="text1"/>
          <w:szCs w:val="24"/>
        </w:rPr>
        <w:t>Proceedings of the National Academy of Sciences of the United States of America</w:t>
      </w:r>
      <w:r w:rsidRPr="00895D0B">
        <w:rPr>
          <w:rFonts w:cs="Times New Roman"/>
          <w:noProof/>
          <w:color w:val="000000" w:themeColor="text1"/>
          <w:szCs w:val="24"/>
        </w:rPr>
        <w:t xml:space="preserve">, </w:t>
      </w:r>
      <w:r w:rsidRPr="00895D0B">
        <w:rPr>
          <w:rFonts w:cs="Times New Roman"/>
          <w:i/>
          <w:iCs/>
          <w:noProof/>
          <w:color w:val="000000" w:themeColor="text1"/>
          <w:szCs w:val="24"/>
        </w:rPr>
        <w:t>114</w:t>
      </w:r>
      <w:r w:rsidRPr="00895D0B">
        <w:rPr>
          <w:rFonts w:cs="Times New Roman"/>
          <w:noProof/>
          <w:color w:val="000000" w:themeColor="text1"/>
          <w:szCs w:val="24"/>
        </w:rPr>
        <w:t>(34), 8939–8944. https://doi.org/10.1073/pnas.1606036114</w:t>
      </w:r>
    </w:p>
    <w:p w14:paraId="164755F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Dang, H. L., Li, E., Nuberg, I., &amp; Bruwer, J. (2019). Factors influencing the adaptation of farmers in response to climate change: a review. </w:t>
      </w:r>
      <w:r w:rsidRPr="00895D0B">
        <w:rPr>
          <w:rFonts w:cs="Times New Roman"/>
          <w:i/>
          <w:iCs/>
          <w:noProof/>
          <w:color w:val="000000" w:themeColor="text1"/>
          <w:szCs w:val="24"/>
        </w:rPr>
        <w:t>Climate and Development</w:t>
      </w:r>
      <w:r w:rsidRPr="00895D0B">
        <w:rPr>
          <w:rFonts w:cs="Times New Roman"/>
          <w:noProof/>
          <w:color w:val="000000" w:themeColor="text1"/>
          <w:szCs w:val="24"/>
        </w:rPr>
        <w:t xml:space="preserve">, </w:t>
      </w:r>
      <w:r w:rsidRPr="00895D0B">
        <w:rPr>
          <w:rFonts w:cs="Times New Roman"/>
          <w:i/>
          <w:iCs/>
          <w:noProof/>
          <w:color w:val="000000" w:themeColor="text1"/>
          <w:szCs w:val="24"/>
        </w:rPr>
        <w:t>11</w:t>
      </w:r>
      <w:r w:rsidRPr="00895D0B">
        <w:rPr>
          <w:rFonts w:cs="Times New Roman"/>
          <w:noProof/>
          <w:color w:val="000000" w:themeColor="text1"/>
          <w:szCs w:val="24"/>
        </w:rPr>
        <w:t>(9), 765–774. https://doi.org/10.1080/17565529.2018.1562866</w:t>
      </w:r>
    </w:p>
    <w:p w14:paraId="49B931C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Darfour, B., &amp; Rosentrater, K. A. (2016). Agriculture and food security in Ghana. </w:t>
      </w:r>
      <w:r w:rsidRPr="00895D0B">
        <w:rPr>
          <w:rFonts w:cs="Times New Roman"/>
          <w:i/>
          <w:iCs/>
          <w:noProof/>
          <w:color w:val="000000" w:themeColor="text1"/>
          <w:szCs w:val="24"/>
        </w:rPr>
        <w:t>2016 American Society of Agricultural and Biological Engineers Annual International Meeting, ASABE 2016</w:t>
      </w:r>
      <w:r w:rsidRPr="00895D0B">
        <w:rPr>
          <w:rFonts w:cs="Times New Roman"/>
          <w:noProof/>
          <w:color w:val="000000" w:themeColor="text1"/>
          <w:szCs w:val="24"/>
        </w:rPr>
        <w:t xml:space="preserve">, </w:t>
      </w:r>
      <w:r w:rsidRPr="00895D0B">
        <w:rPr>
          <w:rFonts w:cs="Times New Roman"/>
          <w:i/>
          <w:iCs/>
          <w:noProof/>
          <w:color w:val="000000" w:themeColor="text1"/>
          <w:szCs w:val="24"/>
        </w:rPr>
        <w:t>December</w:t>
      </w:r>
      <w:r w:rsidRPr="00895D0B">
        <w:rPr>
          <w:rFonts w:cs="Times New Roman"/>
          <w:noProof/>
          <w:color w:val="000000" w:themeColor="text1"/>
          <w:szCs w:val="24"/>
        </w:rPr>
        <w:t>. https://doi.org/10.13031/aim.20162460507</w:t>
      </w:r>
    </w:p>
    <w:p w14:paraId="60B78BB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Darge, A., Haji, J., Beyene, F., &amp; Ketema, M. (2023). Smallholder Farmers’ Climate Change Adaptation Strategies in the Ethiopian Rift Valley: The Case of Home Garden Agroforestry Systems in the Gedeo Zone. </w:t>
      </w:r>
      <w:r w:rsidRPr="00895D0B">
        <w:rPr>
          <w:rFonts w:cs="Times New Roman"/>
          <w:i/>
          <w:iCs/>
          <w:noProof/>
          <w:color w:val="000000" w:themeColor="text1"/>
          <w:szCs w:val="24"/>
        </w:rPr>
        <w:t>Sustainability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15</w:t>
      </w:r>
      <w:r w:rsidRPr="00895D0B">
        <w:rPr>
          <w:rFonts w:cs="Times New Roman"/>
          <w:noProof/>
          <w:color w:val="000000" w:themeColor="text1"/>
          <w:szCs w:val="24"/>
        </w:rPr>
        <w:t>(11). https://doi.org/10.3390/su15118997</w:t>
      </w:r>
    </w:p>
    <w:p w14:paraId="7C77BEF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David, S. A., &amp; Alan, T. R. (2019). </w:t>
      </w:r>
      <w:r w:rsidRPr="00895D0B">
        <w:rPr>
          <w:rFonts w:cs="Times New Roman"/>
          <w:i/>
          <w:iCs/>
          <w:noProof/>
          <w:color w:val="000000" w:themeColor="text1"/>
          <w:szCs w:val="24"/>
        </w:rPr>
        <w:t>Readers ’ toolbox; understanding research methods</w:t>
      </w:r>
      <w:r w:rsidRPr="00895D0B">
        <w:rPr>
          <w:rFonts w:cs="Times New Roman"/>
          <w:noProof/>
          <w:color w:val="000000" w:themeColor="text1"/>
          <w:szCs w:val="24"/>
        </w:rPr>
        <w:t xml:space="preserve">. </w:t>
      </w:r>
      <w:r w:rsidRPr="00895D0B">
        <w:rPr>
          <w:rFonts w:cs="Times New Roman"/>
          <w:i/>
          <w:iCs/>
          <w:noProof/>
          <w:color w:val="000000" w:themeColor="text1"/>
          <w:szCs w:val="24"/>
        </w:rPr>
        <w:t>2</w:t>
      </w:r>
      <w:r w:rsidRPr="00895D0B">
        <w:rPr>
          <w:rFonts w:cs="Times New Roman"/>
          <w:noProof/>
          <w:color w:val="000000" w:themeColor="text1"/>
          <w:szCs w:val="24"/>
        </w:rPr>
        <w:t>, 192–202.</w:t>
      </w:r>
    </w:p>
    <w:p w14:paraId="18E5577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Davies, J., Hannah, C., Guido, Z., Zimmer, A., McCann, L., Battersby, J., &amp; Evans, T. (2021). Barriers to urban agriculture in Sub-Saharan Africa. </w:t>
      </w:r>
      <w:r w:rsidRPr="00895D0B">
        <w:rPr>
          <w:rFonts w:cs="Times New Roman"/>
          <w:i/>
          <w:iCs/>
          <w:noProof/>
          <w:color w:val="000000" w:themeColor="text1"/>
          <w:szCs w:val="24"/>
        </w:rPr>
        <w:t>Food Policy</w:t>
      </w:r>
      <w:r w:rsidRPr="00895D0B">
        <w:rPr>
          <w:rFonts w:cs="Times New Roman"/>
          <w:noProof/>
          <w:color w:val="000000" w:themeColor="text1"/>
          <w:szCs w:val="24"/>
        </w:rPr>
        <w:t xml:space="preserve">, </w:t>
      </w:r>
      <w:r w:rsidRPr="00895D0B">
        <w:rPr>
          <w:rFonts w:cs="Times New Roman"/>
          <w:i/>
          <w:iCs/>
          <w:noProof/>
          <w:color w:val="000000" w:themeColor="text1"/>
          <w:szCs w:val="24"/>
        </w:rPr>
        <w:t>103</w:t>
      </w:r>
      <w:r w:rsidRPr="00895D0B">
        <w:rPr>
          <w:rFonts w:cs="Times New Roman"/>
          <w:noProof/>
          <w:color w:val="000000" w:themeColor="text1"/>
          <w:szCs w:val="24"/>
        </w:rPr>
        <w:t>(November), 101999. https://doi.org/10.1016/j.foodpol.2020.101999</w:t>
      </w:r>
    </w:p>
    <w:p w14:paraId="3158DBA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Dazé, A., &amp; Echeverría, D. (2016). Review of Current and Planned Adaptation Action in Nepal. In </w:t>
      </w:r>
      <w:r w:rsidRPr="00895D0B">
        <w:rPr>
          <w:rFonts w:cs="Times New Roman"/>
          <w:i/>
          <w:iCs/>
          <w:noProof/>
          <w:color w:val="000000" w:themeColor="text1"/>
          <w:szCs w:val="24"/>
        </w:rPr>
        <w:t>CARIAA Working Paper no. 20</w:t>
      </w:r>
      <w:r w:rsidRPr="00895D0B">
        <w:rPr>
          <w:rFonts w:cs="Times New Roman"/>
          <w:noProof/>
          <w:color w:val="000000" w:themeColor="text1"/>
          <w:szCs w:val="24"/>
        </w:rPr>
        <w:t>. www.idrc.ca/cariaa</w:t>
      </w:r>
    </w:p>
    <w:p w14:paraId="38EE64D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Debelo, W. B. (2020). Review on Roles and Challenges of Agricultural Extension System on Growth of Agricultural Production in Ethiopia. </w:t>
      </w:r>
      <w:r w:rsidRPr="00895D0B">
        <w:rPr>
          <w:rFonts w:cs="Times New Roman"/>
          <w:i/>
          <w:iCs/>
          <w:noProof/>
          <w:color w:val="000000" w:themeColor="text1"/>
          <w:szCs w:val="24"/>
        </w:rPr>
        <w:t>Journal of Plant Sciences</w:t>
      </w:r>
      <w:r w:rsidRPr="00895D0B">
        <w:rPr>
          <w:rFonts w:cs="Times New Roman"/>
          <w:noProof/>
          <w:color w:val="000000" w:themeColor="text1"/>
          <w:szCs w:val="24"/>
        </w:rPr>
        <w:t xml:space="preserve">, </w:t>
      </w:r>
      <w:r w:rsidRPr="00895D0B">
        <w:rPr>
          <w:rFonts w:cs="Times New Roman"/>
          <w:i/>
          <w:iCs/>
          <w:noProof/>
          <w:color w:val="000000" w:themeColor="text1"/>
          <w:szCs w:val="24"/>
        </w:rPr>
        <w:t>8</w:t>
      </w:r>
      <w:r w:rsidRPr="00895D0B">
        <w:rPr>
          <w:rFonts w:cs="Times New Roman"/>
          <w:noProof/>
          <w:color w:val="000000" w:themeColor="text1"/>
          <w:szCs w:val="24"/>
        </w:rPr>
        <w:t>(6), 189. https://doi.org/10.11648/j.jps.20200806.11</w:t>
      </w:r>
    </w:p>
    <w:p w14:paraId="2C9F4C2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Delgado, C. (2018). Contrasting practices and perceptions of urban agriculture in Portugal. </w:t>
      </w:r>
      <w:r w:rsidRPr="00895D0B">
        <w:rPr>
          <w:rFonts w:cs="Times New Roman"/>
          <w:i/>
          <w:iCs/>
          <w:noProof/>
          <w:color w:val="000000" w:themeColor="text1"/>
          <w:szCs w:val="24"/>
        </w:rPr>
        <w:t>International Journal of Urban Sustainable Development</w:t>
      </w:r>
      <w:r w:rsidRPr="00895D0B">
        <w:rPr>
          <w:rFonts w:cs="Times New Roman"/>
          <w:noProof/>
          <w:color w:val="000000" w:themeColor="text1"/>
          <w:szCs w:val="24"/>
        </w:rPr>
        <w:t xml:space="preserve">, </w:t>
      </w:r>
      <w:r w:rsidRPr="00895D0B">
        <w:rPr>
          <w:rFonts w:cs="Times New Roman"/>
          <w:i/>
          <w:iCs/>
          <w:noProof/>
          <w:color w:val="000000" w:themeColor="text1"/>
          <w:szCs w:val="24"/>
        </w:rPr>
        <w:t>10</w:t>
      </w:r>
      <w:r w:rsidRPr="00895D0B">
        <w:rPr>
          <w:rFonts w:cs="Times New Roman"/>
          <w:noProof/>
          <w:color w:val="000000" w:themeColor="text1"/>
          <w:szCs w:val="24"/>
        </w:rPr>
        <w:t>(2), 170–185. https://doi.org/10.1080/19463138.2018.1481069</w:t>
      </w:r>
    </w:p>
    <w:p w14:paraId="7639F31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Deng, N. (2019). </w:t>
      </w:r>
      <w:r w:rsidRPr="00895D0B">
        <w:rPr>
          <w:rFonts w:cs="Times New Roman"/>
          <w:i/>
          <w:iCs/>
          <w:noProof/>
          <w:color w:val="000000" w:themeColor="text1"/>
          <w:szCs w:val="24"/>
        </w:rPr>
        <w:t>What is temporal ontology ?</w:t>
      </w:r>
      <w:r w:rsidRPr="00895D0B">
        <w:rPr>
          <w:rFonts w:cs="Times New Roman"/>
          <w:noProof/>
          <w:color w:val="000000" w:themeColor="text1"/>
          <w:szCs w:val="24"/>
        </w:rPr>
        <w:t xml:space="preserve"> 1–27.</w:t>
      </w:r>
    </w:p>
    <w:p w14:paraId="282EF77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Deng, Z., Zhao, Q., &amp; Bao, H. X. H. (2020). The Impact of Urbanization on Farmland Productivity: Implications for China’s Requisition–Compensation Balance of Farmland Policy. </w:t>
      </w:r>
      <w:r w:rsidRPr="00895D0B">
        <w:rPr>
          <w:rFonts w:cs="Times New Roman"/>
          <w:i/>
          <w:iCs/>
          <w:noProof/>
          <w:color w:val="000000" w:themeColor="text1"/>
          <w:szCs w:val="24"/>
        </w:rPr>
        <w:t>Land</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(9), 1–23. https://doi.org/10.3390/land9090311</w:t>
      </w:r>
    </w:p>
    <w:p w14:paraId="2CD983A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Devaux, A., Torero, M., Donovan, J., &amp; Horton, D. (2018). Agricultural innovation and inclusive value-chain development: a review. </w:t>
      </w:r>
      <w:r w:rsidRPr="00895D0B">
        <w:rPr>
          <w:rFonts w:cs="Times New Roman"/>
          <w:i/>
          <w:iCs/>
          <w:noProof/>
          <w:color w:val="000000" w:themeColor="text1"/>
          <w:szCs w:val="24"/>
        </w:rPr>
        <w:t>Journal of Agribusiness in Developing and Emerging Economies</w:t>
      </w:r>
      <w:r w:rsidRPr="00895D0B">
        <w:rPr>
          <w:rFonts w:cs="Times New Roman"/>
          <w:noProof/>
          <w:color w:val="000000" w:themeColor="text1"/>
          <w:szCs w:val="24"/>
        </w:rPr>
        <w:t xml:space="preserve">, </w:t>
      </w:r>
      <w:r w:rsidRPr="00895D0B">
        <w:rPr>
          <w:rFonts w:cs="Times New Roman"/>
          <w:i/>
          <w:iCs/>
          <w:noProof/>
          <w:color w:val="000000" w:themeColor="text1"/>
          <w:szCs w:val="24"/>
        </w:rPr>
        <w:t>8</w:t>
      </w:r>
      <w:r w:rsidRPr="00895D0B">
        <w:rPr>
          <w:rFonts w:cs="Times New Roman"/>
          <w:noProof/>
          <w:color w:val="000000" w:themeColor="text1"/>
          <w:szCs w:val="24"/>
        </w:rPr>
        <w:t>(1), 99–123. https://doi.org/10.1108/JADEE-06-2017-0065</w:t>
      </w:r>
    </w:p>
    <w:p w14:paraId="2F9C603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Diehl, J. A., Sweeney, E., Wong, B., Sia, C. S., Yao, H., &amp; Prabhudesai, M. (2020a). Feeding cities: Singapore’s approach to land use planning for urban agriculture. </w:t>
      </w:r>
      <w:r w:rsidRPr="00895D0B">
        <w:rPr>
          <w:rFonts w:cs="Times New Roman"/>
          <w:i/>
          <w:iCs/>
          <w:noProof/>
          <w:color w:val="000000" w:themeColor="text1"/>
          <w:szCs w:val="24"/>
        </w:rPr>
        <w:t>Global Food Security</w:t>
      </w:r>
      <w:r w:rsidRPr="00895D0B">
        <w:rPr>
          <w:rFonts w:cs="Times New Roman"/>
          <w:noProof/>
          <w:color w:val="000000" w:themeColor="text1"/>
          <w:szCs w:val="24"/>
        </w:rPr>
        <w:t xml:space="preserve">, </w:t>
      </w:r>
      <w:r w:rsidRPr="00895D0B">
        <w:rPr>
          <w:rFonts w:cs="Times New Roman"/>
          <w:i/>
          <w:iCs/>
          <w:noProof/>
          <w:color w:val="000000" w:themeColor="text1"/>
          <w:szCs w:val="24"/>
        </w:rPr>
        <w:t>26</w:t>
      </w:r>
      <w:r w:rsidRPr="00895D0B">
        <w:rPr>
          <w:rFonts w:cs="Times New Roman"/>
          <w:noProof/>
          <w:color w:val="000000" w:themeColor="text1"/>
          <w:szCs w:val="24"/>
        </w:rPr>
        <w:t>(April), 100377. https://doi.org/10.1016/j.gfs.2020.100377</w:t>
      </w:r>
    </w:p>
    <w:p w14:paraId="1D23901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Diehl, J. A., Sweeney, E., Wong, B., Sia, C. S., Yao, H., &amp; Prabhudesai, M. (2020b). Feeding cities: Singapore’s approach to land use planning for urban agriculture. </w:t>
      </w:r>
      <w:r w:rsidRPr="00895D0B">
        <w:rPr>
          <w:rFonts w:cs="Times New Roman"/>
          <w:i/>
          <w:iCs/>
          <w:noProof/>
          <w:color w:val="000000" w:themeColor="text1"/>
          <w:szCs w:val="24"/>
        </w:rPr>
        <w:t>Global Food Security</w:t>
      </w:r>
      <w:r w:rsidRPr="00895D0B">
        <w:rPr>
          <w:rFonts w:cs="Times New Roman"/>
          <w:noProof/>
          <w:color w:val="000000" w:themeColor="text1"/>
          <w:szCs w:val="24"/>
        </w:rPr>
        <w:t xml:space="preserve">, </w:t>
      </w:r>
      <w:r w:rsidRPr="00895D0B">
        <w:rPr>
          <w:rFonts w:cs="Times New Roman"/>
          <w:i/>
          <w:iCs/>
          <w:noProof/>
          <w:color w:val="000000" w:themeColor="text1"/>
          <w:szCs w:val="24"/>
        </w:rPr>
        <w:t>26</w:t>
      </w:r>
      <w:r w:rsidRPr="00895D0B">
        <w:rPr>
          <w:rFonts w:cs="Times New Roman"/>
          <w:noProof/>
          <w:color w:val="000000" w:themeColor="text1"/>
          <w:szCs w:val="24"/>
        </w:rPr>
        <w:t>(August 2019), 100377. https://doi.org/10.1016/j.gfs.2020.100377</w:t>
      </w:r>
    </w:p>
    <w:p w14:paraId="785CB7F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Dieleman, H. (2017). Urban agriculture in Mexico City; balancing between ecological, economic, social and symbolic value. </w:t>
      </w:r>
      <w:r w:rsidRPr="00895D0B">
        <w:rPr>
          <w:rFonts w:cs="Times New Roman"/>
          <w:i/>
          <w:iCs/>
          <w:noProof/>
          <w:color w:val="000000" w:themeColor="text1"/>
          <w:szCs w:val="24"/>
        </w:rPr>
        <w:t>Journal of Cleaner Production</w:t>
      </w:r>
      <w:r w:rsidRPr="00895D0B">
        <w:rPr>
          <w:rFonts w:cs="Times New Roman"/>
          <w:noProof/>
          <w:color w:val="000000" w:themeColor="text1"/>
          <w:szCs w:val="24"/>
        </w:rPr>
        <w:t xml:space="preserve">, </w:t>
      </w:r>
      <w:r w:rsidRPr="00895D0B">
        <w:rPr>
          <w:rFonts w:cs="Times New Roman"/>
          <w:i/>
          <w:iCs/>
          <w:noProof/>
          <w:color w:val="000000" w:themeColor="text1"/>
          <w:szCs w:val="24"/>
        </w:rPr>
        <w:t>163</w:t>
      </w:r>
      <w:r w:rsidRPr="00895D0B">
        <w:rPr>
          <w:rFonts w:cs="Times New Roman"/>
          <w:noProof/>
          <w:color w:val="000000" w:themeColor="text1"/>
          <w:szCs w:val="24"/>
        </w:rPr>
        <w:t>, S156–S163. https://doi.org/10.1016/j.jclepro.2016.01.082</w:t>
      </w:r>
    </w:p>
    <w:p w14:paraId="1809B21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Dione, M. M. ., Ouma, E. A., Roesel, K., Kungu, J., Lule, P., &amp; Pezo, D. (2014). Participatory assessment of animal health and husbandry practices in smallholder pig production systems in three high poverty districts in Uganda. </w:t>
      </w:r>
      <w:r w:rsidRPr="00895D0B">
        <w:rPr>
          <w:rFonts w:cs="Times New Roman"/>
          <w:i/>
          <w:iCs/>
          <w:noProof/>
          <w:color w:val="000000" w:themeColor="text1"/>
          <w:szCs w:val="24"/>
        </w:rPr>
        <w:t>Preventive Veterinary Medicine</w:t>
      </w:r>
      <w:r w:rsidRPr="00895D0B">
        <w:rPr>
          <w:rFonts w:cs="Times New Roman"/>
          <w:noProof/>
          <w:color w:val="000000" w:themeColor="text1"/>
          <w:szCs w:val="24"/>
        </w:rPr>
        <w:t xml:space="preserve">, </w:t>
      </w:r>
      <w:r w:rsidRPr="00895D0B">
        <w:rPr>
          <w:rFonts w:cs="Times New Roman"/>
          <w:i/>
          <w:iCs/>
          <w:noProof/>
          <w:color w:val="000000" w:themeColor="text1"/>
          <w:szCs w:val="24"/>
        </w:rPr>
        <w:t>117</w:t>
      </w:r>
      <w:r w:rsidRPr="00895D0B">
        <w:rPr>
          <w:rFonts w:cs="Times New Roman"/>
          <w:noProof/>
          <w:color w:val="000000" w:themeColor="text1"/>
          <w:szCs w:val="24"/>
        </w:rPr>
        <w:t>(3–4), 565–576. https://doi.org/10.1016/j.prevetmed.2014.10.012</w:t>
      </w:r>
    </w:p>
    <w:p w14:paraId="47018A26"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Djido, A., Houessionon, P., Nikoi, G., Ouédraogo, I., Ouédraogo, M., Segnon, A. C., &amp; Zougmoré, R. B. (2021). The impacts of weather and climate information services on technical efficiency and farm productivity among smallholder farmers in the Upper West Region of Ghana. </w:t>
      </w:r>
      <w:r w:rsidRPr="00895D0B">
        <w:rPr>
          <w:rFonts w:cs="Times New Roman"/>
          <w:i/>
          <w:iCs/>
          <w:noProof/>
          <w:color w:val="000000" w:themeColor="text1"/>
          <w:szCs w:val="24"/>
        </w:rPr>
        <w:t>Ccafs</w:t>
      </w:r>
      <w:r w:rsidRPr="00895D0B">
        <w:rPr>
          <w:rFonts w:cs="Times New Roman"/>
          <w:noProof/>
          <w:color w:val="000000" w:themeColor="text1"/>
          <w:szCs w:val="24"/>
        </w:rPr>
        <w:t>, 1–38.</w:t>
      </w:r>
    </w:p>
    <w:p w14:paraId="584CD66C" w14:textId="77777777" w:rsidR="00F3127A" w:rsidRPr="00895D0B" w:rsidRDefault="00F3127A"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211DA85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Dobson, K. L., Levas, S., Schoepf, V., Warner, M. E., Cai, W. J., Hoadley, K. D., Yuan, X., Matsui, Y., Melman, T. F., &amp; Grottoli, A. G. (2021). Moderate nutrient concentrations are not detrimental to corals under future ocean conditions. </w:t>
      </w:r>
      <w:r w:rsidRPr="00895D0B">
        <w:rPr>
          <w:rFonts w:cs="Times New Roman"/>
          <w:i/>
          <w:iCs/>
          <w:noProof/>
          <w:color w:val="000000" w:themeColor="text1"/>
          <w:szCs w:val="24"/>
        </w:rPr>
        <w:t>Marine Biology</w:t>
      </w:r>
      <w:r w:rsidRPr="00895D0B">
        <w:rPr>
          <w:rFonts w:cs="Times New Roman"/>
          <w:noProof/>
          <w:color w:val="000000" w:themeColor="text1"/>
          <w:szCs w:val="24"/>
        </w:rPr>
        <w:t xml:space="preserve">, </w:t>
      </w:r>
      <w:r w:rsidRPr="00895D0B">
        <w:rPr>
          <w:rFonts w:cs="Times New Roman"/>
          <w:i/>
          <w:iCs/>
          <w:noProof/>
          <w:color w:val="000000" w:themeColor="text1"/>
          <w:szCs w:val="24"/>
        </w:rPr>
        <w:t>168</w:t>
      </w:r>
      <w:r w:rsidRPr="00895D0B">
        <w:rPr>
          <w:rFonts w:cs="Times New Roman"/>
          <w:noProof/>
          <w:color w:val="000000" w:themeColor="text1"/>
          <w:szCs w:val="24"/>
        </w:rPr>
        <w:t>(7). https://doi.org/10.1007/s00227-021-03901-3</w:t>
      </w:r>
    </w:p>
    <w:p w14:paraId="09CF4DC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Dubbeling, M., Van Veenhuizen, R., &amp; Halliday, J. (2019). Field Actions Science Reports Urban agriculture as a climate change and disaster risk reduction strategy. </w:t>
      </w:r>
      <w:r w:rsidRPr="00895D0B">
        <w:rPr>
          <w:rFonts w:cs="Times New Roman"/>
          <w:i/>
          <w:iCs/>
          <w:noProof/>
          <w:color w:val="000000" w:themeColor="text1"/>
          <w:szCs w:val="24"/>
        </w:rPr>
        <w:t>Field Actions Science Reports</w:t>
      </w:r>
      <w:r w:rsidRPr="00895D0B">
        <w:rPr>
          <w:rFonts w:cs="Times New Roman"/>
          <w:noProof/>
          <w:color w:val="000000" w:themeColor="text1"/>
          <w:szCs w:val="24"/>
        </w:rPr>
        <w:t xml:space="preserve">, </w:t>
      </w:r>
      <w:r w:rsidRPr="00895D0B">
        <w:rPr>
          <w:rFonts w:cs="Times New Roman"/>
          <w:i/>
          <w:iCs/>
          <w:noProof/>
          <w:color w:val="000000" w:themeColor="text1"/>
          <w:szCs w:val="24"/>
        </w:rPr>
        <w:t>20</w:t>
      </w:r>
      <w:r w:rsidRPr="00895D0B">
        <w:rPr>
          <w:rFonts w:cs="Times New Roman"/>
          <w:noProof/>
          <w:color w:val="000000" w:themeColor="text1"/>
          <w:szCs w:val="24"/>
        </w:rPr>
        <w:t>, 32–39.</w:t>
      </w:r>
    </w:p>
    <w:p w14:paraId="70E8562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Dube, T., Sibanda, S., &amp; Chiwara, P. (2021). Adapting peri-urban agriculture to climate change in Bulawayo, Zimbabwe: A qualitative assessment. </w:t>
      </w:r>
      <w:r w:rsidRPr="00895D0B">
        <w:rPr>
          <w:rFonts w:cs="Times New Roman"/>
          <w:i/>
          <w:iCs/>
          <w:noProof/>
          <w:color w:val="000000" w:themeColor="text1"/>
          <w:szCs w:val="24"/>
        </w:rPr>
        <w:t>Cogent Social Sciences</w:t>
      </w:r>
      <w:r w:rsidRPr="00895D0B">
        <w:rPr>
          <w:rFonts w:cs="Times New Roman"/>
          <w:noProof/>
          <w:color w:val="000000" w:themeColor="text1"/>
          <w:szCs w:val="24"/>
        </w:rPr>
        <w:t xml:space="preserve">, </w:t>
      </w:r>
      <w:r w:rsidRPr="00895D0B">
        <w:rPr>
          <w:rFonts w:cs="Times New Roman"/>
          <w:i/>
          <w:iCs/>
          <w:noProof/>
          <w:color w:val="000000" w:themeColor="text1"/>
          <w:szCs w:val="24"/>
        </w:rPr>
        <w:t>7</w:t>
      </w:r>
      <w:r w:rsidRPr="00895D0B">
        <w:rPr>
          <w:rFonts w:cs="Times New Roman"/>
          <w:noProof/>
          <w:color w:val="000000" w:themeColor="text1"/>
          <w:szCs w:val="24"/>
        </w:rPr>
        <w:t>(1). https://doi.org/10.1080/23311886.2021.1944486</w:t>
      </w:r>
    </w:p>
    <w:p w14:paraId="1C3F496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Duniya, K. (2018). This document is discoverable and free to researchers across the globe due to the work of AgEcon Search . Help ensure our sustainability . </w:t>
      </w:r>
      <w:r w:rsidRPr="00895D0B">
        <w:rPr>
          <w:rFonts w:cs="Times New Roman"/>
          <w:i/>
          <w:iCs/>
          <w:noProof/>
          <w:color w:val="000000" w:themeColor="text1"/>
          <w:szCs w:val="24"/>
        </w:rPr>
        <w:t>Journal of Gender, Agriculture and Food Security</w:t>
      </w:r>
      <w:r w:rsidRPr="00895D0B">
        <w:rPr>
          <w:rFonts w:cs="Times New Roman"/>
          <w:noProof/>
          <w:color w:val="000000" w:themeColor="text1"/>
          <w:szCs w:val="24"/>
        </w:rPr>
        <w:t xml:space="preserve">, </w:t>
      </w:r>
      <w:r w:rsidRPr="00895D0B">
        <w:rPr>
          <w:rFonts w:cs="Times New Roman"/>
          <w:i/>
          <w:iCs/>
          <w:noProof/>
          <w:color w:val="000000" w:themeColor="text1"/>
          <w:szCs w:val="24"/>
        </w:rPr>
        <w:t>1</w:t>
      </w:r>
      <w:r w:rsidRPr="00895D0B">
        <w:rPr>
          <w:rFonts w:cs="Times New Roman"/>
          <w:noProof/>
          <w:color w:val="000000" w:themeColor="text1"/>
          <w:szCs w:val="24"/>
        </w:rPr>
        <w:t>(3), 1–22.</w:t>
      </w:r>
    </w:p>
    <w:p w14:paraId="42F0BA4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Duong, T. T., Brewer, T., Luck, J., &amp; Zander, K. (2019). A global review of farmers’ perceptions of agricultural risks and risk management strategies. </w:t>
      </w:r>
      <w:r w:rsidRPr="00895D0B">
        <w:rPr>
          <w:rFonts w:cs="Times New Roman"/>
          <w:i/>
          <w:iCs/>
          <w:noProof/>
          <w:color w:val="000000" w:themeColor="text1"/>
          <w:szCs w:val="24"/>
        </w:rPr>
        <w:t>Agriculture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(1). https://doi.org/10.3390/agriculture9010010</w:t>
      </w:r>
    </w:p>
    <w:p w14:paraId="2827344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Duvernoy, I., Zambon, I., Sateriano, A., &amp; Salvati, L. (2018). Pictures from the other side of the fringe: Urban growth and peri-urban agriculture in a post-industrial city (Toulouse, France). </w:t>
      </w:r>
      <w:r w:rsidRPr="00895D0B">
        <w:rPr>
          <w:rFonts w:cs="Times New Roman"/>
          <w:i/>
          <w:iCs/>
          <w:noProof/>
          <w:color w:val="000000" w:themeColor="text1"/>
          <w:szCs w:val="24"/>
        </w:rPr>
        <w:t>Journal of Rural Studies</w:t>
      </w:r>
      <w:r w:rsidRPr="00895D0B">
        <w:rPr>
          <w:rFonts w:cs="Times New Roman"/>
          <w:noProof/>
          <w:color w:val="000000" w:themeColor="text1"/>
          <w:szCs w:val="24"/>
        </w:rPr>
        <w:t xml:space="preserve">, </w:t>
      </w:r>
      <w:r w:rsidRPr="00895D0B">
        <w:rPr>
          <w:rFonts w:cs="Times New Roman"/>
          <w:i/>
          <w:iCs/>
          <w:noProof/>
          <w:color w:val="000000" w:themeColor="text1"/>
          <w:szCs w:val="24"/>
        </w:rPr>
        <w:t>57</w:t>
      </w:r>
      <w:r w:rsidRPr="00895D0B">
        <w:rPr>
          <w:rFonts w:cs="Times New Roman"/>
          <w:noProof/>
          <w:color w:val="000000" w:themeColor="text1"/>
          <w:szCs w:val="24"/>
        </w:rPr>
        <w:t>(June 2017), 25–35. https://doi.org/10.1016/j.jrurstud.2017.10.007</w:t>
      </w:r>
    </w:p>
    <w:p w14:paraId="030D2C4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Duží, B., Frantál, B., &amp; Simon Rojo, M. (2017). The geography of urban agriculture: New trends and challenges. </w:t>
      </w:r>
      <w:r w:rsidRPr="00895D0B">
        <w:rPr>
          <w:rFonts w:cs="Times New Roman"/>
          <w:i/>
          <w:iCs/>
          <w:noProof/>
          <w:color w:val="000000" w:themeColor="text1"/>
          <w:szCs w:val="24"/>
        </w:rPr>
        <w:t>Moravian Geographical Reports</w:t>
      </w:r>
      <w:r w:rsidRPr="00895D0B">
        <w:rPr>
          <w:rFonts w:cs="Times New Roman"/>
          <w:noProof/>
          <w:color w:val="000000" w:themeColor="text1"/>
          <w:szCs w:val="24"/>
        </w:rPr>
        <w:t xml:space="preserve">, </w:t>
      </w:r>
      <w:r w:rsidRPr="00895D0B">
        <w:rPr>
          <w:rFonts w:cs="Times New Roman"/>
          <w:i/>
          <w:iCs/>
          <w:noProof/>
          <w:color w:val="000000" w:themeColor="text1"/>
          <w:szCs w:val="24"/>
        </w:rPr>
        <w:t>25</w:t>
      </w:r>
      <w:r w:rsidRPr="00895D0B">
        <w:rPr>
          <w:rFonts w:cs="Times New Roman"/>
          <w:noProof/>
          <w:color w:val="000000" w:themeColor="text1"/>
          <w:szCs w:val="24"/>
        </w:rPr>
        <w:t>(3), 130–138. https://doi.org/10.1515/mgr-2017-0012</w:t>
      </w:r>
    </w:p>
    <w:p w14:paraId="2B68B19B"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Echendu, A. J. (2020). The impact of flooding on Nigeria ’ s sustainable development goals ( SDGs ). </w:t>
      </w:r>
      <w:r w:rsidRPr="00895D0B">
        <w:rPr>
          <w:rFonts w:cs="Times New Roman"/>
          <w:i/>
          <w:iCs/>
          <w:noProof/>
          <w:color w:val="000000" w:themeColor="text1"/>
          <w:szCs w:val="24"/>
        </w:rPr>
        <w:t>Ecosystem Health and Sustainability</w:t>
      </w:r>
      <w:r w:rsidRPr="00895D0B">
        <w:rPr>
          <w:rFonts w:cs="Times New Roman"/>
          <w:noProof/>
          <w:color w:val="000000" w:themeColor="text1"/>
          <w:szCs w:val="24"/>
        </w:rPr>
        <w:t xml:space="preserve">, </w:t>
      </w:r>
      <w:r w:rsidRPr="00895D0B">
        <w:rPr>
          <w:rFonts w:cs="Times New Roman"/>
          <w:i/>
          <w:iCs/>
          <w:noProof/>
          <w:color w:val="000000" w:themeColor="text1"/>
          <w:szCs w:val="24"/>
        </w:rPr>
        <w:t>6</w:t>
      </w:r>
      <w:r w:rsidRPr="00895D0B">
        <w:rPr>
          <w:rFonts w:cs="Times New Roman"/>
          <w:noProof/>
          <w:color w:val="000000" w:themeColor="text1"/>
          <w:szCs w:val="24"/>
        </w:rPr>
        <w:t>(1). https://doi.org/10.1080/20964129.2020.1791735</w:t>
      </w:r>
    </w:p>
    <w:p w14:paraId="43DAAAD4" w14:textId="77777777" w:rsidR="002E3CD6" w:rsidRDefault="002E3CD6"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245676C3" w14:textId="77777777" w:rsidR="002E3CD6" w:rsidRPr="00895D0B" w:rsidRDefault="002E3CD6"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6A724CE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Edmondson, J. L., Childs, D. Z., Dobson, M. C., Gaston, K. J., Warren, P. H., &amp; Leake, J. R. (2020). Feeding a city – Leicester as a case study of the importance of allotments for horticultural production in the UK. </w:t>
      </w:r>
      <w:r w:rsidRPr="00895D0B">
        <w:rPr>
          <w:rFonts w:cs="Times New Roman"/>
          <w:i/>
          <w:iCs/>
          <w:noProof/>
          <w:color w:val="000000" w:themeColor="text1"/>
          <w:szCs w:val="24"/>
        </w:rPr>
        <w:t>Science of the Total Environment</w:t>
      </w:r>
      <w:r w:rsidRPr="00895D0B">
        <w:rPr>
          <w:rFonts w:cs="Times New Roman"/>
          <w:noProof/>
          <w:color w:val="000000" w:themeColor="text1"/>
          <w:szCs w:val="24"/>
        </w:rPr>
        <w:t xml:space="preserve">, </w:t>
      </w:r>
      <w:r w:rsidRPr="00895D0B">
        <w:rPr>
          <w:rFonts w:cs="Times New Roman"/>
          <w:i/>
          <w:iCs/>
          <w:noProof/>
          <w:color w:val="000000" w:themeColor="text1"/>
          <w:szCs w:val="24"/>
        </w:rPr>
        <w:t>705</w:t>
      </w:r>
      <w:r w:rsidRPr="00895D0B">
        <w:rPr>
          <w:rFonts w:cs="Times New Roman"/>
          <w:noProof/>
          <w:color w:val="000000" w:themeColor="text1"/>
          <w:szCs w:val="24"/>
        </w:rPr>
        <w:t>, 135930. https://doi.org/10.1016/j.scitotenv.2019.135930</w:t>
      </w:r>
    </w:p>
    <w:p w14:paraId="3DFDBA6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Elizabeth, E. (2024). </w:t>
      </w:r>
      <w:r w:rsidRPr="00895D0B">
        <w:rPr>
          <w:rFonts w:cs="Times New Roman"/>
          <w:i/>
          <w:iCs/>
          <w:noProof/>
          <w:color w:val="000000" w:themeColor="text1"/>
          <w:szCs w:val="24"/>
        </w:rPr>
        <w:t>Building Resilience of Food Production in Calgary ’ s Community Gardens to an Increasing Number of Extreme Weather Events</w:t>
      </w:r>
      <w:r w:rsidRPr="00895D0B">
        <w:rPr>
          <w:rFonts w:cs="Times New Roman"/>
          <w:noProof/>
          <w:color w:val="000000" w:themeColor="text1"/>
          <w:szCs w:val="24"/>
        </w:rPr>
        <w:t>.</w:t>
      </w:r>
    </w:p>
    <w:p w14:paraId="49E4AB8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Engel, E., Fiege, K., &amp; Kühn, A. (2019). </w:t>
      </w:r>
      <w:r w:rsidRPr="00895D0B">
        <w:rPr>
          <w:rFonts w:cs="Times New Roman"/>
          <w:i/>
          <w:iCs/>
          <w:noProof/>
          <w:color w:val="000000" w:themeColor="text1"/>
          <w:szCs w:val="24"/>
        </w:rPr>
        <w:t>Farming in cities : Potentials and challenges of urban agriculture in Maputo and Cape Town</w:t>
      </w:r>
      <w:r w:rsidRPr="00895D0B">
        <w:rPr>
          <w:rFonts w:cs="Times New Roman"/>
          <w:noProof/>
          <w:color w:val="000000" w:themeColor="text1"/>
          <w:szCs w:val="24"/>
        </w:rPr>
        <w:t xml:space="preserve"> (Issue August).</w:t>
      </w:r>
    </w:p>
    <w:p w14:paraId="6495370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Ennin, O. D., Issaka, R. N., Acheampong, P. P., &amp; Numafo, M. (2014). Mechanization, fertilization and staking options for environmentally sound yam production. </w:t>
      </w:r>
      <w:r w:rsidRPr="00895D0B">
        <w:rPr>
          <w:rFonts w:cs="Times New Roman"/>
          <w:i/>
          <w:iCs/>
          <w:noProof/>
          <w:color w:val="000000" w:themeColor="text1"/>
          <w:szCs w:val="24"/>
        </w:rPr>
        <w:t>African Journal of Agricultural Research</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(29), 2222–2230. https://doi.org/10.5897/ajar2014.8487</w:t>
      </w:r>
    </w:p>
    <w:p w14:paraId="4B6CF15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Ensor, J., &amp; Harvey, B. (2015). Social learning and climate change adaptation: Evidence for international development practice. </w:t>
      </w:r>
      <w:r w:rsidRPr="00895D0B">
        <w:rPr>
          <w:rFonts w:cs="Times New Roman"/>
          <w:i/>
          <w:iCs/>
          <w:noProof/>
          <w:color w:val="000000" w:themeColor="text1"/>
          <w:szCs w:val="24"/>
        </w:rPr>
        <w:t>Wiley Interdisciplinary Reviews: Climate Change</w:t>
      </w:r>
      <w:r w:rsidRPr="00895D0B">
        <w:rPr>
          <w:rFonts w:cs="Times New Roman"/>
          <w:noProof/>
          <w:color w:val="000000" w:themeColor="text1"/>
          <w:szCs w:val="24"/>
        </w:rPr>
        <w:t xml:space="preserve">, </w:t>
      </w:r>
      <w:r w:rsidRPr="00895D0B">
        <w:rPr>
          <w:rFonts w:cs="Times New Roman"/>
          <w:i/>
          <w:iCs/>
          <w:noProof/>
          <w:color w:val="000000" w:themeColor="text1"/>
          <w:szCs w:val="24"/>
        </w:rPr>
        <w:t>6</w:t>
      </w:r>
      <w:r w:rsidRPr="00895D0B">
        <w:rPr>
          <w:rFonts w:cs="Times New Roman"/>
          <w:noProof/>
          <w:color w:val="000000" w:themeColor="text1"/>
          <w:szCs w:val="24"/>
        </w:rPr>
        <w:t>(5), 509–522. https://doi.org/10.1002/wcc.348</w:t>
      </w:r>
    </w:p>
    <w:p w14:paraId="2D7382B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Environmental Protection Agency. (2018). </w:t>
      </w:r>
      <w:r w:rsidRPr="00895D0B">
        <w:rPr>
          <w:rFonts w:cs="Times New Roman"/>
          <w:i/>
          <w:iCs/>
          <w:noProof/>
          <w:color w:val="000000" w:themeColor="text1"/>
          <w:szCs w:val="24"/>
        </w:rPr>
        <w:t>Ghana’s national adaptation plan framework</w:t>
      </w:r>
      <w:r w:rsidRPr="00895D0B">
        <w:rPr>
          <w:rFonts w:cs="Times New Roman"/>
          <w:noProof/>
          <w:color w:val="000000" w:themeColor="text1"/>
          <w:szCs w:val="24"/>
        </w:rPr>
        <w:t xml:space="preserve"> (Issue October). https://climate.onep.go.th/wp-content/uploads/2021/06/National_Adaptation_Plan_01062021.pdf</w:t>
      </w:r>
    </w:p>
    <w:p w14:paraId="436AF78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Escarcha, J. F., &amp; Zander, K. K. (2018). </w:t>
      </w:r>
      <w:r w:rsidRPr="00895D0B">
        <w:rPr>
          <w:rFonts w:cs="Times New Roman"/>
          <w:i/>
          <w:iCs/>
          <w:noProof/>
          <w:color w:val="000000" w:themeColor="text1"/>
          <w:szCs w:val="24"/>
        </w:rPr>
        <w:t>Livestock Under Climate Change : A Systematic Review of Impacts and Adaptation</w:t>
      </w:r>
      <w:r w:rsidRPr="00895D0B">
        <w:rPr>
          <w:rFonts w:cs="Times New Roman"/>
          <w:noProof/>
          <w:color w:val="000000" w:themeColor="text1"/>
          <w:szCs w:val="24"/>
        </w:rPr>
        <w:t>. 1–17. https://doi.org/10.3390/cli6030054</w:t>
      </w:r>
    </w:p>
    <w:p w14:paraId="79A6EDB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Ezeomedo, I. C., &amp; Egware, A. R. (2018). Eradication of Extreme Poverty and Hunger Using Urban Agriculture As a Tool for Sustainable Livelihood. </w:t>
      </w:r>
      <w:r w:rsidRPr="00895D0B">
        <w:rPr>
          <w:rFonts w:cs="Times New Roman"/>
          <w:i/>
          <w:iCs/>
          <w:noProof/>
          <w:color w:val="000000" w:themeColor="text1"/>
          <w:szCs w:val="24"/>
        </w:rPr>
        <w:t>African Journal of Environmental Research</w:t>
      </w:r>
      <w:r w:rsidRPr="00895D0B">
        <w:rPr>
          <w:rFonts w:cs="Times New Roman"/>
          <w:noProof/>
          <w:color w:val="000000" w:themeColor="text1"/>
          <w:szCs w:val="24"/>
        </w:rPr>
        <w:t xml:space="preserve">, </w:t>
      </w:r>
      <w:r w:rsidRPr="00895D0B">
        <w:rPr>
          <w:rFonts w:cs="Times New Roman"/>
          <w:i/>
          <w:iCs/>
          <w:noProof/>
          <w:color w:val="000000" w:themeColor="text1"/>
          <w:szCs w:val="24"/>
        </w:rPr>
        <w:t>1</w:t>
      </w:r>
      <w:r w:rsidRPr="00895D0B">
        <w:rPr>
          <w:rFonts w:cs="Times New Roman"/>
          <w:noProof/>
          <w:color w:val="000000" w:themeColor="text1"/>
          <w:szCs w:val="24"/>
        </w:rPr>
        <w:t>(1), 78–97. https://doi.org/10.13140/RG.2.2.21061.50407</w:t>
      </w:r>
    </w:p>
    <w:p w14:paraId="13F9EF4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Fadina, A. M. R., &amp; Barjolle, D. (2018). Farmers’ adaptation strategies to climate change and their implications in the Zou department of South Benin. </w:t>
      </w:r>
      <w:r w:rsidRPr="00895D0B">
        <w:rPr>
          <w:rFonts w:cs="Times New Roman"/>
          <w:i/>
          <w:iCs/>
          <w:noProof/>
          <w:color w:val="000000" w:themeColor="text1"/>
          <w:szCs w:val="24"/>
        </w:rPr>
        <w:t>Environments - MDPI</w:t>
      </w:r>
      <w:r w:rsidRPr="00895D0B">
        <w:rPr>
          <w:rFonts w:cs="Times New Roman"/>
          <w:noProof/>
          <w:color w:val="000000" w:themeColor="text1"/>
          <w:szCs w:val="24"/>
        </w:rPr>
        <w:t xml:space="preserve">, </w:t>
      </w:r>
      <w:r w:rsidRPr="00895D0B">
        <w:rPr>
          <w:rFonts w:cs="Times New Roman"/>
          <w:i/>
          <w:iCs/>
          <w:noProof/>
          <w:color w:val="000000" w:themeColor="text1"/>
          <w:szCs w:val="24"/>
        </w:rPr>
        <w:t>5</w:t>
      </w:r>
      <w:r w:rsidRPr="00895D0B">
        <w:rPr>
          <w:rFonts w:cs="Times New Roman"/>
          <w:noProof/>
          <w:color w:val="000000" w:themeColor="text1"/>
          <w:szCs w:val="24"/>
        </w:rPr>
        <w:t>(1), 1–17. https://doi.org/10.3390/environments5010015</w:t>
      </w:r>
    </w:p>
    <w:p w14:paraId="765E3FC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Fang, C., &amp; Yu, D. (2017). Urban agglomeration: An evolving concept of an emerging phenomenon. </w:t>
      </w:r>
      <w:r w:rsidRPr="00895D0B">
        <w:rPr>
          <w:rFonts w:cs="Times New Roman"/>
          <w:i/>
          <w:iCs/>
          <w:noProof/>
          <w:color w:val="000000" w:themeColor="text1"/>
          <w:szCs w:val="24"/>
        </w:rPr>
        <w:t>Landscape and Urban Planning</w:t>
      </w:r>
      <w:r w:rsidRPr="00895D0B">
        <w:rPr>
          <w:rFonts w:cs="Times New Roman"/>
          <w:noProof/>
          <w:color w:val="000000" w:themeColor="text1"/>
          <w:szCs w:val="24"/>
        </w:rPr>
        <w:t xml:space="preserve">, </w:t>
      </w:r>
      <w:r w:rsidRPr="00895D0B">
        <w:rPr>
          <w:rFonts w:cs="Times New Roman"/>
          <w:i/>
          <w:iCs/>
          <w:noProof/>
          <w:color w:val="000000" w:themeColor="text1"/>
          <w:szCs w:val="24"/>
        </w:rPr>
        <w:t>162</w:t>
      </w:r>
      <w:r w:rsidRPr="00895D0B">
        <w:rPr>
          <w:rFonts w:cs="Times New Roman"/>
          <w:noProof/>
          <w:color w:val="000000" w:themeColor="text1"/>
          <w:szCs w:val="24"/>
        </w:rPr>
        <w:t>, 126–136. https://doi.org/10.1016/j.landurbplan.2017.02.014</w:t>
      </w:r>
    </w:p>
    <w:p w14:paraId="18C28BB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FAO. (2019). </w:t>
      </w:r>
      <w:r w:rsidRPr="00895D0B">
        <w:rPr>
          <w:rFonts w:cs="Times New Roman"/>
          <w:i/>
          <w:iCs/>
          <w:noProof/>
          <w:color w:val="000000" w:themeColor="text1"/>
          <w:szCs w:val="24"/>
        </w:rPr>
        <w:t>FAO framework for the urban food agenda</w:t>
      </w:r>
      <w:r w:rsidRPr="00895D0B">
        <w:rPr>
          <w:rFonts w:cs="Times New Roman"/>
          <w:noProof/>
          <w:color w:val="000000" w:themeColor="text1"/>
          <w:szCs w:val="24"/>
        </w:rPr>
        <w:t>. https://doi.org/https://doi.org/10.4060/ca3151en</w:t>
      </w:r>
    </w:p>
    <w:p w14:paraId="7A76C93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FAO. (2020). </w:t>
      </w:r>
      <w:r w:rsidRPr="00895D0B">
        <w:rPr>
          <w:rFonts w:cs="Times New Roman"/>
          <w:i/>
          <w:iCs/>
          <w:noProof/>
          <w:color w:val="000000" w:themeColor="text1"/>
          <w:szCs w:val="24"/>
        </w:rPr>
        <w:t>Cities and Local Government at the Forefront in Building Inclusive and Resilient Food Systems</w:t>
      </w:r>
      <w:r w:rsidRPr="00895D0B">
        <w:rPr>
          <w:rFonts w:cs="Times New Roman"/>
          <w:noProof/>
          <w:color w:val="000000" w:themeColor="text1"/>
          <w:szCs w:val="24"/>
        </w:rPr>
        <w:t>.</w:t>
      </w:r>
    </w:p>
    <w:p w14:paraId="3A1225B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Feifei, Z., Jianming, C., &amp; Gang, L. (2004). </w:t>
      </w:r>
      <w:r w:rsidRPr="00895D0B">
        <w:rPr>
          <w:rFonts w:cs="Times New Roman"/>
          <w:i/>
          <w:iCs/>
          <w:noProof/>
          <w:color w:val="000000" w:themeColor="text1"/>
          <w:szCs w:val="24"/>
        </w:rPr>
        <w:t>How urban agricultre is reshaping Peri-Urban Beijing ?</w:t>
      </w:r>
    </w:p>
    <w:p w14:paraId="653E86B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Feldt, T., Karg, H., Kadaouré, I., Bessert, L., &amp; Schlecht, E. (2020). Growing struggle over rising demand: How land use change and complex farmer-grazier conflicts impact grazing management in the Western Highlands of Cameroon.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95</w:t>
      </w:r>
      <w:r w:rsidRPr="00895D0B">
        <w:rPr>
          <w:rFonts w:cs="Times New Roman"/>
          <w:noProof/>
          <w:color w:val="000000" w:themeColor="text1"/>
          <w:szCs w:val="24"/>
        </w:rPr>
        <w:t>(March), 104579. https://doi.org/10.1016/j.landusepol.2020.104579</w:t>
      </w:r>
    </w:p>
    <w:p w14:paraId="2AC3307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Fernandez, M. (2017). Urban Agriculture in Cuba: 30 Years of policy and practice. </w:t>
      </w:r>
      <w:r w:rsidRPr="00895D0B">
        <w:rPr>
          <w:rFonts w:cs="Times New Roman"/>
          <w:i/>
          <w:iCs/>
          <w:noProof/>
          <w:color w:val="000000" w:themeColor="text1"/>
          <w:szCs w:val="24"/>
        </w:rPr>
        <w:t>Urban Agriculture Magazine</w:t>
      </w:r>
      <w:r w:rsidRPr="00895D0B">
        <w:rPr>
          <w:rFonts w:cs="Times New Roman"/>
          <w:noProof/>
          <w:color w:val="000000" w:themeColor="text1"/>
          <w:szCs w:val="24"/>
        </w:rPr>
        <w:t xml:space="preserve">, </w:t>
      </w:r>
      <w:r w:rsidRPr="00895D0B">
        <w:rPr>
          <w:rFonts w:cs="Times New Roman"/>
          <w:i/>
          <w:iCs/>
          <w:noProof/>
          <w:color w:val="000000" w:themeColor="text1"/>
          <w:szCs w:val="24"/>
        </w:rPr>
        <w:t>33</w:t>
      </w:r>
      <w:r w:rsidRPr="00895D0B">
        <w:rPr>
          <w:rFonts w:cs="Times New Roman"/>
          <w:noProof/>
          <w:color w:val="000000" w:themeColor="text1"/>
          <w:szCs w:val="24"/>
        </w:rPr>
        <w:t>, 41–44. https://edepot.wur.nl/448784</w:t>
      </w:r>
    </w:p>
    <w:p w14:paraId="1D27F79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Ferreira, A. J. D., Guilherme, R., Ferreira, C. s. s., &amp; Oliveira, M. F. L. (2018). </w:t>
      </w:r>
      <w:r w:rsidRPr="00895D0B">
        <w:rPr>
          <w:rFonts w:cs="Times New Roman"/>
          <w:i/>
          <w:iCs/>
          <w:noProof/>
          <w:color w:val="000000" w:themeColor="text1"/>
          <w:szCs w:val="24"/>
        </w:rPr>
        <w:t>Urban agriculture, a tool towards more resilient urban communities ?</w:t>
      </w:r>
      <w:r w:rsidRPr="00895D0B">
        <w:rPr>
          <w:rFonts w:cs="Times New Roman"/>
          <w:noProof/>
          <w:color w:val="000000" w:themeColor="text1"/>
          <w:szCs w:val="24"/>
        </w:rPr>
        <w:t xml:space="preserve"> https://doi.org/10.1016/j.coesh.2018.06.004.This</w:t>
      </w:r>
    </w:p>
    <w:p w14:paraId="2153117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Ferreira, A. J. D., Guilherme, R. I., Mendes, M., Ferreira, C. S. S., &amp; Oliveira, M. F. M. L. (2018). Urban agriculture, a tool towards more resilient urban communities? </w:t>
      </w:r>
      <w:r w:rsidRPr="00895D0B">
        <w:rPr>
          <w:rFonts w:cs="Times New Roman"/>
          <w:i/>
          <w:iCs/>
          <w:noProof/>
          <w:color w:val="000000" w:themeColor="text1"/>
          <w:szCs w:val="24"/>
        </w:rPr>
        <w:t>Current Opinion in Environmental Science and Health</w:t>
      </w:r>
      <w:r w:rsidRPr="00895D0B">
        <w:rPr>
          <w:rFonts w:cs="Times New Roman"/>
          <w:noProof/>
          <w:color w:val="000000" w:themeColor="text1"/>
          <w:szCs w:val="24"/>
        </w:rPr>
        <w:t xml:space="preserve">, </w:t>
      </w:r>
      <w:r w:rsidRPr="00895D0B">
        <w:rPr>
          <w:rFonts w:cs="Times New Roman"/>
          <w:i/>
          <w:iCs/>
          <w:noProof/>
          <w:color w:val="000000" w:themeColor="text1"/>
          <w:szCs w:val="24"/>
        </w:rPr>
        <w:t>5</w:t>
      </w:r>
      <w:r w:rsidRPr="00895D0B">
        <w:rPr>
          <w:rFonts w:cs="Times New Roman"/>
          <w:noProof/>
          <w:color w:val="000000" w:themeColor="text1"/>
          <w:szCs w:val="24"/>
        </w:rPr>
        <w:t>, 93–97. https://doi.org/10.1016/j.coesh.2018.06.004</w:t>
      </w:r>
    </w:p>
    <w:p w14:paraId="0AD1A407"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Fijn, L. B., Josef van der Staay, F., Goerlich-Jansson, V. C., &amp; Arndt, S. S. (2020). Importance of basic research on the causes of feather pecking in relation to welfare. </w:t>
      </w:r>
      <w:r w:rsidRPr="00895D0B">
        <w:rPr>
          <w:rFonts w:cs="Times New Roman"/>
          <w:i/>
          <w:iCs/>
          <w:noProof/>
          <w:color w:val="000000" w:themeColor="text1"/>
          <w:szCs w:val="24"/>
        </w:rPr>
        <w:t>Animals</w:t>
      </w:r>
      <w:r w:rsidRPr="00895D0B">
        <w:rPr>
          <w:rFonts w:cs="Times New Roman"/>
          <w:noProof/>
          <w:color w:val="000000" w:themeColor="text1"/>
          <w:szCs w:val="24"/>
        </w:rPr>
        <w:t xml:space="preserve">, </w:t>
      </w:r>
      <w:r w:rsidRPr="00895D0B">
        <w:rPr>
          <w:rFonts w:cs="Times New Roman"/>
          <w:i/>
          <w:iCs/>
          <w:noProof/>
          <w:color w:val="000000" w:themeColor="text1"/>
          <w:szCs w:val="24"/>
        </w:rPr>
        <w:t>10</w:t>
      </w:r>
      <w:r w:rsidRPr="00895D0B">
        <w:rPr>
          <w:rFonts w:cs="Times New Roman"/>
          <w:noProof/>
          <w:color w:val="000000" w:themeColor="text1"/>
          <w:szCs w:val="24"/>
        </w:rPr>
        <w:t>(2), 1–14. https://doi.org/10.3390/ani10020213</w:t>
      </w:r>
    </w:p>
    <w:p w14:paraId="1A8FE943" w14:textId="77777777" w:rsidR="002E3CD6" w:rsidRDefault="002E3CD6"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4656FCE1" w14:textId="77777777" w:rsidR="002E3CD6" w:rsidRPr="00895D0B" w:rsidRDefault="002E3CD6"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278E50F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Folitse, B. Y., Sam, J., Dzandu, L. P., &amp; Osei, S. K. (2018). Poultry Farmers’ Information Needs and Sources in Selected Rural Communities in the Greater Accra Region, Ghana. </w:t>
      </w:r>
      <w:r w:rsidRPr="00895D0B">
        <w:rPr>
          <w:rFonts w:cs="Times New Roman"/>
          <w:i/>
          <w:iCs/>
          <w:noProof/>
          <w:color w:val="000000" w:themeColor="text1"/>
          <w:szCs w:val="24"/>
        </w:rPr>
        <w:t>International Information and Library Review</w:t>
      </w:r>
      <w:r w:rsidRPr="00895D0B">
        <w:rPr>
          <w:rFonts w:cs="Times New Roman"/>
          <w:noProof/>
          <w:color w:val="000000" w:themeColor="text1"/>
          <w:szCs w:val="24"/>
        </w:rPr>
        <w:t xml:space="preserve">, </w:t>
      </w:r>
      <w:r w:rsidRPr="00895D0B">
        <w:rPr>
          <w:rFonts w:cs="Times New Roman"/>
          <w:i/>
          <w:iCs/>
          <w:noProof/>
          <w:color w:val="000000" w:themeColor="text1"/>
          <w:szCs w:val="24"/>
        </w:rPr>
        <w:t>50</w:t>
      </w:r>
      <w:r w:rsidRPr="00895D0B">
        <w:rPr>
          <w:rFonts w:cs="Times New Roman"/>
          <w:noProof/>
          <w:color w:val="000000" w:themeColor="text1"/>
          <w:szCs w:val="24"/>
        </w:rPr>
        <w:t>(1), 1–12. https://doi.org/10.1080/10572317.2017.1351020</w:t>
      </w:r>
    </w:p>
    <w:p w14:paraId="19C43AC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Frost, J., Wingham, J., Britten, N., Greaves, C., Abraham, C., Warren, F. C., Dalal, H., &amp; Taylor, R. S. (2020). The value of social practice theory for implementation science: Learning from a theory-based mixed methods process evaluation of a randomised controlled trial. </w:t>
      </w:r>
      <w:r w:rsidRPr="00895D0B">
        <w:rPr>
          <w:rFonts w:cs="Times New Roman"/>
          <w:i/>
          <w:iCs/>
          <w:noProof/>
          <w:color w:val="000000" w:themeColor="text1"/>
          <w:szCs w:val="24"/>
        </w:rPr>
        <w:t>BMC Medical Research Methodology</w:t>
      </w:r>
      <w:r w:rsidRPr="00895D0B">
        <w:rPr>
          <w:rFonts w:cs="Times New Roman"/>
          <w:noProof/>
          <w:color w:val="000000" w:themeColor="text1"/>
          <w:szCs w:val="24"/>
        </w:rPr>
        <w:t xml:space="preserve">, </w:t>
      </w:r>
      <w:r w:rsidRPr="00895D0B">
        <w:rPr>
          <w:rFonts w:cs="Times New Roman"/>
          <w:i/>
          <w:iCs/>
          <w:noProof/>
          <w:color w:val="000000" w:themeColor="text1"/>
          <w:szCs w:val="24"/>
        </w:rPr>
        <w:t>20</w:t>
      </w:r>
      <w:r w:rsidRPr="00895D0B">
        <w:rPr>
          <w:rFonts w:cs="Times New Roman"/>
          <w:noProof/>
          <w:color w:val="000000" w:themeColor="text1"/>
          <w:szCs w:val="24"/>
        </w:rPr>
        <w:t>(1), 1–14. https://doi.org/10.1186/s12874-020-01060-5</w:t>
      </w:r>
    </w:p>
    <w:p w14:paraId="1810404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Garber, J. C., Barbee, R. W., Bielitzki, J. T., Clayton, L. A., Donovan, J. C., Hendriksen, C. F. M., Kohn, D. F., Lipman, N. S., Locke, P. A., Melcher, J., Quimby, F. W., Turner, P. V., Wood, G. A., &amp; Wurbel, H. (2011). </w:t>
      </w:r>
      <w:r w:rsidRPr="00895D0B">
        <w:rPr>
          <w:rFonts w:cs="Times New Roman"/>
          <w:i/>
          <w:iCs/>
          <w:noProof/>
          <w:color w:val="000000" w:themeColor="text1"/>
          <w:szCs w:val="24"/>
        </w:rPr>
        <w:t>Guide for the care and use of labooraatory Animals</w:t>
      </w:r>
      <w:r w:rsidRPr="00895D0B">
        <w:rPr>
          <w:rFonts w:cs="Times New Roman"/>
          <w:noProof/>
          <w:color w:val="000000" w:themeColor="text1"/>
          <w:szCs w:val="24"/>
        </w:rPr>
        <w:t xml:space="preserve"> (Eighth Edi). The National Academies Press, Washington, D.C.</w:t>
      </w:r>
    </w:p>
    <w:p w14:paraId="427EEF6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Gaughan, J. B., Sejian, V., Mader, T. L., &amp; Dunshea, F. R. (2019). </w:t>
      </w:r>
      <w:r w:rsidRPr="00895D0B">
        <w:rPr>
          <w:rFonts w:cs="Times New Roman"/>
          <w:i/>
          <w:iCs/>
          <w:noProof/>
          <w:color w:val="000000" w:themeColor="text1"/>
          <w:szCs w:val="24"/>
        </w:rPr>
        <w:t>Adaptation strategies : ruminants</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(1). https://doi.org/10.1093/af/vfy029</w:t>
      </w:r>
    </w:p>
    <w:p w14:paraId="1AB26BA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Geng, Y., &amp; Zhang, H. (2021). Coordinated Interactions of Sustainable Urbanization Dimensions: Case Study in Hunan, China. </w:t>
      </w:r>
      <w:r w:rsidRPr="00895D0B">
        <w:rPr>
          <w:rFonts w:cs="Times New Roman"/>
          <w:i/>
          <w:iCs/>
          <w:noProof/>
          <w:color w:val="000000" w:themeColor="text1"/>
          <w:szCs w:val="24"/>
        </w:rPr>
        <w:t>SAGE Open</w:t>
      </w:r>
      <w:r w:rsidRPr="00895D0B">
        <w:rPr>
          <w:rFonts w:cs="Times New Roman"/>
          <w:noProof/>
          <w:color w:val="000000" w:themeColor="text1"/>
          <w:szCs w:val="24"/>
        </w:rPr>
        <w:t xml:space="preserve">, </w:t>
      </w:r>
      <w:r w:rsidRPr="00895D0B">
        <w:rPr>
          <w:rFonts w:cs="Times New Roman"/>
          <w:i/>
          <w:iCs/>
          <w:noProof/>
          <w:color w:val="000000" w:themeColor="text1"/>
          <w:szCs w:val="24"/>
        </w:rPr>
        <w:t>11</w:t>
      </w:r>
      <w:r w:rsidRPr="00895D0B">
        <w:rPr>
          <w:rFonts w:cs="Times New Roman"/>
          <w:noProof/>
          <w:color w:val="000000" w:themeColor="text1"/>
          <w:szCs w:val="24"/>
        </w:rPr>
        <w:t>(2). https://doi.org/10.1177/21582440211009198</w:t>
      </w:r>
    </w:p>
    <w:p w14:paraId="49D8B27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Geyer, H. (2023). The self-regulation of informal land uses and tenure through customary land management systems. </w:t>
      </w:r>
      <w:r w:rsidRPr="00895D0B">
        <w:rPr>
          <w:rFonts w:cs="Times New Roman"/>
          <w:i/>
          <w:iCs/>
          <w:noProof/>
          <w:color w:val="000000" w:themeColor="text1"/>
          <w:szCs w:val="24"/>
        </w:rPr>
        <w:t>International Development Planning Review</w:t>
      </w:r>
      <w:r w:rsidRPr="00895D0B">
        <w:rPr>
          <w:rFonts w:cs="Times New Roman"/>
          <w:noProof/>
          <w:color w:val="000000" w:themeColor="text1"/>
          <w:szCs w:val="24"/>
        </w:rPr>
        <w:t xml:space="preserve">, </w:t>
      </w:r>
      <w:r w:rsidRPr="00895D0B">
        <w:rPr>
          <w:rFonts w:cs="Times New Roman"/>
          <w:i/>
          <w:iCs/>
          <w:noProof/>
          <w:color w:val="000000" w:themeColor="text1"/>
          <w:szCs w:val="24"/>
        </w:rPr>
        <w:t>45</w:t>
      </w:r>
      <w:r w:rsidRPr="00895D0B">
        <w:rPr>
          <w:rFonts w:cs="Times New Roman"/>
          <w:noProof/>
          <w:color w:val="000000" w:themeColor="text1"/>
          <w:szCs w:val="24"/>
        </w:rPr>
        <w:t>(3), 321–343. https://doi.org/10.3828/idpr.2023.3</w:t>
      </w:r>
    </w:p>
    <w:p w14:paraId="1943866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ACTS OF GHANA, 1960 (2003).</w:t>
      </w:r>
    </w:p>
    <w:p w14:paraId="4E87EAF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Ghana Statistical Service. (2021). </w:t>
      </w:r>
      <w:r w:rsidRPr="00895D0B">
        <w:rPr>
          <w:rFonts w:cs="Times New Roman"/>
          <w:i/>
          <w:iCs/>
          <w:noProof/>
          <w:color w:val="000000" w:themeColor="text1"/>
          <w:szCs w:val="24"/>
        </w:rPr>
        <w:t>Ghana 2021 Population and Housing Census General Report</w:t>
      </w:r>
      <w:r w:rsidRPr="00895D0B">
        <w:rPr>
          <w:rFonts w:cs="Times New Roman"/>
          <w:noProof/>
          <w:color w:val="000000" w:themeColor="text1"/>
          <w:szCs w:val="24"/>
        </w:rPr>
        <w:t>.</w:t>
      </w:r>
    </w:p>
    <w:p w14:paraId="4F4E05D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Gioia, D. A., Corley, K. G., &amp; Hamilton, A. L. (2013). Seeking Qualitative Rigor in Inductive Research: Notes on the Gioia Methodology. </w:t>
      </w:r>
      <w:r w:rsidRPr="00895D0B">
        <w:rPr>
          <w:rFonts w:cs="Times New Roman"/>
          <w:i/>
          <w:iCs/>
          <w:noProof/>
          <w:color w:val="000000" w:themeColor="text1"/>
          <w:szCs w:val="24"/>
        </w:rPr>
        <w:t>Organizational Research Methods</w:t>
      </w:r>
      <w:r w:rsidRPr="00895D0B">
        <w:rPr>
          <w:rFonts w:cs="Times New Roman"/>
          <w:noProof/>
          <w:color w:val="000000" w:themeColor="text1"/>
          <w:szCs w:val="24"/>
        </w:rPr>
        <w:t xml:space="preserve">, </w:t>
      </w:r>
      <w:r w:rsidRPr="00895D0B">
        <w:rPr>
          <w:rFonts w:cs="Times New Roman"/>
          <w:i/>
          <w:iCs/>
          <w:noProof/>
          <w:color w:val="000000" w:themeColor="text1"/>
          <w:szCs w:val="24"/>
        </w:rPr>
        <w:t>16</w:t>
      </w:r>
      <w:r w:rsidRPr="00895D0B">
        <w:rPr>
          <w:rFonts w:cs="Times New Roman"/>
          <w:noProof/>
          <w:color w:val="000000" w:themeColor="text1"/>
          <w:szCs w:val="24"/>
        </w:rPr>
        <w:t>(1), 15–31. https://doi.org/10.1177/1094428112452151</w:t>
      </w:r>
    </w:p>
    <w:p w14:paraId="7F43939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Goldman, M. (2018). </w:t>
      </w:r>
      <w:r w:rsidRPr="00895D0B">
        <w:rPr>
          <w:rFonts w:cs="Times New Roman"/>
          <w:i/>
          <w:iCs/>
          <w:noProof/>
          <w:color w:val="000000" w:themeColor="text1"/>
          <w:szCs w:val="24"/>
        </w:rPr>
        <w:t>A critical political ecology of human dimensions of climate change : Epistemology , ontology , and ethics change : Epistemology , ontology , and ethics</w:t>
      </w:r>
      <w:r w:rsidRPr="00895D0B">
        <w:rPr>
          <w:rFonts w:cs="Times New Roman"/>
          <w:noProof/>
          <w:color w:val="000000" w:themeColor="text1"/>
          <w:szCs w:val="24"/>
        </w:rPr>
        <w:t>. https://doi.org/10.1002/wcc.526</w:t>
      </w:r>
    </w:p>
    <w:p w14:paraId="5E833EA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Gómez-Villarino, M. T., Urquijo, J., Gómez Villarino, M., &amp; García, A. I. (2021). Key insights of urban agriculture for sustainable urban development. </w:t>
      </w:r>
      <w:r w:rsidRPr="00895D0B">
        <w:rPr>
          <w:rFonts w:cs="Times New Roman"/>
          <w:i/>
          <w:iCs/>
          <w:noProof/>
          <w:color w:val="000000" w:themeColor="text1"/>
          <w:szCs w:val="24"/>
        </w:rPr>
        <w:t>Agroecology and Sustainable Food Systems</w:t>
      </w:r>
      <w:r w:rsidRPr="00895D0B">
        <w:rPr>
          <w:rFonts w:cs="Times New Roman"/>
          <w:noProof/>
          <w:color w:val="000000" w:themeColor="text1"/>
          <w:szCs w:val="24"/>
        </w:rPr>
        <w:t xml:space="preserve">, </w:t>
      </w:r>
      <w:r w:rsidRPr="00895D0B">
        <w:rPr>
          <w:rFonts w:cs="Times New Roman"/>
          <w:i/>
          <w:iCs/>
          <w:noProof/>
          <w:color w:val="000000" w:themeColor="text1"/>
          <w:szCs w:val="24"/>
        </w:rPr>
        <w:t>45</w:t>
      </w:r>
      <w:r w:rsidRPr="00895D0B">
        <w:rPr>
          <w:rFonts w:cs="Times New Roman"/>
          <w:noProof/>
          <w:color w:val="000000" w:themeColor="text1"/>
          <w:szCs w:val="24"/>
        </w:rPr>
        <w:t>(10), 1441–1469. https://doi.org/10.1080/21683565.2021.1917471</w:t>
      </w:r>
    </w:p>
    <w:p w14:paraId="6C06C11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Gong, T. C., Battese, G. E., &amp; Villano, R. A. (2019). Family farms plus cooperatives in China: Technical efficiency in crop production. </w:t>
      </w:r>
      <w:r w:rsidRPr="00895D0B">
        <w:rPr>
          <w:rFonts w:cs="Times New Roman"/>
          <w:i/>
          <w:iCs/>
          <w:noProof/>
          <w:color w:val="000000" w:themeColor="text1"/>
          <w:szCs w:val="24"/>
        </w:rPr>
        <w:t>Journal of Asian Economics</w:t>
      </w:r>
      <w:r w:rsidRPr="00895D0B">
        <w:rPr>
          <w:rFonts w:cs="Times New Roman"/>
          <w:noProof/>
          <w:color w:val="000000" w:themeColor="text1"/>
          <w:szCs w:val="24"/>
        </w:rPr>
        <w:t xml:space="preserve">, </w:t>
      </w:r>
      <w:r w:rsidRPr="00895D0B">
        <w:rPr>
          <w:rFonts w:cs="Times New Roman"/>
          <w:i/>
          <w:iCs/>
          <w:noProof/>
          <w:color w:val="000000" w:themeColor="text1"/>
          <w:szCs w:val="24"/>
        </w:rPr>
        <w:t>64</w:t>
      </w:r>
      <w:r w:rsidRPr="00895D0B">
        <w:rPr>
          <w:rFonts w:cs="Times New Roman"/>
          <w:noProof/>
          <w:color w:val="000000" w:themeColor="text1"/>
          <w:szCs w:val="24"/>
        </w:rPr>
        <w:t>, 101129. https://doi.org/10.1016/j.asieco.2019.07.002</w:t>
      </w:r>
    </w:p>
    <w:p w14:paraId="5A29787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Grebitus, C., Printezis, I., &amp; Printezis, A. (2017). Relationship between Consumer Behavior and Success of Urban Agriculture. </w:t>
      </w:r>
      <w:r w:rsidRPr="00895D0B">
        <w:rPr>
          <w:rFonts w:cs="Times New Roman"/>
          <w:i/>
          <w:iCs/>
          <w:noProof/>
          <w:color w:val="000000" w:themeColor="text1"/>
          <w:szCs w:val="24"/>
        </w:rPr>
        <w:t>Ecological Economics</w:t>
      </w:r>
      <w:r w:rsidRPr="00895D0B">
        <w:rPr>
          <w:rFonts w:cs="Times New Roman"/>
          <w:noProof/>
          <w:color w:val="000000" w:themeColor="text1"/>
          <w:szCs w:val="24"/>
        </w:rPr>
        <w:t xml:space="preserve">, </w:t>
      </w:r>
      <w:r w:rsidRPr="00895D0B">
        <w:rPr>
          <w:rFonts w:cs="Times New Roman"/>
          <w:i/>
          <w:iCs/>
          <w:noProof/>
          <w:color w:val="000000" w:themeColor="text1"/>
          <w:szCs w:val="24"/>
        </w:rPr>
        <w:t>136</w:t>
      </w:r>
      <w:r w:rsidRPr="00895D0B">
        <w:rPr>
          <w:rFonts w:cs="Times New Roman"/>
          <w:noProof/>
          <w:color w:val="000000" w:themeColor="text1"/>
          <w:szCs w:val="24"/>
        </w:rPr>
        <w:t>, 189–200. https://doi.org/10.1016/j.ecolecon.2017.02.010</w:t>
      </w:r>
    </w:p>
    <w:p w14:paraId="03FEB48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Gruber, T. (2015). </w:t>
      </w:r>
      <w:r w:rsidRPr="00895D0B">
        <w:rPr>
          <w:rFonts w:cs="Times New Roman"/>
          <w:i/>
          <w:iCs/>
          <w:noProof/>
          <w:color w:val="000000" w:themeColor="text1"/>
          <w:szCs w:val="24"/>
        </w:rPr>
        <w:t>What is an Ontology ? A collation by paulquek Adapted</w:t>
      </w:r>
      <w:r w:rsidRPr="00895D0B">
        <w:rPr>
          <w:rFonts w:cs="Times New Roman"/>
          <w:noProof/>
          <w:color w:val="000000" w:themeColor="text1"/>
          <w:szCs w:val="24"/>
        </w:rPr>
        <w:t xml:space="preserve"> (pp. 1–11).</w:t>
      </w:r>
    </w:p>
    <w:p w14:paraId="5D5FCC2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Gujarati, D. N., &amp; Porter, D. C. (2013). </w:t>
      </w:r>
      <w:r w:rsidRPr="00895D0B">
        <w:rPr>
          <w:rFonts w:cs="Times New Roman"/>
          <w:i/>
          <w:iCs/>
          <w:noProof/>
          <w:color w:val="000000" w:themeColor="text1"/>
          <w:szCs w:val="24"/>
        </w:rPr>
        <w:t>Basic Econometrics</w:t>
      </w:r>
      <w:r w:rsidRPr="00895D0B">
        <w:rPr>
          <w:rFonts w:cs="Times New Roman"/>
          <w:noProof/>
          <w:color w:val="000000" w:themeColor="text1"/>
          <w:szCs w:val="24"/>
        </w:rPr>
        <w:t xml:space="preserve"> (Fifth Edit). McGraw-Hill Irwin.</w:t>
      </w:r>
    </w:p>
    <w:p w14:paraId="3F2891D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Gul, A., &amp; Türke, H. B. (2022). </w:t>
      </w:r>
      <w:r w:rsidRPr="00895D0B">
        <w:rPr>
          <w:rFonts w:cs="Times New Roman"/>
          <w:i/>
          <w:iCs/>
          <w:noProof/>
          <w:color w:val="000000" w:themeColor="text1"/>
          <w:szCs w:val="24"/>
        </w:rPr>
        <w:t>Architectural-Sciences-and-Urban-Agriculture</w:t>
      </w:r>
      <w:r w:rsidRPr="00895D0B">
        <w:rPr>
          <w:rFonts w:cs="Times New Roman"/>
          <w:noProof/>
          <w:color w:val="000000" w:themeColor="text1"/>
          <w:szCs w:val="24"/>
        </w:rPr>
        <w:t xml:space="preserve"> (Issue December). Iksad Publications – 2022© Architectural.</w:t>
      </w:r>
    </w:p>
    <w:p w14:paraId="1270E25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Gulyas, B. Z., &amp; Edmondson, J. L. (2021). Increasing city resilience through urban agriculture: Challenges and solutions in the global north. </w:t>
      </w:r>
      <w:r w:rsidRPr="00895D0B">
        <w:rPr>
          <w:rFonts w:cs="Times New Roman"/>
          <w:i/>
          <w:iCs/>
          <w:noProof/>
          <w:color w:val="000000" w:themeColor="text1"/>
          <w:szCs w:val="24"/>
        </w:rPr>
        <w:t>Sustainability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13</w:t>
      </w:r>
      <w:r w:rsidRPr="00895D0B">
        <w:rPr>
          <w:rFonts w:cs="Times New Roman"/>
          <w:noProof/>
          <w:color w:val="000000" w:themeColor="text1"/>
          <w:szCs w:val="24"/>
        </w:rPr>
        <w:t>(3), 1–19. https://doi.org/10.3390/su13031465</w:t>
      </w:r>
    </w:p>
    <w:p w14:paraId="0FA804A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Gwan, A. S., &amp; Kimengsi, J. N. (2020). Urban expansion and the dynamics of farmers’ livelihoods: Evidence from bamenda, cameroon. </w:t>
      </w:r>
      <w:r w:rsidRPr="00895D0B">
        <w:rPr>
          <w:rFonts w:cs="Times New Roman"/>
          <w:i/>
          <w:iCs/>
          <w:noProof/>
          <w:color w:val="000000" w:themeColor="text1"/>
          <w:szCs w:val="24"/>
        </w:rPr>
        <w:t>Sustainability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12</w:t>
      </w:r>
      <w:r w:rsidRPr="00895D0B">
        <w:rPr>
          <w:rFonts w:cs="Times New Roman"/>
          <w:noProof/>
          <w:color w:val="000000" w:themeColor="text1"/>
          <w:szCs w:val="24"/>
        </w:rPr>
        <w:t>(14), 1–19. https://doi.org/10.3390/su12145788</w:t>
      </w:r>
    </w:p>
    <w:p w14:paraId="3BC6C3AC"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Hallegatte, S., Rentschler, J., &amp; Rentschler, J. (2020). </w:t>
      </w:r>
      <w:r w:rsidRPr="00895D0B">
        <w:rPr>
          <w:rFonts w:cs="Times New Roman"/>
          <w:i/>
          <w:iCs/>
          <w:noProof/>
          <w:color w:val="000000" w:themeColor="text1"/>
          <w:szCs w:val="24"/>
        </w:rPr>
        <w:t>The Adaptation Principles; A Guide for Designing Strategies for Climate Change Adaptation and Resilience</w:t>
      </w:r>
      <w:r w:rsidRPr="00895D0B">
        <w:rPr>
          <w:rFonts w:cs="Times New Roman"/>
          <w:noProof/>
          <w:color w:val="000000" w:themeColor="text1"/>
          <w:szCs w:val="24"/>
        </w:rPr>
        <w:t>.</w:t>
      </w:r>
    </w:p>
    <w:p w14:paraId="59D4B4FB" w14:textId="77777777" w:rsidR="002E3CD6" w:rsidRPr="00895D0B" w:rsidRDefault="002E3CD6"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534D6AE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Halvey, M. R., Santo, R. E., Lupolt, S. N., Dilka, T. J., Kim, B. F., Bachman, G. H., Clark, J. K., &amp; Nachman, K. E. (2020). Beyond backyard chickens: A framework for understanding municipal urban agriculture policies in the United States. </w:t>
      </w:r>
      <w:r w:rsidRPr="00895D0B">
        <w:rPr>
          <w:rFonts w:cs="Times New Roman"/>
          <w:i/>
          <w:iCs/>
          <w:noProof/>
          <w:color w:val="000000" w:themeColor="text1"/>
          <w:szCs w:val="24"/>
        </w:rPr>
        <w:t>Food Policy</w:t>
      </w:r>
      <w:r w:rsidRPr="00895D0B">
        <w:rPr>
          <w:rFonts w:cs="Times New Roman"/>
          <w:noProof/>
          <w:color w:val="000000" w:themeColor="text1"/>
          <w:szCs w:val="24"/>
        </w:rPr>
        <w:t xml:space="preserve">, </w:t>
      </w:r>
      <w:r w:rsidRPr="00895D0B">
        <w:rPr>
          <w:rFonts w:cs="Times New Roman"/>
          <w:i/>
          <w:iCs/>
          <w:noProof/>
          <w:color w:val="000000" w:themeColor="text1"/>
          <w:szCs w:val="24"/>
        </w:rPr>
        <w:t>103</w:t>
      </w:r>
      <w:r w:rsidRPr="00895D0B">
        <w:rPr>
          <w:rFonts w:cs="Times New Roman"/>
          <w:noProof/>
          <w:color w:val="000000" w:themeColor="text1"/>
          <w:szCs w:val="24"/>
        </w:rPr>
        <w:t>(July), 102013. https://doi.org/10.1016/j.foodpol.2020.102013</w:t>
      </w:r>
    </w:p>
    <w:p w14:paraId="5C0A524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Halvey, M. R., Santo, R. E., Lupolt, S. N., Dilka, T. J., Kim, B. F., Bachman, G. H., Clark, J. K., &amp; Nachman, K. E. (2021). Beyond backyard chickens: A framework for understanding municipal urban agriculture policies in the United States. </w:t>
      </w:r>
      <w:r w:rsidRPr="00895D0B">
        <w:rPr>
          <w:rFonts w:cs="Times New Roman"/>
          <w:i/>
          <w:iCs/>
          <w:noProof/>
          <w:color w:val="000000" w:themeColor="text1"/>
          <w:szCs w:val="24"/>
        </w:rPr>
        <w:t>Food Policy</w:t>
      </w:r>
      <w:r w:rsidRPr="00895D0B">
        <w:rPr>
          <w:rFonts w:cs="Times New Roman"/>
          <w:noProof/>
          <w:color w:val="000000" w:themeColor="text1"/>
          <w:szCs w:val="24"/>
        </w:rPr>
        <w:t xml:space="preserve">, </w:t>
      </w:r>
      <w:r w:rsidRPr="00895D0B">
        <w:rPr>
          <w:rFonts w:cs="Times New Roman"/>
          <w:i/>
          <w:iCs/>
          <w:noProof/>
          <w:color w:val="000000" w:themeColor="text1"/>
          <w:szCs w:val="24"/>
        </w:rPr>
        <w:t>103</w:t>
      </w:r>
      <w:r w:rsidRPr="00895D0B">
        <w:rPr>
          <w:rFonts w:cs="Times New Roman"/>
          <w:noProof/>
          <w:color w:val="000000" w:themeColor="text1"/>
          <w:szCs w:val="24"/>
        </w:rPr>
        <w:t>(July 2020), 102013. https://doi.org/10.1016/j.foodpol.2020.102013</w:t>
      </w:r>
    </w:p>
    <w:p w14:paraId="1303DA3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Hargreaves, T. (2011). Practice-ing behaviour change: Applying social practice theory to pro-environmental behaviour change. </w:t>
      </w:r>
      <w:r w:rsidRPr="00895D0B">
        <w:rPr>
          <w:rFonts w:cs="Times New Roman"/>
          <w:i/>
          <w:iCs/>
          <w:noProof/>
          <w:color w:val="000000" w:themeColor="text1"/>
          <w:szCs w:val="24"/>
        </w:rPr>
        <w:t>Journal of Consumer Culture</w:t>
      </w:r>
      <w:r w:rsidRPr="00895D0B">
        <w:rPr>
          <w:rFonts w:cs="Times New Roman"/>
          <w:noProof/>
          <w:color w:val="000000" w:themeColor="text1"/>
          <w:szCs w:val="24"/>
        </w:rPr>
        <w:t xml:space="preserve">, </w:t>
      </w:r>
      <w:r w:rsidRPr="00895D0B">
        <w:rPr>
          <w:rFonts w:cs="Times New Roman"/>
          <w:i/>
          <w:iCs/>
          <w:noProof/>
          <w:color w:val="000000" w:themeColor="text1"/>
          <w:szCs w:val="24"/>
        </w:rPr>
        <w:t>11</w:t>
      </w:r>
      <w:r w:rsidRPr="00895D0B">
        <w:rPr>
          <w:rFonts w:cs="Times New Roman"/>
          <w:noProof/>
          <w:color w:val="000000" w:themeColor="text1"/>
          <w:szCs w:val="24"/>
        </w:rPr>
        <w:t>(1), 79–99. https://doi.org/10.1177/1469540510390500</w:t>
      </w:r>
    </w:p>
    <w:p w14:paraId="15D6669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Harris, R. (2018). Modes of Informal Urban Development: A Global Phenomenon. </w:t>
      </w:r>
      <w:r w:rsidRPr="00895D0B">
        <w:rPr>
          <w:rFonts w:cs="Times New Roman"/>
          <w:i/>
          <w:iCs/>
          <w:noProof/>
          <w:color w:val="000000" w:themeColor="text1"/>
          <w:szCs w:val="24"/>
        </w:rPr>
        <w:t>Journal of Planning Literature</w:t>
      </w:r>
      <w:r w:rsidRPr="00895D0B">
        <w:rPr>
          <w:rFonts w:cs="Times New Roman"/>
          <w:noProof/>
          <w:color w:val="000000" w:themeColor="text1"/>
          <w:szCs w:val="24"/>
        </w:rPr>
        <w:t xml:space="preserve">, </w:t>
      </w:r>
      <w:r w:rsidRPr="00895D0B">
        <w:rPr>
          <w:rFonts w:cs="Times New Roman"/>
          <w:i/>
          <w:iCs/>
          <w:noProof/>
          <w:color w:val="000000" w:themeColor="text1"/>
          <w:szCs w:val="24"/>
        </w:rPr>
        <w:t>33</w:t>
      </w:r>
      <w:r w:rsidRPr="00895D0B">
        <w:rPr>
          <w:rFonts w:cs="Times New Roman"/>
          <w:noProof/>
          <w:color w:val="000000" w:themeColor="text1"/>
          <w:szCs w:val="24"/>
        </w:rPr>
        <w:t>(3), 267–286. https://doi.org/10.1177/0885412217737340</w:t>
      </w:r>
    </w:p>
    <w:p w14:paraId="5D29773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Hartmann, B. J. (2011). </w:t>
      </w:r>
      <w:r w:rsidRPr="00895D0B">
        <w:rPr>
          <w:rFonts w:cs="Times New Roman"/>
          <w:i/>
          <w:iCs/>
          <w:noProof/>
          <w:color w:val="000000" w:themeColor="text1"/>
          <w:szCs w:val="24"/>
        </w:rPr>
        <w:t>Practice Consumption and Value Creation :</w:t>
      </w:r>
      <w:r w:rsidRPr="00895D0B">
        <w:rPr>
          <w:rFonts w:cs="Times New Roman"/>
          <w:noProof/>
          <w:color w:val="000000" w:themeColor="text1"/>
          <w:szCs w:val="24"/>
        </w:rPr>
        <w:t xml:space="preserve"> </w:t>
      </w:r>
      <w:r w:rsidRPr="00895D0B">
        <w:rPr>
          <w:rFonts w:cs="Times New Roman"/>
          <w:i/>
          <w:iCs/>
          <w:noProof/>
          <w:color w:val="000000" w:themeColor="text1"/>
          <w:szCs w:val="24"/>
        </w:rPr>
        <w:t>39</w:t>
      </w:r>
      <w:r w:rsidRPr="00895D0B">
        <w:rPr>
          <w:rFonts w:cs="Times New Roman"/>
          <w:noProof/>
          <w:color w:val="000000" w:themeColor="text1"/>
          <w:szCs w:val="24"/>
        </w:rPr>
        <w:t>, 519–520.</w:t>
      </w:r>
    </w:p>
    <w:p w14:paraId="1ACEFE6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Harwood, R. R. (2020). A history of sustainable agriculture. In </w:t>
      </w:r>
      <w:r w:rsidRPr="00895D0B">
        <w:rPr>
          <w:rFonts w:cs="Times New Roman"/>
          <w:i/>
          <w:iCs/>
          <w:noProof/>
          <w:color w:val="000000" w:themeColor="text1"/>
          <w:szCs w:val="24"/>
        </w:rPr>
        <w:t>Sustainable agricultural systems</w:t>
      </w:r>
      <w:r w:rsidRPr="00895D0B">
        <w:rPr>
          <w:rFonts w:cs="Times New Roman"/>
          <w:noProof/>
          <w:color w:val="000000" w:themeColor="text1"/>
          <w:szCs w:val="24"/>
        </w:rPr>
        <w:t xml:space="preserve"> (third). https://doi.org/10.1201/9781003070474-2</w:t>
      </w:r>
    </w:p>
    <w:p w14:paraId="120185B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Havlin, J., &amp; Heiniger, R. (2020). Soil Fertility Management for Sustainable Crop Production. </w:t>
      </w:r>
      <w:r w:rsidRPr="00895D0B">
        <w:rPr>
          <w:rFonts w:cs="Times New Roman"/>
          <w:i/>
          <w:iCs/>
          <w:noProof/>
          <w:color w:val="000000" w:themeColor="text1"/>
          <w:szCs w:val="24"/>
        </w:rPr>
        <w:t>Agronomy</w:t>
      </w:r>
      <w:r w:rsidRPr="00895D0B">
        <w:rPr>
          <w:rFonts w:cs="Times New Roman"/>
          <w:noProof/>
          <w:color w:val="000000" w:themeColor="text1"/>
          <w:szCs w:val="24"/>
        </w:rPr>
        <w:t xml:space="preserve">, </w:t>
      </w:r>
      <w:r w:rsidRPr="00895D0B">
        <w:rPr>
          <w:rFonts w:cs="Times New Roman"/>
          <w:i/>
          <w:iCs/>
          <w:noProof/>
          <w:color w:val="000000" w:themeColor="text1"/>
          <w:szCs w:val="24"/>
        </w:rPr>
        <w:t>13</w:t>
      </w:r>
      <w:r w:rsidRPr="00895D0B">
        <w:rPr>
          <w:rFonts w:cs="Times New Roman"/>
          <w:noProof/>
          <w:color w:val="000000" w:themeColor="text1"/>
          <w:szCs w:val="24"/>
        </w:rPr>
        <w:t>(4), 1–5. https://doi.org/10.3390/agronomy13041026</w:t>
      </w:r>
    </w:p>
    <w:p w14:paraId="5F7372F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Heidenstrøm, N. (2022). The utility of social practice theory in risk research. </w:t>
      </w:r>
      <w:r w:rsidRPr="00895D0B">
        <w:rPr>
          <w:rFonts w:cs="Times New Roman"/>
          <w:i/>
          <w:iCs/>
          <w:noProof/>
          <w:color w:val="000000" w:themeColor="text1"/>
          <w:szCs w:val="24"/>
        </w:rPr>
        <w:t>Journal of Risk Research</w:t>
      </w:r>
      <w:r w:rsidRPr="00895D0B">
        <w:rPr>
          <w:rFonts w:cs="Times New Roman"/>
          <w:noProof/>
          <w:color w:val="000000" w:themeColor="text1"/>
          <w:szCs w:val="24"/>
        </w:rPr>
        <w:t xml:space="preserve">, </w:t>
      </w:r>
      <w:r w:rsidRPr="00895D0B">
        <w:rPr>
          <w:rFonts w:cs="Times New Roman"/>
          <w:i/>
          <w:iCs/>
          <w:noProof/>
          <w:color w:val="000000" w:themeColor="text1"/>
          <w:szCs w:val="24"/>
        </w:rPr>
        <w:t>25</w:t>
      </w:r>
      <w:r w:rsidRPr="00895D0B">
        <w:rPr>
          <w:rFonts w:cs="Times New Roman"/>
          <w:noProof/>
          <w:color w:val="000000" w:themeColor="text1"/>
          <w:szCs w:val="24"/>
        </w:rPr>
        <w:t>(2), 236–251. https://doi.org/10.1080/13669877.2021.1936608</w:t>
      </w:r>
    </w:p>
    <w:p w14:paraId="6B0ED52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Hobbie, S. E., &amp; Grimm, N. B. (2020). </w:t>
      </w:r>
      <w:r w:rsidRPr="00895D0B">
        <w:rPr>
          <w:rFonts w:cs="Times New Roman"/>
          <w:i/>
          <w:iCs/>
          <w:noProof/>
          <w:color w:val="000000" w:themeColor="text1"/>
          <w:szCs w:val="24"/>
        </w:rPr>
        <w:t>Nature-based approaches to managing climate change impacts in cities</w:t>
      </w:r>
      <w:r w:rsidRPr="00895D0B">
        <w:rPr>
          <w:rFonts w:cs="Times New Roman"/>
          <w:noProof/>
          <w:color w:val="000000" w:themeColor="text1"/>
          <w:szCs w:val="24"/>
        </w:rPr>
        <w:t>.</w:t>
      </w:r>
    </w:p>
    <w:p w14:paraId="33154949"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Hochmuth, G., Hochmuth, R., &amp; Mylavarapu, R. (2021). Using Composted Poultry Manure (Litter) in Mulched Vegetable Production. </w:t>
      </w:r>
      <w:r w:rsidRPr="00895D0B">
        <w:rPr>
          <w:rFonts w:cs="Times New Roman"/>
          <w:i/>
          <w:iCs/>
          <w:noProof/>
          <w:color w:val="000000" w:themeColor="text1"/>
          <w:szCs w:val="24"/>
        </w:rPr>
        <w:t>Edis</w:t>
      </w:r>
      <w:r w:rsidRPr="00895D0B">
        <w:rPr>
          <w:rFonts w:cs="Times New Roman"/>
          <w:noProof/>
          <w:color w:val="000000" w:themeColor="text1"/>
          <w:szCs w:val="24"/>
        </w:rPr>
        <w:t xml:space="preserve">, </w:t>
      </w:r>
      <w:r w:rsidRPr="00895D0B">
        <w:rPr>
          <w:rFonts w:cs="Times New Roman"/>
          <w:i/>
          <w:iCs/>
          <w:noProof/>
          <w:color w:val="000000" w:themeColor="text1"/>
          <w:szCs w:val="24"/>
        </w:rPr>
        <w:t>2009</w:t>
      </w:r>
      <w:r w:rsidRPr="00895D0B">
        <w:rPr>
          <w:rFonts w:cs="Times New Roman"/>
          <w:noProof/>
          <w:color w:val="000000" w:themeColor="text1"/>
          <w:szCs w:val="24"/>
        </w:rPr>
        <w:t>(9), 1–9. https://doi.org/10.32473/edis-ss506-2009</w:t>
      </w:r>
    </w:p>
    <w:p w14:paraId="594B0BD2" w14:textId="77777777" w:rsidR="002E3CD6" w:rsidRPr="00895D0B" w:rsidRDefault="002E3CD6"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52A94DD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Horst, M., Mcclintock, N., &amp; Hoey, L. (2017). The Intersection of Planning, Urban Agriculture, and Food Justice: A Review of the Literature. </w:t>
      </w:r>
      <w:r w:rsidRPr="00895D0B">
        <w:rPr>
          <w:rFonts w:cs="Times New Roman"/>
          <w:i/>
          <w:iCs/>
          <w:noProof/>
          <w:color w:val="000000" w:themeColor="text1"/>
          <w:szCs w:val="24"/>
        </w:rPr>
        <w:t>Journal of the American Planning Association</w:t>
      </w:r>
      <w:r w:rsidRPr="00895D0B">
        <w:rPr>
          <w:rFonts w:cs="Times New Roman"/>
          <w:noProof/>
          <w:color w:val="000000" w:themeColor="text1"/>
          <w:szCs w:val="24"/>
        </w:rPr>
        <w:t xml:space="preserve">, </w:t>
      </w:r>
      <w:r w:rsidRPr="00895D0B">
        <w:rPr>
          <w:rFonts w:cs="Times New Roman"/>
          <w:i/>
          <w:iCs/>
          <w:noProof/>
          <w:color w:val="000000" w:themeColor="text1"/>
          <w:szCs w:val="24"/>
        </w:rPr>
        <w:t>83</w:t>
      </w:r>
      <w:r w:rsidRPr="00895D0B">
        <w:rPr>
          <w:rFonts w:cs="Times New Roman"/>
          <w:noProof/>
          <w:color w:val="000000" w:themeColor="text1"/>
          <w:szCs w:val="24"/>
        </w:rPr>
        <w:t>(3), 277–295. https://doi.org/10.1080/01944363.2017.1322914</w:t>
      </w:r>
    </w:p>
    <w:p w14:paraId="441CD0A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Insoll, T. (2010). Talensi animal sacrifice and its archaeological implications. </w:t>
      </w:r>
      <w:r w:rsidRPr="00895D0B">
        <w:rPr>
          <w:rFonts w:cs="Times New Roman"/>
          <w:i/>
          <w:iCs/>
          <w:noProof/>
          <w:color w:val="000000" w:themeColor="text1"/>
          <w:szCs w:val="24"/>
        </w:rPr>
        <w:t>World Archaeology</w:t>
      </w:r>
      <w:r w:rsidRPr="00895D0B">
        <w:rPr>
          <w:rFonts w:cs="Times New Roman"/>
          <w:noProof/>
          <w:color w:val="000000" w:themeColor="text1"/>
          <w:szCs w:val="24"/>
        </w:rPr>
        <w:t xml:space="preserve">, </w:t>
      </w:r>
      <w:r w:rsidRPr="00895D0B">
        <w:rPr>
          <w:rFonts w:cs="Times New Roman"/>
          <w:i/>
          <w:iCs/>
          <w:noProof/>
          <w:color w:val="000000" w:themeColor="text1"/>
          <w:szCs w:val="24"/>
        </w:rPr>
        <w:t>42</w:t>
      </w:r>
      <w:r w:rsidRPr="00895D0B">
        <w:rPr>
          <w:rFonts w:cs="Times New Roman"/>
          <w:noProof/>
          <w:color w:val="000000" w:themeColor="text1"/>
          <w:szCs w:val="24"/>
        </w:rPr>
        <w:t>(2), 231–244. https://doi.org/10.1080/00438241003672856</w:t>
      </w:r>
    </w:p>
    <w:p w14:paraId="207E824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IPCC. (2018a). Global Warming of 1.5°C An IPCC Special Report on the impacts of global warming of 1.5°C above pre-industrial levels and related global greenhouse gas emission pathways, in the context of strengthening the global response to the threat of climate change, . </w:t>
      </w:r>
      <w:r w:rsidRPr="00895D0B">
        <w:rPr>
          <w:rFonts w:cs="Times New Roman"/>
          <w:i/>
          <w:iCs/>
          <w:noProof/>
          <w:color w:val="000000" w:themeColor="text1"/>
          <w:szCs w:val="24"/>
        </w:rPr>
        <w:t>A Companion to Applied Ethics</w:t>
      </w:r>
      <w:r w:rsidRPr="00895D0B">
        <w:rPr>
          <w:rFonts w:cs="Times New Roman"/>
          <w:noProof/>
          <w:color w:val="000000" w:themeColor="text1"/>
          <w:szCs w:val="24"/>
        </w:rPr>
        <w:t>, 674–684. https://doi.org/10.1002/9780470996621.ch50</w:t>
      </w:r>
    </w:p>
    <w:p w14:paraId="3059645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IPCC. (2018b). Synthesis Report of the IPCC Sixth Assessment Report (AR6). In </w:t>
      </w:r>
      <w:r w:rsidRPr="00895D0B">
        <w:rPr>
          <w:rFonts w:cs="Times New Roman"/>
          <w:i/>
          <w:iCs/>
          <w:noProof/>
          <w:color w:val="000000" w:themeColor="text1"/>
          <w:szCs w:val="24"/>
        </w:rPr>
        <w:t>European University Institute</w:t>
      </w:r>
      <w:r w:rsidRPr="00895D0B">
        <w:rPr>
          <w:rFonts w:cs="Times New Roman"/>
          <w:noProof/>
          <w:color w:val="000000" w:themeColor="text1"/>
          <w:szCs w:val="24"/>
        </w:rPr>
        <w:t xml:space="preserve"> (Issue 2). https://eur-lex.europa.eu/legal-content/PT/TXT/PDF/?uri=CELEX:32016R0679&amp;from=PT%0Ahttp://eur-lex.europa.eu/LexUriServ/LexUriServ.do?uri=CELEX:52012PC0011:pt:NOT</w:t>
      </w:r>
    </w:p>
    <w:p w14:paraId="706B496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Islam, S., &amp; Kieu, E. (2021). Sociological perspectives on climate change and society: A review. </w:t>
      </w:r>
      <w:r w:rsidRPr="00895D0B">
        <w:rPr>
          <w:rFonts w:cs="Times New Roman"/>
          <w:i/>
          <w:iCs/>
          <w:noProof/>
          <w:color w:val="000000" w:themeColor="text1"/>
          <w:szCs w:val="24"/>
        </w:rPr>
        <w:t>Climate</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(1), 1–14. https://doi.org/10.3390/cli9010007</w:t>
      </w:r>
    </w:p>
    <w:p w14:paraId="5EECC30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Issac, J., Newell, R., Dring, C., White, C., Ghadiri, M., Pizzirani, S., &amp; Newman, L. (2022). </w:t>
      </w:r>
      <w:r w:rsidRPr="00895D0B">
        <w:rPr>
          <w:rFonts w:cs="Times New Roman"/>
          <w:i/>
          <w:iCs/>
          <w:noProof/>
          <w:color w:val="000000" w:themeColor="text1"/>
          <w:szCs w:val="24"/>
        </w:rPr>
        <w:t>Integrated Sustainability Planning and Local Food Systems : Examining Areas of and Gaps in Food Systems Integration in Community Sustainability Plans for Municipalities across British Columbia</w:t>
      </w:r>
      <w:r w:rsidRPr="00895D0B">
        <w:rPr>
          <w:rFonts w:cs="Times New Roman"/>
          <w:noProof/>
          <w:color w:val="000000" w:themeColor="text1"/>
          <w:szCs w:val="24"/>
        </w:rPr>
        <w:t>.</w:t>
      </w:r>
    </w:p>
    <w:p w14:paraId="3C03854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Jaatinen, K., Westerbom, M., &amp; Norkko, A. (2021). </w:t>
      </w:r>
      <w:r w:rsidRPr="00895D0B">
        <w:rPr>
          <w:rFonts w:cs="Times New Roman"/>
          <w:i/>
          <w:iCs/>
          <w:noProof/>
          <w:color w:val="000000" w:themeColor="text1"/>
          <w:szCs w:val="24"/>
        </w:rPr>
        <w:t>Detrimental impacts of climate change may be exacerbated by density-dependent population regulation in blue mussels</w:t>
      </w:r>
      <w:r w:rsidRPr="00895D0B">
        <w:rPr>
          <w:rFonts w:cs="Times New Roman"/>
          <w:noProof/>
          <w:color w:val="000000" w:themeColor="text1"/>
          <w:szCs w:val="24"/>
        </w:rPr>
        <w:t xml:space="preserve">. </w:t>
      </w:r>
      <w:r w:rsidRPr="00895D0B">
        <w:rPr>
          <w:rFonts w:cs="Times New Roman"/>
          <w:i/>
          <w:iCs/>
          <w:noProof/>
          <w:color w:val="000000" w:themeColor="text1"/>
          <w:szCs w:val="24"/>
        </w:rPr>
        <w:t>April 2020</w:t>
      </w:r>
      <w:r w:rsidRPr="00895D0B">
        <w:rPr>
          <w:rFonts w:cs="Times New Roman"/>
          <w:noProof/>
          <w:color w:val="000000" w:themeColor="text1"/>
          <w:szCs w:val="24"/>
        </w:rPr>
        <w:t>, 562–573. https://doi.org/10.1111/1365-2656.13377</w:t>
      </w:r>
    </w:p>
    <w:p w14:paraId="6E1D513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Jaitiang, D., Huang, W. C., &amp; Yang, S. H. (2021). Does income inequality exist among urban farmers? A demonstration of lorenz curves from Northern Thailand. </w:t>
      </w:r>
      <w:r w:rsidRPr="00895D0B">
        <w:rPr>
          <w:rFonts w:cs="Times New Roman"/>
          <w:i/>
          <w:iCs/>
          <w:noProof/>
          <w:color w:val="000000" w:themeColor="text1"/>
          <w:szCs w:val="24"/>
        </w:rPr>
        <w:t>Sustainability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13</w:t>
      </w:r>
      <w:r w:rsidRPr="00895D0B">
        <w:rPr>
          <w:rFonts w:cs="Times New Roman"/>
          <w:noProof/>
          <w:color w:val="000000" w:themeColor="text1"/>
          <w:szCs w:val="24"/>
        </w:rPr>
        <w:t>(9), 1–16. https://doi.org/10.3390/su13095119</w:t>
      </w:r>
    </w:p>
    <w:p w14:paraId="75C22D1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Janes, J. (2001). </w:t>
      </w:r>
      <w:r w:rsidRPr="00895D0B">
        <w:rPr>
          <w:rFonts w:cs="Times New Roman"/>
          <w:i/>
          <w:iCs/>
          <w:noProof/>
          <w:color w:val="000000" w:themeColor="text1"/>
          <w:szCs w:val="24"/>
        </w:rPr>
        <w:t>Survey research design</w:t>
      </w:r>
      <w:r w:rsidRPr="00895D0B">
        <w:rPr>
          <w:rFonts w:cs="Times New Roman"/>
          <w:noProof/>
          <w:color w:val="000000" w:themeColor="text1"/>
          <w:szCs w:val="24"/>
        </w:rPr>
        <w:t xml:space="preserve">. </w:t>
      </w:r>
      <w:r w:rsidRPr="00895D0B">
        <w:rPr>
          <w:rFonts w:cs="Times New Roman"/>
          <w:i/>
          <w:iCs/>
          <w:noProof/>
          <w:color w:val="000000" w:themeColor="text1"/>
          <w:szCs w:val="24"/>
        </w:rPr>
        <w:t>19</w:t>
      </w:r>
      <w:r w:rsidRPr="00895D0B">
        <w:rPr>
          <w:rFonts w:cs="Times New Roman"/>
          <w:noProof/>
          <w:color w:val="000000" w:themeColor="text1"/>
          <w:szCs w:val="24"/>
        </w:rPr>
        <w:t>(4), 419–421.</w:t>
      </w:r>
    </w:p>
    <w:p w14:paraId="35495B9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Jentoft, N., &amp; Olsen, T. S. (2019). Against the flow in data collection: How data triangulation combined with a ‘slow’ interview technique enriches data. </w:t>
      </w:r>
      <w:r w:rsidRPr="00895D0B">
        <w:rPr>
          <w:rFonts w:cs="Times New Roman"/>
          <w:i/>
          <w:iCs/>
          <w:noProof/>
          <w:color w:val="000000" w:themeColor="text1"/>
          <w:szCs w:val="24"/>
        </w:rPr>
        <w:t>Qualitative Social Work</w:t>
      </w:r>
      <w:r w:rsidRPr="00895D0B">
        <w:rPr>
          <w:rFonts w:cs="Times New Roman"/>
          <w:noProof/>
          <w:color w:val="000000" w:themeColor="text1"/>
          <w:szCs w:val="24"/>
        </w:rPr>
        <w:t xml:space="preserve">, </w:t>
      </w:r>
      <w:r w:rsidRPr="00895D0B">
        <w:rPr>
          <w:rFonts w:cs="Times New Roman"/>
          <w:i/>
          <w:iCs/>
          <w:noProof/>
          <w:color w:val="000000" w:themeColor="text1"/>
          <w:szCs w:val="24"/>
        </w:rPr>
        <w:t>18</w:t>
      </w:r>
      <w:r w:rsidRPr="00895D0B">
        <w:rPr>
          <w:rFonts w:cs="Times New Roman"/>
          <w:noProof/>
          <w:color w:val="000000" w:themeColor="text1"/>
          <w:szCs w:val="24"/>
        </w:rPr>
        <w:t>(2), 179–193. https://doi.org/10.1177/1473325017712581</w:t>
      </w:r>
    </w:p>
    <w:p w14:paraId="5A4AC62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Jordi-Sánchez, M., &amp; Díaz-Aguilar, A. L. (2021). Constructing organic food through urban agriculture, community gardens in Seville. </w:t>
      </w:r>
      <w:r w:rsidRPr="00895D0B">
        <w:rPr>
          <w:rFonts w:cs="Times New Roman"/>
          <w:i/>
          <w:iCs/>
          <w:noProof/>
          <w:color w:val="000000" w:themeColor="text1"/>
          <w:szCs w:val="24"/>
        </w:rPr>
        <w:t>Sustainability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13</w:t>
      </w:r>
      <w:r w:rsidRPr="00895D0B">
        <w:rPr>
          <w:rFonts w:cs="Times New Roman"/>
          <w:noProof/>
          <w:color w:val="000000" w:themeColor="text1"/>
          <w:szCs w:val="24"/>
        </w:rPr>
        <w:t>(8). https://doi.org/10.3390/su13084091</w:t>
      </w:r>
    </w:p>
    <w:p w14:paraId="019FD4E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Kandel, B. (2015). Publishing Qualitative versus Quantitative Research. </w:t>
      </w:r>
      <w:r w:rsidRPr="00895D0B">
        <w:rPr>
          <w:rFonts w:cs="Times New Roman"/>
          <w:i/>
          <w:iCs/>
          <w:noProof/>
          <w:color w:val="000000" w:themeColor="text1"/>
          <w:szCs w:val="24"/>
        </w:rPr>
        <w:t>Journal of Product Innovation Management</w:t>
      </w:r>
      <w:r w:rsidRPr="00895D0B">
        <w:rPr>
          <w:rFonts w:cs="Times New Roman"/>
          <w:noProof/>
          <w:color w:val="000000" w:themeColor="text1"/>
          <w:szCs w:val="24"/>
        </w:rPr>
        <w:t xml:space="preserve">, </w:t>
      </w:r>
      <w:r w:rsidRPr="00895D0B">
        <w:rPr>
          <w:rFonts w:cs="Times New Roman"/>
          <w:i/>
          <w:iCs/>
          <w:noProof/>
          <w:color w:val="000000" w:themeColor="text1"/>
          <w:szCs w:val="24"/>
        </w:rPr>
        <w:t>32</w:t>
      </w:r>
      <w:r w:rsidRPr="00895D0B">
        <w:rPr>
          <w:rFonts w:cs="Times New Roman"/>
          <w:noProof/>
          <w:color w:val="000000" w:themeColor="text1"/>
          <w:szCs w:val="24"/>
        </w:rPr>
        <w:t>(5), 658. https://doi.org/10.1111/jpim.12277</w:t>
      </w:r>
    </w:p>
    <w:p w14:paraId="6BB67D0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Kansiime, M. K., Macharia, M., Adraki, P. K., Obeng, F., &amp; ... (2021). </w:t>
      </w:r>
      <w:r w:rsidRPr="00895D0B">
        <w:rPr>
          <w:rFonts w:cs="Times New Roman"/>
          <w:i/>
          <w:iCs/>
          <w:noProof/>
          <w:color w:val="000000" w:themeColor="text1"/>
          <w:szCs w:val="24"/>
        </w:rPr>
        <w:t>Agricultural knowledge and information flows within smallholder farming households in Ghana</w:t>
      </w:r>
      <w:r w:rsidRPr="00895D0B">
        <w:rPr>
          <w:rFonts w:cs="Times New Roman"/>
          <w:noProof/>
          <w:color w:val="000000" w:themeColor="text1"/>
          <w:szCs w:val="24"/>
        </w:rPr>
        <w:t xml:space="preserve">. </w:t>
      </w:r>
      <w:r w:rsidRPr="00895D0B">
        <w:rPr>
          <w:rFonts w:cs="Times New Roman"/>
          <w:i/>
          <w:iCs/>
          <w:noProof/>
          <w:color w:val="000000" w:themeColor="text1"/>
          <w:szCs w:val="24"/>
        </w:rPr>
        <w:t>April</w:t>
      </w:r>
      <w:r w:rsidRPr="00895D0B">
        <w:rPr>
          <w:rFonts w:cs="Times New Roman"/>
          <w:noProof/>
          <w:color w:val="000000" w:themeColor="text1"/>
          <w:szCs w:val="24"/>
        </w:rPr>
        <w:t>, 1–21. https://www.cabi.org/wp-content/uploads/Working-Paper-18.pdf</w:t>
      </w:r>
    </w:p>
    <w:p w14:paraId="52E64AD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Karg, H., &amp; Drechsel, P. (2018). Atlas of West African urban food systems: examples from Ghana and Burkina Faso. In Hanna Karg and Pay Drechsel (Ed.), </w:t>
      </w:r>
      <w:r w:rsidRPr="00895D0B">
        <w:rPr>
          <w:rFonts w:cs="Times New Roman"/>
          <w:i/>
          <w:iCs/>
          <w:noProof/>
          <w:color w:val="000000" w:themeColor="text1"/>
          <w:szCs w:val="24"/>
        </w:rPr>
        <w:t>Atlas of West African urban food systems: examples from Ghana and Burkina Faso</w:t>
      </w:r>
      <w:r w:rsidRPr="00895D0B">
        <w:rPr>
          <w:rFonts w:cs="Times New Roman"/>
          <w:noProof/>
          <w:color w:val="000000" w:themeColor="text1"/>
          <w:szCs w:val="24"/>
        </w:rPr>
        <w:t>. https://doi.org/10.5337/2018.224</w:t>
      </w:r>
    </w:p>
    <w:p w14:paraId="67D2A17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Kennard, N. J., &amp; Bamford, R. H. (2020). </w:t>
      </w:r>
      <w:r w:rsidRPr="00895D0B">
        <w:rPr>
          <w:rFonts w:cs="Times New Roman"/>
          <w:i/>
          <w:iCs/>
          <w:noProof/>
          <w:color w:val="000000" w:themeColor="text1"/>
          <w:szCs w:val="24"/>
        </w:rPr>
        <w:t>Urban Agriculture: Opportunities and Challenges for Sustainable Development</w:t>
      </w:r>
      <w:r w:rsidRPr="00895D0B">
        <w:rPr>
          <w:rFonts w:cs="Times New Roman"/>
          <w:noProof/>
          <w:color w:val="000000" w:themeColor="text1"/>
          <w:szCs w:val="24"/>
        </w:rPr>
        <w:t>. 929–942. https://doi.org/10.1007/978-3-319-95675-6_102</w:t>
      </w:r>
    </w:p>
    <w:p w14:paraId="1689B11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Kennedy, E. H., Cohen, M. J., &amp; Krogman, N. T. (2015). Social practice theories and research on sustainable consumption. </w:t>
      </w:r>
      <w:r w:rsidRPr="00895D0B">
        <w:rPr>
          <w:rFonts w:cs="Times New Roman"/>
          <w:i/>
          <w:iCs/>
          <w:noProof/>
          <w:color w:val="000000" w:themeColor="text1"/>
          <w:szCs w:val="24"/>
        </w:rPr>
        <w:t>Putting Sustainability into Practice: Applications and Advances in Research on Sustainable Consumption</w:t>
      </w:r>
      <w:r w:rsidRPr="00895D0B">
        <w:rPr>
          <w:rFonts w:cs="Times New Roman"/>
          <w:noProof/>
          <w:color w:val="000000" w:themeColor="text1"/>
          <w:szCs w:val="24"/>
        </w:rPr>
        <w:t xml:space="preserve">, </w:t>
      </w:r>
      <w:r w:rsidRPr="00895D0B">
        <w:rPr>
          <w:rFonts w:cs="Times New Roman"/>
          <w:i/>
          <w:iCs/>
          <w:noProof/>
          <w:color w:val="000000" w:themeColor="text1"/>
          <w:szCs w:val="24"/>
        </w:rPr>
        <w:t>Standing</w:t>
      </w:r>
      <w:r w:rsidRPr="00895D0B">
        <w:rPr>
          <w:rFonts w:cs="Times New Roman"/>
          <w:noProof/>
          <w:color w:val="000000" w:themeColor="text1"/>
          <w:szCs w:val="24"/>
        </w:rPr>
        <w:t>, 3–22. https://doi.org/10.4337/9781784710606.00009</w:t>
      </w:r>
    </w:p>
    <w:p w14:paraId="3B5ABAA8"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Kerr, B. R., Nyantakyi-Frimpong, H., Dakishoni, L., Lupafya, E., Shumba, L., Luginaah, I., &amp; Snapp, S. S. (2018). Knowledge politics in participatory climate change adaptation research on agroecology in Malawi. </w:t>
      </w:r>
      <w:r w:rsidRPr="00895D0B">
        <w:rPr>
          <w:rFonts w:cs="Times New Roman"/>
          <w:i/>
          <w:iCs/>
          <w:noProof/>
          <w:color w:val="000000" w:themeColor="text1"/>
          <w:szCs w:val="24"/>
        </w:rPr>
        <w:t>Renewable Agriculture and Food Systems</w:t>
      </w:r>
      <w:r w:rsidRPr="00895D0B">
        <w:rPr>
          <w:rFonts w:cs="Times New Roman"/>
          <w:noProof/>
          <w:color w:val="000000" w:themeColor="text1"/>
          <w:szCs w:val="24"/>
        </w:rPr>
        <w:t xml:space="preserve">, </w:t>
      </w:r>
      <w:r w:rsidRPr="00895D0B">
        <w:rPr>
          <w:rFonts w:cs="Times New Roman"/>
          <w:i/>
          <w:iCs/>
          <w:noProof/>
          <w:color w:val="000000" w:themeColor="text1"/>
          <w:szCs w:val="24"/>
        </w:rPr>
        <w:t>33</w:t>
      </w:r>
      <w:r w:rsidRPr="00895D0B">
        <w:rPr>
          <w:rFonts w:cs="Times New Roman"/>
          <w:noProof/>
          <w:color w:val="000000" w:themeColor="text1"/>
          <w:szCs w:val="24"/>
        </w:rPr>
        <w:t>(3), 238–251. https://doi.org/10.1017/S1742170518000017</w:t>
      </w:r>
    </w:p>
    <w:p w14:paraId="72C6F447" w14:textId="77777777" w:rsidR="00731E67" w:rsidRPr="00895D0B"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22B7A4F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Khan, R., Aziz, Z., &amp; Ahmed, V. (2018). Building integrated agriculture information modelling (BIAIM): An integrated approach towards urban agriculture. </w:t>
      </w:r>
      <w:r w:rsidRPr="00895D0B">
        <w:rPr>
          <w:rFonts w:cs="Times New Roman"/>
          <w:i/>
          <w:iCs/>
          <w:noProof/>
          <w:color w:val="000000" w:themeColor="text1"/>
          <w:szCs w:val="24"/>
        </w:rPr>
        <w:t>Sustainable Cities and Society</w:t>
      </w:r>
      <w:r w:rsidRPr="00895D0B">
        <w:rPr>
          <w:rFonts w:cs="Times New Roman"/>
          <w:noProof/>
          <w:color w:val="000000" w:themeColor="text1"/>
          <w:szCs w:val="24"/>
        </w:rPr>
        <w:t xml:space="preserve">, </w:t>
      </w:r>
      <w:r w:rsidRPr="00895D0B">
        <w:rPr>
          <w:rFonts w:cs="Times New Roman"/>
          <w:i/>
          <w:iCs/>
          <w:noProof/>
          <w:color w:val="000000" w:themeColor="text1"/>
          <w:szCs w:val="24"/>
        </w:rPr>
        <w:t>37</w:t>
      </w:r>
      <w:r w:rsidRPr="00895D0B">
        <w:rPr>
          <w:rFonts w:cs="Times New Roman"/>
          <w:noProof/>
          <w:color w:val="000000" w:themeColor="text1"/>
          <w:szCs w:val="24"/>
        </w:rPr>
        <w:t>, 594–607. https://doi.org/10.1016/j.scs.2017.10.027</w:t>
      </w:r>
    </w:p>
    <w:p w14:paraId="7A3F3FD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Khanna, R., &amp; Sharma, C. (2018). Testing the effect of investments in IT and R&amp;D on labour productivity: New method and evidence for Indian firms. </w:t>
      </w:r>
      <w:r w:rsidRPr="00895D0B">
        <w:rPr>
          <w:rFonts w:cs="Times New Roman"/>
          <w:i/>
          <w:iCs/>
          <w:noProof/>
          <w:color w:val="000000" w:themeColor="text1"/>
          <w:szCs w:val="24"/>
        </w:rPr>
        <w:t>Economics Letters</w:t>
      </w:r>
      <w:r w:rsidRPr="00895D0B">
        <w:rPr>
          <w:rFonts w:cs="Times New Roman"/>
          <w:noProof/>
          <w:color w:val="000000" w:themeColor="text1"/>
          <w:szCs w:val="24"/>
        </w:rPr>
        <w:t xml:space="preserve">, </w:t>
      </w:r>
      <w:r w:rsidRPr="00895D0B">
        <w:rPr>
          <w:rFonts w:cs="Times New Roman"/>
          <w:i/>
          <w:iCs/>
          <w:noProof/>
          <w:color w:val="000000" w:themeColor="text1"/>
          <w:szCs w:val="24"/>
        </w:rPr>
        <w:t>173</w:t>
      </w:r>
      <w:r w:rsidRPr="00895D0B">
        <w:rPr>
          <w:rFonts w:cs="Times New Roman"/>
          <w:noProof/>
          <w:color w:val="000000" w:themeColor="text1"/>
          <w:szCs w:val="24"/>
        </w:rPr>
        <w:t>, 30–34. https://doi.org/10.1016/j.econlet.2018.09.003</w:t>
      </w:r>
    </w:p>
    <w:p w14:paraId="6781CF5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Khatri-Chhetri, A., Regmi, P. P., Chanana, N., &amp; Aggarwal, P. K. (2020). Potential of climate-smart agriculture in reducing women farmers’ drudgery in high climatic risk areas. </w:t>
      </w:r>
      <w:r w:rsidRPr="00895D0B">
        <w:rPr>
          <w:rFonts w:cs="Times New Roman"/>
          <w:i/>
          <w:iCs/>
          <w:noProof/>
          <w:color w:val="000000" w:themeColor="text1"/>
          <w:szCs w:val="24"/>
        </w:rPr>
        <w:t>Climatic Change</w:t>
      </w:r>
      <w:r w:rsidRPr="00895D0B">
        <w:rPr>
          <w:rFonts w:cs="Times New Roman"/>
          <w:noProof/>
          <w:color w:val="000000" w:themeColor="text1"/>
          <w:szCs w:val="24"/>
        </w:rPr>
        <w:t xml:space="preserve">, </w:t>
      </w:r>
      <w:r w:rsidRPr="00895D0B">
        <w:rPr>
          <w:rFonts w:cs="Times New Roman"/>
          <w:i/>
          <w:iCs/>
          <w:noProof/>
          <w:color w:val="000000" w:themeColor="text1"/>
          <w:szCs w:val="24"/>
        </w:rPr>
        <w:t>158</w:t>
      </w:r>
      <w:r w:rsidRPr="00895D0B">
        <w:rPr>
          <w:rFonts w:cs="Times New Roman"/>
          <w:noProof/>
          <w:color w:val="000000" w:themeColor="text1"/>
          <w:szCs w:val="24"/>
        </w:rPr>
        <w:t>(1), 29–42. https://doi.org/10.1007/s10584-018-2350-8</w:t>
      </w:r>
    </w:p>
    <w:p w14:paraId="79FCE0B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Khumalo, N. Z., &amp; Sibanda, M. (2019). </w:t>
      </w:r>
      <w:r w:rsidRPr="00895D0B">
        <w:rPr>
          <w:rFonts w:cs="Times New Roman"/>
          <w:i/>
          <w:iCs/>
          <w:noProof/>
          <w:color w:val="000000" w:themeColor="text1"/>
          <w:szCs w:val="24"/>
        </w:rPr>
        <w:t>Does Urban and Peri-Urban Agriculture Contribute to Household Food Security ? An Assessment of the Food Security Status of Households in Tongaat , eThekwini Municipality</w:t>
      </w:r>
      <w:r w:rsidRPr="00895D0B">
        <w:rPr>
          <w:rFonts w:cs="Times New Roman"/>
          <w:noProof/>
          <w:color w:val="000000" w:themeColor="text1"/>
          <w:szCs w:val="24"/>
        </w:rPr>
        <w:t>. https://doi.org/10.3390/su11041082</w:t>
      </w:r>
    </w:p>
    <w:p w14:paraId="754707E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Kibona, C. A., &amp; Yuejie, Z. (2021). Factors that influence market participation among traditional beef cattle farmers in the Meatu District of Simiyu Region, Tanzania. </w:t>
      </w:r>
      <w:r w:rsidRPr="00895D0B">
        <w:rPr>
          <w:rFonts w:cs="Times New Roman"/>
          <w:i/>
          <w:iCs/>
          <w:noProof/>
          <w:color w:val="000000" w:themeColor="text1"/>
          <w:szCs w:val="24"/>
        </w:rPr>
        <w:t>PLoS ONE</w:t>
      </w:r>
      <w:r w:rsidRPr="00895D0B">
        <w:rPr>
          <w:rFonts w:cs="Times New Roman"/>
          <w:noProof/>
          <w:color w:val="000000" w:themeColor="text1"/>
          <w:szCs w:val="24"/>
        </w:rPr>
        <w:t xml:space="preserve">, </w:t>
      </w:r>
      <w:r w:rsidRPr="00895D0B">
        <w:rPr>
          <w:rFonts w:cs="Times New Roman"/>
          <w:i/>
          <w:iCs/>
          <w:noProof/>
          <w:color w:val="000000" w:themeColor="text1"/>
          <w:szCs w:val="24"/>
        </w:rPr>
        <w:t>16</w:t>
      </w:r>
      <w:r w:rsidRPr="00895D0B">
        <w:rPr>
          <w:rFonts w:cs="Times New Roman"/>
          <w:noProof/>
          <w:color w:val="000000" w:themeColor="text1"/>
          <w:szCs w:val="24"/>
        </w:rPr>
        <w:t>(4 April), 1–14. https://doi.org/10.1371/journal.pone.0248576</w:t>
      </w:r>
    </w:p>
    <w:p w14:paraId="4107275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Kingsley, J., Egerer, M., Nuttman, S., Keniger, L., Pettitt, P., Frantzeskaki, N., Gray, T., Ossola, A., Lin, B., Bailey, A., Tracey, D., Barron, S., &amp; Marsh, P. (2021). Urban agriculture as a nature-based solution to address socio-ecological challenges in Australian cities. </w:t>
      </w:r>
      <w:r w:rsidRPr="00895D0B">
        <w:rPr>
          <w:rFonts w:cs="Times New Roman"/>
          <w:i/>
          <w:iCs/>
          <w:noProof/>
          <w:color w:val="000000" w:themeColor="text1"/>
          <w:szCs w:val="24"/>
        </w:rPr>
        <w:t>Urban Forestry and Urban Greening</w:t>
      </w:r>
      <w:r w:rsidRPr="00895D0B">
        <w:rPr>
          <w:rFonts w:cs="Times New Roman"/>
          <w:noProof/>
          <w:color w:val="000000" w:themeColor="text1"/>
          <w:szCs w:val="24"/>
        </w:rPr>
        <w:t xml:space="preserve">, </w:t>
      </w:r>
      <w:r w:rsidRPr="00895D0B">
        <w:rPr>
          <w:rFonts w:cs="Times New Roman"/>
          <w:i/>
          <w:iCs/>
          <w:noProof/>
          <w:color w:val="000000" w:themeColor="text1"/>
          <w:szCs w:val="24"/>
        </w:rPr>
        <w:t>60</w:t>
      </w:r>
      <w:r w:rsidRPr="00895D0B">
        <w:rPr>
          <w:rFonts w:cs="Times New Roman"/>
          <w:noProof/>
          <w:color w:val="000000" w:themeColor="text1"/>
          <w:szCs w:val="24"/>
        </w:rPr>
        <w:t>(November 2020), 127059. https://doi.org/10.1016/j.ufug.2021.127059</w:t>
      </w:r>
    </w:p>
    <w:p w14:paraId="4A7C5F1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Kirsch, K. R., Newman, G. D., Zhu, R., McDonald, T. J., Xu, X., &amp; Horney, J. A. (2022). Applying and Integrating Urban Contamination Factors into Community Garden Siting. </w:t>
      </w:r>
      <w:r w:rsidRPr="00895D0B">
        <w:rPr>
          <w:rFonts w:cs="Times New Roman"/>
          <w:i/>
          <w:iCs/>
          <w:noProof/>
          <w:color w:val="000000" w:themeColor="text1"/>
          <w:szCs w:val="24"/>
        </w:rPr>
        <w:t>Journal of Geovisualization and Spatial Analysis</w:t>
      </w:r>
      <w:r w:rsidRPr="00895D0B">
        <w:rPr>
          <w:rFonts w:cs="Times New Roman"/>
          <w:noProof/>
          <w:color w:val="000000" w:themeColor="text1"/>
          <w:szCs w:val="24"/>
        </w:rPr>
        <w:t xml:space="preserve">, </w:t>
      </w:r>
      <w:r w:rsidRPr="00895D0B">
        <w:rPr>
          <w:rFonts w:cs="Times New Roman"/>
          <w:i/>
          <w:iCs/>
          <w:noProof/>
          <w:color w:val="000000" w:themeColor="text1"/>
          <w:szCs w:val="24"/>
        </w:rPr>
        <w:t>6</w:t>
      </w:r>
      <w:r w:rsidRPr="00895D0B">
        <w:rPr>
          <w:rFonts w:cs="Times New Roman"/>
          <w:noProof/>
          <w:color w:val="000000" w:themeColor="text1"/>
          <w:szCs w:val="24"/>
        </w:rPr>
        <w:t>(2), 2022. https://doi.org/10.1007/s41651-022-00129-7</w:t>
      </w:r>
    </w:p>
    <w:p w14:paraId="2059ABB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Kitchenham, B. A., &amp; Pfleeger, S. L. (2002). </w:t>
      </w:r>
      <w:r w:rsidRPr="00895D0B">
        <w:rPr>
          <w:rFonts w:cs="Times New Roman"/>
          <w:i/>
          <w:iCs/>
          <w:noProof/>
          <w:color w:val="000000" w:themeColor="text1"/>
          <w:szCs w:val="24"/>
        </w:rPr>
        <w:t>Principles of Survey Research Part 2 : Designing a Survey Sample size Experimental designs</w:t>
      </w:r>
      <w:r w:rsidRPr="00895D0B">
        <w:rPr>
          <w:rFonts w:cs="Times New Roman"/>
          <w:noProof/>
          <w:color w:val="000000" w:themeColor="text1"/>
          <w:szCs w:val="24"/>
        </w:rPr>
        <w:t xml:space="preserve">. </w:t>
      </w:r>
      <w:r w:rsidRPr="00895D0B">
        <w:rPr>
          <w:rFonts w:cs="Times New Roman"/>
          <w:i/>
          <w:iCs/>
          <w:noProof/>
          <w:color w:val="000000" w:themeColor="text1"/>
          <w:szCs w:val="24"/>
        </w:rPr>
        <w:t>27</w:t>
      </w:r>
      <w:r w:rsidRPr="00895D0B">
        <w:rPr>
          <w:rFonts w:cs="Times New Roman"/>
          <w:noProof/>
          <w:color w:val="000000" w:themeColor="text1"/>
          <w:szCs w:val="24"/>
        </w:rPr>
        <w:t>(1), 18–20.</w:t>
      </w:r>
    </w:p>
    <w:p w14:paraId="2B1D263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Knickel, K., Redman, M., Darnhofer, I., Ashkenazy, A., Calvão Chebach, T., Šūmane, S., Tisenkopfs, T., Zemeckis, R., Atkociuniene, V., Rivera, M., Strauss, A., Kristensen, L. S., Schiller, S., Koopmans, M. E., &amp; Rogge, E. (2018). Between aspirations and reality: Making farming, food systems and rural areas more resilient, sustainable and equitable. </w:t>
      </w:r>
      <w:r w:rsidRPr="00895D0B">
        <w:rPr>
          <w:rFonts w:cs="Times New Roman"/>
          <w:i/>
          <w:iCs/>
          <w:noProof/>
          <w:color w:val="000000" w:themeColor="text1"/>
          <w:szCs w:val="24"/>
        </w:rPr>
        <w:t>Journal of Rural Studies</w:t>
      </w:r>
      <w:r w:rsidRPr="00895D0B">
        <w:rPr>
          <w:rFonts w:cs="Times New Roman"/>
          <w:noProof/>
          <w:color w:val="000000" w:themeColor="text1"/>
          <w:szCs w:val="24"/>
        </w:rPr>
        <w:t xml:space="preserve">, </w:t>
      </w:r>
      <w:r w:rsidRPr="00895D0B">
        <w:rPr>
          <w:rFonts w:cs="Times New Roman"/>
          <w:i/>
          <w:iCs/>
          <w:noProof/>
          <w:color w:val="000000" w:themeColor="text1"/>
          <w:szCs w:val="24"/>
        </w:rPr>
        <w:t>59</w:t>
      </w:r>
      <w:r w:rsidRPr="00895D0B">
        <w:rPr>
          <w:rFonts w:cs="Times New Roman"/>
          <w:noProof/>
          <w:color w:val="000000" w:themeColor="text1"/>
          <w:szCs w:val="24"/>
        </w:rPr>
        <w:t>, 197–210. https://doi.org/10.1016/j.jrurstud.2017.04.012</w:t>
      </w:r>
    </w:p>
    <w:p w14:paraId="1850795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Knorr, D., Khoo, C. S. H., &amp; Augustin, M. A. (2018). Food for an Urban Planet: Challenges and Research Opportunities. </w:t>
      </w:r>
      <w:r w:rsidRPr="00895D0B">
        <w:rPr>
          <w:rFonts w:cs="Times New Roman"/>
          <w:i/>
          <w:iCs/>
          <w:noProof/>
          <w:color w:val="000000" w:themeColor="text1"/>
          <w:szCs w:val="24"/>
        </w:rPr>
        <w:t>Frontiers in Nutrition</w:t>
      </w:r>
      <w:r w:rsidRPr="00895D0B">
        <w:rPr>
          <w:rFonts w:cs="Times New Roman"/>
          <w:noProof/>
          <w:color w:val="000000" w:themeColor="text1"/>
          <w:szCs w:val="24"/>
        </w:rPr>
        <w:t xml:space="preserve">, </w:t>
      </w:r>
      <w:r w:rsidRPr="00895D0B">
        <w:rPr>
          <w:rFonts w:cs="Times New Roman"/>
          <w:i/>
          <w:iCs/>
          <w:noProof/>
          <w:color w:val="000000" w:themeColor="text1"/>
          <w:szCs w:val="24"/>
        </w:rPr>
        <w:t>4</w:t>
      </w:r>
      <w:r w:rsidRPr="00895D0B">
        <w:rPr>
          <w:rFonts w:cs="Times New Roman"/>
          <w:noProof/>
          <w:color w:val="000000" w:themeColor="text1"/>
          <w:szCs w:val="24"/>
        </w:rPr>
        <w:t>(January 2018). https://doi.org/10.3389/fnut.2017.00073</w:t>
      </w:r>
    </w:p>
    <w:p w14:paraId="624C5C5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Koay, W. I., &amp; Dillon, D. (2020). Community gardening: Stress, well-being, and resilience potentials. </w:t>
      </w:r>
      <w:r w:rsidRPr="00895D0B">
        <w:rPr>
          <w:rFonts w:cs="Times New Roman"/>
          <w:i/>
          <w:iCs/>
          <w:noProof/>
          <w:color w:val="000000" w:themeColor="text1"/>
          <w:szCs w:val="24"/>
        </w:rPr>
        <w:t>International Journal of Environmental Research and Public Health</w:t>
      </w:r>
      <w:r w:rsidRPr="00895D0B">
        <w:rPr>
          <w:rFonts w:cs="Times New Roman"/>
          <w:noProof/>
          <w:color w:val="000000" w:themeColor="text1"/>
          <w:szCs w:val="24"/>
        </w:rPr>
        <w:t xml:space="preserve">, </w:t>
      </w:r>
      <w:r w:rsidRPr="00895D0B">
        <w:rPr>
          <w:rFonts w:cs="Times New Roman"/>
          <w:i/>
          <w:iCs/>
          <w:noProof/>
          <w:color w:val="000000" w:themeColor="text1"/>
          <w:szCs w:val="24"/>
        </w:rPr>
        <w:t>17</w:t>
      </w:r>
      <w:r w:rsidRPr="00895D0B">
        <w:rPr>
          <w:rFonts w:cs="Times New Roman"/>
          <w:noProof/>
          <w:color w:val="000000" w:themeColor="text1"/>
          <w:szCs w:val="24"/>
        </w:rPr>
        <w:t>(18), 1–31. https://doi.org/10.3390/ijerph17186740</w:t>
      </w:r>
    </w:p>
    <w:p w14:paraId="267E7B7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Kolagar, M. (2019). Adherence to urban agriculture in order to reach sustainable cities; a bwm–waspas approach. </w:t>
      </w:r>
      <w:r w:rsidRPr="00895D0B">
        <w:rPr>
          <w:rFonts w:cs="Times New Roman"/>
          <w:i/>
          <w:iCs/>
          <w:noProof/>
          <w:color w:val="000000" w:themeColor="text1"/>
          <w:szCs w:val="24"/>
        </w:rPr>
        <w:t>Smart Cities</w:t>
      </w:r>
      <w:r w:rsidRPr="00895D0B">
        <w:rPr>
          <w:rFonts w:cs="Times New Roman"/>
          <w:noProof/>
          <w:color w:val="000000" w:themeColor="text1"/>
          <w:szCs w:val="24"/>
        </w:rPr>
        <w:t xml:space="preserve">, </w:t>
      </w:r>
      <w:r w:rsidRPr="00895D0B">
        <w:rPr>
          <w:rFonts w:cs="Times New Roman"/>
          <w:i/>
          <w:iCs/>
          <w:noProof/>
          <w:color w:val="000000" w:themeColor="text1"/>
          <w:szCs w:val="24"/>
        </w:rPr>
        <w:t>2</w:t>
      </w:r>
      <w:r w:rsidRPr="00895D0B">
        <w:rPr>
          <w:rFonts w:cs="Times New Roman"/>
          <w:noProof/>
          <w:color w:val="000000" w:themeColor="text1"/>
          <w:szCs w:val="24"/>
        </w:rPr>
        <w:t>(1), 31–45. https://doi.org/10.3390/smartcities2010003</w:t>
      </w:r>
    </w:p>
    <w:p w14:paraId="5D53A7F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Kom, Z., Nethengwe, N. S., Mpandeli, N. S., &amp; Chikoore, H. (2022). Determinants of small-scale farmers’ choice and adaptive strategies in response to climatic shocks in Vhembe District, South Africa. </w:t>
      </w:r>
      <w:r w:rsidRPr="00895D0B">
        <w:rPr>
          <w:rFonts w:cs="Times New Roman"/>
          <w:i/>
          <w:iCs/>
          <w:noProof/>
          <w:color w:val="000000" w:themeColor="text1"/>
          <w:szCs w:val="24"/>
        </w:rPr>
        <w:t>GeoJournal</w:t>
      </w:r>
      <w:r w:rsidRPr="00895D0B">
        <w:rPr>
          <w:rFonts w:cs="Times New Roman"/>
          <w:noProof/>
          <w:color w:val="000000" w:themeColor="text1"/>
          <w:szCs w:val="24"/>
        </w:rPr>
        <w:t xml:space="preserve">, </w:t>
      </w:r>
      <w:r w:rsidRPr="00895D0B">
        <w:rPr>
          <w:rFonts w:cs="Times New Roman"/>
          <w:i/>
          <w:iCs/>
          <w:noProof/>
          <w:color w:val="000000" w:themeColor="text1"/>
          <w:szCs w:val="24"/>
        </w:rPr>
        <w:t>87</w:t>
      </w:r>
      <w:r w:rsidRPr="00895D0B">
        <w:rPr>
          <w:rFonts w:cs="Times New Roman"/>
          <w:noProof/>
          <w:color w:val="000000" w:themeColor="text1"/>
          <w:szCs w:val="24"/>
        </w:rPr>
        <w:t>(2), 677–700. https://doi.org/10.1007/s10708-020-10272-7</w:t>
      </w:r>
    </w:p>
    <w:p w14:paraId="6D5EEAB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Komninos, N., Kakderi, C., Panori, A., &amp; Tsarchopoulos, P. (2019). Smart City Planning from an Evolutionary Perspective. </w:t>
      </w:r>
      <w:r w:rsidRPr="00895D0B">
        <w:rPr>
          <w:rFonts w:cs="Times New Roman"/>
          <w:i/>
          <w:iCs/>
          <w:noProof/>
          <w:color w:val="000000" w:themeColor="text1"/>
          <w:szCs w:val="24"/>
        </w:rPr>
        <w:t>Journal of Urban Technology</w:t>
      </w:r>
      <w:r w:rsidRPr="00895D0B">
        <w:rPr>
          <w:rFonts w:cs="Times New Roman"/>
          <w:noProof/>
          <w:color w:val="000000" w:themeColor="text1"/>
          <w:szCs w:val="24"/>
        </w:rPr>
        <w:t xml:space="preserve">, </w:t>
      </w:r>
      <w:r w:rsidRPr="00895D0B">
        <w:rPr>
          <w:rFonts w:cs="Times New Roman"/>
          <w:i/>
          <w:iCs/>
          <w:noProof/>
          <w:color w:val="000000" w:themeColor="text1"/>
          <w:szCs w:val="24"/>
        </w:rPr>
        <w:t>26</w:t>
      </w:r>
      <w:r w:rsidRPr="00895D0B">
        <w:rPr>
          <w:rFonts w:cs="Times New Roman"/>
          <w:noProof/>
          <w:color w:val="000000" w:themeColor="text1"/>
          <w:szCs w:val="24"/>
        </w:rPr>
        <w:t>(2), 3–20. https://doi.org/10.1080/10630732.2018.1485368</w:t>
      </w:r>
    </w:p>
    <w:p w14:paraId="6D5E8B3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Kontothanasis, G. (2017). Social Practices of Urban Agriculture in the Metropolitan Region of Thessaloniki. </w:t>
      </w:r>
      <w:r w:rsidRPr="00895D0B">
        <w:rPr>
          <w:rFonts w:cs="Times New Roman"/>
          <w:i/>
          <w:iCs/>
          <w:noProof/>
          <w:color w:val="000000" w:themeColor="text1"/>
          <w:szCs w:val="24"/>
        </w:rPr>
        <w:t>Procedia Environmental Sciences</w:t>
      </w:r>
      <w:r w:rsidRPr="00895D0B">
        <w:rPr>
          <w:rFonts w:cs="Times New Roman"/>
          <w:noProof/>
          <w:color w:val="000000" w:themeColor="text1"/>
          <w:szCs w:val="24"/>
        </w:rPr>
        <w:t xml:space="preserve">, </w:t>
      </w:r>
      <w:r w:rsidRPr="00895D0B">
        <w:rPr>
          <w:rFonts w:cs="Times New Roman"/>
          <w:i/>
          <w:iCs/>
          <w:noProof/>
          <w:color w:val="000000" w:themeColor="text1"/>
          <w:szCs w:val="24"/>
        </w:rPr>
        <w:t>38</w:t>
      </w:r>
      <w:r w:rsidRPr="00895D0B">
        <w:rPr>
          <w:rFonts w:cs="Times New Roman"/>
          <w:noProof/>
          <w:color w:val="000000" w:themeColor="text1"/>
          <w:szCs w:val="24"/>
        </w:rPr>
        <w:t>, 666–673. https://doi.org/10.1016/j.proenv.2017.03.147</w:t>
      </w:r>
    </w:p>
    <w:p w14:paraId="5F0F09F4"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Korah, P. I., Nunbogu, A. M., &amp; Akanbang, B. A. A. (2018). Spatio-temporal dynamics and livelihoods transformation in Wa, Ghana.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77</w:t>
      </w:r>
      <w:r w:rsidRPr="00895D0B">
        <w:rPr>
          <w:rFonts w:cs="Times New Roman"/>
          <w:noProof/>
          <w:color w:val="000000" w:themeColor="text1"/>
          <w:szCs w:val="24"/>
        </w:rPr>
        <w:t>(May), 174–185. https://doi.org/10.1016/j.landusepol.2018.05.039</w:t>
      </w:r>
    </w:p>
    <w:p w14:paraId="01AB0F82" w14:textId="77777777" w:rsidR="00731E67" w:rsidRPr="00895D0B"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5EFDBB2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Korbéogo, G. (2018). Ordering urban agriculture: farmers, experts, the state and the collective management of resources in Ouagadougou, Burkina Faso. </w:t>
      </w:r>
      <w:r w:rsidRPr="00895D0B">
        <w:rPr>
          <w:rFonts w:cs="Times New Roman"/>
          <w:i/>
          <w:iCs/>
          <w:noProof/>
          <w:color w:val="000000" w:themeColor="text1"/>
          <w:szCs w:val="24"/>
        </w:rPr>
        <w:t>Environment and Urbanization</w:t>
      </w:r>
      <w:r w:rsidRPr="00895D0B">
        <w:rPr>
          <w:rFonts w:cs="Times New Roman"/>
          <w:noProof/>
          <w:color w:val="000000" w:themeColor="text1"/>
          <w:szCs w:val="24"/>
        </w:rPr>
        <w:t xml:space="preserve">, </w:t>
      </w:r>
      <w:r w:rsidRPr="00895D0B">
        <w:rPr>
          <w:rFonts w:cs="Times New Roman"/>
          <w:i/>
          <w:iCs/>
          <w:noProof/>
          <w:color w:val="000000" w:themeColor="text1"/>
          <w:szCs w:val="24"/>
        </w:rPr>
        <w:t>30</w:t>
      </w:r>
      <w:r w:rsidRPr="00895D0B">
        <w:rPr>
          <w:rFonts w:cs="Times New Roman"/>
          <w:noProof/>
          <w:color w:val="000000" w:themeColor="text1"/>
          <w:szCs w:val="24"/>
        </w:rPr>
        <w:t>(1), 283–300. https://doi.org/10.1177/0956247817738201</w:t>
      </w:r>
    </w:p>
    <w:p w14:paraId="47023F2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Kothari, C. R. (2004). </w:t>
      </w:r>
      <w:r w:rsidRPr="00895D0B">
        <w:rPr>
          <w:rFonts w:cs="Times New Roman"/>
          <w:i/>
          <w:iCs/>
          <w:noProof/>
          <w:color w:val="000000" w:themeColor="text1"/>
          <w:szCs w:val="24"/>
        </w:rPr>
        <w:t>Research methodology; methods and techniques</w:t>
      </w:r>
      <w:r w:rsidRPr="00895D0B">
        <w:rPr>
          <w:rFonts w:cs="Times New Roman"/>
          <w:noProof/>
          <w:color w:val="000000" w:themeColor="text1"/>
          <w:szCs w:val="24"/>
        </w:rPr>
        <w:t xml:space="preserve"> (2nd ed.). New Age International (P) Ltd., Publishers.</w:t>
      </w:r>
    </w:p>
    <w:p w14:paraId="3C3EAA6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Kousar, S., Ahmed, F., Pervaiz, A., &amp; Bojnec, Š. (2021). Food insecurity, population growth, urbanization and water availability: The role of government stability. </w:t>
      </w:r>
      <w:r w:rsidRPr="00895D0B">
        <w:rPr>
          <w:rFonts w:cs="Times New Roman"/>
          <w:i/>
          <w:iCs/>
          <w:noProof/>
          <w:color w:val="000000" w:themeColor="text1"/>
          <w:szCs w:val="24"/>
        </w:rPr>
        <w:t>Sustainability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13</w:t>
      </w:r>
      <w:r w:rsidRPr="00895D0B">
        <w:rPr>
          <w:rFonts w:cs="Times New Roman"/>
          <w:noProof/>
          <w:color w:val="000000" w:themeColor="text1"/>
          <w:szCs w:val="24"/>
        </w:rPr>
        <w:t>(22). https://doi.org/10.3390/su132212336</w:t>
      </w:r>
    </w:p>
    <w:p w14:paraId="4B1BA0A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Kumar, A., Pramanik, M., Chaudhary, S., &amp; Negi, M. S. (2021). Land evaluation for sustainable development of Himalayan agriculture using RS-GIS in conjunction with analytic hierarchy process and frequency ratio. </w:t>
      </w:r>
      <w:r w:rsidRPr="00895D0B">
        <w:rPr>
          <w:rFonts w:cs="Times New Roman"/>
          <w:i/>
          <w:iCs/>
          <w:noProof/>
          <w:color w:val="000000" w:themeColor="text1"/>
          <w:szCs w:val="24"/>
        </w:rPr>
        <w:t>Journal of the Saudi Society of Agricultural Sciences</w:t>
      </w:r>
      <w:r w:rsidRPr="00895D0B">
        <w:rPr>
          <w:rFonts w:cs="Times New Roman"/>
          <w:noProof/>
          <w:color w:val="000000" w:themeColor="text1"/>
          <w:szCs w:val="24"/>
        </w:rPr>
        <w:t xml:space="preserve">, </w:t>
      </w:r>
      <w:r w:rsidRPr="00895D0B">
        <w:rPr>
          <w:rFonts w:cs="Times New Roman"/>
          <w:i/>
          <w:iCs/>
          <w:noProof/>
          <w:color w:val="000000" w:themeColor="text1"/>
          <w:szCs w:val="24"/>
        </w:rPr>
        <w:t>20</w:t>
      </w:r>
      <w:r w:rsidRPr="00895D0B">
        <w:rPr>
          <w:rFonts w:cs="Times New Roman"/>
          <w:noProof/>
          <w:color w:val="000000" w:themeColor="text1"/>
          <w:szCs w:val="24"/>
        </w:rPr>
        <w:t>(1), 1–17. https://doi.org/10.1016/j.jssas.2020.10.001</w:t>
      </w:r>
    </w:p>
    <w:p w14:paraId="7DEE4CA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Kumar, G., Engle, C., &amp; Tucker, C. (2018). Factors Driving Aquaculture Technology Adoption. </w:t>
      </w:r>
      <w:r w:rsidRPr="00895D0B">
        <w:rPr>
          <w:rFonts w:cs="Times New Roman"/>
          <w:i/>
          <w:iCs/>
          <w:noProof/>
          <w:color w:val="000000" w:themeColor="text1"/>
          <w:szCs w:val="24"/>
        </w:rPr>
        <w:t>Journal of the World Aquaculture Society</w:t>
      </w:r>
      <w:r w:rsidRPr="00895D0B">
        <w:rPr>
          <w:rFonts w:cs="Times New Roman"/>
          <w:noProof/>
          <w:color w:val="000000" w:themeColor="text1"/>
          <w:szCs w:val="24"/>
        </w:rPr>
        <w:t xml:space="preserve">, </w:t>
      </w:r>
      <w:r w:rsidRPr="00895D0B">
        <w:rPr>
          <w:rFonts w:cs="Times New Roman"/>
          <w:i/>
          <w:iCs/>
          <w:noProof/>
          <w:color w:val="000000" w:themeColor="text1"/>
          <w:szCs w:val="24"/>
        </w:rPr>
        <w:t>49</w:t>
      </w:r>
      <w:r w:rsidRPr="00895D0B">
        <w:rPr>
          <w:rFonts w:cs="Times New Roman"/>
          <w:noProof/>
          <w:color w:val="000000" w:themeColor="text1"/>
          <w:szCs w:val="24"/>
        </w:rPr>
        <w:t>(3), 447–476. https://doi.org/10.1111/jwas.12514</w:t>
      </w:r>
    </w:p>
    <w:p w14:paraId="3A00834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Kumar, M., Ratwan, P., Dahiya, S. P., &amp; Nehra, A. K. (2021). Climate change and heat stress: Impact on production, reproduction and growth performance of poultry and its mitigation using genetic strategies. </w:t>
      </w:r>
      <w:r w:rsidRPr="00895D0B">
        <w:rPr>
          <w:rFonts w:cs="Times New Roman"/>
          <w:i/>
          <w:iCs/>
          <w:noProof/>
          <w:color w:val="000000" w:themeColor="text1"/>
          <w:szCs w:val="24"/>
        </w:rPr>
        <w:t>Journal of Thermal Biology</w:t>
      </w:r>
      <w:r w:rsidRPr="00895D0B">
        <w:rPr>
          <w:rFonts w:cs="Times New Roman"/>
          <w:noProof/>
          <w:color w:val="000000" w:themeColor="text1"/>
          <w:szCs w:val="24"/>
        </w:rPr>
        <w:t xml:space="preserve">, </w:t>
      </w:r>
      <w:r w:rsidRPr="00895D0B">
        <w:rPr>
          <w:rFonts w:cs="Times New Roman"/>
          <w:i/>
          <w:iCs/>
          <w:noProof/>
          <w:color w:val="000000" w:themeColor="text1"/>
          <w:szCs w:val="24"/>
        </w:rPr>
        <w:t>97</w:t>
      </w:r>
      <w:r w:rsidRPr="00895D0B">
        <w:rPr>
          <w:rFonts w:cs="Times New Roman"/>
          <w:noProof/>
          <w:color w:val="000000" w:themeColor="text1"/>
          <w:szCs w:val="24"/>
        </w:rPr>
        <w:t>(January), 102867. https://doi.org/10.1016/j.jtherbio.2021.102867</w:t>
      </w:r>
    </w:p>
    <w:p w14:paraId="40B9338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Kuusaana, E. D., &amp; Eledi, J. A. (2015). Customary land allocation, urbanization and land use planning in Ghana: Implications for food systems in the Wa Municipality.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48</w:t>
      </w:r>
      <w:r w:rsidRPr="00895D0B">
        <w:rPr>
          <w:rFonts w:cs="Times New Roman"/>
          <w:noProof/>
          <w:color w:val="000000" w:themeColor="text1"/>
          <w:szCs w:val="24"/>
        </w:rPr>
        <w:t>, 454–466. https://doi.org/10.1016/j.landusepol.2015.06.030</w:t>
      </w:r>
    </w:p>
    <w:p w14:paraId="1BF9A73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Lakshminarasimhappa, M. C. (2021). Web-Based and Smart Mobile App for Data Collection: Kobo Toolbox / Kobo Collect. </w:t>
      </w:r>
      <w:r w:rsidRPr="00895D0B">
        <w:rPr>
          <w:rFonts w:cs="Times New Roman"/>
          <w:i/>
          <w:iCs/>
          <w:noProof/>
          <w:color w:val="000000" w:themeColor="text1"/>
          <w:szCs w:val="24"/>
        </w:rPr>
        <w:t>The Journal of Indian Library Association (JILA)</w:t>
      </w:r>
      <w:r w:rsidRPr="00895D0B">
        <w:rPr>
          <w:rFonts w:cs="Times New Roman"/>
          <w:noProof/>
          <w:color w:val="000000" w:themeColor="text1"/>
          <w:szCs w:val="24"/>
        </w:rPr>
        <w:t xml:space="preserve">, </w:t>
      </w:r>
      <w:r w:rsidRPr="00895D0B">
        <w:rPr>
          <w:rFonts w:cs="Times New Roman"/>
          <w:i/>
          <w:iCs/>
          <w:noProof/>
          <w:color w:val="000000" w:themeColor="text1"/>
          <w:szCs w:val="24"/>
        </w:rPr>
        <w:t>57</w:t>
      </w:r>
      <w:r w:rsidRPr="00895D0B">
        <w:rPr>
          <w:rFonts w:cs="Times New Roman"/>
          <w:noProof/>
          <w:color w:val="000000" w:themeColor="text1"/>
          <w:szCs w:val="24"/>
        </w:rPr>
        <w:t>(2), 1–603.</w:t>
      </w:r>
    </w:p>
    <w:p w14:paraId="5391C50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Lal, R. (2020). Home gardening and urban agriculture for advancing food and nutritional security in response to the COVID-19 pandemic. </w:t>
      </w:r>
      <w:r w:rsidRPr="00895D0B">
        <w:rPr>
          <w:rFonts w:cs="Times New Roman"/>
          <w:i/>
          <w:iCs/>
          <w:noProof/>
          <w:color w:val="000000" w:themeColor="text1"/>
          <w:szCs w:val="24"/>
        </w:rPr>
        <w:t>Food Security</w:t>
      </w:r>
      <w:r w:rsidRPr="00895D0B">
        <w:rPr>
          <w:rFonts w:cs="Times New Roman"/>
          <w:noProof/>
          <w:color w:val="000000" w:themeColor="text1"/>
          <w:szCs w:val="24"/>
        </w:rPr>
        <w:t xml:space="preserve">, </w:t>
      </w:r>
      <w:r w:rsidRPr="00895D0B">
        <w:rPr>
          <w:rFonts w:cs="Times New Roman"/>
          <w:i/>
          <w:iCs/>
          <w:noProof/>
          <w:color w:val="000000" w:themeColor="text1"/>
          <w:szCs w:val="24"/>
        </w:rPr>
        <w:t>12</w:t>
      </w:r>
      <w:r w:rsidRPr="00895D0B">
        <w:rPr>
          <w:rFonts w:cs="Times New Roman"/>
          <w:noProof/>
          <w:color w:val="000000" w:themeColor="text1"/>
          <w:szCs w:val="24"/>
        </w:rPr>
        <w:t>(4), 871–876. https://doi.org/10.1007/s12571-020-01058-3</w:t>
      </w:r>
    </w:p>
    <w:p w14:paraId="1A40464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Langemeyer, J., Madrid-lopez, C., Mendoza, A., &amp; Villalba, G. (2021). Landscape and Urban Planning Urban agriculture — A necessary pathway towards urban resilience and global sustainability ? </w:t>
      </w:r>
      <w:r w:rsidRPr="00895D0B">
        <w:rPr>
          <w:rFonts w:cs="Times New Roman"/>
          <w:i/>
          <w:iCs/>
          <w:noProof/>
          <w:color w:val="000000" w:themeColor="text1"/>
          <w:szCs w:val="24"/>
        </w:rPr>
        <w:t>Landscape and Urban Planning</w:t>
      </w:r>
      <w:r w:rsidRPr="00895D0B">
        <w:rPr>
          <w:rFonts w:cs="Times New Roman"/>
          <w:noProof/>
          <w:color w:val="000000" w:themeColor="text1"/>
          <w:szCs w:val="24"/>
        </w:rPr>
        <w:t xml:space="preserve">, </w:t>
      </w:r>
      <w:r w:rsidRPr="00895D0B">
        <w:rPr>
          <w:rFonts w:cs="Times New Roman"/>
          <w:i/>
          <w:iCs/>
          <w:noProof/>
          <w:color w:val="000000" w:themeColor="text1"/>
          <w:szCs w:val="24"/>
        </w:rPr>
        <w:t>210</w:t>
      </w:r>
      <w:r w:rsidRPr="00895D0B">
        <w:rPr>
          <w:rFonts w:cs="Times New Roman"/>
          <w:noProof/>
          <w:color w:val="000000" w:themeColor="text1"/>
          <w:szCs w:val="24"/>
        </w:rPr>
        <w:t>, 104055. https://doi.org/10.1016/j.landurbplan.2021.104055</w:t>
      </w:r>
    </w:p>
    <w:p w14:paraId="2ED5F0F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Langemeyer, J., Madrid-Lopez, C., Mendoza Beltran, A., &amp; Villalba Mendez, G. (2021). Urban agriculture — A necessary pathway towards urban resilience and global sustainability? </w:t>
      </w:r>
      <w:r w:rsidRPr="00895D0B">
        <w:rPr>
          <w:rFonts w:cs="Times New Roman"/>
          <w:i/>
          <w:iCs/>
          <w:noProof/>
          <w:color w:val="000000" w:themeColor="text1"/>
          <w:szCs w:val="24"/>
        </w:rPr>
        <w:t>Landscape and Urban Planning</w:t>
      </w:r>
      <w:r w:rsidRPr="00895D0B">
        <w:rPr>
          <w:rFonts w:cs="Times New Roman"/>
          <w:noProof/>
          <w:color w:val="000000" w:themeColor="text1"/>
          <w:szCs w:val="24"/>
        </w:rPr>
        <w:t xml:space="preserve">, </w:t>
      </w:r>
      <w:r w:rsidRPr="00895D0B">
        <w:rPr>
          <w:rFonts w:cs="Times New Roman"/>
          <w:i/>
          <w:iCs/>
          <w:noProof/>
          <w:color w:val="000000" w:themeColor="text1"/>
          <w:szCs w:val="24"/>
        </w:rPr>
        <w:t>210</w:t>
      </w:r>
      <w:r w:rsidRPr="00895D0B">
        <w:rPr>
          <w:rFonts w:cs="Times New Roman"/>
          <w:noProof/>
          <w:color w:val="000000" w:themeColor="text1"/>
          <w:szCs w:val="24"/>
        </w:rPr>
        <w:t>, 104055. https://doi.org/10.1016/j.landurbplan.2021.104055</w:t>
      </w:r>
    </w:p>
    <w:p w14:paraId="608AB46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Lawson, E. T., Alare, R. S., Salifu, A. R. Z., &amp; Thompson-Hall, M. (2020). Dealing with climate change in semi-arid Ghana: understanding intersectional perceptions and adaptation strategies of women farmers. </w:t>
      </w:r>
      <w:r w:rsidRPr="00895D0B">
        <w:rPr>
          <w:rFonts w:cs="Times New Roman"/>
          <w:i/>
          <w:iCs/>
          <w:noProof/>
          <w:color w:val="000000" w:themeColor="text1"/>
          <w:szCs w:val="24"/>
        </w:rPr>
        <w:t>GeoJournal</w:t>
      </w:r>
      <w:r w:rsidRPr="00895D0B">
        <w:rPr>
          <w:rFonts w:cs="Times New Roman"/>
          <w:noProof/>
          <w:color w:val="000000" w:themeColor="text1"/>
          <w:szCs w:val="24"/>
        </w:rPr>
        <w:t xml:space="preserve">, </w:t>
      </w:r>
      <w:r w:rsidRPr="00895D0B">
        <w:rPr>
          <w:rFonts w:cs="Times New Roman"/>
          <w:i/>
          <w:iCs/>
          <w:noProof/>
          <w:color w:val="000000" w:themeColor="text1"/>
          <w:szCs w:val="24"/>
        </w:rPr>
        <w:t>85</w:t>
      </w:r>
      <w:r w:rsidRPr="00895D0B">
        <w:rPr>
          <w:rFonts w:cs="Times New Roman"/>
          <w:noProof/>
          <w:color w:val="000000" w:themeColor="text1"/>
          <w:szCs w:val="24"/>
        </w:rPr>
        <w:t>(2), 439–452. https://doi.org/10.1007/s10708-019-09974-4</w:t>
      </w:r>
    </w:p>
    <w:p w14:paraId="4438EBB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Lindahl, E., Sattorov, N., Boqvist, S., &amp; Magnusson, U. (2015). A study of knowledge, attitudes and practices relating to brucellosis among small-scale dairy farmers in an urban and peri-urban area of Tajikistan. </w:t>
      </w:r>
      <w:r w:rsidRPr="00895D0B">
        <w:rPr>
          <w:rFonts w:cs="Times New Roman"/>
          <w:i/>
          <w:iCs/>
          <w:noProof/>
          <w:color w:val="000000" w:themeColor="text1"/>
          <w:szCs w:val="24"/>
        </w:rPr>
        <w:t>PLoS ONE</w:t>
      </w:r>
      <w:r w:rsidRPr="00895D0B">
        <w:rPr>
          <w:rFonts w:cs="Times New Roman"/>
          <w:noProof/>
          <w:color w:val="000000" w:themeColor="text1"/>
          <w:szCs w:val="24"/>
        </w:rPr>
        <w:t xml:space="preserve">, </w:t>
      </w:r>
      <w:r w:rsidRPr="00895D0B">
        <w:rPr>
          <w:rFonts w:cs="Times New Roman"/>
          <w:i/>
          <w:iCs/>
          <w:noProof/>
          <w:color w:val="000000" w:themeColor="text1"/>
          <w:szCs w:val="24"/>
        </w:rPr>
        <w:t>10</w:t>
      </w:r>
      <w:r w:rsidRPr="00895D0B">
        <w:rPr>
          <w:rFonts w:cs="Times New Roman"/>
          <w:noProof/>
          <w:color w:val="000000" w:themeColor="text1"/>
          <w:szCs w:val="24"/>
        </w:rPr>
        <w:t>(2), 1–10. https://doi.org/10.1371/journal.pone.0117318</w:t>
      </w:r>
    </w:p>
    <w:p w14:paraId="56B7290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Lindblom, J., Lundström, C., Ljung, M., &amp; Jonsson, A. (2017). Promoting sustainable intensification in precision agriculture: review of decision support systems development and strategies. </w:t>
      </w:r>
      <w:r w:rsidRPr="00895D0B">
        <w:rPr>
          <w:rFonts w:cs="Times New Roman"/>
          <w:i/>
          <w:iCs/>
          <w:noProof/>
          <w:color w:val="000000" w:themeColor="text1"/>
          <w:szCs w:val="24"/>
        </w:rPr>
        <w:t>Precision Agriculture</w:t>
      </w:r>
      <w:r w:rsidRPr="00895D0B">
        <w:rPr>
          <w:rFonts w:cs="Times New Roman"/>
          <w:noProof/>
          <w:color w:val="000000" w:themeColor="text1"/>
          <w:szCs w:val="24"/>
        </w:rPr>
        <w:t xml:space="preserve">, </w:t>
      </w:r>
      <w:r w:rsidRPr="00895D0B">
        <w:rPr>
          <w:rFonts w:cs="Times New Roman"/>
          <w:i/>
          <w:iCs/>
          <w:noProof/>
          <w:color w:val="000000" w:themeColor="text1"/>
          <w:szCs w:val="24"/>
        </w:rPr>
        <w:t>18</w:t>
      </w:r>
      <w:r w:rsidRPr="00895D0B">
        <w:rPr>
          <w:rFonts w:cs="Times New Roman"/>
          <w:noProof/>
          <w:color w:val="000000" w:themeColor="text1"/>
          <w:szCs w:val="24"/>
        </w:rPr>
        <w:t>(3), 309–331. https://doi.org/10.1007/s11119-016-9491-4</w:t>
      </w:r>
    </w:p>
    <w:p w14:paraId="4BAD430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Lohrberg, F., Lička, L., Scazzosi, L., &amp; Timpe, A. (2016). Agriculture - EUROPA. In </w:t>
      </w:r>
      <w:r w:rsidRPr="00895D0B">
        <w:rPr>
          <w:rFonts w:cs="Times New Roman"/>
          <w:i/>
          <w:iCs/>
          <w:noProof/>
          <w:color w:val="000000" w:themeColor="text1"/>
          <w:szCs w:val="24"/>
        </w:rPr>
        <w:t>European Union</w:t>
      </w:r>
      <w:r w:rsidRPr="00895D0B">
        <w:rPr>
          <w:rFonts w:cs="Times New Roman"/>
          <w:noProof/>
          <w:color w:val="000000" w:themeColor="text1"/>
          <w:szCs w:val="24"/>
        </w:rPr>
        <w:t>. https://europa.eu/european-union/topics/agriculture_en</w:t>
      </w:r>
    </w:p>
    <w:p w14:paraId="50F0ABA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Maccracken, M. C. (2019). What is climate change? </w:t>
      </w:r>
      <w:r w:rsidRPr="00895D0B">
        <w:rPr>
          <w:rFonts w:cs="Times New Roman"/>
          <w:i/>
          <w:iCs/>
          <w:noProof/>
          <w:color w:val="000000" w:themeColor="text1"/>
          <w:szCs w:val="24"/>
        </w:rPr>
        <w:t>Biodiversity and Climate Change: Transforming the Biosphere</w:t>
      </w:r>
      <w:r w:rsidRPr="00895D0B">
        <w:rPr>
          <w:rFonts w:cs="Times New Roman"/>
          <w:noProof/>
          <w:color w:val="000000" w:themeColor="text1"/>
          <w:szCs w:val="24"/>
        </w:rPr>
        <w:t>, 12–22.</w:t>
      </w:r>
    </w:p>
    <w:p w14:paraId="3BF5C5D0"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Mack, E. A., Tong, D., &amp; Credit, K. (2017). Gardening in the desert: A spatial optimization approach to locating gardens in rapidly expanding urban environments. </w:t>
      </w:r>
      <w:r w:rsidRPr="00895D0B">
        <w:rPr>
          <w:rFonts w:cs="Times New Roman"/>
          <w:i/>
          <w:iCs/>
          <w:noProof/>
          <w:color w:val="000000" w:themeColor="text1"/>
          <w:szCs w:val="24"/>
        </w:rPr>
        <w:t>International Journal of Health Geographics</w:t>
      </w:r>
      <w:r w:rsidRPr="00895D0B">
        <w:rPr>
          <w:rFonts w:cs="Times New Roman"/>
          <w:noProof/>
          <w:color w:val="000000" w:themeColor="text1"/>
          <w:szCs w:val="24"/>
        </w:rPr>
        <w:t xml:space="preserve">, </w:t>
      </w:r>
      <w:r w:rsidRPr="00895D0B">
        <w:rPr>
          <w:rFonts w:cs="Times New Roman"/>
          <w:i/>
          <w:iCs/>
          <w:noProof/>
          <w:color w:val="000000" w:themeColor="text1"/>
          <w:szCs w:val="24"/>
        </w:rPr>
        <w:t>16</w:t>
      </w:r>
      <w:r w:rsidRPr="00895D0B">
        <w:rPr>
          <w:rFonts w:cs="Times New Roman"/>
          <w:noProof/>
          <w:color w:val="000000" w:themeColor="text1"/>
          <w:szCs w:val="24"/>
        </w:rPr>
        <w:t>(1), 1–16. https://doi.org/10.1186/s12942-017-0110-z</w:t>
      </w:r>
    </w:p>
    <w:p w14:paraId="06C0AB8F" w14:textId="77777777" w:rsidR="00731E67" w:rsidRPr="00895D0B"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5EB2937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Mackay, H. (2018). Mapping and characterising the urban agricultural landscape of two intermediate-sized Ghanaian cities.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70</w:t>
      </w:r>
      <w:r w:rsidRPr="00895D0B">
        <w:rPr>
          <w:rFonts w:cs="Times New Roman"/>
          <w:noProof/>
          <w:color w:val="000000" w:themeColor="text1"/>
          <w:szCs w:val="24"/>
        </w:rPr>
        <w:t>(October 2017), 182–197. https://doi.org/10.1016/j.landusepol.2017.10.031</w:t>
      </w:r>
    </w:p>
    <w:p w14:paraId="03D0A42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Magwaza, S. T., Magwaza, L. S., Odindo, A. O., &amp; Mditshwa, A. (2020). Hydroponic technology as decentralised system for domestic wastewater treatment and vegetable production in urban agriculture: A review. </w:t>
      </w:r>
      <w:r w:rsidRPr="00895D0B">
        <w:rPr>
          <w:rFonts w:cs="Times New Roman"/>
          <w:i/>
          <w:iCs/>
          <w:noProof/>
          <w:color w:val="000000" w:themeColor="text1"/>
          <w:szCs w:val="24"/>
        </w:rPr>
        <w:t>Science of the Total Environment</w:t>
      </w:r>
      <w:r w:rsidRPr="00895D0B">
        <w:rPr>
          <w:rFonts w:cs="Times New Roman"/>
          <w:noProof/>
          <w:color w:val="000000" w:themeColor="text1"/>
          <w:szCs w:val="24"/>
        </w:rPr>
        <w:t xml:space="preserve">, </w:t>
      </w:r>
      <w:r w:rsidRPr="00895D0B">
        <w:rPr>
          <w:rFonts w:cs="Times New Roman"/>
          <w:i/>
          <w:iCs/>
          <w:noProof/>
          <w:color w:val="000000" w:themeColor="text1"/>
          <w:szCs w:val="24"/>
        </w:rPr>
        <w:t>698</w:t>
      </w:r>
      <w:r w:rsidRPr="00895D0B">
        <w:rPr>
          <w:rFonts w:cs="Times New Roman"/>
          <w:noProof/>
          <w:color w:val="000000" w:themeColor="text1"/>
          <w:szCs w:val="24"/>
        </w:rPr>
        <w:t>, 134154. https://doi.org/10.1016/j.scitotenv.2019.134154</w:t>
      </w:r>
    </w:p>
    <w:p w14:paraId="76358D0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Maher, C., Hadfield, M., Hutchings, M., &amp; de Eyto, A. (2018). Ensuring Rigor in Qualitative Data Analysis: A Design Research Approach to Coding Combining NVivo With Traditional Material Methods. </w:t>
      </w:r>
      <w:r w:rsidRPr="00895D0B">
        <w:rPr>
          <w:rFonts w:cs="Times New Roman"/>
          <w:i/>
          <w:iCs/>
          <w:noProof/>
          <w:color w:val="000000" w:themeColor="text1"/>
          <w:szCs w:val="24"/>
        </w:rPr>
        <w:t>International Journal of Qualitative Methods</w:t>
      </w:r>
      <w:r w:rsidRPr="00895D0B">
        <w:rPr>
          <w:rFonts w:cs="Times New Roman"/>
          <w:noProof/>
          <w:color w:val="000000" w:themeColor="text1"/>
          <w:szCs w:val="24"/>
        </w:rPr>
        <w:t xml:space="preserve">, </w:t>
      </w:r>
      <w:r w:rsidRPr="00895D0B">
        <w:rPr>
          <w:rFonts w:cs="Times New Roman"/>
          <w:i/>
          <w:iCs/>
          <w:noProof/>
          <w:color w:val="000000" w:themeColor="text1"/>
          <w:szCs w:val="24"/>
        </w:rPr>
        <w:t>17</w:t>
      </w:r>
      <w:r w:rsidRPr="00895D0B">
        <w:rPr>
          <w:rFonts w:cs="Times New Roman"/>
          <w:noProof/>
          <w:color w:val="000000" w:themeColor="text1"/>
          <w:szCs w:val="24"/>
        </w:rPr>
        <w:t>(1), 1–13. https://doi.org/10.1177/1609406918786362</w:t>
      </w:r>
    </w:p>
    <w:p w14:paraId="7F6F6BB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Manka’abusi, D., Steiner, C., Akoto-Danso, E. K., Lompo, D. J. P., Haering, V., Werner, S., Marschner, B., &amp; Buerkert, A. (2019). Biochar application and wastewater irrigation in urban vegetable production of Ouagadougou, Burkina Faso. </w:t>
      </w:r>
      <w:r w:rsidRPr="00895D0B">
        <w:rPr>
          <w:rFonts w:cs="Times New Roman"/>
          <w:i/>
          <w:iCs/>
          <w:noProof/>
          <w:color w:val="000000" w:themeColor="text1"/>
          <w:szCs w:val="24"/>
        </w:rPr>
        <w:t>Nutrient Cycling in Agroecosystems</w:t>
      </w:r>
      <w:r w:rsidRPr="00895D0B">
        <w:rPr>
          <w:rFonts w:cs="Times New Roman"/>
          <w:noProof/>
          <w:color w:val="000000" w:themeColor="text1"/>
          <w:szCs w:val="24"/>
        </w:rPr>
        <w:t xml:space="preserve">, </w:t>
      </w:r>
      <w:r w:rsidRPr="00895D0B">
        <w:rPr>
          <w:rFonts w:cs="Times New Roman"/>
          <w:i/>
          <w:iCs/>
          <w:noProof/>
          <w:color w:val="000000" w:themeColor="text1"/>
          <w:szCs w:val="24"/>
        </w:rPr>
        <w:t>115</w:t>
      </w:r>
      <w:r w:rsidRPr="00895D0B">
        <w:rPr>
          <w:rFonts w:cs="Times New Roman"/>
          <w:noProof/>
          <w:color w:val="000000" w:themeColor="text1"/>
          <w:szCs w:val="24"/>
        </w:rPr>
        <w:t>(2), 263–279. https://doi.org/10.1007/s10705-019-09969-0</w:t>
      </w:r>
    </w:p>
    <w:p w14:paraId="7083BA7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Marie, M., Yirga, F., Haile, M., &amp; Tquabo, F. (2020). Farmers’ choices and factors affecting adoption of climate change adaptation strategies: evidence from northwestern Ethiopia. </w:t>
      </w:r>
      <w:r w:rsidRPr="00895D0B">
        <w:rPr>
          <w:rFonts w:cs="Times New Roman"/>
          <w:i/>
          <w:iCs/>
          <w:noProof/>
          <w:color w:val="000000" w:themeColor="text1"/>
          <w:szCs w:val="24"/>
        </w:rPr>
        <w:t>Heliyon</w:t>
      </w:r>
      <w:r w:rsidRPr="00895D0B">
        <w:rPr>
          <w:rFonts w:cs="Times New Roman"/>
          <w:noProof/>
          <w:color w:val="000000" w:themeColor="text1"/>
          <w:szCs w:val="24"/>
        </w:rPr>
        <w:t xml:space="preserve">, </w:t>
      </w:r>
      <w:r w:rsidRPr="00895D0B">
        <w:rPr>
          <w:rFonts w:cs="Times New Roman"/>
          <w:i/>
          <w:iCs/>
          <w:noProof/>
          <w:color w:val="000000" w:themeColor="text1"/>
          <w:szCs w:val="24"/>
        </w:rPr>
        <w:t>6</w:t>
      </w:r>
      <w:r w:rsidRPr="00895D0B">
        <w:rPr>
          <w:rFonts w:cs="Times New Roman"/>
          <w:noProof/>
          <w:color w:val="000000" w:themeColor="text1"/>
          <w:szCs w:val="24"/>
        </w:rPr>
        <w:t>(4), e03867. https://doi.org/10.1016/j.heliyon.2020.e03867</w:t>
      </w:r>
    </w:p>
    <w:p w14:paraId="089584F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Martellozzo, F., Landry, J. S., Plouffe, D., Seufert, V., Rowhani, P., &amp; Ramankutty, N. (2014). Urban agriculture: A global analysis of the space constraint to meet urban vegetable demand. </w:t>
      </w:r>
      <w:r w:rsidRPr="00895D0B">
        <w:rPr>
          <w:rFonts w:cs="Times New Roman"/>
          <w:i/>
          <w:iCs/>
          <w:noProof/>
          <w:color w:val="000000" w:themeColor="text1"/>
          <w:szCs w:val="24"/>
        </w:rPr>
        <w:t>Environmental Research Letters</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(6). https://doi.org/10.1088/1748-9326/9/6/064025</w:t>
      </w:r>
    </w:p>
    <w:p w14:paraId="6B1A6C1D"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Martin-Moreau, M., &amp; Ménascé, D. (2019). </w:t>
      </w:r>
      <w:r w:rsidRPr="00895D0B">
        <w:rPr>
          <w:rFonts w:cs="Times New Roman"/>
          <w:i/>
          <w:iCs/>
          <w:noProof/>
          <w:color w:val="000000" w:themeColor="text1"/>
          <w:szCs w:val="24"/>
        </w:rPr>
        <w:t>Field Actions Science Reports Urban Agriculture: Another Way to Feed Cities</w:t>
      </w:r>
      <w:r w:rsidRPr="00895D0B">
        <w:rPr>
          <w:rFonts w:cs="Times New Roman"/>
          <w:noProof/>
          <w:color w:val="000000" w:themeColor="text1"/>
          <w:szCs w:val="24"/>
        </w:rPr>
        <w:t>. 1–119.</w:t>
      </w:r>
    </w:p>
    <w:p w14:paraId="2ABD06F1" w14:textId="77777777" w:rsidR="00731E67"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516AF86B" w14:textId="77777777" w:rsidR="00731E67" w:rsidRPr="00895D0B"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6FB28ED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McClintock, N., Miewald, C., &amp; McCann, E. (2021). GOVERNING URBAN AGRICULTURE: Formalization, Resistance and Re-visioning in Two ‘Green’ Cities. </w:t>
      </w:r>
      <w:r w:rsidRPr="00895D0B">
        <w:rPr>
          <w:rFonts w:cs="Times New Roman"/>
          <w:i/>
          <w:iCs/>
          <w:noProof/>
          <w:color w:val="000000" w:themeColor="text1"/>
          <w:szCs w:val="24"/>
        </w:rPr>
        <w:t>International Journal of Urban and Regional Research</w:t>
      </w:r>
      <w:r w:rsidRPr="00895D0B">
        <w:rPr>
          <w:rFonts w:cs="Times New Roman"/>
          <w:noProof/>
          <w:color w:val="000000" w:themeColor="text1"/>
          <w:szCs w:val="24"/>
        </w:rPr>
        <w:t xml:space="preserve">, </w:t>
      </w:r>
      <w:r w:rsidRPr="00895D0B">
        <w:rPr>
          <w:rFonts w:cs="Times New Roman"/>
          <w:i/>
          <w:iCs/>
          <w:noProof/>
          <w:color w:val="000000" w:themeColor="text1"/>
          <w:szCs w:val="24"/>
        </w:rPr>
        <w:t>45</w:t>
      </w:r>
      <w:r w:rsidRPr="00895D0B">
        <w:rPr>
          <w:rFonts w:cs="Times New Roman"/>
          <w:noProof/>
          <w:color w:val="000000" w:themeColor="text1"/>
          <w:szCs w:val="24"/>
        </w:rPr>
        <w:t>(3), 498–518. https://doi.org/10.1111/1468-2427.12993</w:t>
      </w:r>
    </w:p>
    <w:p w14:paraId="301DD28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McClintock, N., &amp; Simpson, M. (2018). Stacking functions: identifying motivational frames guiding urban agriculture organizations and businesses in the United States and Canada. </w:t>
      </w:r>
      <w:r w:rsidRPr="00895D0B">
        <w:rPr>
          <w:rFonts w:cs="Times New Roman"/>
          <w:i/>
          <w:iCs/>
          <w:noProof/>
          <w:color w:val="000000" w:themeColor="text1"/>
          <w:szCs w:val="24"/>
        </w:rPr>
        <w:t>Agriculture and Human Values</w:t>
      </w:r>
      <w:r w:rsidRPr="00895D0B">
        <w:rPr>
          <w:rFonts w:cs="Times New Roman"/>
          <w:noProof/>
          <w:color w:val="000000" w:themeColor="text1"/>
          <w:szCs w:val="24"/>
        </w:rPr>
        <w:t xml:space="preserve">, </w:t>
      </w:r>
      <w:r w:rsidRPr="00895D0B">
        <w:rPr>
          <w:rFonts w:cs="Times New Roman"/>
          <w:i/>
          <w:iCs/>
          <w:noProof/>
          <w:color w:val="000000" w:themeColor="text1"/>
          <w:szCs w:val="24"/>
        </w:rPr>
        <w:t>35</w:t>
      </w:r>
      <w:r w:rsidRPr="00895D0B">
        <w:rPr>
          <w:rFonts w:cs="Times New Roman"/>
          <w:noProof/>
          <w:color w:val="000000" w:themeColor="text1"/>
          <w:szCs w:val="24"/>
        </w:rPr>
        <w:t>(1), 19–39. https://doi.org/10.1007/s10460-017-9784-x</w:t>
      </w:r>
    </w:p>
    <w:p w14:paraId="032330F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McCombs, B. L. (2012). What if we really had a research-validated model that supports simple L2L? </w:t>
      </w:r>
      <w:r w:rsidRPr="00895D0B">
        <w:rPr>
          <w:rFonts w:cs="Times New Roman"/>
          <w:i/>
          <w:iCs/>
          <w:noProof/>
          <w:color w:val="000000" w:themeColor="text1"/>
          <w:szCs w:val="24"/>
        </w:rPr>
        <w:t>עלון הנוטע</w:t>
      </w:r>
      <w:r w:rsidRPr="00895D0B">
        <w:rPr>
          <w:rFonts w:cs="Times New Roman"/>
          <w:noProof/>
          <w:color w:val="000000" w:themeColor="text1"/>
          <w:szCs w:val="24"/>
        </w:rPr>
        <w:t xml:space="preserve">, </w:t>
      </w:r>
      <w:r w:rsidRPr="00895D0B">
        <w:rPr>
          <w:rFonts w:cs="Times New Roman"/>
          <w:i/>
          <w:iCs/>
          <w:noProof/>
          <w:color w:val="000000" w:themeColor="text1"/>
          <w:szCs w:val="24"/>
        </w:rPr>
        <w:t>66</w:t>
      </w:r>
      <w:r w:rsidRPr="00895D0B">
        <w:rPr>
          <w:rFonts w:cs="Times New Roman"/>
          <w:noProof/>
          <w:color w:val="000000" w:themeColor="text1"/>
          <w:szCs w:val="24"/>
        </w:rPr>
        <w:t>, 37–39.</w:t>
      </w:r>
    </w:p>
    <w:p w14:paraId="781AEB2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McMahon, S. E. (2013). </w:t>
      </w:r>
      <w:r w:rsidRPr="00895D0B">
        <w:rPr>
          <w:rFonts w:cs="Times New Roman"/>
          <w:i/>
          <w:iCs/>
          <w:noProof/>
          <w:color w:val="000000" w:themeColor="text1"/>
          <w:szCs w:val="24"/>
        </w:rPr>
        <w:t>Mapping the epistemological journeys of five preservice teachers: the reconstruction of knowledge of challenging behaviour during professional experience</w:t>
      </w:r>
      <w:r w:rsidRPr="00895D0B">
        <w:rPr>
          <w:rFonts w:cs="Times New Roman"/>
          <w:noProof/>
          <w:color w:val="000000" w:themeColor="text1"/>
          <w:szCs w:val="24"/>
        </w:rPr>
        <w:t>. 1–435. http://ro.uow.edu.au/theses/3781</w:t>
      </w:r>
    </w:p>
    <w:p w14:paraId="3BBBBBB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Meenar, M., Morales, A., &amp; Bonarek, L. (2017). Regulatory Practices of Urban Agriculture: A Connection to Planning and Policy. </w:t>
      </w:r>
      <w:r w:rsidRPr="00895D0B">
        <w:rPr>
          <w:rFonts w:cs="Times New Roman"/>
          <w:i/>
          <w:iCs/>
          <w:noProof/>
          <w:color w:val="000000" w:themeColor="text1"/>
          <w:szCs w:val="24"/>
        </w:rPr>
        <w:t>Journal of the American Planning Association</w:t>
      </w:r>
      <w:r w:rsidRPr="00895D0B">
        <w:rPr>
          <w:rFonts w:cs="Times New Roman"/>
          <w:noProof/>
          <w:color w:val="000000" w:themeColor="text1"/>
          <w:szCs w:val="24"/>
        </w:rPr>
        <w:t xml:space="preserve">, </w:t>
      </w:r>
      <w:r w:rsidRPr="00895D0B">
        <w:rPr>
          <w:rFonts w:cs="Times New Roman"/>
          <w:i/>
          <w:iCs/>
          <w:noProof/>
          <w:color w:val="000000" w:themeColor="text1"/>
          <w:szCs w:val="24"/>
        </w:rPr>
        <w:t>83</w:t>
      </w:r>
      <w:r w:rsidRPr="00895D0B">
        <w:rPr>
          <w:rFonts w:cs="Times New Roman"/>
          <w:noProof/>
          <w:color w:val="000000" w:themeColor="text1"/>
          <w:szCs w:val="24"/>
        </w:rPr>
        <w:t>(4), 389–403. https://doi.org/10.1080/01944363.2017.1369359</w:t>
      </w:r>
    </w:p>
    <w:p w14:paraId="2C1E359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Meenar, M. R. (2017). Assessing the spatial connection between Urban agriculture and equity. </w:t>
      </w:r>
      <w:r w:rsidRPr="00895D0B">
        <w:rPr>
          <w:rFonts w:cs="Times New Roman"/>
          <w:i/>
          <w:iCs/>
          <w:noProof/>
          <w:color w:val="000000" w:themeColor="text1"/>
          <w:szCs w:val="24"/>
        </w:rPr>
        <w:t>Built Environment</w:t>
      </w:r>
      <w:r w:rsidRPr="00895D0B">
        <w:rPr>
          <w:rFonts w:cs="Times New Roman"/>
          <w:noProof/>
          <w:color w:val="000000" w:themeColor="text1"/>
          <w:szCs w:val="24"/>
        </w:rPr>
        <w:t xml:space="preserve">, </w:t>
      </w:r>
      <w:r w:rsidRPr="00895D0B">
        <w:rPr>
          <w:rFonts w:cs="Times New Roman"/>
          <w:i/>
          <w:iCs/>
          <w:noProof/>
          <w:color w:val="000000" w:themeColor="text1"/>
          <w:szCs w:val="24"/>
        </w:rPr>
        <w:t>43</w:t>
      </w:r>
      <w:r w:rsidRPr="00895D0B">
        <w:rPr>
          <w:rFonts w:cs="Times New Roman"/>
          <w:noProof/>
          <w:color w:val="000000" w:themeColor="text1"/>
          <w:szCs w:val="24"/>
        </w:rPr>
        <w:t>(3), 364–375. https://doi.org/10.2148/benv.43.3.364</w:t>
      </w:r>
    </w:p>
    <w:p w14:paraId="1DFA222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Mekuria, W., &amp; Mekonnen, K. (2018). Determinants of crop-livestock diversification in the mixed farming systems: Evidence from central highlands of Ethiopia. </w:t>
      </w:r>
      <w:r w:rsidRPr="00895D0B">
        <w:rPr>
          <w:rFonts w:cs="Times New Roman"/>
          <w:i/>
          <w:iCs/>
          <w:noProof/>
          <w:color w:val="000000" w:themeColor="text1"/>
          <w:szCs w:val="24"/>
        </w:rPr>
        <w:t>Agriculture and Food Security</w:t>
      </w:r>
      <w:r w:rsidRPr="00895D0B">
        <w:rPr>
          <w:rFonts w:cs="Times New Roman"/>
          <w:noProof/>
          <w:color w:val="000000" w:themeColor="text1"/>
          <w:szCs w:val="24"/>
        </w:rPr>
        <w:t xml:space="preserve">, </w:t>
      </w:r>
      <w:r w:rsidRPr="00895D0B">
        <w:rPr>
          <w:rFonts w:cs="Times New Roman"/>
          <w:i/>
          <w:iCs/>
          <w:noProof/>
          <w:color w:val="000000" w:themeColor="text1"/>
          <w:szCs w:val="24"/>
        </w:rPr>
        <w:t>7</w:t>
      </w:r>
      <w:r w:rsidRPr="00895D0B">
        <w:rPr>
          <w:rFonts w:cs="Times New Roman"/>
          <w:noProof/>
          <w:color w:val="000000" w:themeColor="text1"/>
          <w:szCs w:val="24"/>
        </w:rPr>
        <w:t>(1), 1–15. https://doi.org/10.1186/s40066-018-0212-2</w:t>
      </w:r>
    </w:p>
    <w:p w14:paraId="1FFD9654"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Meldrum, G., Mijatović, D., Rojas, W., Flores, J., Pinto, M., Mamani, G., Condori, E., Hilaquita, D., Gruberg, H., &amp; Padulosi, S. (2018). Climate change and crop diversity: farmers’ perceptions and adaptation on the Bolivian Altiplano. </w:t>
      </w:r>
      <w:r w:rsidRPr="00895D0B">
        <w:rPr>
          <w:rFonts w:cs="Times New Roman"/>
          <w:i/>
          <w:iCs/>
          <w:noProof/>
          <w:color w:val="000000" w:themeColor="text1"/>
          <w:szCs w:val="24"/>
        </w:rPr>
        <w:t>Environment, Development and Sustainability</w:t>
      </w:r>
      <w:r w:rsidRPr="00895D0B">
        <w:rPr>
          <w:rFonts w:cs="Times New Roman"/>
          <w:noProof/>
          <w:color w:val="000000" w:themeColor="text1"/>
          <w:szCs w:val="24"/>
        </w:rPr>
        <w:t xml:space="preserve">, </w:t>
      </w:r>
      <w:r w:rsidRPr="00895D0B">
        <w:rPr>
          <w:rFonts w:cs="Times New Roman"/>
          <w:i/>
          <w:iCs/>
          <w:noProof/>
          <w:color w:val="000000" w:themeColor="text1"/>
          <w:szCs w:val="24"/>
        </w:rPr>
        <w:t>20</w:t>
      </w:r>
      <w:r w:rsidRPr="00895D0B">
        <w:rPr>
          <w:rFonts w:cs="Times New Roman"/>
          <w:noProof/>
          <w:color w:val="000000" w:themeColor="text1"/>
          <w:szCs w:val="24"/>
        </w:rPr>
        <w:t>(2), 703–730. https://doi.org/10.1007/s10668-016-9906-4</w:t>
      </w:r>
    </w:p>
    <w:p w14:paraId="3034FC87" w14:textId="77777777" w:rsidR="00731E67" w:rsidRPr="00895D0B"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5E7CCBA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Meng, T., Florkowski, W. J., Sarpong, D. B., Chinnan, M. S., &amp; Resurreccion, A. V. A. (2018). Alimental food consumption among urban households: An empirical study of Ghana. </w:t>
      </w:r>
      <w:r w:rsidRPr="00895D0B">
        <w:rPr>
          <w:rFonts w:cs="Times New Roman"/>
          <w:i/>
          <w:iCs/>
          <w:noProof/>
          <w:color w:val="000000" w:themeColor="text1"/>
          <w:szCs w:val="24"/>
        </w:rPr>
        <w:t>Journal of Agricultural and Applied Economics</w:t>
      </w:r>
      <w:r w:rsidRPr="00895D0B">
        <w:rPr>
          <w:rFonts w:cs="Times New Roman"/>
          <w:noProof/>
          <w:color w:val="000000" w:themeColor="text1"/>
          <w:szCs w:val="24"/>
        </w:rPr>
        <w:t xml:space="preserve">, </w:t>
      </w:r>
      <w:r w:rsidRPr="00895D0B">
        <w:rPr>
          <w:rFonts w:cs="Times New Roman"/>
          <w:i/>
          <w:iCs/>
          <w:noProof/>
          <w:color w:val="000000" w:themeColor="text1"/>
          <w:szCs w:val="24"/>
        </w:rPr>
        <w:t>50</w:t>
      </w:r>
      <w:r w:rsidRPr="00895D0B">
        <w:rPr>
          <w:rFonts w:cs="Times New Roman"/>
          <w:noProof/>
          <w:color w:val="000000" w:themeColor="text1"/>
          <w:szCs w:val="24"/>
        </w:rPr>
        <w:t>(2), 188–211. https://doi.org/10.1017/aae.2017.30</w:t>
      </w:r>
    </w:p>
    <w:p w14:paraId="749E069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Meraner, M., &amp; Finger, R. (2019). Risk perceptions, preferences and management strategies: evidence from a case study using German livestock farmers. </w:t>
      </w:r>
      <w:r w:rsidRPr="00895D0B">
        <w:rPr>
          <w:rFonts w:cs="Times New Roman"/>
          <w:i/>
          <w:iCs/>
          <w:noProof/>
          <w:color w:val="000000" w:themeColor="text1"/>
          <w:szCs w:val="24"/>
        </w:rPr>
        <w:t>Journal of Risk Research</w:t>
      </w:r>
      <w:r w:rsidRPr="00895D0B">
        <w:rPr>
          <w:rFonts w:cs="Times New Roman"/>
          <w:noProof/>
          <w:color w:val="000000" w:themeColor="text1"/>
          <w:szCs w:val="24"/>
        </w:rPr>
        <w:t xml:space="preserve">, </w:t>
      </w:r>
      <w:r w:rsidRPr="00895D0B">
        <w:rPr>
          <w:rFonts w:cs="Times New Roman"/>
          <w:i/>
          <w:iCs/>
          <w:noProof/>
          <w:color w:val="000000" w:themeColor="text1"/>
          <w:szCs w:val="24"/>
        </w:rPr>
        <w:t>22</w:t>
      </w:r>
      <w:r w:rsidRPr="00895D0B">
        <w:rPr>
          <w:rFonts w:cs="Times New Roman"/>
          <w:noProof/>
          <w:color w:val="000000" w:themeColor="text1"/>
          <w:szCs w:val="24"/>
        </w:rPr>
        <w:t>(1), 110–135. https://doi.org/10.1080/13669877.2017.1351476</w:t>
      </w:r>
    </w:p>
    <w:p w14:paraId="6D705DF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Mertens, D. M. (2012). What Comes First? The Paradigm or the Approach? </w:t>
      </w:r>
      <w:r w:rsidRPr="00895D0B">
        <w:rPr>
          <w:rFonts w:cs="Times New Roman"/>
          <w:i/>
          <w:iCs/>
          <w:noProof/>
          <w:color w:val="000000" w:themeColor="text1"/>
          <w:szCs w:val="24"/>
        </w:rPr>
        <w:t>Journal of Mixed Methods Research</w:t>
      </w:r>
      <w:r w:rsidRPr="00895D0B">
        <w:rPr>
          <w:rFonts w:cs="Times New Roman"/>
          <w:noProof/>
          <w:color w:val="000000" w:themeColor="text1"/>
          <w:szCs w:val="24"/>
        </w:rPr>
        <w:t xml:space="preserve">, </w:t>
      </w:r>
      <w:r w:rsidRPr="00895D0B">
        <w:rPr>
          <w:rFonts w:cs="Times New Roman"/>
          <w:i/>
          <w:iCs/>
          <w:noProof/>
          <w:color w:val="000000" w:themeColor="text1"/>
          <w:szCs w:val="24"/>
        </w:rPr>
        <w:t>6</w:t>
      </w:r>
      <w:r w:rsidRPr="00895D0B">
        <w:rPr>
          <w:rFonts w:cs="Times New Roman"/>
          <w:noProof/>
          <w:color w:val="000000" w:themeColor="text1"/>
          <w:szCs w:val="24"/>
        </w:rPr>
        <w:t>(4), 255–257. https://doi.org/10.1177/1558689812461574</w:t>
      </w:r>
    </w:p>
    <w:p w14:paraId="0AD0EDA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Mertens, D. M., &amp; Hesse-Biber, S. (2013). Mixed Methods and Credibility of Evidence in Evaluation. </w:t>
      </w:r>
      <w:r w:rsidRPr="00895D0B">
        <w:rPr>
          <w:rFonts w:cs="Times New Roman"/>
          <w:i/>
          <w:iCs/>
          <w:noProof/>
          <w:color w:val="000000" w:themeColor="text1"/>
          <w:szCs w:val="24"/>
        </w:rPr>
        <w:t>New Directions for Evaluation</w:t>
      </w:r>
      <w:r w:rsidRPr="00895D0B">
        <w:rPr>
          <w:rFonts w:cs="Times New Roman"/>
          <w:noProof/>
          <w:color w:val="000000" w:themeColor="text1"/>
          <w:szCs w:val="24"/>
        </w:rPr>
        <w:t xml:space="preserve">, </w:t>
      </w:r>
      <w:r w:rsidRPr="00895D0B">
        <w:rPr>
          <w:rFonts w:cs="Times New Roman"/>
          <w:i/>
          <w:iCs/>
          <w:noProof/>
          <w:color w:val="000000" w:themeColor="text1"/>
          <w:szCs w:val="24"/>
        </w:rPr>
        <w:t>2013</w:t>
      </w:r>
      <w:r w:rsidRPr="00895D0B">
        <w:rPr>
          <w:rFonts w:cs="Times New Roman"/>
          <w:noProof/>
          <w:color w:val="000000" w:themeColor="text1"/>
          <w:szCs w:val="24"/>
        </w:rPr>
        <w:t>(138), 5–13. https://doi.org/10.1002/ev.20053</w:t>
      </w:r>
    </w:p>
    <w:p w14:paraId="0C39BFF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Miernicki, E. A., Lovell, S. T., &amp; Wortman, S. E. (2018). Raised Beds for Vegetable Production in Urban Agriculture. </w:t>
      </w:r>
      <w:r w:rsidRPr="00895D0B">
        <w:rPr>
          <w:rFonts w:cs="Times New Roman"/>
          <w:i/>
          <w:iCs/>
          <w:noProof/>
          <w:color w:val="000000" w:themeColor="text1"/>
          <w:szCs w:val="24"/>
        </w:rPr>
        <w:t>Urban Agriculture and Regional Food Systems</w:t>
      </w:r>
      <w:r w:rsidRPr="00895D0B">
        <w:rPr>
          <w:rFonts w:cs="Times New Roman"/>
          <w:noProof/>
          <w:color w:val="000000" w:themeColor="text1"/>
          <w:szCs w:val="24"/>
        </w:rPr>
        <w:t xml:space="preserve">, </w:t>
      </w:r>
      <w:r w:rsidRPr="00895D0B">
        <w:rPr>
          <w:rFonts w:cs="Times New Roman"/>
          <w:i/>
          <w:iCs/>
          <w:noProof/>
          <w:color w:val="000000" w:themeColor="text1"/>
          <w:szCs w:val="24"/>
        </w:rPr>
        <w:t>3</w:t>
      </w:r>
      <w:r w:rsidRPr="00895D0B">
        <w:rPr>
          <w:rFonts w:cs="Times New Roman"/>
          <w:noProof/>
          <w:color w:val="000000" w:themeColor="text1"/>
          <w:szCs w:val="24"/>
        </w:rPr>
        <w:t>(1), 1–10. https://doi.org/10.2134/urbanag2018.06.0002</w:t>
      </w:r>
    </w:p>
    <w:p w14:paraId="1E86253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Miettinen, R., Samra-Fredericks, D., &amp; Yanow, D. (2009). Re-turn to practice: An introductory essay. </w:t>
      </w:r>
      <w:r w:rsidRPr="00895D0B">
        <w:rPr>
          <w:rFonts w:cs="Times New Roman"/>
          <w:i/>
          <w:iCs/>
          <w:noProof/>
          <w:color w:val="000000" w:themeColor="text1"/>
          <w:szCs w:val="24"/>
        </w:rPr>
        <w:t>Organization Studies</w:t>
      </w:r>
      <w:r w:rsidRPr="00895D0B">
        <w:rPr>
          <w:rFonts w:cs="Times New Roman"/>
          <w:noProof/>
          <w:color w:val="000000" w:themeColor="text1"/>
          <w:szCs w:val="24"/>
        </w:rPr>
        <w:t xml:space="preserve">, </w:t>
      </w:r>
      <w:r w:rsidRPr="00895D0B">
        <w:rPr>
          <w:rFonts w:cs="Times New Roman"/>
          <w:i/>
          <w:iCs/>
          <w:noProof/>
          <w:color w:val="000000" w:themeColor="text1"/>
          <w:szCs w:val="24"/>
        </w:rPr>
        <w:t>30</w:t>
      </w:r>
      <w:r w:rsidRPr="00895D0B">
        <w:rPr>
          <w:rFonts w:cs="Times New Roman"/>
          <w:noProof/>
          <w:color w:val="000000" w:themeColor="text1"/>
          <w:szCs w:val="24"/>
        </w:rPr>
        <w:t>(12), 1309–1327. https://doi.org/10.1177/0170840609349860</w:t>
      </w:r>
    </w:p>
    <w:p w14:paraId="1B4EC1E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Ministry of Enviroenment Science Technology and Innotaion (MESTI). (2013). Ghana National Climate Change Policy Ministry. </w:t>
      </w:r>
      <w:r w:rsidRPr="00895D0B">
        <w:rPr>
          <w:rFonts w:cs="Times New Roman"/>
          <w:i/>
          <w:iCs/>
          <w:noProof/>
          <w:color w:val="000000" w:themeColor="text1"/>
          <w:szCs w:val="24"/>
        </w:rPr>
        <w:t>Atemwegs- Und Lungenkrankheiten</w:t>
      </w:r>
      <w:r w:rsidRPr="00895D0B">
        <w:rPr>
          <w:rFonts w:cs="Times New Roman"/>
          <w:noProof/>
          <w:color w:val="000000" w:themeColor="text1"/>
          <w:szCs w:val="24"/>
        </w:rPr>
        <w:t>, 1–88. https://www.otago.ac.nz/economics/otago642357.pdf%0Ahttps://doi.org/10.1186/s40066-018-0209-x%0Ahttp://www.indiaenvironmentportal.org.in/files/file/RuralLivelihoodsFoodSecurityRuralTransformation.pdf</w:t>
      </w:r>
    </w:p>
    <w:p w14:paraId="37720F6A"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Morgan, D. L. (2014). Pragmatism as a Paradigm for Social Research. </w:t>
      </w:r>
      <w:r w:rsidRPr="00895D0B">
        <w:rPr>
          <w:rFonts w:cs="Times New Roman"/>
          <w:i/>
          <w:iCs/>
          <w:noProof/>
          <w:color w:val="000000" w:themeColor="text1"/>
          <w:szCs w:val="24"/>
        </w:rPr>
        <w:t>Qualitative Inquiry</w:t>
      </w:r>
      <w:r w:rsidRPr="00895D0B">
        <w:rPr>
          <w:rFonts w:cs="Times New Roman"/>
          <w:noProof/>
          <w:color w:val="000000" w:themeColor="text1"/>
          <w:szCs w:val="24"/>
        </w:rPr>
        <w:t xml:space="preserve">, </w:t>
      </w:r>
      <w:r w:rsidRPr="00895D0B">
        <w:rPr>
          <w:rFonts w:cs="Times New Roman"/>
          <w:i/>
          <w:iCs/>
          <w:noProof/>
          <w:color w:val="000000" w:themeColor="text1"/>
          <w:szCs w:val="24"/>
        </w:rPr>
        <w:t>20</w:t>
      </w:r>
      <w:r w:rsidRPr="00895D0B">
        <w:rPr>
          <w:rFonts w:cs="Times New Roman"/>
          <w:noProof/>
          <w:color w:val="000000" w:themeColor="text1"/>
          <w:szCs w:val="24"/>
        </w:rPr>
        <w:t>(8), 1045–1053. https://doi.org/10.1177/1077800413513733</w:t>
      </w:r>
    </w:p>
    <w:p w14:paraId="574FF81F" w14:textId="77777777" w:rsidR="00731E67" w:rsidRPr="00895D0B"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2DC6347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Mukrimaa, S. S. N., Fahyuni, E. F., YULIA CITRA, A., Schulz, N.غ.سان, دaniredja, T., Faridli, E. M., &amp; Harmianto, S. (2016). Building resilience for adaptation to climate change in the agriculture sector. In </w:t>
      </w:r>
      <w:r w:rsidRPr="00895D0B">
        <w:rPr>
          <w:rFonts w:cs="Times New Roman"/>
          <w:i/>
          <w:iCs/>
          <w:noProof/>
          <w:color w:val="000000" w:themeColor="text1"/>
          <w:szCs w:val="24"/>
        </w:rPr>
        <w:t>Jurnal Penelitian Pendidikan Guru Sekolah Dasar</w:t>
      </w:r>
      <w:r w:rsidRPr="00895D0B">
        <w:rPr>
          <w:rFonts w:cs="Times New Roman"/>
          <w:noProof/>
          <w:color w:val="000000" w:themeColor="text1"/>
          <w:szCs w:val="24"/>
        </w:rPr>
        <w:t xml:space="preserve"> (Vol. 6, Issue August).</w:t>
      </w:r>
    </w:p>
    <w:p w14:paraId="27D6B23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Mwinkom, F. X. K., Damnyag, L., Abugre, S., &amp; Alhassan, S. I. (2021). Factors influencing climate change adaptation strategies in North-Western Ghana: evidence of farmers in the Black Volta Basin in Upper West region. </w:t>
      </w:r>
      <w:r w:rsidRPr="00895D0B">
        <w:rPr>
          <w:rFonts w:cs="Times New Roman"/>
          <w:i/>
          <w:iCs/>
          <w:noProof/>
          <w:color w:val="000000" w:themeColor="text1"/>
          <w:szCs w:val="24"/>
        </w:rPr>
        <w:t>SN Applied Sciences</w:t>
      </w:r>
      <w:r w:rsidRPr="00895D0B">
        <w:rPr>
          <w:rFonts w:cs="Times New Roman"/>
          <w:noProof/>
          <w:color w:val="000000" w:themeColor="text1"/>
          <w:szCs w:val="24"/>
        </w:rPr>
        <w:t xml:space="preserve">, </w:t>
      </w:r>
      <w:r w:rsidRPr="00895D0B">
        <w:rPr>
          <w:rFonts w:cs="Times New Roman"/>
          <w:i/>
          <w:iCs/>
          <w:noProof/>
          <w:color w:val="000000" w:themeColor="text1"/>
          <w:szCs w:val="24"/>
        </w:rPr>
        <w:t>3</w:t>
      </w:r>
      <w:r w:rsidRPr="00895D0B">
        <w:rPr>
          <w:rFonts w:cs="Times New Roman"/>
          <w:noProof/>
          <w:color w:val="000000" w:themeColor="text1"/>
          <w:szCs w:val="24"/>
        </w:rPr>
        <w:t>(5), 1–20. https://doi.org/10.1007/s42452-021-04503-w</w:t>
      </w:r>
    </w:p>
    <w:p w14:paraId="727F8F5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Napogbong, L. A., Domapielle, M. K., &amp; Derbile, E. K. (2021). Indigenous knowledge and community-based risk assessment of climate change among the fulani herder community of Kpongu, North-Western Ghana. </w:t>
      </w:r>
      <w:r w:rsidRPr="00895D0B">
        <w:rPr>
          <w:rFonts w:cs="Times New Roman"/>
          <w:i/>
          <w:iCs/>
          <w:noProof/>
          <w:color w:val="000000" w:themeColor="text1"/>
          <w:szCs w:val="24"/>
        </w:rPr>
        <w:t>Journal of Water and Climate Change</w:t>
      </w:r>
      <w:r w:rsidRPr="00895D0B">
        <w:rPr>
          <w:rFonts w:cs="Times New Roman"/>
          <w:noProof/>
          <w:color w:val="000000" w:themeColor="text1"/>
          <w:szCs w:val="24"/>
        </w:rPr>
        <w:t xml:space="preserve">, </w:t>
      </w:r>
      <w:r w:rsidRPr="00895D0B">
        <w:rPr>
          <w:rFonts w:cs="Times New Roman"/>
          <w:i/>
          <w:iCs/>
          <w:noProof/>
          <w:color w:val="000000" w:themeColor="text1"/>
          <w:szCs w:val="24"/>
        </w:rPr>
        <w:t>12</w:t>
      </w:r>
      <w:r w:rsidRPr="00895D0B">
        <w:rPr>
          <w:rFonts w:cs="Times New Roman"/>
          <w:noProof/>
          <w:color w:val="000000" w:themeColor="text1"/>
          <w:szCs w:val="24"/>
        </w:rPr>
        <w:t>(2), 484–501. https://doi.org/10.2166/wcc.2020.236</w:t>
      </w:r>
    </w:p>
    <w:p w14:paraId="22A9FE2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Nardone, A., Ronchi, B., Lacetera, N., Ranieri, M. S., &amp; Bernabucci, U. (2010). Effects of climate changes on animal production and sustainability of livestock systems </w:t>
      </w:r>
      <w:r w:rsidRPr="00895D0B">
        <w:rPr>
          <w:rFonts w:ascii="Segoe UI Symbol" w:hAnsi="Segoe UI Symbol" w:cs="Segoe UI Symbol"/>
          <w:noProof/>
          <w:color w:val="000000" w:themeColor="text1"/>
          <w:szCs w:val="24"/>
        </w:rPr>
        <w:t>☆</w:t>
      </w:r>
      <w:r w:rsidRPr="00895D0B">
        <w:rPr>
          <w:rFonts w:cs="Times New Roman"/>
          <w:noProof/>
          <w:color w:val="000000" w:themeColor="text1"/>
          <w:szCs w:val="24"/>
        </w:rPr>
        <w:t xml:space="preserve">. </w:t>
      </w:r>
      <w:r w:rsidRPr="00895D0B">
        <w:rPr>
          <w:rFonts w:cs="Times New Roman"/>
          <w:i/>
          <w:iCs/>
          <w:noProof/>
          <w:color w:val="000000" w:themeColor="text1"/>
          <w:szCs w:val="24"/>
        </w:rPr>
        <w:t>Livestock Science</w:t>
      </w:r>
      <w:r w:rsidRPr="00895D0B">
        <w:rPr>
          <w:rFonts w:cs="Times New Roman"/>
          <w:noProof/>
          <w:color w:val="000000" w:themeColor="text1"/>
          <w:szCs w:val="24"/>
        </w:rPr>
        <w:t xml:space="preserve">, </w:t>
      </w:r>
      <w:r w:rsidRPr="00895D0B">
        <w:rPr>
          <w:rFonts w:cs="Times New Roman"/>
          <w:i/>
          <w:iCs/>
          <w:noProof/>
          <w:color w:val="000000" w:themeColor="text1"/>
          <w:szCs w:val="24"/>
        </w:rPr>
        <w:t>130</w:t>
      </w:r>
      <w:r w:rsidRPr="00895D0B">
        <w:rPr>
          <w:rFonts w:cs="Times New Roman"/>
          <w:noProof/>
          <w:color w:val="000000" w:themeColor="text1"/>
          <w:szCs w:val="24"/>
        </w:rPr>
        <w:t>(1–3), 57–69. https://doi.org/10.1016/j.livsci.2010.02.011</w:t>
      </w:r>
    </w:p>
    <w:p w14:paraId="6E86FA7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Nchanji, E. B. (2017). Sustainable urban agriculture in Ghana: What governance systemworks? </w:t>
      </w:r>
      <w:r w:rsidRPr="00895D0B">
        <w:rPr>
          <w:rFonts w:cs="Times New Roman"/>
          <w:i/>
          <w:iCs/>
          <w:noProof/>
          <w:color w:val="000000" w:themeColor="text1"/>
          <w:szCs w:val="24"/>
        </w:rPr>
        <w:t>Sustainability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(11), 1–18. https://doi.org/10.3390/su9112090</w:t>
      </w:r>
    </w:p>
    <w:p w14:paraId="4B42EC0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Nchanji, E. B., &amp; Nchanji, Y. K. (2022). Urban farmers coping strategies in the wake of urbanization and changing market in Tamale, Northern Ghana.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121</w:t>
      </w:r>
      <w:r w:rsidRPr="00895D0B">
        <w:rPr>
          <w:rFonts w:cs="Times New Roman"/>
          <w:noProof/>
          <w:color w:val="000000" w:themeColor="text1"/>
          <w:szCs w:val="24"/>
        </w:rPr>
        <w:t>(June 2020), 106312. https://doi.org/10.1016/j.landusepol.2022.106312</w:t>
      </w:r>
    </w:p>
    <w:p w14:paraId="6166029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Neef, A., Ngin, C., Moreda, T., &amp; Mollett, S. (2023). Global land and resource grabbing: An introduction. </w:t>
      </w:r>
      <w:r w:rsidRPr="00895D0B">
        <w:rPr>
          <w:rFonts w:cs="Times New Roman"/>
          <w:i/>
          <w:iCs/>
          <w:noProof/>
          <w:color w:val="000000" w:themeColor="text1"/>
          <w:szCs w:val="24"/>
        </w:rPr>
        <w:t>Routledge Handbook of Global Land and Resource Grabbing</w:t>
      </w:r>
      <w:r w:rsidRPr="00895D0B">
        <w:rPr>
          <w:rFonts w:cs="Times New Roman"/>
          <w:noProof/>
          <w:color w:val="000000" w:themeColor="text1"/>
          <w:szCs w:val="24"/>
        </w:rPr>
        <w:t>, 1–17. https://doi.org/10.4324/9781003080916-1</w:t>
      </w:r>
    </w:p>
    <w:p w14:paraId="217E353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Neina, D. (2021). Ecological and Edaphic Drivers of Yam Production in West Africa. </w:t>
      </w:r>
      <w:r w:rsidRPr="00895D0B">
        <w:rPr>
          <w:rFonts w:cs="Times New Roman"/>
          <w:i/>
          <w:iCs/>
          <w:noProof/>
          <w:color w:val="000000" w:themeColor="text1"/>
          <w:szCs w:val="24"/>
        </w:rPr>
        <w:t>Applied and Environmental Soil Science</w:t>
      </w:r>
      <w:r w:rsidRPr="00895D0B">
        <w:rPr>
          <w:rFonts w:cs="Times New Roman"/>
          <w:noProof/>
          <w:color w:val="000000" w:themeColor="text1"/>
          <w:szCs w:val="24"/>
        </w:rPr>
        <w:t xml:space="preserve">, </w:t>
      </w:r>
      <w:r w:rsidRPr="00895D0B">
        <w:rPr>
          <w:rFonts w:cs="Times New Roman"/>
          <w:i/>
          <w:iCs/>
          <w:noProof/>
          <w:color w:val="000000" w:themeColor="text1"/>
          <w:szCs w:val="24"/>
        </w:rPr>
        <w:t>2021</w:t>
      </w:r>
      <w:r w:rsidRPr="00895D0B">
        <w:rPr>
          <w:rFonts w:cs="Times New Roman"/>
          <w:noProof/>
          <w:color w:val="000000" w:themeColor="text1"/>
          <w:szCs w:val="24"/>
        </w:rPr>
        <w:t>. https://doi.org/10.1155/2021/5019481</w:t>
      </w:r>
    </w:p>
    <w:p w14:paraId="01CC816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Nha, V. T. T. (2021). Understanding validity and reliability from qualitative and quantitative research traditions. </w:t>
      </w:r>
      <w:r w:rsidRPr="00895D0B">
        <w:rPr>
          <w:rFonts w:cs="Times New Roman"/>
          <w:i/>
          <w:iCs/>
          <w:noProof/>
          <w:color w:val="000000" w:themeColor="text1"/>
          <w:szCs w:val="24"/>
        </w:rPr>
        <w:t>VNU Journal of Foreign Studies</w:t>
      </w:r>
      <w:r w:rsidRPr="00895D0B">
        <w:rPr>
          <w:rFonts w:cs="Times New Roman"/>
          <w:noProof/>
          <w:color w:val="000000" w:themeColor="text1"/>
          <w:szCs w:val="24"/>
        </w:rPr>
        <w:t xml:space="preserve">, </w:t>
      </w:r>
      <w:r w:rsidRPr="00895D0B">
        <w:rPr>
          <w:rFonts w:cs="Times New Roman"/>
          <w:i/>
          <w:iCs/>
          <w:noProof/>
          <w:color w:val="000000" w:themeColor="text1"/>
          <w:szCs w:val="24"/>
        </w:rPr>
        <w:t>37</w:t>
      </w:r>
      <w:r w:rsidRPr="00895D0B">
        <w:rPr>
          <w:rFonts w:cs="Times New Roman"/>
          <w:noProof/>
          <w:color w:val="000000" w:themeColor="text1"/>
          <w:szCs w:val="24"/>
        </w:rPr>
        <w:t>(3), 1–10. https://doi.org/10.25073/2525-2445/vnufs.4672</w:t>
      </w:r>
    </w:p>
    <w:p w14:paraId="1D8E3BD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Nightingale, A. J., Eriksen, S., Taylor, M., Forsyth, T., Pelling, M., Newsham, A., Boyd, E., Brown, K., Harvey, B., Jones, L., Kerr, R. B., Mehta, L., Naess, L. O., Scoones, I., Tanner, T., &amp; Whitfield, S. (2020). </w:t>
      </w:r>
      <w:r w:rsidRPr="00895D0B">
        <w:rPr>
          <w:rFonts w:cs="Times New Roman"/>
          <w:i/>
          <w:iCs/>
          <w:noProof/>
          <w:color w:val="000000" w:themeColor="text1"/>
          <w:szCs w:val="24"/>
        </w:rPr>
        <w:t>Beyond Technical Fixes : climate solutions and the great derangement</w:t>
      </w:r>
      <w:r w:rsidRPr="00895D0B">
        <w:rPr>
          <w:rFonts w:cs="Times New Roman"/>
          <w:noProof/>
          <w:color w:val="000000" w:themeColor="text1"/>
          <w:szCs w:val="24"/>
        </w:rPr>
        <w:t>. https://doi.org/10.1080/17565529.2019.1624495</w:t>
      </w:r>
    </w:p>
    <w:p w14:paraId="749B847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Nigussie, S., Liu, L., &amp; Yeshitela, K. (2021). Towards improving food security in urban and peri-urban areas in Ethiopia through map analysis for planning. </w:t>
      </w:r>
      <w:r w:rsidRPr="00895D0B">
        <w:rPr>
          <w:rFonts w:cs="Times New Roman"/>
          <w:i/>
          <w:iCs/>
          <w:noProof/>
          <w:color w:val="000000" w:themeColor="text1"/>
          <w:szCs w:val="24"/>
        </w:rPr>
        <w:t>Urban Forestry and Urban Greening</w:t>
      </w:r>
      <w:r w:rsidRPr="00895D0B">
        <w:rPr>
          <w:rFonts w:cs="Times New Roman"/>
          <w:noProof/>
          <w:color w:val="000000" w:themeColor="text1"/>
          <w:szCs w:val="24"/>
        </w:rPr>
        <w:t xml:space="preserve">, </w:t>
      </w:r>
      <w:r w:rsidRPr="00895D0B">
        <w:rPr>
          <w:rFonts w:cs="Times New Roman"/>
          <w:i/>
          <w:iCs/>
          <w:noProof/>
          <w:color w:val="000000" w:themeColor="text1"/>
          <w:szCs w:val="24"/>
        </w:rPr>
        <w:t>58</w:t>
      </w:r>
      <w:r w:rsidRPr="00895D0B">
        <w:rPr>
          <w:rFonts w:cs="Times New Roman"/>
          <w:noProof/>
          <w:color w:val="000000" w:themeColor="text1"/>
          <w:szCs w:val="24"/>
        </w:rPr>
        <w:t>(May 2020), 126967. https://doi.org/10.1016/j.ufug.2020.126967</w:t>
      </w:r>
    </w:p>
    <w:p w14:paraId="0D36EC9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Nkrumah, A. (2018). Immigrants’ Transnational Entrepreneurial Activities: the Case of Ghanaian Immigrants in Canada. </w:t>
      </w:r>
      <w:r w:rsidRPr="00895D0B">
        <w:rPr>
          <w:rFonts w:cs="Times New Roman"/>
          <w:i/>
          <w:iCs/>
          <w:noProof/>
          <w:color w:val="000000" w:themeColor="text1"/>
          <w:szCs w:val="24"/>
        </w:rPr>
        <w:t>Journal of International Migration and Integration</w:t>
      </w:r>
      <w:r w:rsidRPr="00895D0B">
        <w:rPr>
          <w:rFonts w:cs="Times New Roman"/>
          <w:noProof/>
          <w:color w:val="000000" w:themeColor="text1"/>
          <w:szCs w:val="24"/>
        </w:rPr>
        <w:t xml:space="preserve">, </w:t>
      </w:r>
      <w:r w:rsidRPr="00895D0B">
        <w:rPr>
          <w:rFonts w:cs="Times New Roman"/>
          <w:i/>
          <w:iCs/>
          <w:noProof/>
          <w:color w:val="000000" w:themeColor="text1"/>
          <w:szCs w:val="24"/>
        </w:rPr>
        <w:t>19</w:t>
      </w:r>
      <w:r w:rsidRPr="00895D0B">
        <w:rPr>
          <w:rFonts w:cs="Times New Roman"/>
          <w:noProof/>
          <w:color w:val="000000" w:themeColor="text1"/>
          <w:szCs w:val="24"/>
        </w:rPr>
        <w:t>(1), 195–211. https://doi.org/10.1007/s12134-017-0535-z</w:t>
      </w:r>
    </w:p>
    <w:p w14:paraId="0F1FC28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Nogeire-McRae, T., Ryan, E. P., Jablonski, B. B. R., Carolan, M., Arathi, H. S., Brown, C. S., Saki, H. H., McKeen, S., Lapansky, E., &amp; Schipanski, M. E. (2018). The role of urban agriculture in a secure, healthy, and sustainable food system. </w:t>
      </w:r>
      <w:r w:rsidRPr="00895D0B">
        <w:rPr>
          <w:rFonts w:cs="Times New Roman"/>
          <w:i/>
          <w:iCs/>
          <w:noProof/>
          <w:color w:val="000000" w:themeColor="text1"/>
          <w:szCs w:val="24"/>
        </w:rPr>
        <w:t>BioScience</w:t>
      </w:r>
      <w:r w:rsidRPr="00895D0B">
        <w:rPr>
          <w:rFonts w:cs="Times New Roman"/>
          <w:noProof/>
          <w:color w:val="000000" w:themeColor="text1"/>
          <w:szCs w:val="24"/>
        </w:rPr>
        <w:t xml:space="preserve">, </w:t>
      </w:r>
      <w:r w:rsidRPr="00895D0B">
        <w:rPr>
          <w:rFonts w:cs="Times New Roman"/>
          <w:i/>
          <w:iCs/>
          <w:noProof/>
          <w:color w:val="000000" w:themeColor="text1"/>
          <w:szCs w:val="24"/>
        </w:rPr>
        <w:t>68</w:t>
      </w:r>
      <w:r w:rsidRPr="00895D0B">
        <w:rPr>
          <w:rFonts w:cs="Times New Roman"/>
          <w:noProof/>
          <w:color w:val="000000" w:themeColor="text1"/>
          <w:szCs w:val="24"/>
        </w:rPr>
        <w:t>(10), 748–759. https://doi.org/10.1093/biosci/biy071</w:t>
      </w:r>
    </w:p>
    <w:p w14:paraId="5075EB0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Nonvide, G. M. A. (2017). Effect of Adoption of Irrigation on Rice Yield in the Municipality of Malanville, Benin. </w:t>
      </w:r>
      <w:r w:rsidRPr="00895D0B">
        <w:rPr>
          <w:rFonts w:cs="Times New Roman"/>
          <w:i/>
          <w:iCs/>
          <w:noProof/>
          <w:color w:val="000000" w:themeColor="text1"/>
          <w:szCs w:val="24"/>
        </w:rPr>
        <w:t>African Development Review</w:t>
      </w:r>
      <w:r w:rsidRPr="00895D0B">
        <w:rPr>
          <w:rFonts w:cs="Times New Roman"/>
          <w:noProof/>
          <w:color w:val="000000" w:themeColor="text1"/>
          <w:szCs w:val="24"/>
        </w:rPr>
        <w:t xml:space="preserve">, </w:t>
      </w:r>
      <w:r w:rsidRPr="00895D0B">
        <w:rPr>
          <w:rFonts w:cs="Times New Roman"/>
          <w:i/>
          <w:iCs/>
          <w:noProof/>
          <w:color w:val="000000" w:themeColor="text1"/>
          <w:szCs w:val="24"/>
        </w:rPr>
        <w:t>29</w:t>
      </w:r>
      <w:r w:rsidRPr="00895D0B">
        <w:rPr>
          <w:rFonts w:cs="Times New Roman"/>
          <w:noProof/>
          <w:color w:val="000000" w:themeColor="text1"/>
          <w:szCs w:val="24"/>
        </w:rPr>
        <w:t>, 109–120. https://doi.org/10.1111/1467-8268.12266</w:t>
      </w:r>
    </w:p>
    <w:p w14:paraId="56C5C09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Ntshangase, N. L., Muroyiwa, B., &amp; Sibanda, M. (2018). Farmers’ perceptions and factors influencing the adoption of no-till conservation agriculture by small-scale farmers in Zashuke, KwaZulu-Natal province. </w:t>
      </w:r>
      <w:r w:rsidRPr="00895D0B">
        <w:rPr>
          <w:rFonts w:cs="Times New Roman"/>
          <w:i/>
          <w:iCs/>
          <w:noProof/>
          <w:color w:val="000000" w:themeColor="text1"/>
          <w:szCs w:val="24"/>
        </w:rPr>
        <w:t>Sustainability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10</w:t>
      </w:r>
      <w:r w:rsidRPr="00895D0B">
        <w:rPr>
          <w:rFonts w:cs="Times New Roman"/>
          <w:noProof/>
          <w:color w:val="000000" w:themeColor="text1"/>
          <w:szCs w:val="24"/>
        </w:rPr>
        <w:t>(2). https://doi.org/10.3390/su10020555</w:t>
      </w:r>
    </w:p>
    <w:p w14:paraId="7B7AF76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Nweke, F. I., Aidoo, R., &amp; Okoye, B. (2019). Yam Consumption Patterns in West Africa. </w:t>
      </w:r>
      <w:r w:rsidRPr="00895D0B">
        <w:rPr>
          <w:rFonts w:cs="Times New Roman"/>
          <w:i/>
          <w:iCs/>
          <w:noProof/>
          <w:color w:val="000000" w:themeColor="text1"/>
          <w:szCs w:val="24"/>
        </w:rPr>
        <w:t>Gates Open Res (Draft Report for BMGF)</w:t>
      </w:r>
      <w:r w:rsidRPr="00895D0B">
        <w:rPr>
          <w:rFonts w:cs="Times New Roman"/>
          <w:noProof/>
          <w:color w:val="000000" w:themeColor="text1"/>
          <w:szCs w:val="24"/>
        </w:rPr>
        <w:t xml:space="preserve">, </w:t>
      </w:r>
      <w:r w:rsidRPr="00895D0B">
        <w:rPr>
          <w:rFonts w:cs="Times New Roman"/>
          <w:i/>
          <w:iCs/>
          <w:noProof/>
          <w:color w:val="000000" w:themeColor="text1"/>
          <w:szCs w:val="24"/>
        </w:rPr>
        <w:t>3</w:t>
      </w:r>
      <w:r w:rsidRPr="00895D0B">
        <w:rPr>
          <w:rFonts w:cs="Times New Roman"/>
          <w:noProof/>
          <w:color w:val="000000" w:themeColor="text1"/>
          <w:szCs w:val="24"/>
        </w:rPr>
        <w:t>, 637. https://agriknowledge.org/downloads/3x816m672</w:t>
      </w:r>
    </w:p>
    <w:p w14:paraId="37736A9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Obayelu, A. E., Ogunmola, O. O., &amp; Sowande, O. K. (2017). Economic Analysis and the Determinants of Pig Production in Ogun State, Nigeria. </w:t>
      </w:r>
      <w:r w:rsidRPr="00895D0B">
        <w:rPr>
          <w:rFonts w:cs="Times New Roman"/>
          <w:i/>
          <w:iCs/>
          <w:noProof/>
          <w:color w:val="000000" w:themeColor="text1"/>
          <w:szCs w:val="24"/>
        </w:rPr>
        <w:t>Agricultura Tropica et Subtropica</w:t>
      </w:r>
      <w:r w:rsidRPr="00895D0B">
        <w:rPr>
          <w:rFonts w:cs="Times New Roman"/>
          <w:noProof/>
          <w:color w:val="000000" w:themeColor="text1"/>
          <w:szCs w:val="24"/>
        </w:rPr>
        <w:t xml:space="preserve">, </w:t>
      </w:r>
      <w:r w:rsidRPr="00895D0B">
        <w:rPr>
          <w:rFonts w:cs="Times New Roman"/>
          <w:i/>
          <w:iCs/>
          <w:noProof/>
          <w:color w:val="000000" w:themeColor="text1"/>
          <w:szCs w:val="24"/>
        </w:rPr>
        <w:t>50</w:t>
      </w:r>
      <w:r w:rsidRPr="00895D0B">
        <w:rPr>
          <w:rFonts w:cs="Times New Roman"/>
          <w:noProof/>
          <w:color w:val="000000" w:themeColor="text1"/>
          <w:szCs w:val="24"/>
        </w:rPr>
        <w:t>(2), 61–70. https://doi.org/10.1515/ats-2017-0007</w:t>
      </w:r>
    </w:p>
    <w:p w14:paraId="61CBFF4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Oduro-Appiah, J., Kpienbaareh, D., &amp; Adomako, J. A. A. (2022). Built-up area expansion in the Wa Municipality of Ghana: implications for vegetation cover loss and fragmentation. </w:t>
      </w:r>
      <w:r w:rsidRPr="00895D0B">
        <w:rPr>
          <w:rFonts w:cs="Times New Roman"/>
          <w:i/>
          <w:iCs/>
          <w:noProof/>
          <w:color w:val="000000" w:themeColor="text1"/>
          <w:szCs w:val="24"/>
        </w:rPr>
        <w:t>African Geographical Review</w:t>
      </w:r>
      <w:r w:rsidRPr="00895D0B">
        <w:rPr>
          <w:rFonts w:cs="Times New Roman"/>
          <w:noProof/>
          <w:color w:val="000000" w:themeColor="text1"/>
          <w:szCs w:val="24"/>
        </w:rPr>
        <w:t xml:space="preserve">, </w:t>
      </w:r>
      <w:r w:rsidRPr="00895D0B">
        <w:rPr>
          <w:rFonts w:cs="Times New Roman"/>
          <w:i/>
          <w:iCs/>
          <w:noProof/>
          <w:color w:val="000000" w:themeColor="text1"/>
          <w:szCs w:val="24"/>
        </w:rPr>
        <w:t>41</w:t>
      </w:r>
      <w:r w:rsidRPr="00895D0B">
        <w:rPr>
          <w:rFonts w:cs="Times New Roman"/>
          <w:noProof/>
          <w:color w:val="000000" w:themeColor="text1"/>
          <w:szCs w:val="24"/>
        </w:rPr>
        <w:t>(3), 364–384. https://doi.org/10.1080/19376812.2021.1919532</w:t>
      </w:r>
    </w:p>
    <w:p w14:paraId="6A0D7FB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Ojo, T. O., &amp; Baiyegunhi, L. J. S. (2020). Determinants of climate change adaptation strategies and its impact on the net farm income of rice farmers in south-west Nigeria.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95</w:t>
      </w:r>
      <w:r w:rsidRPr="00895D0B">
        <w:rPr>
          <w:rFonts w:cs="Times New Roman"/>
          <w:noProof/>
          <w:color w:val="000000" w:themeColor="text1"/>
          <w:szCs w:val="24"/>
        </w:rPr>
        <w:t>(April), 103946. https://doi.org/10.1016/j.landusepol.2019.04.007</w:t>
      </w:r>
    </w:p>
    <w:p w14:paraId="22E9746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Okongor, G., Njoku, C., Essoka, P., &amp; Efiong, J. (2021). Climate Variability and Yam Production: Nexus and Projections. </w:t>
      </w:r>
      <w:r w:rsidRPr="00895D0B">
        <w:rPr>
          <w:rFonts w:cs="Times New Roman"/>
          <w:i/>
          <w:iCs/>
          <w:noProof/>
          <w:color w:val="000000" w:themeColor="text1"/>
          <w:szCs w:val="24"/>
        </w:rPr>
        <w:t>Sarhad Journal of Agriculture</w:t>
      </w:r>
      <w:r w:rsidRPr="00895D0B">
        <w:rPr>
          <w:rFonts w:cs="Times New Roman"/>
          <w:noProof/>
          <w:color w:val="000000" w:themeColor="text1"/>
          <w:szCs w:val="24"/>
        </w:rPr>
        <w:t xml:space="preserve">, </w:t>
      </w:r>
      <w:r w:rsidRPr="00895D0B">
        <w:rPr>
          <w:rFonts w:cs="Times New Roman"/>
          <w:i/>
          <w:iCs/>
          <w:noProof/>
          <w:color w:val="000000" w:themeColor="text1"/>
          <w:szCs w:val="24"/>
        </w:rPr>
        <w:t>37</w:t>
      </w:r>
      <w:r w:rsidRPr="00895D0B">
        <w:rPr>
          <w:rFonts w:cs="Times New Roman"/>
          <w:noProof/>
          <w:color w:val="000000" w:themeColor="text1"/>
          <w:szCs w:val="24"/>
        </w:rPr>
        <w:t>(2), 406–418. https://doi.org/10.17582/JOURNAL.SJA/2021/37.2.406.418</w:t>
      </w:r>
    </w:p>
    <w:p w14:paraId="7123AD5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Omona, J. (2013). Sampling in Qualitative Research: Improving the Quality of Research Outcomes in Higher Education. </w:t>
      </w:r>
      <w:r w:rsidRPr="00895D0B">
        <w:rPr>
          <w:rFonts w:cs="Times New Roman"/>
          <w:i/>
          <w:iCs/>
          <w:noProof/>
          <w:color w:val="000000" w:themeColor="text1"/>
          <w:szCs w:val="24"/>
        </w:rPr>
        <w:t>Makerere Journal of Higher Education</w:t>
      </w:r>
      <w:r w:rsidRPr="00895D0B">
        <w:rPr>
          <w:rFonts w:cs="Times New Roman"/>
          <w:noProof/>
          <w:color w:val="000000" w:themeColor="text1"/>
          <w:szCs w:val="24"/>
        </w:rPr>
        <w:t xml:space="preserve">, </w:t>
      </w:r>
      <w:r w:rsidRPr="00895D0B">
        <w:rPr>
          <w:rFonts w:cs="Times New Roman"/>
          <w:i/>
          <w:iCs/>
          <w:noProof/>
          <w:color w:val="000000" w:themeColor="text1"/>
          <w:szCs w:val="24"/>
        </w:rPr>
        <w:t>4</w:t>
      </w:r>
      <w:r w:rsidRPr="00895D0B">
        <w:rPr>
          <w:rFonts w:cs="Times New Roman"/>
          <w:noProof/>
          <w:color w:val="000000" w:themeColor="text1"/>
          <w:szCs w:val="24"/>
        </w:rPr>
        <w:t>(2), 169–185. https://doi.org/10.4314/majohe.v4i2.4</w:t>
      </w:r>
    </w:p>
    <w:p w14:paraId="00BD001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Omondi, S. O., Oluoch-Kosura, W., &amp; Jirström, M. (2017). The role of urban-based agriculture on food security: Kenyan case studies. </w:t>
      </w:r>
      <w:r w:rsidRPr="00895D0B">
        <w:rPr>
          <w:rFonts w:cs="Times New Roman"/>
          <w:i/>
          <w:iCs/>
          <w:noProof/>
          <w:color w:val="000000" w:themeColor="text1"/>
          <w:szCs w:val="24"/>
        </w:rPr>
        <w:t>Geographical Research</w:t>
      </w:r>
      <w:r w:rsidRPr="00895D0B">
        <w:rPr>
          <w:rFonts w:cs="Times New Roman"/>
          <w:noProof/>
          <w:color w:val="000000" w:themeColor="text1"/>
          <w:szCs w:val="24"/>
        </w:rPr>
        <w:t xml:space="preserve">, </w:t>
      </w:r>
      <w:r w:rsidRPr="00895D0B">
        <w:rPr>
          <w:rFonts w:cs="Times New Roman"/>
          <w:i/>
          <w:iCs/>
          <w:noProof/>
          <w:color w:val="000000" w:themeColor="text1"/>
          <w:szCs w:val="24"/>
        </w:rPr>
        <w:t>55</w:t>
      </w:r>
      <w:r w:rsidRPr="00895D0B">
        <w:rPr>
          <w:rFonts w:cs="Times New Roman"/>
          <w:noProof/>
          <w:color w:val="000000" w:themeColor="text1"/>
          <w:szCs w:val="24"/>
        </w:rPr>
        <w:t>(2), 231–241. https://doi.org/10.1111/1745-5871.12234</w:t>
      </w:r>
    </w:p>
    <w:p w14:paraId="6DB8B84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Orsini, F. (2020). Innovation and sustainability in urban agriculture: the path forward. </w:t>
      </w:r>
      <w:r w:rsidRPr="00895D0B">
        <w:rPr>
          <w:rFonts w:cs="Times New Roman"/>
          <w:i/>
          <w:iCs/>
          <w:noProof/>
          <w:color w:val="000000" w:themeColor="text1"/>
          <w:szCs w:val="24"/>
        </w:rPr>
        <w:t>Journal Fur Verbraucherschutz Und Lebensmittelsicherheit</w:t>
      </w:r>
      <w:r w:rsidRPr="00895D0B">
        <w:rPr>
          <w:rFonts w:cs="Times New Roman"/>
          <w:noProof/>
          <w:color w:val="000000" w:themeColor="text1"/>
          <w:szCs w:val="24"/>
        </w:rPr>
        <w:t xml:space="preserve">, </w:t>
      </w:r>
      <w:r w:rsidRPr="00895D0B">
        <w:rPr>
          <w:rFonts w:cs="Times New Roman"/>
          <w:i/>
          <w:iCs/>
          <w:noProof/>
          <w:color w:val="000000" w:themeColor="text1"/>
          <w:szCs w:val="24"/>
        </w:rPr>
        <w:t>15</w:t>
      </w:r>
      <w:r w:rsidRPr="00895D0B">
        <w:rPr>
          <w:rFonts w:cs="Times New Roman"/>
          <w:noProof/>
          <w:color w:val="000000" w:themeColor="text1"/>
          <w:szCs w:val="24"/>
        </w:rPr>
        <w:t>(3), 203–204. https://doi.org/10.1007/s00003-020-01293-y</w:t>
      </w:r>
    </w:p>
    <w:p w14:paraId="6282AB2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Orsini, F., Kahane, R., Nono-Womdim, R., &amp; Gianquinto, G. (2013). Urban agriculture in the developing world: A review. </w:t>
      </w:r>
      <w:r w:rsidRPr="00895D0B">
        <w:rPr>
          <w:rFonts w:cs="Times New Roman"/>
          <w:i/>
          <w:iCs/>
          <w:noProof/>
          <w:color w:val="000000" w:themeColor="text1"/>
          <w:szCs w:val="24"/>
        </w:rPr>
        <w:t>Agronomy for Sustainable Development</w:t>
      </w:r>
      <w:r w:rsidRPr="00895D0B">
        <w:rPr>
          <w:rFonts w:cs="Times New Roman"/>
          <w:noProof/>
          <w:color w:val="000000" w:themeColor="text1"/>
          <w:szCs w:val="24"/>
        </w:rPr>
        <w:t xml:space="preserve">, </w:t>
      </w:r>
      <w:r w:rsidRPr="00895D0B">
        <w:rPr>
          <w:rFonts w:cs="Times New Roman"/>
          <w:i/>
          <w:iCs/>
          <w:noProof/>
          <w:color w:val="000000" w:themeColor="text1"/>
          <w:szCs w:val="24"/>
        </w:rPr>
        <w:t>33</w:t>
      </w:r>
      <w:r w:rsidRPr="00895D0B">
        <w:rPr>
          <w:rFonts w:cs="Times New Roman"/>
          <w:noProof/>
          <w:color w:val="000000" w:themeColor="text1"/>
          <w:szCs w:val="24"/>
        </w:rPr>
        <w:t>(4), 695–720. https://doi.org/10.1007/s13593-013-0143-z</w:t>
      </w:r>
    </w:p>
    <w:p w14:paraId="49EBD18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Osei, S. K., Folitse, B. Y., Dzandu, L. P., &amp; Obeng-Koranteng, G. (2017). Sources of information for urban vegetable farmers in Accra, Ghana. </w:t>
      </w:r>
      <w:r w:rsidRPr="00895D0B">
        <w:rPr>
          <w:rFonts w:cs="Times New Roman"/>
          <w:i/>
          <w:iCs/>
          <w:noProof/>
          <w:color w:val="000000" w:themeColor="text1"/>
          <w:szCs w:val="24"/>
        </w:rPr>
        <w:t>Information Development</w:t>
      </w:r>
      <w:r w:rsidRPr="00895D0B">
        <w:rPr>
          <w:rFonts w:cs="Times New Roman"/>
          <w:noProof/>
          <w:color w:val="000000" w:themeColor="text1"/>
          <w:szCs w:val="24"/>
        </w:rPr>
        <w:t xml:space="preserve">, </w:t>
      </w:r>
      <w:r w:rsidRPr="00895D0B">
        <w:rPr>
          <w:rFonts w:cs="Times New Roman"/>
          <w:i/>
          <w:iCs/>
          <w:noProof/>
          <w:color w:val="000000" w:themeColor="text1"/>
          <w:szCs w:val="24"/>
        </w:rPr>
        <w:t>33</w:t>
      </w:r>
      <w:r w:rsidRPr="00895D0B">
        <w:rPr>
          <w:rFonts w:cs="Times New Roman"/>
          <w:noProof/>
          <w:color w:val="000000" w:themeColor="text1"/>
          <w:szCs w:val="24"/>
        </w:rPr>
        <w:t>(1), 72–79. https://doi.org/10.1177/0266666916638712</w:t>
      </w:r>
    </w:p>
    <w:p w14:paraId="76D1046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Osman, A., Karikari, P. K., Osafo, E. L. K., &amp; Attoh-Kotoku, V. (2018). Smallholder Urban Cattle Production : Prospects and Challenges in the Kumasi Metropolis and Asokore Mampong Municipality of the Ashanti Region of Ghana. </w:t>
      </w:r>
      <w:r w:rsidRPr="00895D0B">
        <w:rPr>
          <w:rFonts w:cs="Times New Roman"/>
          <w:i/>
          <w:iCs/>
          <w:noProof/>
          <w:color w:val="000000" w:themeColor="text1"/>
          <w:szCs w:val="24"/>
        </w:rPr>
        <w:t>Journal of Animal Science and Biotechnology</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(January), 98–110.</w:t>
      </w:r>
    </w:p>
    <w:p w14:paraId="4BA2A24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Osumanu, I. K., Akongbangre, J. N., Tuu, G. N. Y., &amp; Owusu-Sekyere, E. (2019). From Patches of Villages to a Municipality: Time, Space, and Expansion of Wa, Ghana. </w:t>
      </w:r>
      <w:r w:rsidRPr="00895D0B">
        <w:rPr>
          <w:rFonts w:cs="Times New Roman"/>
          <w:i/>
          <w:iCs/>
          <w:noProof/>
          <w:color w:val="000000" w:themeColor="text1"/>
          <w:szCs w:val="24"/>
        </w:rPr>
        <w:t>Urban Forum</w:t>
      </w:r>
      <w:r w:rsidRPr="00895D0B">
        <w:rPr>
          <w:rFonts w:cs="Times New Roman"/>
          <w:noProof/>
          <w:color w:val="000000" w:themeColor="text1"/>
          <w:szCs w:val="24"/>
        </w:rPr>
        <w:t xml:space="preserve">, </w:t>
      </w:r>
      <w:r w:rsidRPr="00895D0B">
        <w:rPr>
          <w:rFonts w:cs="Times New Roman"/>
          <w:i/>
          <w:iCs/>
          <w:noProof/>
          <w:color w:val="000000" w:themeColor="text1"/>
          <w:szCs w:val="24"/>
        </w:rPr>
        <w:t>30</w:t>
      </w:r>
      <w:r w:rsidRPr="00895D0B">
        <w:rPr>
          <w:rFonts w:cs="Times New Roman"/>
          <w:noProof/>
          <w:color w:val="000000" w:themeColor="text1"/>
          <w:szCs w:val="24"/>
        </w:rPr>
        <w:t>(1), 57–74. https://doi.org/10.1007/s12132-018-9341-8</w:t>
      </w:r>
    </w:p>
    <w:p w14:paraId="39388D4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Oteros-Rozas, Elisa,  et al. . (2020). </w:t>
      </w:r>
      <w:r w:rsidRPr="00895D0B">
        <w:rPr>
          <w:rFonts w:cs="Times New Roman"/>
          <w:i/>
          <w:iCs/>
          <w:noProof/>
          <w:color w:val="000000" w:themeColor="text1"/>
          <w:szCs w:val="24"/>
        </w:rPr>
        <w:t>Extensive Farming</w:t>
      </w:r>
      <w:r w:rsidRPr="00895D0B">
        <w:rPr>
          <w:rFonts w:cs="Times New Roman"/>
          <w:noProof/>
          <w:color w:val="000000" w:themeColor="text1"/>
          <w:szCs w:val="24"/>
        </w:rPr>
        <w:t xml:space="preserve"> (Issue April). https://en.wikipedia.org/wiki/Extensive_farming</w:t>
      </w:r>
    </w:p>
    <w:p w14:paraId="4990D6E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Özçatalbaş, O., &amp; Imran, M. (2020). </w:t>
      </w:r>
      <w:r w:rsidRPr="00895D0B">
        <w:rPr>
          <w:rFonts w:cs="Times New Roman"/>
          <w:i/>
          <w:iCs/>
          <w:noProof/>
          <w:color w:val="000000" w:themeColor="text1"/>
          <w:szCs w:val="24"/>
        </w:rPr>
        <w:t>Linking Youth Empowerment with Agricultural Production and Food Security</w:t>
      </w:r>
      <w:r w:rsidRPr="00895D0B">
        <w:rPr>
          <w:rFonts w:cs="Times New Roman"/>
          <w:noProof/>
          <w:color w:val="000000" w:themeColor="text1"/>
          <w:szCs w:val="24"/>
        </w:rPr>
        <w:t>. 487–498. https://doi.org/10.1007/978-3-319-95675-6_56</w:t>
      </w:r>
    </w:p>
    <w:p w14:paraId="54921EC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Panpatte, D. G., &amp; Jhala, Y. K. (2019). Soil fertility management for sustainable development. </w:t>
      </w:r>
      <w:r w:rsidRPr="00895D0B">
        <w:rPr>
          <w:rFonts w:cs="Times New Roman"/>
          <w:i/>
          <w:iCs/>
          <w:noProof/>
          <w:color w:val="000000" w:themeColor="text1"/>
          <w:szCs w:val="24"/>
        </w:rPr>
        <w:t>Soil Fertility Management for Sustainable Development</w:t>
      </w:r>
      <w:r w:rsidRPr="00895D0B">
        <w:rPr>
          <w:rFonts w:cs="Times New Roman"/>
          <w:noProof/>
          <w:color w:val="000000" w:themeColor="text1"/>
          <w:szCs w:val="24"/>
        </w:rPr>
        <w:t>, 1–291. https://doi.org/10.1007/978-981-13-5904-0</w:t>
      </w:r>
    </w:p>
    <w:p w14:paraId="04B3D2F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Patil, R. N., Nagaonkar, S. N., Shah, N. B., Bhat, T. S., &amp; Almale, B. (2016). </w:t>
      </w:r>
      <w:r w:rsidRPr="00895D0B">
        <w:rPr>
          <w:rFonts w:cs="Times New Roman"/>
          <w:i/>
          <w:iCs/>
          <w:noProof/>
          <w:color w:val="000000" w:themeColor="text1"/>
          <w:szCs w:val="24"/>
        </w:rPr>
        <w:t>Urbanization - land use interactions predict antibiotuc contamination in soil across urban-rural gradients</w:t>
      </w:r>
      <w:r w:rsidRPr="00895D0B">
        <w:rPr>
          <w:rFonts w:cs="Times New Roman"/>
          <w:noProof/>
          <w:color w:val="000000" w:themeColor="text1"/>
          <w:szCs w:val="24"/>
        </w:rPr>
        <w:t xml:space="preserve">. </w:t>
      </w:r>
      <w:r w:rsidRPr="00895D0B">
        <w:rPr>
          <w:rFonts w:cs="Times New Roman"/>
          <w:i/>
          <w:iCs/>
          <w:noProof/>
          <w:color w:val="000000" w:themeColor="text1"/>
          <w:szCs w:val="24"/>
        </w:rPr>
        <w:t>2</w:t>
      </w:r>
      <w:r w:rsidRPr="00895D0B">
        <w:rPr>
          <w:rFonts w:cs="Times New Roman"/>
          <w:noProof/>
          <w:color w:val="000000" w:themeColor="text1"/>
          <w:szCs w:val="24"/>
        </w:rPr>
        <w:t>(1), 6–11.</w:t>
      </w:r>
    </w:p>
    <w:p w14:paraId="01B0642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Paudel, G. P., KC, D. B., Rahut, D. B., Justice, S. E., &amp; McDonald, A. J. (2019). Scale-appropriate mechanization impacts on productivity among smallholders: Evidence from rice systems in the mid-hills of Nepal.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85</w:t>
      </w:r>
      <w:r w:rsidRPr="00895D0B">
        <w:rPr>
          <w:rFonts w:cs="Times New Roman"/>
          <w:noProof/>
          <w:color w:val="000000" w:themeColor="text1"/>
          <w:szCs w:val="24"/>
        </w:rPr>
        <w:t>(October 2018), 104–113. https://doi.org/10.1016/j.landusepol.2019.03.030</w:t>
      </w:r>
    </w:p>
    <w:p w14:paraId="66FF2EFE"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Pauw, K. (2022). A review of Ghana’s planting for food and jobs program: implementation, impacts, benefits, and costs. </w:t>
      </w:r>
      <w:r w:rsidRPr="00895D0B">
        <w:rPr>
          <w:rFonts w:cs="Times New Roman"/>
          <w:i/>
          <w:iCs/>
          <w:noProof/>
          <w:color w:val="000000" w:themeColor="text1"/>
          <w:szCs w:val="24"/>
        </w:rPr>
        <w:t>Food Security</w:t>
      </w:r>
      <w:r w:rsidRPr="00895D0B">
        <w:rPr>
          <w:rFonts w:cs="Times New Roman"/>
          <w:noProof/>
          <w:color w:val="000000" w:themeColor="text1"/>
          <w:szCs w:val="24"/>
        </w:rPr>
        <w:t xml:space="preserve">, </w:t>
      </w:r>
      <w:r w:rsidRPr="00895D0B">
        <w:rPr>
          <w:rFonts w:cs="Times New Roman"/>
          <w:i/>
          <w:iCs/>
          <w:noProof/>
          <w:color w:val="000000" w:themeColor="text1"/>
          <w:szCs w:val="24"/>
        </w:rPr>
        <w:t>14</w:t>
      </w:r>
      <w:r w:rsidRPr="00895D0B">
        <w:rPr>
          <w:rFonts w:cs="Times New Roman"/>
          <w:noProof/>
          <w:color w:val="000000" w:themeColor="text1"/>
          <w:szCs w:val="24"/>
        </w:rPr>
        <w:t>(5), 1321–1335. https://doi.org/10.1007/s12571-022-01287-8</w:t>
      </w:r>
    </w:p>
    <w:p w14:paraId="2C12F07E" w14:textId="77777777" w:rsidR="00731E67"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51D1F3D4" w14:textId="77777777" w:rsidR="00731E67"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23BCE3C0" w14:textId="77777777" w:rsidR="00731E67" w:rsidRPr="00895D0B"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66BAA5A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Payen, F. T., Evans, D. L., Falagán, N., Hardman, C. A., Kourmpetli, S., Liu, L., Marshall, R., Mead, B. R., &amp; Davies, J. A. C. (2022). How Much Food Can We Grow in Urban Areas? Food Production and Crop Yields of Urban Agriculture: A Meta-Analysis. </w:t>
      </w:r>
      <w:r w:rsidRPr="00895D0B">
        <w:rPr>
          <w:rFonts w:cs="Times New Roman"/>
          <w:i/>
          <w:iCs/>
          <w:noProof/>
          <w:color w:val="000000" w:themeColor="text1"/>
          <w:szCs w:val="24"/>
        </w:rPr>
        <w:t>Earth’s Future</w:t>
      </w:r>
      <w:r w:rsidRPr="00895D0B">
        <w:rPr>
          <w:rFonts w:cs="Times New Roman"/>
          <w:noProof/>
          <w:color w:val="000000" w:themeColor="text1"/>
          <w:szCs w:val="24"/>
        </w:rPr>
        <w:t xml:space="preserve">, </w:t>
      </w:r>
      <w:r w:rsidRPr="00895D0B">
        <w:rPr>
          <w:rFonts w:cs="Times New Roman"/>
          <w:i/>
          <w:iCs/>
          <w:noProof/>
          <w:color w:val="000000" w:themeColor="text1"/>
          <w:szCs w:val="24"/>
        </w:rPr>
        <w:t>10</w:t>
      </w:r>
      <w:r w:rsidRPr="00895D0B">
        <w:rPr>
          <w:rFonts w:cs="Times New Roman"/>
          <w:noProof/>
          <w:color w:val="000000" w:themeColor="text1"/>
          <w:szCs w:val="24"/>
        </w:rPr>
        <w:t>(8), 1–22. https://doi.org/10.1029/2022EF002748</w:t>
      </w:r>
    </w:p>
    <w:p w14:paraId="217217A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Pearce, J., Smith, W., Nansen, B., &amp; Murphy, J. (2009). SmartGardenWatering: Experiences of using a garden watering simulation. </w:t>
      </w:r>
      <w:r w:rsidRPr="00895D0B">
        <w:rPr>
          <w:rFonts w:cs="Times New Roman"/>
          <w:i/>
          <w:iCs/>
          <w:noProof/>
          <w:color w:val="000000" w:themeColor="text1"/>
          <w:szCs w:val="24"/>
        </w:rPr>
        <w:t>Proceedings of the 21st Annual Conference of the Australian Computer-Human Interaction Special Interest Group - Design: Open 24/7, OZCHI ’09</w:t>
      </w:r>
      <w:r w:rsidRPr="00895D0B">
        <w:rPr>
          <w:rFonts w:cs="Times New Roman"/>
          <w:noProof/>
          <w:color w:val="000000" w:themeColor="text1"/>
          <w:szCs w:val="24"/>
        </w:rPr>
        <w:t xml:space="preserve">, </w:t>
      </w:r>
      <w:r w:rsidRPr="00895D0B">
        <w:rPr>
          <w:rFonts w:cs="Times New Roman"/>
          <w:i/>
          <w:iCs/>
          <w:noProof/>
          <w:color w:val="000000" w:themeColor="text1"/>
          <w:szCs w:val="24"/>
        </w:rPr>
        <w:t>411</w:t>
      </w:r>
      <w:r w:rsidRPr="00895D0B">
        <w:rPr>
          <w:rFonts w:cs="Times New Roman"/>
          <w:noProof/>
          <w:color w:val="000000" w:themeColor="text1"/>
          <w:szCs w:val="24"/>
        </w:rPr>
        <w:t>, 217–224. https://doi.org/10.1145/1738826.1738861</w:t>
      </w:r>
    </w:p>
    <w:p w14:paraId="3101C0D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Peng, J., Liu, Z., Liu, Y., Hu, X., &amp; Wang, A. (2015). Multifunctionality assessment of urban agriculture in Beijing City, China. </w:t>
      </w:r>
      <w:r w:rsidRPr="00895D0B">
        <w:rPr>
          <w:rFonts w:cs="Times New Roman"/>
          <w:i/>
          <w:iCs/>
          <w:noProof/>
          <w:color w:val="000000" w:themeColor="text1"/>
          <w:szCs w:val="24"/>
        </w:rPr>
        <w:t>Science of the Total Environment</w:t>
      </w:r>
      <w:r w:rsidRPr="00895D0B">
        <w:rPr>
          <w:rFonts w:cs="Times New Roman"/>
          <w:noProof/>
          <w:color w:val="000000" w:themeColor="text1"/>
          <w:szCs w:val="24"/>
        </w:rPr>
        <w:t xml:space="preserve">, </w:t>
      </w:r>
      <w:r w:rsidRPr="00895D0B">
        <w:rPr>
          <w:rFonts w:cs="Times New Roman"/>
          <w:i/>
          <w:iCs/>
          <w:noProof/>
          <w:color w:val="000000" w:themeColor="text1"/>
          <w:szCs w:val="24"/>
        </w:rPr>
        <w:t>537</w:t>
      </w:r>
      <w:r w:rsidRPr="00895D0B">
        <w:rPr>
          <w:rFonts w:cs="Times New Roman"/>
          <w:noProof/>
          <w:color w:val="000000" w:themeColor="text1"/>
          <w:szCs w:val="24"/>
        </w:rPr>
        <w:t>, 343–351. https://doi.org/10.1016/j.scitotenv.2015.07.136</w:t>
      </w:r>
    </w:p>
    <w:p w14:paraId="2B502F9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Petersen, L. K. (2021). Engaging with nature through the dwelling practices in garden landscapes. </w:t>
      </w:r>
      <w:r w:rsidRPr="00895D0B">
        <w:rPr>
          <w:rFonts w:cs="Times New Roman"/>
          <w:i/>
          <w:iCs/>
          <w:noProof/>
          <w:color w:val="000000" w:themeColor="text1"/>
          <w:szCs w:val="24"/>
        </w:rPr>
        <w:t>Social and Cultural Geography</w:t>
      </w:r>
      <w:r w:rsidRPr="00895D0B">
        <w:rPr>
          <w:rFonts w:cs="Times New Roman"/>
          <w:noProof/>
          <w:color w:val="000000" w:themeColor="text1"/>
          <w:szCs w:val="24"/>
        </w:rPr>
        <w:t xml:space="preserve">, </w:t>
      </w:r>
      <w:r w:rsidRPr="00895D0B">
        <w:rPr>
          <w:rFonts w:cs="Times New Roman"/>
          <w:i/>
          <w:iCs/>
          <w:noProof/>
          <w:color w:val="000000" w:themeColor="text1"/>
          <w:szCs w:val="24"/>
        </w:rPr>
        <w:t>22</w:t>
      </w:r>
      <w:r w:rsidRPr="00895D0B">
        <w:rPr>
          <w:rFonts w:cs="Times New Roman"/>
          <w:noProof/>
          <w:color w:val="000000" w:themeColor="text1"/>
          <w:szCs w:val="24"/>
        </w:rPr>
        <w:t>(1), 11–32. https://doi.org/10.1080/14649365.2018.1550803</w:t>
      </w:r>
    </w:p>
    <w:p w14:paraId="3E3F20E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Pham, T., &amp; Turner, S. (2020). ‘If I want safe food I have to grow it myself’: Patterns and motivations of urban agriculture in a small city in Vietnam’s northern borderlands.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96</w:t>
      </w:r>
      <w:r w:rsidRPr="00895D0B">
        <w:rPr>
          <w:rFonts w:cs="Times New Roman"/>
          <w:noProof/>
          <w:color w:val="000000" w:themeColor="text1"/>
          <w:szCs w:val="24"/>
        </w:rPr>
        <w:t>(March). https://doi.org/10.1016/j.landusepol.2020.104681</w:t>
      </w:r>
    </w:p>
    <w:p w14:paraId="16DF193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Piso, Z., Goralnik, L., Libarkin, J. C., &amp; Lopez, M. C. (2019). Types of Urban agricultural stakeholders and their understandings of governance. </w:t>
      </w:r>
      <w:r w:rsidRPr="00895D0B">
        <w:rPr>
          <w:rFonts w:cs="Times New Roman"/>
          <w:i/>
          <w:iCs/>
          <w:noProof/>
          <w:color w:val="000000" w:themeColor="text1"/>
          <w:szCs w:val="24"/>
        </w:rPr>
        <w:t>Ecology and Society</w:t>
      </w:r>
      <w:r w:rsidRPr="00895D0B">
        <w:rPr>
          <w:rFonts w:cs="Times New Roman"/>
          <w:noProof/>
          <w:color w:val="000000" w:themeColor="text1"/>
          <w:szCs w:val="24"/>
        </w:rPr>
        <w:t xml:space="preserve">, </w:t>
      </w:r>
      <w:r w:rsidRPr="00895D0B">
        <w:rPr>
          <w:rFonts w:cs="Times New Roman"/>
          <w:i/>
          <w:iCs/>
          <w:noProof/>
          <w:color w:val="000000" w:themeColor="text1"/>
          <w:szCs w:val="24"/>
        </w:rPr>
        <w:t>24</w:t>
      </w:r>
      <w:r w:rsidRPr="00895D0B">
        <w:rPr>
          <w:rFonts w:cs="Times New Roman"/>
          <w:noProof/>
          <w:color w:val="000000" w:themeColor="text1"/>
          <w:szCs w:val="24"/>
        </w:rPr>
        <w:t>(2). https://doi.org/10.5751/ES-10650-240218</w:t>
      </w:r>
    </w:p>
    <w:p w14:paraId="07D702C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Poulsen, M. N., Neff, R. A., &amp; Winch, P. J. (2017). The multifunctionality of urban farming: perceived benefits for neighbourhood improvement. </w:t>
      </w:r>
      <w:r w:rsidRPr="00895D0B">
        <w:rPr>
          <w:rFonts w:cs="Times New Roman"/>
          <w:i/>
          <w:iCs/>
          <w:noProof/>
          <w:color w:val="000000" w:themeColor="text1"/>
          <w:szCs w:val="24"/>
        </w:rPr>
        <w:t>Local Environment</w:t>
      </w:r>
      <w:r w:rsidRPr="00895D0B">
        <w:rPr>
          <w:rFonts w:cs="Times New Roman"/>
          <w:noProof/>
          <w:color w:val="000000" w:themeColor="text1"/>
          <w:szCs w:val="24"/>
        </w:rPr>
        <w:t xml:space="preserve">, </w:t>
      </w:r>
      <w:r w:rsidRPr="00895D0B">
        <w:rPr>
          <w:rFonts w:cs="Times New Roman"/>
          <w:i/>
          <w:iCs/>
          <w:noProof/>
          <w:color w:val="000000" w:themeColor="text1"/>
          <w:szCs w:val="24"/>
        </w:rPr>
        <w:t>22</w:t>
      </w:r>
      <w:r w:rsidRPr="00895D0B">
        <w:rPr>
          <w:rFonts w:cs="Times New Roman"/>
          <w:noProof/>
          <w:color w:val="000000" w:themeColor="text1"/>
          <w:szCs w:val="24"/>
        </w:rPr>
        <w:t>(11), 1411–1427. https://doi.org/10.1080/13549839.2017.1357686</w:t>
      </w:r>
    </w:p>
    <w:p w14:paraId="5E92AE8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Prayitno, G., Dinanti, D., Hidayana, I. I., &amp; Nugraha, A. T. (2021). Place attachment and agricultural land conversion for sustainable agriculture in Indonesia. </w:t>
      </w:r>
      <w:r w:rsidRPr="00895D0B">
        <w:rPr>
          <w:rFonts w:cs="Times New Roman"/>
          <w:i/>
          <w:iCs/>
          <w:noProof/>
          <w:color w:val="000000" w:themeColor="text1"/>
          <w:szCs w:val="24"/>
        </w:rPr>
        <w:t>Heliyon</w:t>
      </w:r>
      <w:r w:rsidRPr="00895D0B">
        <w:rPr>
          <w:rFonts w:cs="Times New Roman"/>
          <w:noProof/>
          <w:color w:val="000000" w:themeColor="text1"/>
          <w:szCs w:val="24"/>
        </w:rPr>
        <w:t xml:space="preserve">, </w:t>
      </w:r>
      <w:r w:rsidRPr="00895D0B">
        <w:rPr>
          <w:rFonts w:cs="Times New Roman"/>
          <w:i/>
          <w:iCs/>
          <w:noProof/>
          <w:color w:val="000000" w:themeColor="text1"/>
          <w:szCs w:val="24"/>
        </w:rPr>
        <w:t>7</w:t>
      </w:r>
      <w:r w:rsidRPr="00895D0B">
        <w:rPr>
          <w:rFonts w:cs="Times New Roman"/>
          <w:noProof/>
          <w:color w:val="000000" w:themeColor="text1"/>
          <w:szCs w:val="24"/>
        </w:rPr>
        <w:t>(7), e07546. https://doi.org/10.1016/j.heliyon.2021.e07546</w:t>
      </w:r>
    </w:p>
    <w:p w14:paraId="3C3DBB1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Pretty, J., Benton, T. G., Bharucha, Z. P., Dicks, L. V., Flora, C. B., Godfray, H. C. J., Goulson, D., Hartley, S., Lampkin, N., Morris, C., Pierzynski, G., Prasad, P. V. V., Reganold, J., Rockström, J., Smith, P., Thorne, P., &amp; Wratten, S. (2018). Global assessment of agricultural system redesign for sustainable intensification. </w:t>
      </w:r>
      <w:r w:rsidRPr="00895D0B">
        <w:rPr>
          <w:rFonts w:cs="Times New Roman"/>
          <w:i/>
          <w:iCs/>
          <w:noProof/>
          <w:color w:val="000000" w:themeColor="text1"/>
          <w:szCs w:val="24"/>
        </w:rPr>
        <w:t>Nature Sustainability</w:t>
      </w:r>
      <w:r w:rsidRPr="00895D0B">
        <w:rPr>
          <w:rFonts w:cs="Times New Roman"/>
          <w:noProof/>
          <w:color w:val="000000" w:themeColor="text1"/>
          <w:szCs w:val="24"/>
        </w:rPr>
        <w:t xml:space="preserve">, </w:t>
      </w:r>
      <w:r w:rsidRPr="00895D0B">
        <w:rPr>
          <w:rFonts w:cs="Times New Roman"/>
          <w:i/>
          <w:iCs/>
          <w:noProof/>
          <w:color w:val="000000" w:themeColor="text1"/>
          <w:szCs w:val="24"/>
        </w:rPr>
        <w:t>1</w:t>
      </w:r>
      <w:r w:rsidRPr="00895D0B">
        <w:rPr>
          <w:rFonts w:cs="Times New Roman"/>
          <w:noProof/>
          <w:color w:val="000000" w:themeColor="text1"/>
          <w:szCs w:val="24"/>
        </w:rPr>
        <w:t>(8), 441–446. https://doi.org/10.1038/s41893-018-0114-0</w:t>
      </w:r>
    </w:p>
    <w:p w14:paraId="273F69F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Quintão, C., Andrade, P., &amp; Almeida, F. (2020). How to Improve the Validity and Reliability of a Case Study Approach? </w:t>
      </w:r>
      <w:r w:rsidRPr="00895D0B">
        <w:rPr>
          <w:rFonts w:cs="Times New Roman"/>
          <w:i/>
          <w:iCs/>
          <w:noProof/>
          <w:color w:val="000000" w:themeColor="text1"/>
          <w:szCs w:val="24"/>
        </w:rPr>
        <w:t>Journal of Interdisciplinary Studies in Education</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(2), 273–284. https://doi.org/10.32674/jise.v9i2.2026</w:t>
      </w:r>
    </w:p>
    <w:p w14:paraId="46D06E2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Quist, J., Wittmayer, J., Umpfenbach, K., &amp; Bauler, T. (2013). </w:t>
      </w:r>
      <w:r w:rsidRPr="00895D0B">
        <w:rPr>
          <w:rFonts w:cs="Times New Roman"/>
          <w:i/>
          <w:iCs/>
          <w:noProof/>
          <w:color w:val="000000" w:themeColor="text1"/>
          <w:szCs w:val="24"/>
        </w:rPr>
        <w:t>Sustainable Consumption Transitions Series Issue 3 Pathways , Transitions and Backcasting for Low-Carbon and Sustainable Lifestyles</w:t>
      </w:r>
      <w:r w:rsidRPr="00895D0B">
        <w:rPr>
          <w:rFonts w:cs="Times New Roman"/>
          <w:noProof/>
          <w:color w:val="000000" w:themeColor="text1"/>
          <w:szCs w:val="24"/>
        </w:rPr>
        <w:t xml:space="preserve">. </w:t>
      </w:r>
      <w:r w:rsidRPr="00895D0B">
        <w:rPr>
          <w:rFonts w:cs="Times New Roman"/>
          <w:i/>
          <w:iCs/>
          <w:noProof/>
          <w:color w:val="000000" w:themeColor="text1"/>
          <w:szCs w:val="24"/>
        </w:rPr>
        <w:t>3</w:t>
      </w:r>
      <w:r w:rsidRPr="00895D0B">
        <w:rPr>
          <w:rFonts w:cs="Times New Roman"/>
          <w:noProof/>
          <w:color w:val="000000" w:themeColor="text1"/>
          <w:szCs w:val="24"/>
        </w:rPr>
        <w:t>, 361.</w:t>
      </w:r>
    </w:p>
    <w:p w14:paraId="451E0CE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Raharja, I. F., Hafrida, H., Kusniati, R., Sasmiar, S., &amp; Ridha, A. (2021). The Legal Protection of Sustainable Agricultural Land: Why is It Urgent? </w:t>
      </w:r>
      <w:r w:rsidRPr="00895D0B">
        <w:rPr>
          <w:rFonts w:cs="Times New Roman"/>
          <w:i/>
          <w:iCs/>
          <w:noProof/>
          <w:color w:val="000000" w:themeColor="text1"/>
          <w:szCs w:val="24"/>
        </w:rPr>
        <w:t>Jambe Law Journal</w:t>
      </w:r>
      <w:r w:rsidRPr="00895D0B">
        <w:rPr>
          <w:rFonts w:cs="Times New Roman"/>
          <w:noProof/>
          <w:color w:val="000000" w:themeColor="text1"/>
          <w:szCs w:val="24"/>
        </w:rPr>
        <w:t xml:space="preserve">, </w:t>
      </w:r>
      <w:r w:rsidRPr="00895D0B">
        <w:rPr>
          <w:rFonts w:cs="Times New Roman"/>
          <w:i/>
          <w:iCs/>
          <w:noProof/>
          <w:color w:val="000000" w:themeColor="text1"/>
          <w:szCs w:val="24"/>
        </w:rPr>
        <w:t>4</w:t>
      </w:r>
      <w:r w:rsidRPr="00895D0B">
        <w:rPr>
          <w:rFonts w:cs="Times New Roman"/>
          <w:noProof/>
          <w:color w:val="000000" w:themeColor="text1"/>
          <w:szCs w:val="24"/>
        </w:rPr>
        <w:t>(2), 151–170. https://doi.org/10.22437/jlj.4.2.151-170</w:t>
      </w:r>
    </w:p>
    <w:p w14:paraId="2CE1F21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Rathod, P., Chander, M., &amp; Chethan Sharma, G. (2017). Adoption status of artificial insemination in Indian dairy sector: Application of multinomial logit model. </w:t>
      </w:r>
      <w:r w:rsidRPr="00895D0B">
        <w:rPr>
          <w:rFonts w:cs="Times New Roman"/>
          <w:i/>
          <w:iCs/>
          <w:noProof/>
          <w:color w:val="000000" w:themeColor="text1"/>
          <w:szCs w:val="24"/>
        </w:rPr>
        <w:t>Journal of Applied Animal Research</w:t>
      </w:r>
      <w:r w:rsidRPr="00895D0B">
        <w:rPr>
          <w:rFonts w:cs="Times New Roman"/>
          <w:noProof/>
          <w:color w:val="000000" w:themeColor="text1"/>
          <w:szCs w:val="24"/>
        </w:rPr>
        <w:t xml:space="preserve">, </w:t>
      </w:r>
      <w:r w:rsidRPr="00895D0B">
        <w:rPr>
          <w:rFonts w:cs="Times New Roman"/>
          <w:i/>
          <w:iCs/>
          <w:noProof/>
          <w:color w:val="000000" w:themeColor="text1"/>
          <w:szCs w:val="24"/>
        </w:rPr>
        <w:t>45</w:t>
      </w:r>
      <w:r w:rsidRPr="00895D0B">
        <w:rPr>
          <w:rFonts w:cs="Times New Roman"/>
          <w:noProof/>
          <w:color w:val="000000" w:themeColor="text1"/>
          <w:szCs w:val="24"/>
        </w:rPr>
        <w:t>(1), 442–446. https://doi.org/10.1080/09712119.2016.1208099</w:t>
      </w:r>
    </w:p>
    <w:p w14:paraId="7311B6C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Reckwitz, A. (2004). Toward a theory of social practices: A development in culturalist theorizing. </w:t>
      </w:r>
      <w:r w:rsidRPr="00895D0B">
        <w:rPr>
          <w:rFonts w:cs="Times New Roman"/>
          <w:i/>
          <w:iCs/>
          <w:noProof/>
          <w:color w:val="000000" w:themeColor="text1"/>
          <w:szCs w:val="24"/>
        </w:rPr>
        <w:t>Practicing History: New Directions in Historical Writing after the Linguistic Turn</w:t>
      </w:r>
      <w:r w:rsidRPr="00895D0B">
        <w:rPr>
          <w:rFonts w:cs="Times New Roman"/>
          <w:noProof/>
          <w:color w:val="000000" w:themeColor="text1"/>
          <w:szCs w:val="24"/>
        </w:rPr>
        <w:t xml:space="preserve">, </w:t>
      </w:r>
      <w:r w:rsidRPr="00895D0B">
        <w:rPr>
          <w:rFonts w:cs="Times New Roman"/>
          <w:i/>
          <w:iCs/>
          <w:noProof/>
          <w:color w:val="000000" w:themeColor="text1"/>
          <w:szCs w:val="24"/>
        </w:rPr>
        <w:t>5</w:t>
      </w:r>
      <w:r w:rsidRPr="00895D0B">
        <w:rPr>
          <w:rFonts w:cs="Times New Roman"/>
          <w:noProof/>
          <w:color w:val="000000" w:themeColor="text1"/>
          <w:szCs w:val="24"/>
        </w:rPr>
        <w:t>(2), 245–263. https://doi.org/10.4324/9780203335697-23</w:t>
      </w:r>
    </w:p>
    <w:p w14:paraId="099D8FE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Recorbet, B. (2020). </w:t>
      </w:r>
      <w:r w:rsidRPr="00895D0B">
        <w:rPr>
          <w:rFonts w:cs="Times New Roman"/>
          <w:i/>
          <w:iCs/>
          <w:noProof/>
          <w:color w:val="000000" w:themeColor="text1"/>
          <w:szCs w:val="24"/>
        </w:rPr>
        <w:t>Sustainable Entrepreneurship Project Determinants of Sustainable Entrepreneurship</w:t>
      </w:r>
      <w:r w:rsidRPr="00895D0B">
        <w:rPr>
          <w:rFonts w:cs="Times New Roman"/>
          <w:noProof/>
          <w:color w:val="000000" w:themeColor="text1"/>
          <w:szCs w:val="24"/>
        </w:rPr>
        <w:t>. 2018–2021.</w:t>
      </w:r>
    </w:p>
    <w:p w14:paraId="7CA6D0A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Regnault, A., Willgoss, T., &amp; Barbic, S. (2018). Towards the use of mixed methods inquiry as best practice in health outcomes research. </w:t>
      </w:r>
      <w:r w:rsidRPr="00895D0B">
        <w:rPr>
          <w:rFonts w:cs="Times New Roman"/>
          <w:i/>
          <w:iCs/>
          <w:noProof/>
          <w:color w:val="000000" w:themeColor="text1"/>
          <w:szCs w:val="24"/>
        </w:rPr>
        <w:t>Journal of Patient-Reported Outcomes</w:t>
      </w:r>
      <w:r w:rsidRPr="00895D0B">
        <w:rPr>
          <w:rFonts w:cs="Times New Roman"/>
          <w:noProof/>
          <w:color w:val="000000" w:themeColor="text1"/>
          <w:szCs w:val="24"/>
        </w:rPr>
        <w:t xml:space="preserve">, </w:t>
      </w:r>
      <w:r w:rsidRPr="00895D0B">
        <w:rPr>
          <w:rFonts w:cs="Times New Roman"/>
          <w:i/>
          <w:iCs/>
          <w:noProof/>
          <w:color w:val="000000" w:themeColor="text1"/>
          <w:szCs w:val="24"/>
        </w:rPr>
        <w:t>2</w:t>
      </w:r>
      <w:r w:rsidRPr="00895D0B">
        <w:rPr>
          <w:rFonts w:cs="Times New Roman"/>
          <w:noProof/>
          <w:color w:val="000000" w:themeColor="text1"/>
          <w:szCs w:val="24"/>
        </w:rPr>
        <w:t>, 2–5. https://doi.org/10.1186/s41687-018-0043-8</w:t>
      </w:r>
    </w:p>
    <w:p w14:paraId="269FB64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Reicher, M. E., Seibt, J., Smith, B., Wachter, D. V., Munn, K., Smith, B., &amp; Applied, E. (2019). </w:t>
      </w:r>
      <w:r w:rsidRPr="00895D0B">
        <w:rPr>
          <w:rFonts w:cs="Times New Roman"/>
          <w:i/>
          <w:iCs/>
          <w:noProof/>
          <w:color w:val="000000" w:themeColor="text1"/>
          <w:szCs w:val="24"/>
        </w:rPr>
        <w:t>Edited by Applied Ontology An Introduction</w:t>
      </w:r>
      <w:r w:rsidRPr="00895D0B">
        <w:rPr>
          <w:rFonts w:cs="Times New Roman"/>
          <w:noProof/>
          <w:color w:val="000000" w:themeColor="text1"/>
          <w:szCs w:val="24"/>
        </w:rPr>
        <w:t>.</w:t>
      </w:r>
    </w:p>
    <w:p w14:paraId="582024A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Ritchie, H., &amp; Roser, M. (2019). </w:t>
      </w:r>
      <w:r w:rsidRPr="00895D0B">
        <w:rPr>
          <w:rFonts w:cs="Times New Roman"/>
          <w:i/>
          <w:iCs/>
          <w:noProof/>
          <w:color w:val="000000" w:themeColor="text1"/>
          <w:szCs w:val="24"/>
        </w:rPr>
        <w:t>Urbanization</w:t>
      </w:r>
      <w:r w:rsidRPr="00895D0B">
        <w:rPr>
          <w:rFonts w:cs="Times New Roman"/>
          <w:noProof/>
          <w:color w:val="000000" w:themeColor="text1"/>
          <w:szCs w:val="24"/>
        </w:rPr>
        <w:t xml:space="preserve">. </w:t>
      </w:r>
      <w:r w:rsidRPr="00895D0B">
        <w:rPr>
          <w:rFonts w:cs="Times New Roman"/>
          <w:i/>
          <w:iCs/>
          <w:noProof/>
          <w:color w:val="000000" w:themeColor="text1"/>
          <w:szCs w:val="24"/>
        </w:rPr>
        <w:t>000</w:t>
      </w:r>
      <w:r w:rsidRPr="00895D0B">
        <w:rPr>
          <w:rFonts w:cs="Times New Roman"/>
          <w:noProof/>
          <w:color w:val="000000" w:themeColor="text1"/>
          <w:szCs w:val="24"/>
        </w:rPr>
        <w:t>(September 2018).</w:t>
      </w:r>
    </w:p>
    <w:p w14:paraId="642AB4E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Robinson, E., Nicholson, C., &amp; Kelly, R. L. (2019). The Importance of Spatial Data to Open-Access National Archaeological Databases and the Development of Paleodemography Research. </w:t>
      </w:r>
      <w:r w:rsidRPr="00895D0B">
        <w:rPr>
          <w:rFonts w:cs="Times New Roman"/>
          <w:i/>
          <w:iCs/>
          <w:noProof/>
          <w:color w:val="000000" w:themeColor="text1"/>
          <w:szCs w:val="24"/>
        </w:rPr>
        <w:t>Advances in Archaeological Practice</w:t>
      </w:r>
      <w:r w:rsidRPr="00895D0B">
        <w:rPr>
          <w:rFonts w:cs="Times New Roman"/>
          <w:noProof/>
          <w:color w:val="000000" w:themeColor="text1"/>
          <w:szCs w:val="24"/>
        </w:rPr>
        <w:t xml:space="preserve">, </w:t>
      </w:r>
      <w:r w:rsidRPr="00895D0B">
        <w:rPr>
          <w:rFonts w:cs="Times New Roman"/>
          <w:i/>
          <w:iCs/>
          <w:noProof/>
          <w:color w:val="000000" w:themeColor="text1"/>
          <w:szCs w:val="24"/>
        </w:rPr>
        <w:t>7</w:t>
      </w:r>
      <w:r w:rsidRPr="00895D0B">
        <w:rPr>
          <w:rFonts w:cs="Times New Roman"/>
          <w:noProof/>
          <w:color w:val="000000" w:themeColor="text1"/>
          <w:szCs w:val="24"/>
        </w:rPr>
        <w:t>(4), 395–408. https://doi.org/10.1017/aap.2019.29</w:t>
      </w:r>
    </w:p>
    <w:p w14:paraId="556A7EB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Rogers, B. (2015). Ethical considerations in research. </w:t>
      </w:r>
      <w:r w:rsidRPr="00895D0B">
        <w:rPr>
          <w:rFonts w:cs="Times New Roman"/>
          <w:i/>
          <w:iCs/>
          <w:noProof/>
          <w:color w:val="000000" w:themeColor="text1"/>
          <w:szCs w:val="24"/>
        </w:rPr>
        <w:t>The Praxis of English Language Teaching and Learning (PELT): Beyond the Binaries: Researching Critically in EFL Classrooms</w:t>
      </w:r>
      <w:r w:rsidRPr="00895D0B">
        <w:rPr>
          <w:rFonts w:cs="Times New Roman"/>
          <w:noProof/>
          <w:color w:val="000000" w:themeColor="text1"/>
          <w:szCs w:val="24"/>
        </w:rPr>
        <w:t xml:space="preserve">, </w:t>
      </w:r>
      <w:r w:rsidRPr="00895D0B">
        <w:rPr>
          <w:rFonts w:cs="Times New Roman"/>
          <w:i/>
          <w:iCs/>
          <w:noProof/>
          <w:color w:val="000000" w:themeColor="text1"/>
          <w:szCs w:val="24"/>
        </w:rPr>
        <w:t>35</w:t>
      </w:r>
      <w:r w:rsidRPr="00895D0B">
        <w:rPr>
          <w:rFonts w:cs="Times New Roman"/>
          <w:noProof/>
          <w:color w:val="000000" w:themeColor="text1"/>
          <w:szCs w:val="24"/>
        </w:rPr>
        <w:t>(10), 55–73. https://doi.org/10.1007/978-94-6300-112-0_4</w:t>
      </w:r>
    </w:p>
    <w:p w14:paraId="718B53C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Rogito, J. M., Makhanu, E., Mombinya, B. K., &amp; Nyamota, G. (2020). This document is discoverable and free to researchers across the globe due to the work of AgEcon Search . Help ensure our sustainability . </w:t>
      </w:r>
      <w:r w:rsidRPr="00731E67">
        <w:rPr>
          <w:rFonts w:eastAsia="MS Gothic" w:cs="Times New Roman"/>
          <w:noProof/>
          <w:color w:val="000000" w:themeColor="text1"/>
          <w:szCs w:val="24"/>
        </w:rPr>
        <w:t>ａ</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ｃ</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ｔ</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ｏ</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ｒ</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ｓＩ</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ｎ</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ｆ</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ｌ</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ｕ</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ｅ</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ｎ</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ｃ</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ｉ</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ｎ</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ｇＰ</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ｒ</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ｉ</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ｃ</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ｅｏ</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ｆＡ</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ｇ</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ｒ</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ｉ</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ｃ</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ｕ</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ｌ</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ｔ</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ｕ</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ｒ</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ａ</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ｌＰ</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ｒ</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ｏ</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ｄ</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ｕ</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ｃ</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ｔ</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ｓ</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ａ</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ｎ</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ｄＳ</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ｔ</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ａ</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ｂ</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ｉ</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ｌ</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ｉ</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ｔ</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ｙＣ</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ｏ</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ｕ</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ｎ</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ｔ</w:t>
      </w:r>
      <w:r w:rsidRPr="00731E67">
        <w:rPr>
          <w:rFonts w:cs="Times New Roman"/>
          <w:noProof/>
          <w:color w:val="000000" w:themeColor="text1"/>
          <w:szCs w:val="24"/>
        </w:rPr>
        <w:t xml:space="preserve"> </w:t>
      </w:r>
      <w:r w:rsidRPr="00731E67">
        <w:rPr>
          <w:rFonts w:eastAsia="MS Gothic" w:cs="Times New Roman"/>
          <w:noProof/>
          <w:color w:val="000000" w:themeColor="text1"/>
          <w:szCs w:val="24"/>
        </w:rPr>
        <w:t>ｅ</w:t>
      </w:r>
      <w:r w:rsidRPr="00895D0B">
        <w:rPr>
          <w:rFonts w:cs="Times New Roman"/>
          <w:noProof/>
          <w:color w:val="000000" w:themeColor="text1"/>
          <w:szCs w:val="24"/>
        </w:rPr>
        <w:t xml:space="preserve">. </w:t>
      </w:r>
      <w:r w:rsidRPr="00895D0B">
        <w:rPr>
          <w:rFonts w:cs="Times New Roman"/>
          <w:i/>
          <w:iCs/>
          <w:noProof/>
          <w:color w:val="000000" w:themeColor="text1"/>
          <w:szCs w:val="24"/>
        </w:rPr>
        <w:t>AgEcon Search</w:t>
      </w:r>
      <w:r w:rsidRPr="00895D0B">
        <w:rPr>
          <w:rFonts w:cs="Times New Roman"/>
          <w:noProof/>
          <w:color w:val="000000" w:themeColor="text1"/>
          <w:szCs w:val="24"/>
        </w:rPr>
        <w:t>, 11.</w:t>
      </w:r>
    </w:p>
    <w:p w14:paraId="091995F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Rojas-downing, M. M., Nejadhashemi, A. P., Harrigan, T., &amp; Woznicki, S. A. (2017). Climate Risk Management Climate change and livestock : Impacts , adaptation , and mitigation. </w:t>
      </w:r>
      <w:r w:rsidRPr="00895D0B">
        <w:rPr>
          <w:rFonts w:cs="Times New Roman"/>
          <w:i/>
          <w:iCs/>
          <w:noProof/>
          <w:color w:val="000000" w:themeColor="text1"/>
          <w:szCs w:val="24"/>
        </w:rPr>
        <w:t>Climate Risk Management</w:t>
      </w:r>
      <w:r w:rsidRPr="00895D0B">
        <w:rPr>
          <w:rFonts w:cs="Times New Roman"/>
          <w:noProof/>
          <w:color w:val="000000" w:themeColor="text1"/>
          <w:szCs w:val="24"/>
        </w:rPr>
        <w:t xml:space="preserve">, </w:t>
      </w:r>
      <w:r w:rsidRPr="00895D0B">
        <w:rPr>
          <w:rFonts w:cs="Times New Roman"/>
          <w:i/>
          <w:iCs/>
          <w:noProof/>
          <w:color w:val="000000" w:themeColor="text1"/>
          <w:szCs w:val="24"/>
        </w:rPr>
        <w:t>16</w:t>
      </w:r>
      <w:r w:rsidRPr="00895D0B">
        <w:rPr>
          <w:rFonts w:cs="Times New Roman"/>
          <w:noProof/>
          <w:color w:val="000000" w:themeColor="text1"/>
          <w:szCs w:val="24"/>
        </w:rPr>
        <w:t>, 145–163. https://doi.org/10.1016/j.crm.2017.02.001</w:t>
      </w:r>
    </w:p>
    <w:p w14:paraId="359BFAA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Rondhi, M., Pratiwi, P. A., Handini, V. T., Sunartomo, A. F., &amp; Budiman, S. A. (2018). Agricultural land conversion, land economic value, and sustainable agriculture: A case study in East Java, Indonesia. </w:t>
      </w:r>
      <w:r w:rsidRPr="00895D0B">
        <w:rPr>
          <w:rFonts w:cs="Times New Roman"/>
          <w:i/>
          <w:iCs/>
          <w:noProof/>
          <w:color w:val="000000" w:themeColor="text1"/>
          <w:szCs w:val="24"/>
        </w:rPr>
        <w:t>Land</w:t>
      </w:r>
      <w:r w:rsidRPr="00895D0B">
        <w:rPr>
          <w:rFonts w:cs="Times New Roman"/>
          <w:noProof/>
          <w:color w:val="000000" w:themeColor="text1"/>
          <w:szCs w:val="24"/>
        </w:rPr>
        <w:t xml:space="preserve">, </w:t>
      </w:r>
      <w:r w:rsidRPr="00895D0B">
        <w:rPr>
          <w:rFonts w:cs="Times New Roman"/>
          <w:i/>
          <w:iCs/>
          <w:noProof/>
          <w:color w:val="000000" w:themeColor="text1"/>
          <w:szCs w:val="24"/>
        </w:rPr>
        <w:t>7</w:t>
      </w:r>
      <w:r w:rsidRPr="00895D0B">
        <w:rPr>
          <w:rFonts w:cs="Times New Roman"/>
          <w:noProof/>
          <w:color w:val="000000" w:themeColor="text1"/>
          <w:szCs w:val="24"/>
        </w:rPr>
        <w:t>(4). https://doi.org/10.3390/land7040148</w:t>
      </w:r>
    </w:p>
    <w:p w14:paraId="3BEAC5A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Rukhsana, L., &amp; Kumar, S. (2017). Crop Diversification: An Adaptive Option for Climate Change Resilience in West Bengal. </w:t>
      </w:r>
      <w:r w:rsidRPr="00895D0B">
        <w:rPr>
          <w:rFonts w:cs="Times New Roman"/>
          <w:i/>
          <w:iCs/>
          <w:noProof/>
          <w:color w:val="000000" w:themeColor="text1"/>
          <w:szCs w:val="24"/>
        </w:rPr>
        <w:t>Climate Change, Agriculture and Society</w:t>
      </w:r>
      <w:r w:rsidRPr="00895D0B">
        <w:rPr>
          <w:rFonts w:cs="Times New Roman"/>
          <w:noProof/>
          <w:color w:val="000000" w:themeColor="text1"/>
          <w:szCs w:val="24"/>
        </w:rPr>
        <w:t xml:space="preserve">, </w:t>
      </w:r>
      <w:r w:rsidRPr="00895D0B">
        <w:rPr>
          <w:rFonts w:cs="Times New Roman"/>
          <w:i/>
          <w:iCs/>
          <w:noProof/>
          <w:color w:val="000000" w:themeColor="text1"/>
          <w:szCs w:val="24"/>
        </w:rPr>
        <w:t>January</w:t>
      </w:r>
      <w:r w:rsidRPr="00895D0B">
        <w:rPr>
          <w:rFonts w:cs="Times New Roman"/>
          <w:noProof/>
          <w:color w:val="000000" w:themeColor="text1"/>
          <w:szCs w:val="24"/>
        </w:rPr>
        <w:t>, 175–193. https://doi.org/10.1007/978-3-031-28251-5_10</w:t>
      </w:r>
    </w:p>
    <w:p w14:paraId="38ADAFB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Saleh, M. (2021). </w:t>
      </w:r>
      <w:r w:rsidRPr="00895D0B">
        <w:rPr>
          <w:rFonts w:cs="Times New Roman"/>
          <w:i/>
          <w:iCs/>
          <w:noProof/>
          <w:color w:val="000000" w:themeColor="text1"/>
          <w:szCs w:val="24"/>
        </w:rPr>
        <w:t>TThe number of people living in urban areas in Africa from 2000 to 2026.</w:t>
      </w:r>
      <w:r w:rsidRPr="00895D0B">
        <w:rPr>
          <w:rFonts w:cs="Times New Roman"/>
          <w:noProof/>
          <w:color w:val="000000" w:themeColor="text1"/>
          <w:szCs w:val="24"/>
        </w:rPr>
        <w:t xml:space="preserve"> 1267863.</w:t>
      </w:r>
    </w:p>
    <w:p w14:paraId="7A3A2E8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Salomon, M. (2021). Soil health in urban agriculture with an emphasis on arbuscular mycorrhizal. </w:t>
      </w:r>
      <w:r w:rsidRPr="00895D0B">
        <w:rPr>
          <w:rFonts w:cs="Times New Roman"/>
          <w:i/>
          <w:iCs/>
          <w:noProof/>
          <w:color w:val="000000" w:themeColor="text1"/>
          <w:szCs w:val="24"/>
        </w:rPr>
        <w:t>Thesis</w:t>
      </w:r>
      <w:r w:rsidRPr="00895D0B">
        <w:rPr>
          <w:rFonts w:cs="Times New Roman"/>
          <w:noProof/>
          <w:color w:val="000000" w:themeColor="text1"/>
          <w:szCs w:val="24"/>
        </w:rPr>
        <w:t>.</w:t>
      </w:r>
    </w:p>
    <w:p w14:paraId="2518F73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Sampson, C., Gill, B. H., Harrison, N. K., Nelson, A., &amp; Byrne, A. (2015). The care needs of patients with idiopathic pulmonary fibrosis and their carers (CaNoPy): Results of a qualitative study. </w:t>
      </w:r>
      <w:r w:rsidRPr="00895D0B">
        <w:rPr>
          <w:rFonts w:cs="Times New Roman"/>
          <w:i/>
          <w:iCs/>
          <w:noProof/>
          <w:color w:val="000000" w:themeColor="text1"/>
          <w:szCs w:val="24"/>
        </w:rPr>
        <w:t>BMC Pulmonary Medicine</w:t>
      </w:r>
      <w:r w:rsidRPr="00895D0B">
        <w:rPr>
          <w:rFonts w:cs="Times New Roman"/>
          <w:noProof/>
          <w:color w:val="000000" w:themeColor="text1"/>
          <w:szCs w:val="24"/>
        </w:rPr>
        <w:t xml:space="preserve">, </w:t>
      </w:r>
      <w:r w:rsidRPr="00895D0B">
        <w:rPr>
          <w:rFonts w:cs="Times New Roman"/>
          <w:i/>
          <w:iCs/>
          <w:noProof/>
          <w:color w:val="000000" w:themeColor="text1"/>
          <w:szCs w:val="24"/>
        </w:rPr>
        <w:t>15</w:t>
      </w:r>
      <w:r w:rsidRPr="00895D0B">
        <w:rPr>
          <w:rFonts w:cs="Times New Roman"/>
          <w:noProof/>
          <w:color w:val="000000" w:themeColor="text1"/>
          <w:szCs w:val="24"/>
        </w:rPr>
        <w:t>(1), 1–7. https://doi.org/10.1186/s12890-015-0145-5</w:t>
      </w:r>
    </w:p>
    <w:p w14:paraId="49D00B8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Sarpong, D. B., &amp; Anyidoho, N. A. (2012). Climate Change and Agricultural Policy Processes in Ghana. In </w:t>
      </w:r>
      <w:r w:rsidRPr="00895D0B">
        <w:rPr>
          <w:rFonts w:cs="Times New Roman"/>
          <w:i/>
          <w:iCs/>
          <w:noProof/>
          <w:color w:val="000000" w:themeColor="text1"/>
          <w:szCs w:val="24"/>
        </w:rPr>
        <w:t>Climate chnage and agriculture policy processes in Ghana</w:t>
      </w:r>
      <w:r w:rsidRPr="00895D0B">
        <w:rPr>
          <w:rFonts w:cs="Times New Roman"/>
          <w:noProof/>
          <w:color w:val="000000" w:themeColor="text1"/>
          <w:szCs w:val="24"/>
        </w:rPr>
        <w:t xml:space="preserve"> (Issue September).</w:t>
      </w:r>
    </w:p>
    <w:p w14:paraId="4D566BF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Schlecht, E., Plagemann, J., Mpouam, S. E., Sanon, H. O., Sangaré, M., &amp; Roessler, R. (2019). Input and output of nutrients and energy in urban and peri-urban livestock holdings of Ouagadougou, Burkina Faso. </w:t>
      </w:r>
      <w:r w:rsidRPr="00895D0B">
        <w:rPr>
          <w:rFonts w:cs="Times New Roman"/>
          <w:i/>
          <w:iCs/>
          <w:noProof/>
          <w:color w:val="000000" w:themeColor="text1"/>
          <w:szCs w:val="24"/>
        </w:rPr>
        <w:t>Nutrient Cycling in Agroecosystems</w:t>
      </w:r>
      <w:r w:rsidRPr="00895D0B">
        <w:rPr>
          <w:rFonts w:cs="Times New Roman"/>
          <w:noProof/>
          <w:color w:val="000000" w:themeColor="text1"/>
          <w:szCs w:val="24"/>
        </w:rPr>
        <w:t xml:space="preserve">, </w:t>
      </w:r>
      <w:r w:rsidRPr="00895D0B">
        <w:rPr>
          <w:rFonts w:cs="Times New Roman"/>
          <w:i/>
          <w:iCs/>
          <w:noProof/>
          <w:color w:val="000000" w:themeColor="text1"/>
          <w:szCs w:val="24"/>
        </w:rPr>
        <w:t>115</w:t>
      </w:r>
      <w:r w:rsidRPr="00895D0B">
        <w:rPr>
          <w:rFonts w:cs="Times New Roman"/>
          <w:noProof/>
          <w:color w:val="000000" w:themeColor="text1"/>
          <w:szCs w:val="24"/>
        </w:rPr>
        <w:t>(2), 201–230. https://doi.org/10.1007/s10705-019-09996-x</w:t>
      </w:r>
    </w:p>
    <w:p w14:paraId="0778D89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Schneider, S. H. (2001). What is ‘dangerous’ climate change? </w:t>
      </w:r>
      <w:r w:rsidRPr="00895D0B">
        <w:rPr>
          <w:rFonts w:cs="Times New Roman"/>
          <w:i/>
          <w:iCs/>
          <w:noProof/>
          <w:color w:val="000000" w:themeColor="text1"/>
          <w:szCs w:val="24"/>
        </w:rPr>
        <w:t>Nature</w:t>
      </w:r>
      <w:r w:rsidRPr="00895D0B">
        <w:rPr>
          <w:rFonts w:cs="Times New Roman"/>
          <w:noProof/>
          <w:color w:val="000000" w:themeColor="text1"/>
          <w:szCs w:val="24"/>
        </w:rPr>
        <w:t xml:space="preserve">, </w:t>
      </w:r>
      <w:r w:rsidRPr="00895D0B">
        <w:rPr>
          <w:rFonts w:cs="Times New Roman"/>
          <w:i/>
          <w:iCs/>
          <w:noProof/>
          <w:color w:val="000000" w:themeColor="text1"/>
          <w:szCs w:val="24"/>
        </w:rPr>
        <w:t>411</w:t>
      </w:r>
      <w:r w:rsidRPr="00895D0B">
        <w:rPr>
          <w:rFonts w:cs="Times New Roman"/>
          <w:noProof/>
          <w:color w:val="000000" w:themeColor="text1"/>
          <w:szCs w:val="24"/>
        </w:rPr>
        <w:t>, 17–19.</w:t>
      </w:r>
    </w:p>
    <w:p w14:paraId="421A0E58"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Schoonenboom, J., &amp; Johnson, R. B. (2017). Wie man ein Mixed Methods-Forschungs-Design konstruiert. </w:t>
      </w:r>
      <w:r w:rsidRPr="00895D0B">
        <w:rPr>
          <w:rFonts w:cs="Times New Roman"/>
          <w:i/>
          <w:iCs/>
          <w:noProof/>
          <w:color w:val="000000" w:themeColor="text1"/>
          <w:szCs w:val="24"/>
        </w:rPr>
        <w:t>Kolner Zeitschrift Fur Soziologie Und Sozialpsychologie</w:t>
      </w:r>
      <w:r w:rsidRPr="00895D0B">
        <w:rPr>
          <w:rFonts w:cs="Times New Roman"/>
          <w:noProof/>
          <w:color w:val="000000" w:themeColor="text1"/>
          <w:szCs w:val="24"/>
        </w:rPr>
        <w:t xml:space="preserve">, </w:t>
      </w:r>
      <w:r w:rsidRPr="00895D0B">
        <w:rPr>
          <w:rFonts w:cs="Times New Roman"/>
          <w:i/>
          <w:iCs/>
          <w:noProof/>
          <w:color w:val="000000" w:themeColor="text1"/>
          <w:szCs w:val="24"/>
        </w:rPr>
        <w:t>69</w:t>
      </w:r>
      <w:r w:rsidRPr="00895D0B">
        <w:rPr>
          <w:rFonts w:cs="Times New Roman"/>
          <w:noProof/>
          <w:color w:val="000000" w:themeColor="text1"/>
          <w:szCs w:val="24"/>
        </w:rPr>
        <w:t>, 107–131. https://doi.org/10.1007/s11577-017-0454-1</w:t>
      </w:r>
    </w:p>
    <w:p w14:paraId="7CA5189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Schwindenhammer, S., &amp; Gonglach, D. (2021). </w:t>
      </w:r>
      <w:r w:rsidRPr="00895D0B">
        <w:rPr>
          <w:rFonts w:cs="Times New Roman"/>
          <w:i/>
          <w:iCs/>
          <w:noProof/>
          <w:color w:val="000000" w:themeColor="text1"/>
          <w:szCs w:val="24"/>
        </w:rPr>
        <w:t>SDG Implementation through Technology ? Governing Food-Water-Technology Nexus Challenges in Urban Agriculture</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(1), 176–186. https://doi.org/10.17645/pag.v9i1.3590</w:t>
      </w:r>
    </w:p>
    <w:p w14:paraId="64AE264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Seretse, O. M., Agarwal, A., Mmiletsi, U., &amp; Mpho, M. (2024). Urban agriculture empowerment: donkey-driven maize planter for sustainable food production in Sub-Saharan African cities. </w:t>
      </w:r>
      <w:r w:rsidRPr="00895D0B">
        <w:rPr>
          <w:rFonts w:cs="Times New Roman"/>
          <w:i/>
          <w:iCs/>
          <w:noProof/>
          <w:color w:val="000000" w:themeColor="text1"/>
          <w:szCs w:val="24"/>
        </w:rPr>
        <w:t>Advances in Modern Agriculture</w:t>
      </w:r>
      <w:r w:rsidRPr="00895D0B">
        <w:rPr>
          <w:rFonts w:cs="Times New Roman"/>
          <w:noProof/>
          <w:color w:val="000000" w:themeColor="text1"/>
          <w:szCs w:val="24"/>
        </w:rPr>
        <w:t xml:space="preserve">, </w:t>
      </w:r>
      <w:r w:rsidRPr="00895D0B">
        <w:rPr>
          <w:rFonts w:cs="Times New Roman"/>
          <w:i/>
          <w:iCs/>
          <w:noProof/>
          <w:color w:val="000000" w:themeColor="text1"/>
          <w:szCs w:val="24"/>
        </w:rPr>
        <w:t>4</w:t>
      </w:r>
      <w:r w:rsidRPr="00895D0B">
        <w:rPr>
          <w:rFonts w:cs="Times New Roman"/>
          <w:noProof/>
          <w:color w:val="000000" w:themeColor="text1"/>
          <w:szCs w:val="24"/>
        </w:rPr>
        <w:t>(2), 1–13. https://doi.org/10.54517/ama.v4i2.2239</w:t>
      </w:r>
    </w:p>
    <w:p w14:paraId="07FFA40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Serrano, J. O., Villares, A., Manuel-Malamba, F. D., Martínez-Melo, J., Mazorra, C., Borroto, Á., Hajari, E., Fonseca-Fuentes, N., &amp; Lorenzo, J. C. (2021). Euclidean distance: Integrated criteria to study sheep behaviour under heat stress. </w:t>
      </w:r>
      <w:r w:rsidRPr="00895D0B">
        <w:rPr>
          <w:rFonts w:cs="Times New Roman"/>
          <w:i/>
          <w:iCs/>
          <w:noProof/>
          <w:color w:val="000000" w:themeColor="text1"/>
          <w:szCs w:val="24"/>
        </w:rPr>
        <w:t>Notulae Scientia Biologicae</w:t>
      </w:r>
      <w:r w:rsidRPr="00895D0B">
        <w:rPr>
          <w:rFonts w:cs="Times New Roman"/>
          <w:noProof/>
          <w:color w:val="000000" w:themeColor="text1"/>
          <w:szCs w:val="24"/>
        </w:rPr>
        <w:t xml:space="preserve">, </w:t>
      </w:r>
      <w:r w:rsidRPr="00895D0B">
        <w:rPr>
          <w:rFonts w:cs="Times New Roman"/>
          <w:i/>
          <w:iCs/>
          <w:noProof/>
          <w:color w:val="000000" w:themeColor="text1"/>
          <w:szCs w:val="24"/>
        </w:rPr>
        <w:t>13</w:t>
      </w:r>
      <w:r w:rsidRPr="00895D0B">
        <w:rPr>
          <w:rFonts w:cs="Times New Roman"/>
          <w:noProof/>
          <w:color w:val="000000" w:themeColor="text1"/>
          <w:szCs w:val="24"/>
        </w:rPr>
        <w:t>(1), 1–8. https://doi.org/10.15835/nsb13110859</w:t>
      </w:r>
    </w:p>
    <w:p w14:paraId="75453EE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Shackleton, C. M., Cilliers, S. S., Davoren, E., &amp; Du, M. J. (2021). </w:t>
      </w:r>
      <w:r w:rsidRPr="00895D0B">
        <w:rPr>
          <w:rFonts w:cs="Times New Roman"/>
          <w:i/>
          <w:iCs/>
          <w:noProof/>
          <w:color w:val="000000" w:themeColor="text1"/>
          <w:szCs w:val="24"/>
        </w:rPr>
        <w:t>Urban Ecology in the Global South</w:t>
      </w:r>
      <w:r w:rsidRPr="00895D0B">
        <w:rPr>
          <w:rFonts w:cs="Times New Roman"/>
          <w:noProof/>
          <w:color w:val="000000" w:themeColor="text1"/>
          <w:szCs w:val="24"/>
        </w:rPr>
        <w:t xml:space="preserve"> (Issue December). https://doi.org/10.1007/978-3-030-67650-6</w:t>
      </w:r>
    </w:p>
    <w:p w14:paraId="7C8BA00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Shah, A., Nazari, M., Antar, M., Msimbira, L. A., Naamala, J., Lyu, D., Rabileh, M., Zajonc, J., &amp; Smith, D. L. (2021). PGPR in Agriculture: A Sustainable Approach to Increasing Climate Change Resilience. </w:t>
      </w:r>
      <w:r w:rsidRPr="00895D0B">
        <w:rPr>
          <w:rFonts w:cs="Times New Roman"/>
          <w:i/>
          <w:iCs/>
          <w:noProof/>
          <w:color w:val="000000" w:themeColor="text1"/>
          <w:szCs w:val="24"/>
        </w:rPr>
        <w:t>Frontiers in Sustainable Food Systems</w:t>
      </w:r>
      <w:r w:rsidRPr="00895D0B">
        <w:rPr>
          <w:rFonts w:cs="Times New Roman"/>
          <w:noProof/>
          <w:color w:val="000000" w:themeColor="text1"/>
          <w:szCs w:val="24"/>
        </w:rPr>
        <w:t xml:space="preserve">, </w:t>
      </w:r>
      <w:r w:rsidRPr="00895D0B">
        <w:rPr>
          <w:rFonts w:cs="Times New Roman"/>
          <w:i/>
          <w:iCs/>
          <w:noProof/>
          <w:color w:val="000000" w:themeColor="text1"/>
          <w:szCs w:val="24"/>
        </w:rPr>
        <w:t>5</w:t>
      </w:r>
      <w:r w:rsidRPr="00895D0B">
        <w:rPr>
          <w:rFonts w:cs="Times New Roman"/>
          <w:noProof/>
          <w:color w:val="000000" w:themeColor="text1"/>
          <w:szCs w:val="24"/>
        </w:rPr>
        <w:t>(July), 1–22. https://doi.org/10.3389/fsufs.2021.667546</w:t>
      </w:r>
    </w:p>
    <w:p w14:paraId="1387F51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Shanta, I. S., Hasnat, M. A., Zeidner, N., Gurley, E. S., Azziz-Baumgartner, E., Sharker, M. A. Y., Hossain, K., Khan, S. U., Haider, N., Bhuyan, A. A., Hossain, M. A., &amp; Luby, S. P. (2017). Raising Backyard Poultry in Rural Bangladesh: Financial and Nutritional Benefits, but Persistent Risky Practices. </w:t>
      </w:r>
      <w:r w:rsidRPr="00895D0B">
        <w:rPr>
          <w:rFonts w:cs="Times New Roman"/>
          <w:i/>
          <w:iCs/>
          <w:noProof/>
          <w:color w:val="000000" w:themeColor="text1"/>
          <w:szCs w:val="24"/>
        </w:rPr>
        <w:t>Transboundary and Emerging Diseases</w:t>
      </w:r>
      <w:r w:rsidRPr="00895D0B">
        <w:rPr>
          <w:rFonts w:cs="Times New Roman"/>
          <w:noProof/>
          <w:color w:val="000000" w:themeColor="text1"/>
          <w:szCs w:val="24"/>
        </w:rPr>
        <w:t xml:space="preserve">, </w:t>
      </w:r>
      <w:r w:rsidRPr="00895D0B">
        <w:rPr>
          <w:rFonts w:cs="Times New Roman"/>
          <w:i/>
          <w:iCs/>
          <w:noProof/>
          <w:color w:val="000000" w:themeColor="text1"/>
          <w:szCs w:val="24"/>
        </w:rPr>
        <w:t>64</w:t>
      </w:r>
      <w:r w:rsidRPr="00895D0B">
        <w:rPr>
          <w:rFonts w:cs="Times New Roman"/>
          <w:noProof/>
          <w:color w:val="000000" w:themeColor="text1"/>
          <w:szCs w:val="24"/>
        </w:rPr>
        <w:t>(5), 1454–1464. https://doi.org/10.1111/tbed.12536</w:t>
      </w:r>
    </w:p>
    <w:p w14:paraId="61D2D35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Shao, Z., Sumari, N. S., Portnov, A., Ujoh, F., Musakwa, W., &amp; Mandela, P. J. (2021). Urban sprawl and its impact on sustainable urban development: a combination of remote sensing and social media data. </w:t>
      </w:r>
      <w:r w:rsidRPr="00895D0B">
        <w:rPr>
          <w:rFonts w:cs="Times New Roman"/>
          <w:i/>
          <w:iCs/>
          <w:noProof/>
          <w:color w:val="000000" w:themeColor="text1"/>
          <w:szCs w:val="24"/>
        </w:rPr>
        <w:t>Geo-Spatial Information Science</w:t>
      </w:r>
      <w:r w:rsidRPr="00895D0B">
        <w:rPr>
          <w:rFonts w:cs="Times New Roman"/>
          <w:noProof/>
          <w:color w:val="000000" w:themeColor="text1"/>
          <w:szCs w:val="24"/>
        </w:rPr>
        <w:t xml:space="preserve">, </w:t>
      </w:r>
      <w:r w:rsidRPr="00895D0B">
        <w:rPr>
          <w:rFonts w:cs="Times New Roman"/>
          <w:i/>
          <w:iCs/>
          <w:noProof/>
          <w:color w:val="000000" w:themeColor="text1"/>
          <w:szCs w:val="24"/>
        </w:rPr>
        <w:t>24</w:t>
      </w:r>
      <w:r w:rsidRPr="00895D0B">
        <w:rPr>
          <w:rFonts w:cs="Times New Roman"/>
          <w:noProof/>
          <w:color w:val="000000" w:themeColor="text1"/>
          <w:szCs w:val="24"/>
        </w:rPr>
        <w:t>(2), 241–255. https://doi.org/10.1080/10095020.2020.1787800</w:t>
      </w:r>
    </w:p>
    <w:p w14:paraId="7001A15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Sharifi, A. (2018). Resilience-Oriented Urban Planning Chapter 1 Resilience-Oriented Urban Planning. </w:t>
      </w:r>
      <w:r w:rsidRPr="00895D0B">
        <w:rPr>
          <w:rFonts w:cs="Times New Roman"/>
          <w:i/>
          <w:iCs/>
          <w:noProof/>
          <w:color w:val="000000" w:themeColor="text1"/>
          <w:szCs w:val="24"/>
        </w:rPr>
        <w:t>Resilience-Oriented Urban Planning: Theoretical and Empirical Insights (Lecture Notes in Energy Book 65)</w:t>
      </w:r>
      <w:r w:rsidRPr="00895D0B">
        <w:rPr>
          <w:rFonts w:cs="Times New Roman"/>
          <w:noProof/>
          <w:color w:val="000000" w:themeColor="text1"/>
          <w:szCs w:val="24"/>
        </w:rPr>
        <w:t xml:space="preserve">, </w:t>
      </w:r>
      <w:r w:rsidRPr="00895D0B">
        <w:rPr>
          <w:rFonts w:cs="Times New Roman"/>
          <w:i/>
          <w:iCs/>
          <w:noProof/>
          <w:color w:val="000000" w:themeColor="text1"/>
          <w:szCs w:val="24"/>
        </w:rPr>
        <w:t>April</w:t>
      </w:r>
      <w:r w:rsidRPr="00895D0B">
        <w:rPr>
          <w:rFonts w:cs="Times New Roman"/>
          <w:noProof/>
          <w:color w:val="000000" w:themeColor="text1"/>
          <w:szCs w:val="24"/>
        </w:rPr>
        <w:t>, 2–27. https://doi.org/10.1007/978-3-319-75798-8</w:t>
      </w:r>
    </w:p>
    <w:p w14:paraId="09977B6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Shields, S., &amp; Orme-evans, G. (2015). </w:t>
      </w:r>
      <w:r w:rsidRPr="00895D0B">
        <w:rPr>
          <w:rFonts w:cs="Times New Roman"/>
          <w:i/>
          <w:iCs/>
          <w:noProof/>
          <w:color w:val="000000" w:themeColor="text1"/>
          <w:szCs w:val="24"/>
        </w:rPr>
        <w:t>The Impacts of Climate Change Mitigation Strategies on Animal Welfare</w:t>
      </w:r>
      <w:r w:rsidRPr="00895D0B">
        <w:rPr>
          <w:rFonts w:cs="Times New Roman"/>
          <w:noProof/>
          <w:color w:val="000000" w:themeColor="text1"/>
          <w:szCs w:val="24"/>
        </w:rPr>
        <w:t>. 361–394. https://doi.org/10.3390/ani5020361</w:t>
      </w:r>
    </w:p>
    <w:p w14:paraId="1366989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Shove, E. (2011). </w:t>
      </w:r>
      <w:r w:rsidRPr="00895D0B">
        <w:rPr>
          <w:rFonts w:cs="Times New Roman"/>
          <w:i/>
          <w:iCs/>
          <w:noProof/>
          <w:color w:val="000000" w:themeColor="text1"/>
          <w:szCs w:val="24"/>
        </w:rPr>
        <w:t>How the social sciences can help climate change policy</w:t>
      </w:r>
      <w:r w:rsidRPr="00895D0B">
        <w:rPr>
          <w:rFonts w:cs="Times New Roman"/>
          <w:noProof/>
          <w:color w:val="000000" w:themeColor="text1"/>
          <w:szCs w:val="24"/>
        </w:rPr>
        <w:t xml:space="preserve">. </w:t>
      </w:r>
      <w:r w:rsidRPr="00895D0B">
        <w:rPr>
          <w:rFonts w:cs="Times New Roman"/>
          <w:i/>
          <w:iCs/>
          <w:noProof/>
          <w:color w:val="000000" w:themeColor="text1"/>
          <w:szCs w:val="24"/>
        </w:rPr>
        <w:t>January</w:t>
      </w:r>
      <w:r w:rsidRPr="00895D0B">
        <w:rPr>
          <w:rFonts w:cs="Times New Roman"/>
          <w:noProof/>
          <w:color w:val="000000" w:themeColor="text1"/>
          <w:szCs w:val="24"/>
        </w:rPr>
        <w:t>, 1–15.</w:t>
      </w:r>
    </w:p>
    <w:p w14:paraId="61F938E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Siegner, A. (2018). </w:t>
      </w:r>
      <w:r w:rsidRPr="00895D0B">
        <w:rPr>
          <w:rFonts w:cs="Times New Roman"/>
          <w:i/>
          <w:iCs/>
          <w:noProof/>
          <w:color w:val="000000" w:themeColor="text1"/>
          <w:szCs w:val="24"/>
        </w:rPr>
        <w:t>Does Urban Agriculture Improve Food Security ? Examining the Nexus of Food Access and Distribution of Urban Produced Foods in the United States : A Systematic Review</w:t>
      </w:r>
      <w:r w:rsidRPr="00895D0B">
        <w:rPr>
          <w:rFonts w:cs="Times New Roman"/>
          <w:noProof/>
          <w:color w:val="000000" w:themeColor="text1"/>
          <w:szCs w:val="24"/>
        </w:rPr>
        <w:t>. 8–12. https://doi.org/10.3390/su10092988</w:t>
      </w:r>
    </w:p>
    <w:p w14:paraId="310860B7"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Skar, S. L. G., Pineda-martos, R., Timpe, A., Pölling, B., Bohn, K., &amp; Külvik, M. (2020). </w:t>
      </w:r>
      <w:r w:rsidRPr="00895D0B">
        <w:rPr>
          <w:rFonts w:cs="Times New Roman"/>
          <w:i/>
          <w:iCs/>
          <w:noProof/>
          <w:color w:val="000000" w:themeColor="text1"/>
          <w:szCs w:val="24"/>
        </w:rPr>
        <w:t>Urban agriculture as a keystone contribution towards securing sustainable and healthy development for cities in the future</w:t>
      </w:r>
      <w:r w:rsidRPr="00895D0B">
        <w:rPr>
          <w:rFonts w:cs="Times New Roman"/>
          <w:noProof/>
          <w:color w:val="000000" w:themeColor="text1"/>
          <w:szCs w:val="24"/>
        </w:rPr>
        <w:t xml:space="preserve">. </w:t>
      </w:r>
      <w:r w:rsidRPr="00895D0B">
        <w:rPr>
          <w:rFonts w:cs="Times New Roman"/>
          <w:i/>
          <w:iCs/>
          <w:noProof/>
          <w:color w:val="000000" w:themeColor="text1"/>
          <w:szCs w:val="24"/>
        </w:rPr>
        <w:t>2</w:t>
      </w:r>
      <w:r w:rsidRPr="00895D0B">
        <w:rPr>
          <w:rFonts w:cs="Times New Roman"/>
          <w:noProof/>
          <w:color w:val="000000" w:themeColor="text1"/>
          <w:szCs w:val="24"/>
        </w:rPr>
        <w:t>(1), 1–27. https://doi.org/10.2166/bgs.2019.931</w:t>
      </w:r>
    </w:p>
    <w:p w14:paraId="18BB61D2" w14:textId="77777777" w:rsidR="00731E67" w:rsidRPr="00895D0B"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297316D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Smart, J., Nel, E., &amp; Binns, T. (2015). Economic crisis and food security in Africa: Exploring the significance of urban agriculture in Zambia’s Copperbelt province. </w:t>
      </w:r>
      <w:r w:rsidRPr="00895D0B">
        <w:rPr>
          <w:rFonts w:cs="Times New Roman"/>
          <w:i/>
          <w:iCs/>
          <w:noProof/>
          <w:color w:val="000000" w:themeColor="text1"/>
          <w:szCs w:val="24"/>
        </w:rPr>
        <w:t>Geoforum</w:t>
      </w:r>
      <w:r w:rsidRPr="00895D0B">
        <w:rPr>
          <w:rFonts w:cs="Times New Roman"/>
          <w:noProof/>
          <w:color w:val="000000" w:themeColor="text1"/>
          <w:szCs w:val="24"/>
        </w:rPr>
        <w:t xml:space="preserve">, </w:t>
      </w:r>
      <w:r w:rsidRPr="00895D0B">
        <w:rPr>
          <w:rFonts w:cs="Times New Roman"/>
          <w:i/>
          <w:iCs/>
          <w:noProof/>
          <w:color w:val="000000" w:themeColor="text1"/>
          <w:szCs w:val="24"/>
        </w:rPr>
        <w:t>65</w:t>
      </w:r>
      <w:r w:rsidRPr="00895D0B">
        <w:rPr>
          <w:rFonts w:cs="Times New Roman"/>
          <w:noProof/>
          <w:color w:val="000000" w:themeColor="text1"/>
          <w:szCs w:val="24"/>
        </w:rPr>
        <w:t>, 37–45. https://doi.org/10.1016/j.geoforum.2015.07.009</w:t>
      </w:r>
    </w:p>
    <w:p w14:paraId="3F3EE43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Smith, B. (2003). </w:t>
      </w:r>
      <w:r w:rsidRPr="00895D0B">
        <w:rPr>
          <w:rFonts w:cs="Times New Roman"/>
          <w:i/>
          <w:iCs/>
          <w:noProof/>
          <w:color w:val="000000" w:themeColor="text1"/>
          <w:szCs w:val="24"/>
        </w:rPr>
        <w:t>Ontology</w:t>
      </w:r>
      <w:r w:rsidRPr="00895D0B">
        <w:rPr>
          <w:rFonts w:cs="Times New Roman"/>
          <w:noProof/>
          <w:color w:val="000000" w:themeColor="text1"/>
          <w:szCs w:val="24"/>
        </w:rPr>
        <w:t xml:space="preserve"> (Vol. 166, pp. 155–166).</w:t>
      </w:r>
    </w:p>
    <w:p w14:paraId="6AC68DE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Snyder, E. H., McIvor, K., &amp; Brown, S. (2016). Sowing Seeds in the City. In </w:t>
      </w:r>
      <w:r w:rsidRPr="00895D0B">
        <w:rPr>
          <w:rFonts w:cs="Times New Roman"/>
          <w:i/>
          <w:iCs/>
          <w:noProof/>
          <w:color w:val="000000" w:themeColor="text1"/>
          <w:szCs w:val="24"/>
        </w:rPr>
        <w:t>Sowing Seeds in the City: Human Dimensions</w:t>
      </w:r>
      <w:r w:rsidRPr="00895D0B">
        <w:rPr>
          <w:rFonts w:cs="Times New Roman"/>
          <w:noProof/>
          <w:color w:val="000000" w:themeColor="text1"/>
          <w:szCs w:val="24"/>
        </w:rPr>
        <w:t>. Springer. https://doi.org/10.1007/978-94-017-7456</w:t>
      </w:r>
    </w:p>
    <w:p w14:paraId="5E3E313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Sova, C., Chaudhury, A., Nelson, W., Nutsukpo, D. K., &amp; Zougmoré, R. (2014). Climate Change Adaptation Policy in Ghana: Priorities for the Agriculture Sector. </w:t>
      </w:r>
      <w:r w:rsidRPr="00895D0B">
        <w:rPr>
          <w:rFonts w:cs="Times New Roman"/>
          <w:i/>
          <w:iCs/>
          <w:noProof/>
          <w:color w:val="000000" w:themeColor="text1"/>
          <w:szCs w:val="24"/>
        </w:rPr>
        <w:t>CGIAR Research Program on Climate Change, Agriculture and Food Security</w:t>
      </w:r>
      <w:r w:rsidRPr="00895D0B">
        <w:rPr>
          <w:rFonts w:cs="Times New Roman"/>
          <w:noProof/>
          <w:color w:val="000000" w:themeColor="text1"/>
          <w:szCs w:val="24"/>
        </w:rPr>
        <w:t xml:space="preserve">, </w:t>
      </w:r>
      <w:r w:rsidRPr="00895D0B">
        <w:rPr>
          <w:rFonts w:cs="Times New Roman"/>
          <w:i/>
          <w:iCs/>
          <w:noProof/>
          <w:color w:val="000000" w:themeColor="text1"/>
          <w:szCs w:val="24"/>
        </w:rPr>
        <w:t>68</w:t>
      </w:r>
      <w:r w:rsidRPr="00895D0B">
        <w:rPr>
          <w:rFonts w:cs="Times New Roman"/>
          <w:noProof/>
          <w:color w:val="000000" w:themeColor="text1"/>
          <w:szCs w:val="24"/>
        </w:rPr>
        <w:t>(68), 84. www.ccafs.cgiar.org</w:t>
      </w:r>
    </w:p>
    <w:p w14:paraId="12F3705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Spaargaren, G., Weenink, D., &amp; Lamers, M. (2016). Practice Theory and Research. In </w:t>
      </w:r>
      <w:r w:rsidRPr="00895D0B">
        <w:rPr>
          <w:rFonts w:cs="Times New Roman"/>
          <w:i/>
          <w:iCs/>
          <w:noProof/>
          <w:color w:val="000000" w:themeColor="text1"/>
          <w:szCs w:val="24"/>
        </w:rPr>
        <w:t>Practice Theory and Research</w:t>
      </w:r>
      <w:r w:rsidRPr="00895D0B">
        <w:rPr>
          <w:rFonts w:cs="Times New Roman"/>
          <w:noProof/>
          <w:color w:val="000000" w:themeColor="text1"/>
          <w:szCs w:val="24"/>
        </w:rPr>
        <w:t>. https://www.taylorfrancis.com/books/9781317326458</w:t>
      </w:r>
    </w:p>
    <w:p w14:paraId="20296D2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Sroka, W., Bojarszczuk, J., Satoła, Ł., Szczepańska, B., Sulewski, P., Lisek, S., Luty, L., &amp; Zioło, M. (2021). Understanding residents’ acceptance of professional urban and peri-urban farming: A socio-economic study in Polish metropolitan areas.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109</w:t>
      </w:r>
      <w:r w:rsidRPr="00895D0B">
        <w:rPr>
          <w:rFonts w:cs="Times New Roman"/>
          <w:noProof/>
          <w:color w:val="000000" w:themeColor="text1"/>
          <w:szCs w:val="24"/>
        </w:rPr>
        <w:t>(April). https://doi.org/10.1016/j.landusepol.2021.105599</w:t>
      </w:r>
    </w:p>
    <w:p w14:paraId="704D702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Strengers, Y. (2010). Conceptualising everyday practices : composition , reproduction and change. </w:t>
      </w:r>
      <w:r w:rsidRPr="00895D0B">
        <w:rPr>
          <w:rFonts w:cs="Times New Roman"/>
          <w:i/>
          <w:iCs/>
          <w:noProof/>
          <w:color w:val="000000" w:themeColor="text1"/>
          <w:szCs w:val="24"/>
        </w:rPr>
        <w:t>Behaviour Change</w:t>
      </w:r>
      <w:r w:rsidRPr="00895D0B">
        <w:rPr>
          <w:rFonts w:cs="Times New Roman"/>
          <w:noProof/>
          <w:color w:val="000000" w:themeColor="text1"/>
          <w:szCs w:val="24"/>
        </w:rPr>
        <w:t xml:space="preserve">, </w:t>
      </w:r>
      <w:r w:rsidRPr="00895D0B">
        <w:rPr>
          <w:rFonts w:cs="Times New Roman"/>
          <w:i/>
          <w:iCs/>
          <w:noProof/>
          <w:color w:val="000000" w:themeColor="text1"/>
          <w:szCs w:val="24"/>
        </w:rPr>
        <w:t>6</w:t>
      </w:r>
      <w:r w:rsidRPr="00895D0B">
        <w:rPr>
          <w:rFonts w:cs="Times New Roman"/>
          <w:noProof/>
          <w:color w:val="000000" w:themeColor="text1"/>
          <w:szCs w:val="24"/>
        </w:rPr>
        <w:t>, 1–21.</w:t>
      </w:r>
    </w:p>
    <w:p w14:paraId="65D51D4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Suchá, L., Schlossarek, M., Dušková, L., Malan, N., &amp; Šarapatka, B. (2020). Land tenure security and its implications for investments to urban agriculture in Soweto, South Africa.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97</w:t>
      </w:r>
      <w:r w:rsidRPr="00895D0B">
        <w:rPr>
          <w:rFonts w:cs="Times New Roman"/>
          <w:noProof/>
          <w:color w:val="000000" w:themeColor="text1"/>
          <w:szCs w:val="24"/>
        </w:rPr>
        <w:t>(February), 1–10. https://doi.org/10.1016/j.landusepol.2020.104739</w:t>
      </w:r>
    </w:p>
    <w:p w14:paraId="3BD0155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Sullivan, C. A. O., Bonnett, G. D., Mcintyre, C. L., Hochman, Z., &amp; Wasson, A. P. (2019). Strategies to improve the productivity , product diversity and pro fi tability of urban agriculture. </w:t>
      </w:r>
      <w:r w:rsidRPr="00895D0B">
        <w:rPr>
          <w:rFonts w:cs="Times New Roman"/>
          <w:i/>
          <w:iCs/>
          <w:noProof/>
          <w:color w:val="000000" w:themeColor="text1"/>
          <w:szCs w:val="24"/>
        </w:rPr>
        <w:t>Agricultural Systems</w:t>
      </w:r>
      <w:r w:rsidRPr="00895D0B">
        <w:rPr>
          <w:rFonts w:cs="Times New Roman"/>
          <w:noProof/>
          <w:color w:val="000000" w:themeColor="text1"/>
          <w:szCs w:val="24"/>
        </w:rPr>
        <w:t xml:space="preserve">, </w:t>
      </w:r>
      <w:r w:rsidRPr="00895D0B">
        <w:rPr>
          <w:rFonts w:cs="Times New Roman"/>
          <w:i/>
          <w:iCs/>
          <w:noProof/>
          <w:color w:val="000000" w:themeColor="text1"/>
          <w:szCs w:val="24"/>
        </w:rPr>
        <w:t>174</w:t>
      </w:r>
      <w:r w:rsidRPr="00895D0B">
        <w:rPr>
          <w:rFonts w:cs="Times New Roman"/>
          <w:noProof/>
          <w:color w:val="000000" w:themeColor="text1"/>
          <w:szCs w:val="24"/>
        </w:rPr>
        <w:t>(May), 133–144. https://doi.org/10.1016/j.agsy.2019.05.007</w:t>
      </w:r>
    </w:p>
    <w:p w14:paraId="38D066F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Šūmane, S., Kunda, I., Knickel, K., Strauss, A., Tisenkopfs, T., Rios, I. I., Rivera, M., Chebach, T., &amp; Ashkenazy, A. (2018). Local and farmers’ knowledge matters! How integrating informal and formal knowledge enhances sustainable and resilient agriculture. </w:t>
      </w:r>
      <w:r w:rsidRPr="00895D0B">
        <w:rPr>
          <w:rFonts w:cs="Times New Roman"/>
          <w:i/>
          <w:iCs/>
          <w:noProof/>
          <w:color w:val="000000" w:themeColor="text1"/>
          <w:szCs w:val="24"/>
        </w:rPr>
        <w:t>Journal of Rural Studies</w:t>
      </w:r>
      <w:r w:rsidRPr="00895D0B">
        <w:rPr>
          <w:rFonts w:cs="Times New Roman"/>
          <w:noProof/>
          <w:color w:val="000000" w:themeColor="text1"/>
          <w:szCs w:val="24"/>
        </w:rPr>
        <w:t xml:space="preserve">, </w:t>
      </w:r>
      <w:r w:rsidRPr="00895D0B">
        <w:rPr>
          <w:rFonts w:cs="Times New Roman"/>
          <w:i/>
          <w:iCs/>
          <w:noProof/>
          <w:color w:val="000000" w:themeColor="text1"/>
          <w:szCs w:val="24"/>
        </w:rPr>
        <w:t>59</w:t>
      </w:r>
      <w:r w:rsidRPr="00895D0B">
        <w:rPr>
          <w:rFonts w:cs="Times New Roman"/>
          <w:noProof/>
          <w:color w:val="000000" w:themeColor="text1"/>
          <w:szCs w:val="24"/>
        </w:rPr>
        <w:t>, 232–241. https://doi.org/10.1016/j.jrurstud.2017.01.020</w:t>
      </w:r>
    </w:p>
    <w:p w14:paraId="2E0A742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Taguchi, M., &amp; Santini, G. (2019). Agriculture in the Global a Perspective. In </w:t>
      </w:r>
      <w:r w:rsidRPr="00895D0B">
        <w:rPr>
          <w:rFonts w:cs="Times New Roman"/>
          <w:i/>
          <w:iCs/>
          <w:noProof/>
          <w:color w:val="000000" w:themeColor="text1"/>
          <w:szCs w:val="24"/>
        </w:rPr>
        <w:t>The journal of field actions</w:t>
      </w:r>
      <w:r w:rsidRPr="00895D0B">
        <w:rPr>
          <w:rFonts w:cs="Times New Roman"/>
          <w:noProof/>
          <w:color w:val="000000" w:themeColor="text1"/>
          <w:szCs w:val="24"/>
        </w:rPr>
        <w:t xml:space="preserve"> (Issue 20).</w:t>
      </w:r>
    </w:p>
    <w:p w14:paraId="62161FD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Takele, M. T., &amp; Umer, M. I. (2020). </w:t>
      </w:r>
      <w:r w:rsidRPr="00895D0B">
        <w:rPr>
          <w:rFonts w:cs="Times New Roman"/>
          <w:i/>
          <w:iCs/>
          <w:noProof/>
          <w:color w:val="000000" w:themeColor="text1"/>
          <w:szCs w:val="24"/>
        </w:rPr>
        <w:t>Determinant factors of farmer ’ s willingness to pay for sustainable land management practices evidence with Homosha Benishangul Gumuz Region : Application with multinomial logit model , mixed logit model , and conditional logit model</w:t>
      </w:r>
      <w:r w:rsidRPr="00895D0B">
        <w:rPr>
          <w:rFonts w:cs="Times New Roman"/>
          <w:noProof/>
          <w:color w:val="000000" w:themeColor="text1"/>
          <w:szCs w:val="24"/>
        </w:rPr>
        <w:t>. http://www.intellectbase.org/e_publications/proceedings/IHART_Fall_2012.pdf#page=157</w:t>
      </w:r>
    </w:p>
    <w:p w14:paraId="05D0F6C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Tamiru, D., Argaw, A., Gerbaba, M., Nigussie, A., Ayana, G., &amp; Belachew, T. (2016). Improving dietary diversity of school adolescents through school based nutrition education and home gardening in Jimma Zone: Quasi-experimental design. </w:t>
      </w:r>
      <w:r w:rsidRPr="00895D0B">
        <w:rPr>
          <w:rFonts w:cs="Times New Roman"/>
          <w:i/>
          <w:iCs/>
          <w:noProof/>
          <w:color w:val="000000" w:themeColor="text1"/>
          <w:szCs w:val="24"/>
        </w:rPr>
        <w:t>Eating Behaviors</w:t>
      </w:r>
      <w:r w:rsidRPr="00895D0B">
        <w:rPr>
          <w:rFonts w:cs="Times New Roman"/>
          <w:noProof/>
          <w:color w:val="000000" w:themeColor="text1"/>
          <w:szCs w:val="24"/>
        </w:rPr>
        <w:t xml:space="preserve">, </w:t>
      </w:r>
      <w:r w:rsidRPr="00895D0B">
        <w:rPr>
          <w:rFonts w:cs="Times New Roman"/>
          <w:i/>
          <w:iCs/>
          <w:noProof/>
          <w:color w:val="000000" w:themeColor="text1"/>
          <w:szCs w:val="24"/>
        </w:rPr>
        <w:t>23</w:t>
      </w:r>
      <w:r w:rsidRPr="00895D0B">
        <w:rPr>
          <w:rFonts w:cs="Times New Roman"/>
          <w:noProof/>
          <w:color w:val="000000" w:themeColor="text1"/>
          <w:szCs w:val="24"/>
        </w:rPr>
        <w:t>, 180–186. https://doi.org/10.1016/j.eatbeh.2016.10.009</w:t>
      </w:r>
    </w:p>
    <w:p w14:paraId="3C98823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Tang, D., Liu, H., Song, E., &amp; Chang, S. (2020). Urban expansion simulation from the perspective of land acquisition-based on bargaining model and ant colony optimization. </w:t>
      </w:r>
      <w:r w:rsidRPr="00895D0B">
        <w:rPr>
          <w:rFonts w:cs="Times New Roman"/>
          <w:i/>
          <w:iCs/>
          <w:noProof/>
          <w:color w:val="000000" w:themeColor="text1"/>
          <w:szCs w:val="24"/>
        </w:rPr>
        <w:t>Computers, Environment and Urban Systems</w:t>
      </w:r>
      <w:r w:rsidRPr="00895D0B">
        <w:rPr>
          <w:rFonts w:cs="Times New Roman"/>
          <w:noProof/>
          <w:color w:val="000000" w:themeColor="text1"/>
          <w:szCs w:val="24"/>
        </w:rPr>
        <w:t xml:space="preserve">, </w:t>
      </w:r>
      <w:r w:rsidRPr="00895D0B">
        <w:rPr>
          <w:rFonts w:cs="Times New Roman"/>
          <w:i/>
          <w:iCs/>
          <w:noProof/>
          <w:color w:val="000000" w:themeColor="text1"/>
          <w:szCs w:val="24"/>
        </w:rPr>
        <w:t>82</w:t>
      </w:r>
      <w:r w:rsidRPr="00895D0B">
        <w:rPr>
          <w:rFonts w:cs="Times New Roman"/>
          <w:noProof/>
          <w:color w:val="000000" w:themeColor="text1"/>
          <w:szCs w:val="24"/>
        </w:rPr>
        <w:t>(December 2019), 101504. https://doi.org/10.1016/j.compenvurbsys.2020.101504</w:t>
      </w:r>
    </w:p>
    <w:p w14:paraId="41C95CB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Tanko, M., Ismaila, S., &amp; Sadiq, S. A. (2019a). Planting for Food and Jobs (PFJ): A panacea for productivity and welfare of rice farmers in Northern Ghana. </w:t>
      </w:r>
      <w:r w:rsidRPr="00895D0B">
        <w:rPr>
          <w:rFonts w:cs="Times New Roman"/>
          <w:i/>
          <w:iCs/>
          <w:noProof/>
          <w:color w:val="000000" w:themeColor="text1"/>
          <w:szCs w:val="24"/>
        </w:rPr>
        <w:t>Cogent Economics and Finance</w:t>
      </w:r>
      <w:r w:rsidRPr="00895D0B">
        <w:rPr>
          <w:rFonts w:cs="Times New Roman"/>
          <w:noProof/>
          <w:color w:val="000000" w:themeColor="text1"/>
          <w:szCs w:val="24"/>
        </w:rPr>
        <w:t xml:space="preserve">, </w:t>
      </w:r>
      <w:r w:rsidRPr="00895D0B">
        <w:rPr>
          <w:rFonts w:cs="Times New Roman"/>
          <w:i/>
          <w:iCs/>
          <w:noProof/>
          <w:color w:val="000000" w:themeColor="text1"/>
          <w:szCs w:val="24"/>
        </w:rPr>
        <w:t>7</w:t>
      </w:r>
      <w:r w:rsidRPr="00895D0B">
        <w:rPr>
          <w:rFonts w:cs="Times New Roman"/>
          <w:noProof/>
          <w:color w:val="000000" w:themeColor="text1"/>
          <w:szCs w:val="24"/>
        </w:rPr>
        <w:t>(1). https://doi.org/10.1080/23322039.2019.1693121</w:t>
      </w:r>
    </w:p>
    <w:p w14:paraId="64F6AA4D"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Tanko, M., Ismaila, S., &amp; Sadiq, S. A. (2019b). Planting for Food and Jobs (PFJ): A panacea for productivity and welfare of rice farmers in Northern Ghana. </w:t>
      </w:r>
      <w:r w:rsidRPr="00895D0B">
        <w:rPr>
          <w:rFonts w:cs="Times New Roman"/>
          <w:i/>
          <w:iCs/>
          <w:noProof/>
          <w:color w:val="000000" w:themeColor="text1"/>
          <w:szCs w:val="24"/>
        </w:rPr>
        <w:t>Cogent Economics &amp; Finance</w:t>
      </w:r>
      <w:r w:rsidRPr="00895D0B">
        <w:rPr>
          <w:rFonts w:cs="Times New Roman"/>
          <w:noProof/>
          <w:color w:val="000000" w:themeColor="text1"/>
          <w:szCs w:val="24"/>
        </w:rPr>
        <w:t xml:space="preserve">, </w:t>
      </w:r>
      <w:r w:rsidRPr="00895D0B">
        <w:rPr>
          <w:rFonts w:cs="Times New Roman"/>
          <w:i/>
          <w:iCs/>
          <w:noProof/>
          <w:color w:val="000000" w:themeColor="text1"/>
          <w:szCs w:val="24"/>
        </w:rPr>
        <w:t>7</w:t>
      </w:r>
      <w:r w:rsidRPr="00895D0B">
        <w:rPr>
          <w:rFonts w:cs="Times New Roman"/>
          <w:noProof/>
          <w:color w:val="000000" w:themeColor="text1"/>
          <w:szCs w:val="24"/>
        </w:rPr>
        <w:t>(1693121), 1–14. https://doi.org/10.1080/23322039.2019.1693121</w:t>
      </w:r>
    </w:p>
    <w:p w14:paraId="2B67C0F4" w14:textId="77777777" w:rsidR="00731E67" w:rsidRPr="00895D0B"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65F0334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Tapia, C., Randall, L., Wang, S., &amp; Aguiar Borges, L. (2021). Monitoring the contribution of urban agriculture to urban sustainability: an indicator-based framework. </w:t>
      </w:r>
      <w:r w:rsidRPr="00895D0B">
        <w:rPr>
          <w:rFonts w:cs="Times New Roman"/>
          <w:i/>
          <w:iCs/>
          <w:noProof/>
          <w:color w:val="000000" w:themeColor="text1"/>
          <w:szCs w:val="24"/>
        </w:rPr>
        <w:t>Sustainable Cities and Society</w:t>
      </w:r>
      <w:r w:rsidRPr="00895D0B">
        <w:rPr>
          <w:rFonts w:cs="Times New Roman"/>
          <w:noProof/>
          <w:color w:val="000000" w:themeColor="text1"/>
          <w:szCs w:val="24"/>
        </w:rPr>
        <w:t xml:space="preserve">, </w:t>
      </w:r>
      <w:r w:rsidRPr="00895D0B">
        <w:rPr>
          <w:rFonts w:cs="Times New Roman"/>
          <w:i/>
          <w:iCs/>
          <w:noProof/>
          <w:color w:val="000000" w:themeColor="text1"/>
          <w:szCs w:val="24"/>
        </w:rPr>
        <w:t>74</w:t>
      </w:r>
      <w:r w:rsidRPr="00895D0B">
        <w:rPr>
          <w:rFonts w:cs="Times New Roman"/>
          <w:noProof/>
          <w:color w:val="000000" w:themeColor="text1"/>
          <w:szCs w:val="24"/>
        </w:rPr>
        <w:t>, 103130. https://doi.org/10.1016/j.scs.2021.103130</w:t>
      </w:r>
    </w:p>
    <w:p w14:paraId="4AECD6F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Tashakkori, A., &amp; Creswell, J. W. (2007). Editorial: The New Era of Mixed Methods. </w:t>
      </w:r>
      <w:r w:rsidRPr="00895D0B">
        <w:rPr>
          <w:rFonts w:cs="Times New Roman"/>
          <w:i/>
          <w:iCs/>
          <w:noProof/>
          <w:color w:val="000000" w:themeColor="text1"/>
          <w:szCs w:val="24"/>
        </w:rPr>
        <w:t>Journal of Mixed Methods Research</w:t>
      </w:r>
      <w:r w:rsidRPr="00895D0B">
        <w:rPr>
          <w:rFonts w:cs="Times New Roman"/>
          <w:noProof/>
          <w:color w:val="000000" w:themeColor="text1"/>
          <w:szCs w:val="24"/>
        </w:rPr>
        <w:t xml:space="preserve">, </w:t>
      </w:r>
      <w:r w:rsidRPr="00895D0B">
        <w:rPr>
          <w:rFonts w:cs="Times New Roman"/>
          <w:i/>
          <w:iCs/>
          <w:noProof/>
          <w:color w:val="000000" w:themeColor="text1"/>
          <w:szCs w:val="24"/>
        </w:rPr>
        <w:t>1</w:t>
      </w:r>
      <w:r w:rsidRPr="00895D0B">
        <w:rPr>
          <w:rFonts w:cs="Times New Roman"/>
          <w:noProof/>
          <w:color w:val="000000" w:themeColor="text1"/>
          <w:szCs w:val="24"/>
        </w:rPr>
        <w:t>(1), 3–7. https://doi.org/10.1177/2345678906293042</w:t>
      </w:r>
    </w:p>
    <w:p w14:paraId="7AFF418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Tauliantos, D. (2018). </w:t>
      </w:r>
      <w:r w:rsidRPr="00895D0B">
        <w:rPr>
          <w:rFonts w:cs="Times New Roman"/>
          <w:i/>
          <w:iCs/>
          <w:noProof/>
          <w:color w:val="000000" w:themeColor="text1"/>
          <w:szCs w:val="24"/>
        </w:rPr>
        <w:t>Growing Urban Agriculture: Using Social Practice Theory to Assess How Transition Norwich can upscale Household Food Gardening in The City of Norwich Exploiting Vertical Growing Strategies for Sustainable Crop Production View project</w:t>
      </w:r>
      <w:r w:rsidRPr="00895D0B">
        <w:rPr>
          <w:rFonts w:cs="Times New Roman"/>
          <w:noProof/>
          <w:color w:val="000000" w:themeColor="text1"/>
          <w:szCs w:val="24"/>
        </w:rPr>
        <w:t xml:space="preserve"> (Issue September) [University of East Anglia]. https://www.researchgate.net/publication/316374908</w:t>
      </w:r>
    </w:p>
    <w:p w14:paraId="2D80DD2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Taylor, J. R., &amp; Lovell, S. (2012). Mapping public and private spaces of urban agriculture in Chicago through the analysis of high-resolution aerial images in Google Earth. </w:t>
      </w:r>
      <w:r w:rsidRPr="00895D0B">
        <w:rPr>
          <w:rFonts w:cs="Times New Roman"/>
          <w:i/>
          <w:iCs/>
          <w:noProof/>
          <w:color w:val="000000" w:themeColor="text1"/>
          <w:szCs w:val="24"/>
        </w:rPr>
        <w:t>Landscape and Urban Planning</w:t>
      </w:r>
      <w:r w:rsidRPr="00895D0B">
        <w:rPr>
          <w:rFonts w:cs="Times New Roman"/>
          <w:noProof/>
          <w:color w:val="000000" w:themeColor="text1"/>
          <w:szCs w:val="24"/>
        </w:rPr>
        <w:t xml:space="preserve">, </w:t>
      </w:r>
      <w:r w:rsidRPr="00895D0B">
        <w:rPr>
          <w:rFonts w:cs="Times New Roman"/>
          <w:i/>
          <w:iCs/>
          <w:noProof/>
          <w:color w:val="000000" w:themeColor="text1"/>
          <w:szCs w:val="24"/>
        </w:rPr>
        <w:t>108</w:t>
      </w:r>
      <w:r w:rsidRPr="00895D0B">
        <w:rPr>
          <w:rFonts w:cs="Times New Roman"/>
          <w:noProof/>
          <w:color w:val="000000" w:themeColor="text1"/>
          <w:szCs w:val="24"/>
        </w:rPr>
        <w:t>(1), 57–70. https://doi.org/10.1016/j.landurbplan.2012.08.001</w:t>
      </w:r>
    </w:p>
    <w:p w14:paraId="43B14BE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Terrell, S. R., &amp; Ph, D. (2012). </w:t>
      </w:r>
      <w:r w:rsidRPr="00895D0B">
        <w:rPr>
          <w:rFonts w:cs="Times New Roman"/>
          <w:i/>
          <w:iCs/>
          <w:noProof/>
          <w:color w:val="000000" w:themeColor="text1"/>
          <w:szCs w:val="24"/>
        </w:rPr>
        <w:t>Mixed-Methods Research Methodologies Abstract and Key Words</w:t>
      </w:r>
      <w:r w:rsidRPr="00895D0B">
        <w:rPr>
          <w:rFonts w:cs="Times New Roman"/>
          <w:noProof/>
          <w:color w:val="000000" w:themeColor="text1"/>
          <w:szCs w:val="24"/>
        </w:rPr>
        <w:t xml:space="preserve">. </w:t>
      </w:r>
      <w:r w:rsidRPr="00895D0B">
        <w:rPr>
          <w:rFonts w:cs="Times New Roman"/>
          <w:i/>
          <w:iCs/>
          <w:noProof/>
          <w:color w:val="000000" w:themeColor="text1"/>
          <w:szCs w:val="24"/>
        </w:rPr>
        <w:t>17</w:t>
      </w:r>
      <w:r w:rsidRPr="00895D0B">
        <w:rPr>
          <w:rFonts w:cs="Times New Roman"/>
          <w:noProof/>
          <w:color w:val="000000" w:themeColor="text1"/>
          <w:szCs w:val="24"/>
        </w:rPr>
        <w:t>(1).</w:t>
      </w:r>
    </w:p>
    <w:p w14:paraId="03BAC1B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Thebe, V. (2018). Youth, agriculture and land reform in Zimbabwe: Experiences from a communal area and resettlement scheme in semi-arid Matabeleland, Zimbabwe. </w:t>
      </w:r>
      <w:r w:rsidRPr="00895D0B">
        <w:rPr>
          <w:rFonts w:cs="Times New Roman"/>
          <w:i/>
          <w:iCs/>
          <w:noProof/>
          <w:color w:val="000000" w:themeColor="text1"/>
          <w:szCs w:val="24"/>
        </w:rPr>
        <w:t>African Studies</w:t>
      </w:r>
      <w:r w:rsidRPr="00895D0B">
        <w:rPr>
          <w:rFonts w:cs="Times New Roman"/>
          <w:noProof/>
          <w:color w:val="000000" w:themeColor="text1"/>
          <w:szCs w:val="24"/>
        </w:rPr>
        <w:t xml:space="preserve">, </w:t>
      </w:r>
      <w:r w:rsidRPr="00895D0B">
        <w:rPr>
          <w:rFonts w:cs="Times New Roman"/>
          <w:i/>
          <w:iCs/>
          <w:noProof/>
          <w:color w:val="000000" w:themeColor="text1"/>
          <w:szCs w:val="24"/>
        </w:rPr>
        <w:t>77</w:t>
      </w:r>
      <w:r w:rsidRPr="00895D0B">
        <w:rPr>
          <w:rFonts w:cs="Times New Roman"/>
          <w:noProof/>
          <w:color w:val="000000" w:themeColor="text1"/>
          <w:szCs w:val="24"/>
        </w:rPr>
        <w:t>(3), 336–353. https://doi.org/10.1080/00020184.2018.1466516</w:t>
      </w:r>
    </w:p>
    <w:p w14:paraId="2EA6D55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Thi, N. P., Kappas, M., &amp; Faust, H. (2021). Impacts of agricultural land acquisition for urbanization on agricultural activities of affected households: A case study in huong thuy town, thua thien hue province, vietnam. </w:t>
      </w:r>
      <w:r w:rsidRPr="00895D0B">
        <w:rPr>
          <w:rFonts w:cs="Times New Roman"/>
          <w:i/>
          <w:iCs/>
          <w:noProof/>
          <w:color w:val="000000" w:themeColor="text1"/>
          <w:szCs w:val="24"/>
        </w:rPr>
        <w:t>Sustainability (Switzerland)</w:t>
      </w:r>
      <w:r w:rsidRPr="00895D0B">
        <w:rPr>
          <w:rFonts w:cs="Times New Roman"/>
          <w:noProof/>
          <w:color w:val="000000" w:themeColor="text1"/>
          <w:szCs w:val="24"/>
        </w:rPr>
        <w:t xml:space="preserve">, </w:t>
      </w:r>
      <w:r w:rsidRPr="00895D0B">
        <w:rPr>
          <w:rFonts w:cs="Times New Roman"/>
          <w:i/>
          <w:iCs/>
          <w:noProof/>
          <w:color w:val="000000" w:themeColor="text1"/>
          <w:szCs w:val="24"/>
        </w:rPr>
        <w:t>13</w:t>
      </w:r>
      <w:r w:rsidRPr="00895D0B">
        <w:rPr>
          <w:rFonts w:cs="Times New Roman"/>
          <w:noProof/>
          <w:color w:val="000000" w:themeColor="text1"/>
          <w:szCs w:val="24"/>
        </w:rPr>
        <w:t>(15). https://doi.org/10.3390/su13158559</w:t>
      </w:r>
    </w:p>
    <w:p w14:paraId="51540DA0"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Toku, A., Osumanu, I. K., Owusu-Sekyere, E., &amp; Amoah, S. T. (2021). Conflicting urban land uses at the fringes: issues and experiences of peri-urban farmers in an urbanizing city in Ghana. </w:t>
      </w:r>
      <w:r w:rsidRPr="00895D0B">
        <w:rPr>
          <w:rFonts w:cs="Times New Roman"/>
          <w:i/>
          <w:iCs/>
          <w:noProof/>
          <w:color w:val="000000" w:themeColor="text1"/>
          <w:szCs w:val="24"/>
        </w:rPr>
        <w:t>SN Social Sciences</w:t>
      </w:r>
      <w:r w:rsidRPr="00895D0B">
        <w:rPr>
          <w:rFonts w:cs="Times New Roman"/>
          <w:noProof/>
          <w:color w:val="000000" w:themeColor="text1"/>
          <w:szCs w:val="24"/>
        </w:rPr>
        <w:t xml:space="preserve">, </w:t>
      </w:r>
      <w:r w:rsidRPr="00895D0B">
        <w:rPr>
          <w:rFonts w:cs="Times New Roman"/>
          <w:i/>
          <w:iCs/>
          <w:noProof/>
          <w:color w:val="000000" w:themeColor="text1"/>
          <w:szCs w:val="24"/>
        </w:rPr>
        <w:t>1</w:t>
      </w:r>
      <w:r w:rsidRPr="00895D0B">
        <w:rPr>
          <w:rFonts w:cs="Times New Roman"/>
          <w:noProof/>
          <w:color w:val="000000" w:themeColor="text1"/>
          <w:szCs w:val="24"/>
        </w:rPr>
        <w:t>(7), 1–23. https://doi.org/10.1007/s43545-021-00136-3</w:t>
      </w:r>
    </w:p>
    <w:p w14:paraId="209B9FD9"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Tornaghi, C. (2015). Critical geography of urban agriculture. </w:t>
      </w:r>
      <w:r w:rsidRPr="00895D0B">
        <w:rPr>
          <w:rFonts w:cs="Times New Roman"/>
          <w:i/>
          <w:iCs/>
          <w:noProof/>
          <w:color w:val="000000" w:themeColor="text1"/>
          <w:szCs w:val="24"/>
        </w:rPr>
        <w:t>Progress in Human Geography</w:t>
      </w:r>
      <w:r w:rsidRPr="00895D0B">
        <w:rPr>
          <w:rFonts w:cs="Times New Roman"/>
          <w:noProof/>
          <w:color w:val="000000" w:themeColor="text1"/>
          <w:szCs w:val="24"/>
        </w:rPr>
        <w:t xml:space="preserve">, </w:t>
      </w:r>
      <w:r w:rsidRPr="00895D0B">
        <w:rPr>
          <w:rFonts w:cs="Times New Roman"/>
          <w:i/>
          <w:iCs/>
          <w:noProof/>
          <w:color w:val="000000" w:themeColor="text1"/>
          <w:szCs w:val="24"/>
        </w:rPr>
        <w:t>38</w:t>
      </w:r>
      <w:r w:rsidRPr="00895D0B">
        <w:rPr>
          <w:rFonts w:cs="Times New Roman"/>
          <w:noProof/>
          <w:color w:val="000000" w:themeColor="text1"/>
          <w:szCs w:val="24"/>
        </w:rPr>
        <w:t>(4), 551–567. https://doi.org/10.1177/0309132513512542</w:t>
      </w:r>
    </w:p>
    <w:p w14:paraId="0D5010D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Touliatos, D. D. (2018). </w:t>
      </w:r>
      <w:r w:rsidRPr="00895D0B">
        <w:rPr>
          <w:rFonts w:cs="Times New Roman"/>
          <w:i/>
          <w:iCs/>
          <w:noProof/>
          <w:color w:val="000000" w:themeColor="text1"/>
          <w:szCs w:val="24"/>
        </w:rPr>
        <w:t>Growing Urban Agriculture: Using Social Practice Theory to Assess How Transition Norwich can upscale Household Food Gardening in The City of Norwich Exploiting Vertical Growing Strategies for Sustainable Crop Production View project organic-PLUS View proj</w:t>
      </w:r>
      <w:r w:rsidRPr="00895D0B">
        <w:rPr>
          <w:rFonts w:cs="Times New Roman"/>
          <w:noProof/>
          <w:color w:val="000000" w:themeColor="text1"/>
          <w:szCs w:val="24"/>
        </w:rPr>
        <w:t xml:space="preserve">. </w:t>
      </w:r>
      <w:r w:rsidRPr="00895D0B">
        <w:rPr>
          <w:rFonts w:cs="Times New Roman"/>
          <w:i/>
          <w:iCs/>
          <w:noProof/>
          <w:color w:val="000000" w:themeColor="text1"/>
          <w:szCs w:val="24"/>
        </w:rPr>
        <w:t>January 2011</w:t>
      </w:r>
      <w:r w:rsidRPr="00895D0B">
        <w:rPr>
          <w:rFonts w:cs="Times New Roman"/>
          <w:noProof/>
          <w:color w:val="000000" w:themeColor="text1"/>
          <w:szCs w:val="24"/>
        </w:rPr>
        <w:t>. https://www.researchgate.net/publication/316374908</w:t>
      </w:r>
    </w:p>
    <w:p w14:paraId="53A1D24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Tselaesele, N. M., Bagwasi, N., Lepetu, J., Bahta, S., &amp; Oladele, I. O. (2018). </w:t>
      </w:r>
      <w:r w:rsidRPr="00895D0B">
        <w:rPr>
          <w:rFonts w:cs="Times New Roman"/>
          <w:i/>
          <w:iCs/>
          <w:noProof/>
          <w:color w:val="000000" w:themeColor="text1"/>
          <w:szCs w:val="24"/>
        </w:rPr>
        <w:t>Training needs assessment for transformation of smallholder livestock farming in Batswana</w:t>
      </w:r>
      <w:r w:rsidRPr="00895D0B">
        <w:rPr>
          <w:rFonts w:cs="Times New Roman"/>
          <w:noProof/>
          <w:color w:val="000000" w:themeColor="text1"/>
          <w:szCs w:val="24"/>
        </w:rPr>
        <w:t xml:space="preserve">. </w:t>
      </w:r>
      <w:r w:rsidRPr="00895D0B">
        <w:rPr>
          <w:rFonts w:cs="Times New Roman"/>
          <w:i/>
          <w:iCs/>
          <w:noProof/>
          <w:color w:val="000000" w:themeColor="text1"/>
          <w:szCs w:val="24"/>
        </w:rPr>
        <w:t>46</w:t>
      </w:r>
      <w:r w:rsidRPr="00895D0B">
        <w:rPr>
          <w:rFonts w:cs="Times New Roman"/>
          <w:noProof/>
          <w:color w:val="000000" w:themeColor="text1"/>
          <w:szCs w:val="24"/>
        </w:rPr>
        <w:t>(1), 92–105.</w:t>
      </w:r>
    </w:p>
    <w:p w14:paraId="020BE78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Tufford, L., &amp; Newman, P. (2012). Bracketing in qualitative research. </w:t>
      </w:r>
      <w:r w:rsidRPr="00895D0B">
        <w:rPr>
          <w:rFonts w:cs="Times New Roman"/>
          <w:i/>
          <w:iCs/>
          <w:noProof/>
          <w:color w:val="000000" w:themeColor="text1"/>
          <w:szCs w:val="24"/>
        </w:rPr>
        <w:t>Qualitative Social Work</w:t>
      </w:r>
      <w:r w:rsidRPr="00895D0B">
        <w:rPr>
          <w:rFonts w:cs="Times New Roman"/>
          <w:noProof/>
          <w:color w:val="000000" w:themeColor="text1"/>
          <w:szCs w:val="24"/>
        </w:rPr>
        <w:t xml:space="preserve">, </w:t>
      </w:r>
      <w:r w:rsidRPr="00895D0B">
        <w:rPr>
          <w:rFonts w:cs="Times New Roman"/>
          <w:i/>
          <w:iCs/>
          <w:noProof/>
          <w:color w:val="000000" w:themeColor="text1"/>
          <w:szCs w:val="24"/>
        </w:rPr>
        <w:t>11</w:t>
      </w:r>
      <w:r w:rsidRPr="00895D0B">
        <w:rPr>
          <w:rFonts w:cs="Times New Roman"/>
          <w:noProof/>
          <w:color w:val="000000" w:themeColor="text1"/>
          <w:szCs w:val="24"/>
        </w:rPr>
        <w:t>(1), 80–96. https://doi.org/10.1177/1473325010368316</w:t>
      </w:r>
    </w:p>
    <w:p w14:paraId="1DBDC65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Tyson, R., &amp; Simonne, E. (2014). A Practical Guide for Aquaponics as an Alternative Choosing the Fish and Plants. </w:t>
      </w:r>
      <w:r w:rsidRPr="00895D0B">
        <w:rPr>
          <w:rFonts w:cs="Times New Roman"/>
          <w:i/>
          <w:iCs/>
          <w:noProof/>
          <w:color w:val="000000" w:themeColor="text1"/>
          <w:szCs w:val="24"/>
        </w:rPr>
        <w:t>IFAS Extetion</w:t>
      </w:r>
      <w:r w:rsidRPr="00895D0B">
        <w:rPr>
          <w:rFonts w:cs="Times New Roman"/>
          <w:noProof/>
          <w:color w:val="000000" w:themeColor="text1"/>
          <w:szCs w:val="24"/>
        </w:rPr>
        <w:t>, 1–10.</w:t>
      </w:r>
    </w:p>
    <w:p w14:paraId="146EB61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UNDP. (2011). </w:t>
      </w:r>
      <w:r w:rsidRPr="00895D0B">
        <w:rPr>
          <w:rFonts w:cs="Times New Roman"/>
          <w:i/>
          <w:iCs/>
          <w:noProof/>
          <w:color w:val="000000" w:themeColor="text1"/>
          <w:szCs w:val="24"/>
        </w:rPr>
        <w:t>Wa Municipal Assembly Human Development Report 2011 and the Attainment of MDGs DEVELOPMENT</w:t>
      </w:r>
      <w:r w:rsidRPr="00895D0B">
        <w:rPr>
          <w:rFonts w:cs="Times New Roman"/>
          <w:noProof/>
          <w:color w:val="000000" w:themeColor="text1"/>
          <w:szCs w:val="24"/>
        </w:rPr>
        <w:t>. 1–14.</w:t>
      </w:r>
    </w:p>
    <w:p w14:paraId="764CBA4A"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UNEP, &amp; UNDP. (2013). National Climate Change Adaptation Strategy. In </w:t>
      </w:r>
      <w:r w:rsidRPr="00895D0B">
        <w:rPr>
          <w:rFonts w:cs="Times New Roman"/>
          <w:i/>
          <w:iCs/>
          <w:noProof/>
          <w:color w:val="000000" w:themeColor="text1"/>
          <w:szCs w:val="24"/>
        </w:rPr>
        <w:t>Global Environmental Change</w:t>
      </w:r>
      <w:r w:rsidRPr="00895D0B">
        <w:rPr>
          <w:rFonts w:cs="Times New Roman"/>
          <w:noProof/>
          <w:color w:val="000000" w:themeColor="text1"/>
          <w:szCs w:val="24"/>
        </w:rPr>
        <w:t xml:space="preserve"> (Vol. 5, Issue 1). http://www.adaptation-undp.org/sites/default/files/downloads/ghana_national_climate_change_adaptation_strategy_nccas.pdf%0Ahttp://isites.harvard.edu/fs/docs/icb.topic1239113.files/WaterSecurityWhatDoesitMean.pdf%5Cnhttp://dx.doi.org/10.1016/j.gloenvcha.20</w:t>
      </w:r>
    </w:p>
    <w:p w14:paraId="7893A795"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USAID. (2017). </w:t>
      </w:r>
      <w:r w:rsidRPr="00895D0B">
        <w:rPr>
          <w:rFonts w:cs="Times New Roman"/>
          <w:i/>
          <w:iCs/>
          <w:noProof/>
          <w:color w:val="000000" w:themeColor="text1"/>
          <w:szCs w:val="24"/>
        </w:rPr>
        <w:t>Feed the future Ghana district profile series, Wa municipal</w:t>
      </w:r>
      <w:r w:rsidRPr="00895D0B">
        <w:rPr>
          <w:rFonts w:cs="Times New Roman"/>
          <w:noProof/>
          <w:color w:val="000000" w:themeColor="text1"/>
          <w:szCs w:val="24"/>
        </w:rPr>
        <w:t xml:space="preserve"> (Issue 1).</w:t>
      </w:r>
    </w:p>
    <w:p w14:paraId="53910553"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Usmani, A. R. S., Hashem, T. I. A., Pillai, T. R., Saeed, A., &amp; Abdullahi, A. M. (2020). Geographic Information System and Big Spatial Data: A Review and Challenges. </w:t>
      </w:r>
      <w:r w:rsidRPr="00895D0B">
        <w:rPr>
          <w:rFonts w:cs="Times New Roman"/>
          <w:i/>
          <w:iCs/>
          <w:noProof/>
          <w:color w:val="000000" w:themeColor="text1"/>
          <w:szCs w:val="24"/>
        </w:rPr>
        <w:t>International Journal of Enterprise Information Systems</w:t>
      </w:r>
      <w:r w:rsidRPr="00895D0B">
        <w:rPr>
          <w:rFonts w:cs="Times New Roman"/>
          <w:noProof/>
          <w:color w:val="000000" w:themeColor="text1"/>
          <w:szCs w:val="24"/>
        </w:rPr>
        <w:t xml:space="preserve">, </w:t>
      </w:r>
      <w:r w:rsidRPr="00895D0B">
        <w:rPr>
          <w:rFonts w:cs="Times New Roman"/>
          <w:i/>
          <w:iCs/>
          <w:noProof/>
          <w:color w:val="000000" w:themeColor="text1"/>
          <w:szCs w:val="24"/>
        </w:rPr>
        <w:t>16</w:t>
      </w:r>
      <w:r w:rsidRPr="00895D0B">
        <w:rPr>
          <w:rFonts w:cs="Times New Roman"/>
          <w:noProof/>
          <w:color w:val="000000" w:themeColor="text1"/>
          <w:szCs w:val="24"/>
        </w:rPr>
        <w:t>(4), 101–145. https://doi.org/10.4018/IJEIS.2020100106</w:t>
      </w:r>
    </w:p>
    <w:p w14:paraId="39EE5CF1" w14:textId="77777777" w:rsidR="00731E67" w:rsidRPr="00895D0B"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7D86274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van de Gevel, J., van Etten, J., &amp; Deterding, S. (2020). Citizen science breathes new life into participatory agricultural research. A review. </w:t>
      </w:r>
      <w:r w:rsidRPr="00895D0B">
        <w:rPr>
          <w:rFonts w:cs="Times New Roman"/>
          <w:i/>
          <w:iCs/>
          <w:noProof/>
          <w:color w:val="000000" w:themeColor="text1"/>
          <w:szCs w:val="24"/>
        </w:rPr>
        <w:t>Agronomy for Sustainable Development</w:t>
      </w:r>
      <w:r w:rsidRPr="00895D0B">
        <w:rPr>
          <w:rFonts w:cs="Times New Roman"/>
          <w:noProof/>
          <w:color w:val="000000" w:themeColor="text1"/>
          <w:szCs w:val="24"/>
        </w:rPr>
        <w:t xml:space="preserve">, </w:t>
      </w:r>
      <w:r w:rsidRPr="00895D0B">
        <w:rPr>
          <w:rFonts w:cs="Times New Roman"/>
          <w:i/>
          <w:iCs/>
          <w:noProof/>
          <w:color w:val="000000" w:themeColor="text1"/>
          <w:szCs w:val="24"/>
        </w:rPr>
        <w:t>40</w:t>
      </w:r>
      <w:r w:rsidRPr="00895D0B">
        <w:rPr>
          <w:rFonts w:cs="Times New Roman"/>
          <w:noProof/>
          <w:color w:val="000000" w:themeColor="text1"/>
          <w:szCs w:val="24"/>
        </w:rPr>
        <w:t>(5), 1–17. https://doi.org/10.1007/s13593-020-00636-1</w:t>
      </w:r>
    </w:p>
    <w:p w14:paraId="1E9DBEB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Vercillo, S. (2020). The complicated gendering of farming and household food responsibilities in northern Ghana. </w:t>
      </w:r>
      <w:r w:rsidRPr="00895D0B">
        <w:rPr>
          <w:rFonts w:cs="Times New Roman"/>
          <w:i/>
          <w:iCs/>
          <w:noProof/>
          <w:color w:val="000000" w:themeColor="text1"/>
          <w:szCs w:val="24"/>
        </w:rPr>
        <w:t>Journal of Rural Studies</w:t>
      </w:r>
      <w:r w:rsidRPr="00895D0B">
        <w:rPr>
          <w:rFonts w:cs="Times New Roman"/>
          <w:noProof/>
          <w:color w:val="000000" w:themeColor="text1"/>
          <w:szCs w:val="24"/>
        </w:rPr>
        <w:t xml:space="preserve">, </w:t>
      </w:r>
      <w:r w:rsidRPr="00895D0B">
        <w:rPr>
          <w:rFonts w:cs="Times New Roman"/>
          <w:i/>
          <w:iCs/>
          <w:noProof/>
          <w:color w:val="000000" w:themeColor="text1"/>
          <w:szCs w:val="24"/>
        </w:rPr>
        <w:t>79</w:t>
      </w:r>
      <w:r w:rsidRPr="00895D0B">
        <w:rPr>
          <w:rFonts w:cs="Times New Roman"/>
          <w:noProof/>
          <w:color w:val="000000" w:themeColor="text1"/>
          <w:szCs w:val="24"/>
        </w:rPr>
        <w:t>(August), 235–245. https://doi.org/10.1016/j.jrurstud.2020.08.020</w:t>
      </w:r>
    </w:p>
    <w:p w14:paraId="24AB1A8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Wa Municipal Assembly. (2021). </w:t>
      </w:r>
      <w:r w:rsidRPr="00895D0B">
        <w:rPr>
          <w:rFonts w:cs="Times New Roman"/>
          <w:i/>
          <w:iCs/>
          <w:noProof/>
          <w:color w:val="000000" w:themeColor="text1"/>
          <w:szCs w:val="24"/>
        </w:rPr>
        <w:t>Municipal composite budget for 2021-2024</w:t>
      </w:r>
      <w:r w:rsidRPr="00895D0B">
        <w:rPr>
          <w:rFonts w:cs="Times New Roman"/>
          <w:noProof/>
          <w:color w:val="000000" w:themeColor="text1"/>
          <w:szCs w:val="24"/>
        </w:rPr>
        <w:t>.</w:t>
      </w:r>
    </w:p>
    <w:p w14:paraId="5325538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Wagstaff, R. K., &amp; Wortman, S. E. (2015). Crop physiological response across the Chicago metropolitan region: Developing recommendations for urban and peri-urban farmers in the North Central US. </w:t>
      </w:r>
      <w:r w:rsidRPr="00895D0B">
        <w:rPr>
          <w:rFonts w:cs="Times New Roman"/>
          <w:i/>
          <w:iCs/>
          <w:noProof/>
          <w:color w:val="000000" w:themeColor="text1"/>
          <w:szCs w:val="24"/>
        </w:rPr>
        <w:t>Renewable Agriculture and Food Systems</w:t>
      </w:r>
      <w:r w:rsidRPr="00895D0B">
        <w:rPr>
          <w:rFonts w:cs="Times New Roman"/>
          <w:noProof/>
          <w:color w:val="000000" w:themeColor="text1"/>
          <w:szCs w:val="24"/>
        </w:rPr>
        <w:t xml:space="preserve">, </w:t>
      </w:r>
      <w:r w:rsidRPr="00895D0B">
        <w:rPr>
          <w:rFonts w:cs="Times New Roman"/>
          <w:i/>
          <w:iCs/>
          <w:noProof/>
          <w:color w:val="000000" w:themeColor="text1"/>
          <w:szCs w:val="24"/>
        </w:rPr>
        <w:t>30</w:t>
      </w:r>
      <w:r w:rsidRPr="00895D0B">
        <w:rPr>
          <w:rFonts w:cs="Times New Roman"/>
          <w:noProof/>
          <w:color w:val="000000" w:themeColor="text1"/>
          <w:szCs w:val="24"/>
        </w:rPr>
        <w:t>(1), 8–14. https://doi.org/10.1017/S174217051300046X</w:t>
      </w:r>
    </w:p>
    <w:p w14:paraId="5A03565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Wahlen, S. (2011). The routinely forgotten routine character of domestic practices. </w:t>
      </w:r>
      <w:r w:rsidRPr="00895D0B">
        <w:rPr>
          <w:rFonts w:cs="Times New Roman"/>
          <w:i/>
          <w:iCs/>
          <w:noProof/>
          <w:color w:val="000000" w:themeColor="text1"/>
          <w:szCs w:val="24"/>
        </w:rPr>
        <w:t>International Journal of Consumer Studies</w:t>
      </w:r>
      <w:r w:rsidRPr="00895D0B">
        <w:rPr>
          <w:rFonts w:cs="Times New Roman"/>
          <w:noProof/>
          <w:color w:val="000000" w:themeColor="text1"/>
          <w:szCs w:val="24"/>
        </w:rPr>
        <w:t xml:space="preserve">, </w:t>
      </w:r>
      <w:r w:rsidRPr="00895D0B">
        <w:rPr>
          <w:rFonts w:cs="Times New Roman"/>
          <w:i/>
          <w:iCs/>
          <w:noProof/>
          <w:color w:val="000000" w:themeColor="text1"/>
          <w:szCs w:val="24"/>
        </w:rPr>
        <w:t>35</w:t>
      </w:r>
      <w:r w:rsidRPr="00895D0B">
        <w:rPr>
          <w:rFonts w:cs="Times New Roman"/>
          <w:noProof/>
          <w:color w:val="000000" w:themeColor="text1"/>
          <w:szCs w:val="24"/>
        </w:rPr>
        <w:t>(5), 507–513. https://doi.org/10.1111/j.1470-6431.2011.01022.x</w:t>
      </w:r>
    </w:p>
    <w:p w14:paraId="4D14F737"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Warde, A. (2014). After taste: Culture, consumption and theories of practice. </w:t>
      </w:r>
      <w:r w:rsidRPr="00895D0B">
        <w:rPr>
          <w:rFonts w:cs="Times New Roman"/>
          <w:i/>
          <w:iCs/>
          <w:noProof/>
          <w:color w:val="000000" w:themeColor="text1"/>
          <w:szCs w:val="24"/>
        </w:rPr>
        <w:t>Journal of Consumer Culture</w:t>
      </w:r>
      <w:r w:rsidRPr="00895D0B">
        <w:rPr>
          <w:rFonts w:cs="Times New Roman"/>
          <w:noProof/>
          <w:color w:val="000000" w:themeColor="text1"/>
          <w:szCs w:val="24"/>
        </w:rPr>
        <w:t xml:space="preserve">, </w:t>
      </w:r>
      <w:r w:rsidRPr="00895D0B">
        <w:rPr>
          <w:rFonts w:cs="Times New Roman"/>
          <w:i/>
          <w:iCs/>
          <w:noProof/>
          <w:color w:val="000000" w:themeColor="text1"/>
          <w:szCs w:val="24"/>
        </w:rPr>
        <w:t>14</w:t>
      </w:r>
      <w:r w:rsidRPr="00895D0B">
        <w:rPr>
          <w:rFonts w:cs="Times New Roman"/>
          <w:noProof/>
          <w:color w:val="000000" w:themeColor="text1"/>
          <w:szCs w:val="24"/>
        </w:rPr>
        <w:t>(3), 279–303. https://doi.org/10.1177/1469540514547828</w:t>
      </w:r>
    </w:p>
    <w:p w14:paraId="385CD31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Wästfelt, A., &amp; Zhang, Q. (2018). Keeping agriculture alive next to the city – The functions of the land tenure regime nearby Gothenburg, Sweden. </w:t>
      </w:r>
      <w:r w:rsidRPr="00895D0B">
        <w:rPr>
          <w:rFonts w:cs="Times New Roman"/>
          <w:i/>
          <w:iCs/>
          <w:noProof/>
          <w:color w:val="000000" w:themeColor="text1"/>
          <w:szCs w:val="24"/>
        </w:rPr>
        <w:t>Land Use Policy</w:t>
      </w:r>
      <w:r w:rsidRPr="00895D0B">
        <w:rPr>
          <w:rFonts w:cs="Times New Roman"/>
          <w:noProof/>
          <w:color w:val="000000" w:themeColor="text1"/>
          <w:szCs w:val="24"/>
        </w:rPr>
        <w:t xml:space="preserve">, </w:t>
      </w:r>
      <w:r w:rsidRPr="00895D0B">
        <w:rPr>
          <w:rFonts w:cs="Times New Roman"/>
          <w:i/>
          <w:iCs/>
          <w:noProof/>
          <w:color w:val="000000" w:themeColor="text1"/>
          <w:szCs w:val="24"/>
        </w:rPr>
        <w:t>78</w:t>
      </w:r>
      <w:r w:rsidRPr="00895D0B">
        <w:rPr>
          <w:rFonts w:cs="Times New Roman"/>
          <w:noProof/>
          <w:color w:val="000000" w:themeColor="text1"/>
          <w:szCs w:val="24"/>
        </w:rPr>
        <w:t>(June), 447–459. https://doi.org/10.1016/j.landusepol.2018.06.053</w:t>
      </w:r>
    </w:p>
    <w:p w14:paraId="5C1C1371"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Werner, S., Akoto-Danso, E. K., Manka’abusi, D., Steiner, C., Haering, V., Nyarko, G., Buerkert, A., &amp; Marschner, B. (2019). Nutrient balances with wastewater irrigation and biochar application in urban agriculture of Northern Ghana. </w:t>
      </w:r>
      <w:r w:rsidRPr="00895D0B">
        <w:rPr>
          <w:rFonts w:cs="Times New Roman"/>
          <w:i/>
          <w:iCs/>
          <w:noProof/>
          <w:color w:val="000000" w:themeColor="text1"/>
          <w:szCs w:val="24"/>
        </w:rPr>
        <w:t>Nutrient Cycling in Agroecosystems</w:t>
      </w:r>
      <w:r w:rsidRPr="00895D0B">
        <w:rPr>
          <w:rFonts w:cs="Times New Roman"/>
          <w:noProof/>
          <w:color w:val="000000" w:themeColor="text1"/>
          <w:szCs w:val="24"/>
        </w:rPr>
        <w:t xml:space="preserve">, </w:t>
      </w:r>
      <w:r w:rsidRPr="00895D0B">
        <w:rPr>
          <w:rFonts w:cs="Times New Roman"/>
          <w:i/>
          <w:iCs/>
          <w:noProof/>
          <w:color w:val="000000" w:themeColor="text1"/>
          <w:szCs w:val="24"/>
        </w:rPr>
        <w:t>115</w:t>
      </w:r>
      <w:r w:rsidRPr="00895D0B">
        <w:rPr>
          <w:rFonts w:cs="Times New Roman"/>
          <w:noProof/>
          <w:color w:val="000000" w:themeColor="text1"/>
          <w:szCs w:val="24"/>
        </w:rPr>
        <w:t>(2), 249–262. https://doi.org/10.1007/s10705-019-09989-w</w:t>
      </w:r>
    </w:p>
    <w:p w14:paraId="3C22C55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Whitaker, J. A. (2019). Climatic and Ontological Change in the Anthropocene among the Makushi in Guyana Climatic and Ontological Change in the Anthropocene among the Makushi in Guyana. </w:t>
      </w:r>
      <w:r w:rsidRPr="00895D0B">
        <w:rPr>
          <w:rFonts w:cs="Times New Roman"/>
          <w:i/>
          <w:iCs/>
          <w:noProof/>
          <w:color w:val="000000" w:themeColor="text1"/>
          <w:szCs w:val="24"/>
        </w:rPr>
        <w:t>ETHNOS</w:t>
      </w:r>
      <w:r w:rsidRPr="00895D0B">
        <w:rPr>
          <w:rFonts w:cs="Times New Roman"/>
          <w:noProof/>
          <w:color w:val="000000" w:themeColor="text1"/>
          <w:szCs w:val="24"/>
        </w:rPr>
        <w:t xml:space="preserve">, </w:t>
      </w:r>
      <w:r w:rsidRPr="00895D0B">
        <w:rPr>
          <w:rFonts w:cs="Times New Roman"/>
          <w:i/>
          <w:iCs/>
          <w:noProof/>
          <w:color w:val="000000" w:themeColor="text1"/>
          <w:szCs w:val="24"/>
        </w:rPr>
        <w:t>0</w:t>
      </w:r>
      <w:r w:rsidRPr="00895D0B">
        <w:rPr>
          <w:rFonts w:cs="Times New Roman"/>
          <w:noProof/>
          <w:color w:val="000000" w:themeColor="text1"/>
          <w:szCs w:val="24"/>
        </w:rPr>
        <w:t>(0), 1–18. https://doi.org/10.1080/00141844.2019.1626466</w:t>
      </w:r>
    </w:p>
    <w:p w14:paraId="1CF8AA8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William, R. B. G. (1968). intermediate Statistics for Geographers and Earth Scientists. </w:t>
      </w:r>
      <w:r w:rsidRPr="00895D0B">
        <w:rPr>
          <w:rFonts w:cs="Times New Roman"/>
          <w:i/>
          <w:iCs/>
          <w:noProof/>
          <w:color w:val="000000" w:themeColor="text1"/>
          <w:szCs w:val="24"/>
        </w:rPr>
        <w:t>Educational and Psychological Measurement</w:t>
      </w:r>
      <w:r w:rsidRPr="00895D0B">
        <w:rPr>
          <w:rFonts w:cs="Times New Roman"/>
          <w:noProof/>
          <w:color w:val="000000" w:themeColor="text1"/>
          <w:szCs w:val="24"/>
        </w:rPr>
        <w:t xml:space="preserve">, </w:t>
      </w:r>
      <w:r w:rsidRPr="00895D0B">
        <w:rPr>
          <w:rFonts w:cs="Times New Roman"/>
          <w:i/>
          <w:iCs/>
          <w:noProof/>
          <w:color w:val="000000" w:themeColor="text1"/>
          <w:szCs w:val="24"/>
        </w:rPr>
        <w:t>28</w:t>
      </w:r>
      <w:r w:rsidRPr="00895D0B">
        <w:rPr>
          <w:rFonts w:cs="Times New Roman"/>
          <w:noProof/>
          <w:color w:val="000000" w:themeColor="text1"/>
          <w:szCs w:val="24"/>
        </w:rPr>
        <w:t>(2), 619–620. https://doi.org/10.1177/001316446802800256</w:t>
      </w:r>
    </w:p>
    <w:p w14:paraId="0AB2479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Wilson, R. T. (2018). Domestic Livestock in African Cities: Production, Problems and Prospects. </w:t>
      </w:r>
      <w:r w:rsidRPr="00895D0B">
        <w:rPr>
          <w:rFonts w:cs="Times New Roman"/>
          <w:i/>
          <w:iCs/>
          <w:noProof/>
          <w:color w:val="000000" w:themeColor="text1"/>
          <w:szCs w:val="24"/>
        </w:rPr>
        <w:t>Open Urban Studies and Demography Journal</w:t>
      </w:r>
      <w:r w:rsidRPr="00895D0B">
        <w:rPr>
          <w:rFonts w:cs="Times New Roman"/>
          <w:noProof/>
          <w:color w:val="000000" w:themeColor="text1"/>
          <w:szCs w:val="24"/>
        </w:rPr>
        <w:t xml:space="preserve">, </w:t>
      </w:r>
      <w:r w:rsidRPr="00895D0B">
        <w:rPr>
          <w:rFonts w:cs="Times New Roman"/>
          <w:i/>
          <w:iCs/>
          <w:noProof/>
          <w:color w:val="000000" w:themeColor="text1"/>
          <w:szCs w:val="24"/>
        </w:rPr>
        <w:t>4</w:t>
      </w:r>
      <w:r w:rsidRPr="00895D0B">
        <w:rPr>
          <w:rFonts w:cs="Times New Roman"/>
          <w:noProof/>
          <w:color w:val="000000" w:themeColor="text1"/>
          <w:szCs w:val="24"/>
        </w:rPr>
        <w:t>(1), 1–14. https://doi.org/10.2174/2352631901804010001</w:t>
      </w:r>
    </w:p>
    <w:p w14:paraId="7472650B"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Wood, A. L., Ansah, P., Rivers, L., &amp; Ligmann-Zielinska, A. (2021). Examining climate change and food security in Ghana through an intersectional framework. </w:t>
      </w:r>
      <w:r w:rsidRPr="00895D0B">
        <w:rPr>
          <w:rFonts w:cs="Times New Roman"/>
          <w:i/>
          <w:iCs/>
          <w:noProof/>
          <w:color w:val="000000" w:themeColor="text1"/>
          <w:szCs w:val="24"/>
        </w:rPr>
        <w:t>Journal of Peasant Studies</w:t>
      </w:r>
      <w:r w:rsidRPr="00895D0B">
        <w:rPr>
          <w:rFonts w:cs="Times New Roman"/>
          <w:noProof/>
          <w:color w:val="000000" w:themeColor="text1"/>
          <w:szCs w:val="24"/>
        </w:rPr>
        <w:t xml:space="preserve">, </w:t>
      </w:r>
      <w:r w:rsidRPr="00895D0B">
        <w:rPr>
          <w:rFonts w:cs="Times New Roman"/>
          <w:i/>
          <w:iCs/>
          <w:noProof/>
          <w:color w:val="000000" w:themeColor="text1"/>
          <w:szCs w:val="24"/>
        </w:rPr>
        <w:t>48</w:t>
      </w:r>
      <w:r w:rsidRPr="00895D0B">
        <w:rPr>
          <w:rFonts w:cs="Times New Roman"/>
          <w:noProof/>
          <w:color w:val="000000" w:themeColor="text1"/>
          <w:szCs w:val="24"/>
        </w:rPr>
        <w:t>(2), 329–348. https://doi.org/10.1080/03066150.2019.1655639</w:t>
      </w:r>
    </w:p>
    <w:p w14:paraId="639B3F5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Worley, J. W. (2015). Fences for the Farm. </w:t>
      </w:r>
      <w:r w:rsidRPr="00895D0B">
        <w:rPr>
          <w:rFonts w:cs="Times New Roman"/>
          <w:i/>
          <w:iCs/>
          <w:noProof/>
          <w:color w:val="000000" w:themeColor="text1"/>
          <w:szCs w:val="24"/>
        </w:rPr>
        <w:t>774</w:t>
      </w:r>
      <w:r w:rsidRPr="00895D0B">
        <w:rPr>
          <w:rFonts w:cs="Times New Roman"/>
          <w:noProof/>
          <w:color w:val="000000" w:themeColor="text1"/>
          <w:szCs w:val="24"/>
        </w:rPr>
        <w:t>. https://eur-lex.europa.eu/legal-content/PT/TXT/PDF/?uri=CELEX:32016R0679&amp;from=PT%0Ahttp://eur-lex.europa.eu/LexUriServ/LexUriServ.do?uri=CELEX:52012PC0011:pt:NOT</w:t>
      </w:r>
    </w:p>
    <w:p w14:paraId="55DAFA6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Wulandari, C. (2021). Identifying climate change adaptation efforts in the batutegi forest management unit, Indonesia. </w:t>
      </w:r>
      <w:r w:rsidRPr="00895D0B">
        <w:rPr>
          <w:rFonts w:cs="Times New Roman"/>
          <w:i/>
          <w:iCs/>
          <w:noProof/>
          <w:color w:val="000000" w:themeColor="text1"/>
          <w:szCs w:val="24"/>
        </w:rPr>
        <w:t>Forest and Society</w:t>
      </w:r>
      <w:r w:rsidRPr="00895D0B">
        <w:rPr>
          <w:rFonts w:cs="Times New Roman"/>
          <w:noProof/>
          <w:color w:val="000000" w:themeColor="text1"/>
          <w:szCs w:val="24"/>
        </w:rPr>
        <w:t xml:space="preserve">, </w:t>
      </w:r>
      <w:r w:rsidRPr="00895D0B">
        <w:rPr>
          <w:rFonts w:cs="Times New Roman"/>
          <w:i/>
          <w:iCs/>
          <w:noProof/>
          <w:color w:val="000000" w:themeColor="text1"/>
          <w:szCs w:val="24"/>
        </w:rPr>
        <w:t>5</w:t>
      </w:r>
      <w:r w:rsidRPr="00895D0B">
        <w:rPr>
          <w:rFonts w:cs="Times New Roman"/>
          <w:noProof/>
          <w:color w:val="000000" w:themeColor="text1"/>
          <w:szCs w:val="24"/>
        </w:rPr>
        <w:t>(1), 48–59. https://doi.org/10.24259/fs.v5i1.7389</w:t>
      </w:r>
    </w:p>
    <w:p w14:paraId="4CC5018E"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Wulandari, E., Karyani, T., Ernah, &amp; Alamsyah, R. T. P. (2023). What Makes Farmers Record Farm Financial Transactions? Empirical Evidence from Potato Farmers in Indonesia. </w:t>
      </w:r>
      <w:r w:rsidRPr="00895D0B">
        <w:rPr>
          <w:rFonts w:cs="Times New Roman"/>
          <w:i/>
          <w:iCs/>
          <w:noProof/>
          <w:color w:val="000000" w:themeColor="text1"/>
          <w:szCs w:val="24"/>
        </w:rPr>
        <w:t>International Journal of Financial Studies</w:t>
      </w:r>
      <w:r w:rsidRPr="00895D0B">
        <w:rPr>
          <w:rFonts w:cs="Times New Roman"/>
          <w:noProof/>
          <w:color w:val="000000" w:themeColor="text1"/>
          <w:szCs w:val="24"/>
        </w:rPr>
        <w:t xml:space="preserve">, </w:t>
      </w:r>
      <w:r w:rsidRPr="00895D0B">
        <w:rPr>
          <w:rFonts w:cs="Times New Roman"/>
          <w:i/>
          <w:iCs/>
          <w:noProof/>
          <w:color w:val="000000" w:themeColor="text1"/>
          <w:szCs w:val="24"/>
        </w:rPr>
        <w:t>11</w:t>
      </w:r>
      <w:r w:rsidRPr="00895D0B">
        <w:rPr>
          <w:rFonts w:cs="Times New Roman"/>
          <w:noProof/>
          <w:color w:val="000000" w:themeColor="text1"/>
          <w:szCs w:val="24"/>
        </w:rPr>
        <w:t>(1). https://doi.org/10.3390/ijfs11010019</w:t>
      </w:r>
    </w:p>
    <w:p w14:paraId="3CD99102"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Wulandari, R., Witjaksono, R., &amp; Wati, R. I. (2021). The Role of Agricultural Extension Workers in Urban Agriculture Development During the Covid-19 Pandemic in Yogyakarta City , Indonesia. </w:t>
      </w:r>
      <w:r w:rsidRPr="00895D0B">
        <w:rPr>
          <w:rFonts w:cs="Times New Roman"/>
          <w:i/>
          <w:iCs/>
          <w:noProof/>
          <w:color w:val="000000" w:themeColor="text1"/>
          <w:szCs w:val="24"/>
        </w:rPr>
        <w:t>AProceedings of 1st International Conference on Sustainable Agricultural Socio-Economics, Agribusiness, and Rural Development (ICSASARD 2021)</w:t>
      </w:r>
      <w:r w:rsidRPr="00895D0B">
        <w:rPr>
          <w:rFonts w:cs="Times New Roman"/>
          <w:noProof/>
          <w:color w:val="000000" w:themeColor="text1"/>
          <w:szCs w:val="24"/>
        </w:rPr>
        <w:t xml:space="preserve">, </w:t>
      </w:r>
      <w:r w:rsidRPr="00895D0B">
        <w:rPr>
          <w:rFonts w:cs="Times New Roman"/>
          <w:i/>
          <w:iCs/>
          <w:noProof/>
          <w:color w:val="000000" w:themeColor="text1"/>
          <w:szCs w:val="24"/>
        </w:rPr>
        <w:t>199</w:t>
      </w:r>
      <w:r w:rsidRPr="00895D0B">
        <w:rPr>
          <w:rFonts w:cs="Times New Roman"/>
          <w:noProof/>
          <w:color w:val="000000" w:themeColor="text1"/>
          <w:szCs w:val="24"/>
        </w:rPr>
        <w:t>(Icsasard), 20–30.</w:t>
      </w:r>
    </w:p>
    <w:p w14:paraId="019CCD33" w14:textId="77777777" w:rsidR="00EC20CA"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Yamane, T. (1967). </w:t>
      </w:r>
      <w:r w:rsidRPr="00895D0B">
        <w:rPr>
          <w:rFonts w:cs="Times New Roman"/>
          <w:i/>
          <w:iCs/>
          <w:noProof/>
          <w:color w:val="000000" w:themeColor="text1"/>
          <w:szCs w:val="24"/>
        </w:rPr>
        <w:t>Statistics, An Introductory Analysis</w:t>
      </w:r>
      <w:r w:rsidRPr="00895D0B">
        <w:rPr>
          <w:rFonts w:cs="Times New Roman"/>
          <w:noProof/>
          <w:color w:val="000000" w:themeColor="text1"/>
          <w:szCs w:val="24"/>
        </w:rPr>
        <w:t xml:space="preserve"> (2nd Editio). Harper and Row, New York, Evanston and London and John Weatherhill, Inc., Tokyo.</w:t>
      </w:r>
    </w:p>
    <w:p w14:paraId="589F3C26" w14:textId="77777777" w:rsidR="00731E67" w:rsidRPr="00895D0B" w:rsidRDefault="00731E67" w:rsidP="00EC20CA">
      <w:pPr>
        <w:widowControl w:val="0"/>
        <w:autoSpaceDE w:val="0"/>
        <w:autoSpaceDN w:val="0"/>
        <w:adjustRightInd w:val="0"/>
        <w:spacing w:after="240" w:line="360" w:lineRule="auto"/>
        <w:ind w:left="480" w:hanging="480"/>
        <w:rPr>
          <w:rFonts w:cs="Times New Roman"/>
          <w:noProof/>
          <w:color w:val="000000" w:themeColor="text1"/>
          <w:szCs w:val="24"/>
        </w:rPr>
      </w:pPr>
    </w:p>
    <w:p w14:paraId="7778DE56"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lastRenderedPageBreak/>
        <w:t xml:space="preserve">Yang, Z., Hao, P., Liu, W., &amp; Cai, J. (2016). Peri-urban agricultural development in Beijing: Varied forms, innovative practices and policy implications. </w:t>
      </w:r>
      <w:r w:rsidRPr="00895D0B">
        <w:rPr>
          <w:rFonts w:cs="Times New Roman"/>
          <w:i/>
          <w:iCs/>
          <w:noProof/>
          <w:color w:val="000000" w:themeColor="text1"/>
          <w:szCs w:val="24"/>
        </w:rPr>
        <w:t>Habitat International</w:t>
      </w:r>
      <w:r w:rsidRPr="00895D0B">
        <w:rPr>
          <w:rFonts w:cs="Times New Roman"/>
          <w:noProof/>
          <w:color w:val="000000" w:themeColor="text1"/>
          <w:szCs w:val="24"/>
        </w:rPr>
        <w:t xml:space="preserve">, </w:t>
      </w:r>
      <w:r w:rsidRPr="00895D0B">
        <w:rPr>
          <w:rFonts w:cs="Times New Roman"/>
          <w:i/>
          <w:iCs/>
          <w:noProof/>
          <w:color w:val="000000" w:themeColor="text1"/>
          <w:szCs w:val="24"/>
        </w:rPr>
        <w:t>56</w:t>
      </w:r>
      <w:r w:rsidRPr="00895D0B">
        <w:rPr>
          <w:rFonts w:cs="Times New Roman"/>
          <w:noProof/>
          <w:color w:val="000000" w:themeColor="text1"/>
          <w:szCs w:val="24"/>
        </w:rPr>
        <w:t>, 222–234. https://doi.org/10.1016/j.habitatint.2016.06.004</w:t>
      </w:r>
    </w:p>
    <w:p w14:paraId="72F68E03"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Yoshida, S. (2020). Effects of urbanization on farmland size and diversified farm activities in japan: An analysis based on the land parcel database. </w:t>
      </w:r>
      <w:r w:rsidRPr="00895D0B">
        <w:rPr>
          <w:rFonts w:cs="Times New Roman"/>
          <w:i/>
          <w:iCs/>
          <w:noProof/>
          <w:color w:val="000000" w:themeColor="text1"/>
          <w:szCs w:val="24"/>
        </w:rPr>
        <w:t>Land</w:t>
      </w:r>
      <w:r w:rsidRPr="00895D0B">
        <w:rPr>
          <w:rFonts w:cs="Times New Roman"/>
          <w:noProof/>
          <w:color w:val="000000" w:themeColor="text1"/>
          <w:szCs w:val="24"/>
        </w:rPr>
        <w:t xml:space="preserve">, </w:t>
      </w:r>
      <w:r w:rsidRPr="00895D0B">
        <w:rPr>
          <w:rFonts w:cs="Times New Roman"/>
          <w:i/>
          <w:iCs/>
          <w:noProof/>
          <w:color w:val="000000" w:themeColor="text1"/>
          <w:szCs w:val="24"/>
        </w:rPr>
        <w:t>9</w:t>
      </w:r>
      <w:r w:rsidRPr="00895D0B">
        <w:rPr>
          <w:rFonts w:cs="Times New Roman"/>
          <w:noProof/>
          <w:color w:val="000000" w:themeColor="text1"/>
          <w:szCs w:val="24"/>
        </w:rPr>
        <w:t>(9). https://doi.org/10.3390/LAND9090315</w:t>
      </w:r>
    </w:p>
    <w:p w14:paraId="77B30FBC"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Zhang, Y. W., McCarl, B. A., &amp; Jones, J. P. H. (2017). An overview of mitigation and adaptation needs and strategies for the livestock sector. </w:t>
      </w:r>
      <w:r w:rsidRPr="00895D0B">
        <w:rPr>
          <w:rFonts w:cs="Times New Roman"/>
          <w:i/>
          <w:iCs/>
          <w:noProof/>
          <w:color w:val="000000" w:themeColor="text1"/>
          <w:szCs w:val="24"/>
        </w:rPr>
        <w:t>Climate</w:t>
      </w:r>
      <w:r w:rsidRPr="00895D0B">
        <w:rPr>
          <w:rFonts w:cs="Times New Roman"/>
          <w:noProof/>
          <w:color w:val="000000" w:themeColor="text1"/>
          <w:szCs w:val="24"/>
        </w:rPr>
        <w:t xml:space="preserve">, </w:t>
      </w:r>
      <w:r w:rsidRPr="00895D0B">
        <w:rPr>
          <w:rFonts w:cs="Times New Roman"/>
          <w:i/>
          <w:iCs/>
          <w:noProof/>
          <w:color w:val="000000" w:themeColor="text1"/>
          <w:szCs w:val="24"/>
        </w:rPr>
        <w:t>5</w:t>
      </w:r>
      <w:r w:rsidRPr="00895D0B">
        <w:rPr>
          <w:rFonts w:cs="Times New Roman"/>
          <w:noProof/>
          <w:color w:val="000000" w:themeColor="text1"/>
          <w:szCs w:val="24"/>
        </w:rPr>
        <w:t>(4), 1–15. https://doi.org/10.3390/cli5040095</w:t>
      </w:r>
    </w:p>
    <w:p w14:paraId="2B6F88DF"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Ziem, S. B., Yenglier, G. Y., &amp; Derbile, E. K. (2021). ‘Urban expansion and agricultural land use change in Ghana: Implications for peri-urban farmer household food security in Wa Municipality.’ </w:t>
      </w:r>
      <w:r w:rsidRPr="00895D0B">
        <w:rPr>
          <w:rFonts w:cs="Times New Roman"/>
          <w:i/>
          <w:iCs/>
          <w:noProof/>
          <w:color w:val="000000" w:themeColor="text1"/>
          <w:szCs w:val="24"/>
        </w:rPr>
        <w:t>International Journal of Urban Sustainable Development</w:t>
      </w:r>
      <w:r w:rsidRPr="00895D0B">
        <w:rPr>
          <w:rFonts w:cs="Times New Roman"/>
          <w:noProof/>
          <w:color w:val="000000" w:themeColor="text1"/>
          <w:szCs w:val="24"/>
        </w:rPr>
        <w:t xml:space="preserve">, </w:t>
      </w:r>
      <w:r w:rsidRPr="00895D0B">
        <w:rPr>
          <w:rFonts w:cs="Times New Roman"/>
          <w:i/>
          <w:iCs/>
          <w:noProof/>
          <w:color w:val="000000" w:themeColor="text1"/>
          <w:szCs w:val="24"/>
        </w:rPr>
        <w:t>13</w:t>
      </w:r>
      <w:r w:rsidRPr="00895D0B">
        <w:rPr>
          <w:rFonts w:cs="Times New Roman"/>
          <w:noProof/>
          <w:color w:val="000000" w:themeColor="text1"/>
          <w:szCs w:val="24"/>
        </w:rPr>
        <w:t>(2), 383–399. https://doi.org/10.1080/19463138.2021.1915790</w:t>
      </w:r>
    </w:p>
    <w:p w14:paraId="70E2AA4D"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Živanović Miljković, J., Popović, V., &amp; Gajić, A. (2022). Land Take Processes and Challenges for Urban Agriculture: A Spatial Analysis for Novi Sad, Serbia. </w:t>
      </w:r>
      <w:r w:rsidRPr="00895D0B">
        <w:rPr>
          <w:rFonts w:cs="Times New Roman"/>
          <w:i/>
          <w:iCs/>
          <w:noProof/>
          <w:color w:val="000000" w:themeColor="text1"/>
          <w:szCs w:val="24"/>
        </w:rPr>
        <w:t>Land</w:t>
      </w:r>
      <w:r w:rsidRPr="00895D0B">
        <w:rPr>
          <w:rFonts w:cs="Times New Roman"/>
          <w:noProof/>
          <w:color w:val="000000" w:themeColor="text1"/>
          <w:szCs w:val="24"/>
        </w:rPr>
        <w:t xml:space="preserve">, </w:t>
      </w:r>
      <w:r w:rsidRPr="00895D0B">
        <w:rPr>
          <w:rFonts w:cs="Times New Roman"/>
          <w:i/>
          <w:iCs/>
          <w:noProof/>
          <w:color w:val="000000" w:themeColor="text1"/>
          <w:szCs w:val="24"/>
        </w:rPr>
        <w:t>11</w:t>
      </w:r>
      <w:r w:rsidRPr="00895D0B">
        <w:rPr>
          <w:rFonts w:cs="Times New Roman"/>
          <w:noProof/>
          <w:color w:val="000000" w:themeColor="text1"/>
          <w:szCs w:val="24"/>
        </w:rPr>
        <w:t>(6), 769. https://doi.org/10.3390/land11060769</w:t>
      </w:r>
    </w:p>
    <w:p w14:paraId="42AC3D44" w14:textId="77777777" w:rsidR="00EC20CA" w:rsidRPr="00895D0B" w:rsidRDefault="00EC20CA" w:rsidP="00EC20CA">
      <w:pPr>
        <w:widowControl w:val="0"/>
        <w:autoSpaceDE w:val="0"/>
        <w:autoSpaceDN w:val="0"/>
        <w:adjustRightInd w:val="0"/>
        <w:spacing w:after="240" w:line="360" w:lineRule="auto"/>
        <w:ind w:left="480" w:hanging="480"/>
        <w:rPr>
          <w:rFonts w:cs="Times New Roman"/>
          <w:noProof/>
          <w:color w:val="000000" w:themeColor="text1"/>
          <w:szCs w:val="24"/>
        </w:rPr>
      </w:pPr>
      <w:r w:rsidRPr="00895D0B">
        <w:rPr>
          <w:rFonts w:cs="Times New Roman"/>
          <w:noProof/>
          <w:color w:val="000000" w:themeColor="text1"/>
          <w:szCs w:val="24"/>
        </w:rPr>
        <w:t xml:space="preserve">Zulfiqar, F., Shang, J., Yasmeen, S., Wattoo, M. U., Nasrullah, M., &amp; Alam, Q. (2021). Urban agriculture can transform the sustainable food security for urban dwellers in Pakistan. </w:t>
      </w:r>
      <w:r w:rsidRPr="00895D0B">
        <w:rPr>
          <w:rFonts w:cs="Times New Roman"/>
          <w:i/>
          <w:iCs/>
          <w:noProof/>
          <w:color w:val="000000" w:themeColor="text1"/>
          <w:szCs w:val="24"/>
        </w:rPr>
        <w:t>GeoJournal</w:t>
      </w:r>
      <w:r w:rsidRPr="00895D0B">
        <w:rPr>
          <w:rFonts w:cs="Times New Roman"/>
          <w:noProof/>
          <w:color w:val="000000" w:themeColor="text1"/>
          <w:szCs w:val="24"/>
        </w:rPr>
        <w:t xml:space="preserve">, </w:t>
      </w:r>
      <w:r w:rsidRPr="00895D0B">
        <w:rPr>
          <w:rFonts w:cs="Times New Roman"/>
          <w:i/>
          <w:iCs/>
          <w:noProof/>
          <w:color w:val="000000" w:themeColor="text1"/>
          <w:szCs w:val="24"/>
        </w:rPr>
        <w:t>86</w:t>
      </w:r>
      <w:r w:rsidRPr="00895D0B">
        <w:rPr>
          <w:rFonts w:cs="Times New Roman"/>
          <w:noProof/>
          <w:color w:val="000000" w:themeColor="text1"/>
          <w:szCs w:val="24"/>
        </w:rPr>
        <w:t>(5), 2419–2433. https://doi.org/10.1007/s10708-020-10208-1</w:t>
      </w:r>
    </w:p>
    <w:p w14:paraId="204B9DCB" w14:textId="77777777" w:rsidR="001B4ED5" w:rsidRPr="00895D0B" w:rsidRDefault="006B41C0">
      <w:pPr>
        <w:autoSpaceDE w:val="0"/>
        <w:autoSpaceDN w:val="0"/>
        <w:adjustRightInd w:val="0"/>
        <w:spacing w:line="360" w:lineRule="auto"/>
        <w:rPr>
          <w:rFonts w:cs="Times New Roman"/>
          <w:color w:val="000000" w:themeColor="text1"/>
          <w:szCs w:val="24"/>
          <w:lang w:val="en-US"/>
        </w:rPr>
      </w:pPr>
      <w:r w:rsidRPr="00895D0B">
        <w:rPr>
          <w:rFonts w:cs="Times New Roman"/>
          <w:color w:val="000000" w:themeColor="text1"/>
          <w:szCs w:val="24"/>
          <w:lang w:val="en-US"/>
        </w:rPr>
        <w:fldChar w:fldCharType="end"/>
      </w:r>
    </w:p>
    <w:p w14:paraId="0FF12A2C" w14:textId="77777777" w:rsidR="001B4ED5" w:rsidRPr="00895D0B" w:rsidRDefault="001B4ED5">
      <w:pPr>
        <w:spacing w:line="360" w:lineRule="auto"/>
        <w:rPr>
          <w:rFonts w:cs="Times New Roman"/>
          <w:color w:val="000000" w:themeColor="text1"/>
          <w:szCs w:val="24"/>
        </w:rPr>
      </w:pPr>
    </w:p>
    <w:p w14:paraId="31EBA105" w14:textId="77777777" w:rsidR="001B4ED5" w:rsidRPr="00895D0B" w:rsidRDefault="001B4ED5">
      <w:pPr>
        <w:spacing w:line="360" w:lineRule="auto"/>
        <w:rPr>
          <w:rFonts w:cs="Times New Roman"/>
          <w:color w:val="000000" w:themeColor="text1"/>
          <w:szCs w:val="24"/>
        </w:rPr>
      </w:pPr>
    </w:p>
    <w:p w14:paraId="378CF7C9" w14:textId="77777777" w:rsidR="001B4ED5" w:rsidRPr="00895D0B" w:rsidRDefault="001B4ED5">
      <w:pPr>
        <w:spacing w:line="360" w:lineRule="auto"/>
        <w:rPr>
          <w:rFonts w:cs="Times New Roman"/>
          <w:color w:val="000000" w:themeColor="text1"/>
          <w:szCs w:val="24"/>
        </w:rPr>
      </w:pPr>
    </w:p>
    <w:p w14:paraId="360AB1FC" w14:textId="77777777" w:rsidR="001B4ED5" w:rsidRPr="00895D0B" w:rsidRDefault="001B4ED5">
      <w:pPr>
        <w:spacing w:line="360" w:lineRule="auto"/>
        <w:rPr>
          <w:rFonts w:cs="Times New Roman"/>
          <w:color w:val="000000" w:themeColor="text1"/>
          <w:szCs w:val="24"/>
        </w:rPr>
      </w:pPr>
    </w:p>
    <w:p w14:paraId="535AF3D3" w14:textId="77777777" w:rsidR="001B4ED5" w:rsidRPr="00895D0B" w:rsidRDefault="001B4ED5">
      <w:pPr>
        <w:spacing w:line="360" w:lineRule="auto"/>
        <w:rPr>
          <w:rFonts w:cs="Times New Roman"/>
          <w:color w:val="000000" w:themeColor="text1"/>
          <w:szCs w:val="24"/>
        </w:rPr>
      </w:pPr>
    </w:p>
    <w:p w14:paraId="6348D957" w14:textId="77777777" w:rsidR="001B4ED5" w:rsidRPr="00895D0B" w:rsidRDefault="001B4ED5">
      <w:pPr>
        <w:spacing w:line="360" w:lineRule="auto"/>
        <w:rPr>
          <w:rFonts w:cs="Times New Roman"/>
          <w:color w:val="000000" w:themeColor="text1"/>
          <w:szCs w:val="24"/>
        </w:rPr>
      </w:pPr>
    </w:p>
    <w:p w14:paraId="7CC6C9D3" w14:textId="77777777" w:rsidR="001B4ED5" w:rsidRPr="00895D0B" w:rsidRDefault="001B4ED5">
      <w:pPr>
        <w:spacing w:line="360" w:lineRule="auto"/>
        <w:rPr>
          <w:rFonts w:cs="Times New Roman"/>
          <w:color w:val="000000" w:themeColor="text1"/>
          <w:szCs w:val="24"/>
        </w:rPr>
      </w:pPr>
    </w:p>
    <w:p w14:paraId="7139A114" w14:textId="77777777" w:rsidR="001B4ED5" w:rsidRPr="00895D0B" w:rsidRDefault="001B4ED5">
      <w:pPr>
        <w:spacing w:line="360" w:lineRule="auto"/>
        <w:rPr>
          <w:rFonts w:cs="Times New Roman"/>
          <w:color w:val="000000" w:themeColor="text1"/>
          <w:szCs w:val="24"/>
        </w:rPr>
      </w:pPr>
    </w:p>
    <w:p w14:paraId="13F37A7B" w14:textId="77777777" w:rsidR="001B4ED5" w:rsidRPr="00895D0B" w:rsidRDefault="006B41C0">
      <w:pPr>
        <w:pStyle w:val="Heading2"/>
        <w:ind w:left="0" w:firstLine="0"/>
      </w:pPr>
      <w:bookmarkStart w:id="207" w:name="_Toc167379976"/>
      <w:r w:rsidRPr="00895D0B">
        <w:lastRenderedPageBreak/>
        <w:t>Appendixes</w:t>
      </w:r>
      <w:bookmarkEnd w:id="207"/>
      <w:r w:rsidRPr="00895D0B">
        <w:t xml:space="preserve"> </w:t>
      </w:r>
    </w:p>
    <w:p w14:paraId="7EAE8D2F" w14:textId="77777777" w:rsidR="001B4ED5" w:rsidRPr="00895D0B" w:rsidRDefault="006B41C0" w:rsidP="009864E3">
      <w:pPr>
        <w:pStyle w:val="Heading3"/>
      </w:pPr>
      <w:bookmarkStart w:id="208" w:name="_Toc167379977"/>
      <w:r w:rsidRPr="00895D0B">
        <w:t>Appendix A</w:t>
      </w:r>
      <w:bookmarkEnd w:id="208"/>
    </w:p>
    <w:p w14:paraId="096B2F60" w14:textId="77777777" w:rsidR="001B4ED5" w:rsidRPr="00895D0B" w:rsidRDefault="006B41C0">
      <w:pPr>
        <w:spacing w:line="360" w:lineRule="auto"/>
        <w:jc w:val="center"/>
        <w:rPr>
          <w:rFonts w:cs="Times New Roman"/>
          <w:b/>
          <w:color w:val="000000" w:themeColor="text1"/>
          <w:szCs w:val="24"/>
        </w:rPr>
      </w:pPr>
      <w:r w:rsidRPr="00895D0B">
        <w:rPr>
          <w:rFonts w:cs="Times New Roman"/>
          <w:b/>
          <w:color w:val="000000" w:themeColor="text1"/>
          <w:szCs w:val="24"/>
        </w:rPr>
        <w:t>SIMON DIEDONG DOMBO UNIVERSITY OF BUSINESS AND INTEGRATED DEVELOPMENT STUDIES</w:t>
      </w:r>
    </w:p>
    <w:p w14:paraId="70052D8B" w14:textId="77777777" w:rsidR="001B4ED5" w:rsidRPr="00895D0B" w:rsidRDefault="006B41C0">
      <w:pPr>
        <w:spacing w:line="360" w:lineRule="auto"/>
        <w:jc w:val="center"/>
        <w:rPr>
          <w:rFonts w:cs="Times New Roman"/>
          <w:b/>
          <w:color w:val="000000" w:themeColor="text1"/>
          <w:szCs w:val="24"/>
        </w:rPr>
      </w:pPr>
      <w:r w:rsidRPr="00895D0B">
        <w:rPr>
          <w:rFonts w:cs="Times New Roman"/>
          <w:b/>
          <w:color w:val="000000" w:themeColor="text1"/>
          <w:szCs w:val="24"/>
        </w:rPr>
        <w:t>FACUTY OF INTEGRATED DEVELOPMENT STUDIES</w:t>
      </w:r>
    </w:p>
    <w:p w14:paraId="11B12C21" w14:textId="77777777" w:rsidR="001B4ED5" w:rsidRPr="00895D0B" w:rsidRDefault="006B41C0">
      <w:pPr>
        <w:spacing w:line="360" w:lineRule="auto"/>
        <w:jc w:val="center"/>
        <w:rPr>
          <w:rFonts w:cs="Times New Roman"/>
          <w:b/>
          <w:color w:val="000000" w:themeColor="text1"/>
          <w:szCs w:val="24"/>
        </w:rPr>
      </w:pPr>
      <w:r w:rsidRPr="00895D0B">
        <w:rPr>
          <w:rFonts w:cs="Times New Roman"/>
          <w:b/>
          <w:color w:val="000000" w:themeColor="text1"/>
          <w:szCs w:val="24"/>
        </w:rPr>
        <w:t>DEPARTMENT OF ENVIRONMENT AND RESOURCE MANAGEMENT</w:t>
      </w:r>
    </w:p>
    <w:p w14:paraId="54F6A090" w14:textId="77777777" w:rsidR="001B4ED5" w:rsidRPr="00895D0B" w:rsidRDefault="006B41C0">
      <w:pPr>
        <w:pBdr>
          <w:top w:val="single" w:sz="12" w:space="3" w:color="auto"/>
          <w:bottom w:val="single" w:sz="12" w:space="1" w:color="auto"/>
        </w:pBdr>
        <w:spacing w:line="360" w:lineRule="auto"/>
        <w:jc w:val="center"/>
        <w:rPr>
          <w:rFonts w:cs="Times New Roman"/>
          <w:b/>
          <w:color w:val="000000" w:themeColor="text1"/>
          <w:szCs w:val="24"/>
        </w:rPr>
      </w:pPr>
      <w:r w:rsidRPr="00895D0B">
        <w:rPr>
          <w:rFonts w:cs="Times New Roman"/>
          <w:b/>
          <w:color w:val="000000" w:themeColor="text1"/>
          <w:szCs w:val="24"/>
        </w:rPr>
        <w:t xml:space="preserve">POST OFFICE BOX WA64, WA, UPPER WEST REGION – GHANA. </w:t>
      </w:r>
    </w:p>
    <w:p w14:paraId="147AA575" w14:textId="77777777" w:rsidR="001B4ED5" w:rsidRPr="00895D0B" w:rsidRDefault="006B41C0">
      <w:pPr>
        <w:spacing w:before="240" w:line="360" w:lineRule="auto"/>
        <w:jc w:val="center"/>
        <w:rPr>
          <w:rFonts w:cs="Times New Roman"/>
          <w:b/>
          <w:color w:val="000000" w:themeColor="text1"/>
          <w:szCs w:val="24"/>
          <w:u w:val="single"/>
        </w:rPr>
      </w:pPr>
      <w:r w:rsidRPr="00895D0B">
        <w:rPr>
          <w:rFonts w:cs="Times New Roman"/>
          <w:b/>
          <w:color w:val="000000" w:themeColor="text1"/>
          <w:szCs w:val="24"/>
          <w:u w:val="single"/>
        </w:rPr>
        <w:t xml:space="preserve">DOCTOR OF PHILOSOPHY (PHD) IN ENVIRONMENT AND RESOURCE MANAGEMENT </w:t>
      </w:r>
    </w:p>
    <w:p w14:paraId="402A379F" w14:textId="77777777" w:rsidR="001B4ED5" w:rsidRPr="00895D0B" w:rsidRDefault="006B41C0">
      <w:pPr>
        <w:spacing w:line="360" w:lineRule="auto"/>
        <w:jc w:val="center"/>
        <w:rPr>
          <w:rFonts w:cs="Times New Roman"/>
          <w:b/>
          <w:color w:val="000000" w:themeColor="text1"/>
          <w:szCs w:val="24"/>
          <w:u w:val="single"/>
        </w:rPr>
      </w:pPr>
      <w:r w:rsidRPr="00895D0B">
        <w:rPr>
          <w:rFonts w:cs="Times New Roman"/>
          <w:b/>
          <w:color w:val="000000" w:themeColor="text1"/>
          <w:szCs w:val="24"/>
          <w:u w:val="single"/>
        </w:rPr>
        <w:t xml:space="preserve">QUESTIONNAIRE FOR HOUSEHOLDS SURVEY </w:t>
      </w:r>
    </w:p>
    <w:p w14:paraId="2EA4987E" w14:textId="7777777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NB: Please answer by ticking or writing in the space provided</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538"/>
        <w:gridCol w:w="328"/>
        <w:gridCol w:w="556"/>
        <w:gridCol w:w="3332"/>
        <w:gridCol w:w="2693"/>
      </w:tblGrid>
      <w:tr w:rsidR="00895D0B" w:rsidRPr="00895D0B" w14:paraId="3559B14C" w14:textId="77777777">
        <w:trPr>
          <w:trHeight w:val="585"/>
        </w:trPr>
        <w:tc>
          <w:tcPr>
            <w:tcW w:w="9067" w:type="dxa"/>
            <w:gridSpan w:val="6"/>
            <w:shd w:val="clear" w:color="auto" w:fill="C6D9F1" w:themeFill="text2" w:themeFillTint="33"/>
          </w:tcPr>
          <w:p w14:paraId="7B7AE96B" w14:textId="77777777" w:rsidR="001B4ED5" w:rsidRPr="00895D0B" w:rsidRDefault="006B41C0">
            <w:pPr>
              <w:spacing w:line="240" w:lineRule="auto"/>
              <w:rPr>
                <w:rFonts w:cs="Times New Roman"/>
                <w:b/>
                <w:color w:val="000000" w:themeColor="text1"/>
                <w:szCs w:val="24"/>
              </w:rPr>
            </w:pPr>
            <w:r w:rsidRPr="00895D0B">
              <w:rPr>
                <w:rFonts w:cs="Times New Roman"/>
                <w:color w:val="000000" w:themeColor="text1"/>
                <w:szCs w:val="24"/>
              </w:rPr>
              <w:t xml:space="preserve">My name is ………………. I am a Doctor of Philosophy (PhD) student of the </w:t>
            </w:r>
            <w:r w:rsidRPr="00895D0B">
              <w:rPr>
                <w:rFonts w:cs="Times New Roman"/>
                <w:b/>
                <w:color w:val="000000" w:themeColor="text1"/>
                <w:szCs w:val="24"/>
              </w:rPr>
              <w:t>Simon Diedong Dombo University of Business and Integrated Development Studies (SDD-UBIDS)</w:t>
            </w:r>
            <w:r w:rsidRPr="00895D0B">
              <w:rPr>
                <w:rFonts w:cs="Times New Roman"/>
                <w:color w:val="000000" w:themeColor="text1"/>
                <w:szCs w:val="24"/>
              </w:rPr>
              <w:t>, Faculty of Integrated Development Studies, Department of Environment and Resource Studies. I am conducting my study on the topic,</w:t>
            </w:r>
            <w:r w:rsidRPr="00895D0B">
              <w:rPr>
                <w:rFonts w:cs="Times New Roman"/>
                <w:b/>
                <w:i/>
                <w:color w:val="000000" w:themeColor="text1"/>
                <w:szCs w:val="24"/>
              </w:rPr>
              <w:t xml:space="preserve"> “Adaptation of Urban Agriculture to Climate Change and Variability Stressors in the Upper West Region, Ghana”.</w:t>
            </w:r>
            <w:r w:rsidRPr="00895D0B">
              <w:rPr>
                <w:rFonts w:cs="Times New Roman"/>
                <w:color w:val="000000" w:themeColor="text1"/>
                <w:szCs w:val="24"/>
              </w:rPr>
              <w:t xml:space="preserve"> Participating in this exercise is voluntary and anything that would be said would be treated with high level of confidentiality. This questioning may last for about 45 minutes. Are you willing to respond, If yes, proceed. If no, approach another prospective respondents </w:t>
            </w:r>
          </w:p>
        </w:tc>
      </w:tr>
      <w:tr w:rsidR="00895D0B" w:rsidRPr="00895D0B" w14:paraId="7790FC4E" w14:textId="77777777">
        <w:trPr>
          <w:trHeight w:val="909"/>
        </w:trPr>
        <w:tc>
          <w:tcPr>
            <w:tcW w:w="2158" w:type="dxa"/>
            <w:gridSpan w:val="2"/>
          </w:tcPr>
          <w:p w14:paraId="4CF37B2A" w14:textId="77777777" w:rsidR="001B4ED5" w:rsidRPr="00895D0B" w:rsidRDefault="006B41C0">
            <w:pPr>
              <w:spacing w:line="240" w:lineRule="auto"/>
              <w:jc w:val="center"/>
              <w:rPr>
                <w:rFonts w:cs="Times New Roman"/>
                <w:b/>
                <w:color w:val="000000" w:themeColor="text1"/>
                <w:szCs w:val="24"/>
              </w:rPr>
            </w:pPr>
            <w:r w:rsidRPr="00895D0B">
              <w:rPr>
                <w:rFonts w:cs="Times New Roman"/>
                <w:b/>
                <w:color w:val="000000" w:themeColor="text1"/>
                <w:szCs w:val="24"/>
              </w:rPr>
              <w:t>Questions and Codes</w:t>
            </w:r>
          </w:p>
        </w:tc>
        <w:tc>
          <w:tcPr>
            <w:tcW w:w="4216" w:type="dxa"/>
            <w:gridSpan w:val="3"/>
          </w:tcPr>
          <w:p w14:paraId="33C8C9D5" w14:textId="77777777" w:rsidR="001B4ED5" w:rsidRPr="00895D0B" w:rsidRDefault="001B4ED5">
            <w:pPr>
              <w:spacing w:line="240" w:lineRule="auto"/>
              <w:jc w:val="center"/>
              <w:rPr>
                <w:rFonts w:cs="Times New Roman"/>
                <w:b/>
                <w:color w:val="000000" w:themeColor="text1"/>
                <w:szCs w:val="24"/>
              </w:rPr>
            </w:pPr>
          </w:p>
          <w:p w14:paraId="38F3C679" w14:textId="77777777" w:rsidR="001B4ED5" w:rsidRPr="00895D0B" w:rsidRDefault="006B41C0">
            <w:pPr>
              <w:spacing w:line="240" w:lineRule="auto"/>
              <w:jc w:val="center"/>
              <w:rPr>
                <w:rFonts w:cs="Times New Roman"/>
                <w:b/>
                <w:color w:val="000000" w:themeColor="text1"/>
                <w:szCs w:val="24"/>
              </w:rPr>
            </w:pPr>
            <w:r w:rsidRPr="00895D0B">
              <w:rPr>
                <w:rFonts w:cs="Times New Roman"/>
                <w:b/>
                <w:color w:val="000000" w:themeColor="text1"/>
                <w:szCs w:val="24"/>
              </w:rPr>
              <w:t>Options/code</w:t>
            </w:r>
          </w:p>
        </w:tc>
        <w:tc>
          <w:tcPr>
            <w:tcW w:w="2693" w:type="dxa"/>
          </w:tcPr>
          <w:p w14:paraId="7B11DE7B" w14:textId="77777777" w:rsidR="001B4ED5" w:rsidRPr="00895D0B" w:rsidRDefault="006B41C0">
            <w:pPr>
              <w:spacing w:line="240" w:lineRule="auto"/>
              <w:jc w:val="center"/>
              <w:rPr>
                <w:rFonts w:cs="Times New Roman"/>
                <w:b/>
                <w:color w:val="000000" w:themeColor="text1"/>
                <w:szCs w:val="24"/>
              </w:rPr>
            </w:pPr>
            <w:r w:rsidRPr="00895D0B">
              <w:rPr>
                <w:rFonts w:cs="Times New Roman"/>
                <w:b/>
                <w:color w:val="000000" w:themeColor="text1"/>
                <w:szCs w:val="24"/>
              </w:rPr>
              <w:t>Skip pattern/notes(if applicable)</w:t>
            </w:r>
          </w:p>
        </w:tc>
      </w:tr>
      <w:tr w:rsidR="00895D0B" w:rsidRPr="00895D0B" w14:paraId="0D51BDEA" w14:textId="77777777">
        <w:trPr>
          <w:trHeight w:val="70"/>
        </w:trPr>
        <w:tc>
          <w:tcPr>
            <w:tcW w:w="9067" w:type="dxa"/>
            <w:gridSpan w:val="6"/>
            <w:shd w:val="clear" w:color="auto" w:fill="4F81BD" w:themeFill="accent1"/>
          </w:tcPr>
          <w:p w14:paraId="102C44A2" w14:textId="77777777" w:rsidR="001B4ED5" w:rsidRPr="00895D0B" w:rsidRDefault="006B41C0">
            <w:pPr>
              <w:spacing w:line="240" w:lineRule="auto"/>
              <w:jc w:val="center"/>
              <w:rPr>
                <w:rFonts w:cs="Times New Roman"/>
                <w:b/>
                <w:color w:val="000000" w:themeColor="text1"/>
                <w:szCs w:val="24"/>
              </w:rPr>
            </w:pPr>
            <w:r w:rsidRPr="00895D0B">
              <w:rPr>
                <w:rFonts w:cs="Times New Roman"/>
                <w:b/>
                <w:color w:val="000000" w:themeColor="text1"/>
                <w:szCs w:val="24"/>
              </w:rPr>
              <w:t>SECTION A: CATEGORY AND LOCATION OF RESPONDENTS INTERVIEWER DETAILS</w:t>
            </w:r>
          </w:p>
        </w:tc>
      </w:tr>
      <w:tr w:rsidR="00895D0B" w:rsidRPr="00895D0B" w14:paraId="14566A08" w14:textId="77777777">
        <w:trPr>
          <w:trHeight w:val="70"/>
        </w:trPr>
        <w:tc>
          <w:tcPr>
            <w:tcW w:w="2158" w:type="dxa"/>
            <w:gridSpan w:val="2"/>
          </w:tcPr>
          <w:p w14:paraId="13EF834A" w14:textId="77777777" w:rsidR="001B4ED5" w:rsidRPr="00895D0B" w:rsidRDefault="006B41C0">
            <w:pPr>
              <w:spacing w:line="240" w:lineRule="auto"/>
              <w:jc w:val="left"/>
              <w:rPr>
                <w:rFonts w:cs="Times New Roman"/>
                <w:b/>
                <w:color w:val="000000" w:themeColor="text1"/>
                <w:szCs w:val="24"/>
              </w:rPr>
            </w:pPr>
            <w:r w:rsidRPr="00895D0B">
              <w:rPr>
                <w:rFonts w:cs="Times New Roman"/>
                <w:b/>
                <w:color w:val="000000" w:themeColor="text1"/>
                <w:szCs w:val="24"/>
              </w:rPr>
              <w:t xml:space="preserve">A1:Interviewer’s name </w:t>
            </w:r>
          </w:p>
        </w:tc>
        <w:tc>
          <w:tcPr>
            <w:tcW w:w="4216" w:type="dxa"/>
            <w:gridSpan w:val="3"/>
          </w:tcPr>
          <w:p w14:paraId="668C7A15"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t>
            </w:r>
          </w:p>
        </w:tc>
        <w:tc>
          <w:tcPr>
            <w:tcW w:w="2693" w:type="dxa"/>
          </w:tcPr>
          <w:p w14:paraId="36346D6B" w14:textId="77777777" w:rsidR="001B4ED5" w:rsidRPr="00895D0B" w:rsidRDefault="001B4ED5">
            <w:pPr>
              <w:spacing w:line="240" w:lineRule="auto"/>
              <w:jc w:val="center"/>
              <w:rPr>
                <w:rFonts w:cs="Times New Roman"/>
                <w:color w:val="000000" w:themeColor="text1"/>
                <w:szCs w:val="24"/>
              </w:rPr>
            </w:pPr>
          </w:p>
        </w:tc>
      </w:tr>
      <w:tr w:rsidR="00895D0B" w:rsidRPr="00895D0B" w14:paraId="4C2EFD33" w14:textId="77777777">
        <w:trPr>
          <w:trHeight w:val="383"/>
        </w:trPr>
        <w:tc>
          <w:tcPr>
            <w:tcW w:w="2158" w:type="dxa"/>
            <w:gridSpan w:val="2"/>
          </w:tcPr>
          <w:p w14:paraId="522E654F" w14:textId="77777777" w:rsidR="001B4ED5" w:rsidRPr="00895D0B" w:rsidRDefault="006B41C0">
            <w:pPr>
              <w:spacing w:line="240" w:lineRule="auto"/>
              <w:jc w:val="left"/>
              <w:rPr>
                <w:rFonts w:cs="Times New Roman"/>
                <w:b/>
                <w:color w:val="000000" w:themeColor="text1"/>
                <w:szCs w:val="24"/>
              </w:rPr>
            </w:pPr>
            <w:r w:rsidRPr="00895D0B">
              <w:rPr>
                <w:rFonts w:cs="Times New Roman"/>
                <w:b/>
                <w:color w:val="000000" w:themeColor="text1"/>
                <w:szCs w:val="24"/>
              </w:rPr>
              <w:t>A2:Interviewer ID</w:t>
            </w:r>
          </w:p>
        </w:tc>
        <w:tc>
          <w:tcPr>
            <w:tcW w:w="4216" w:type="dxa"/>
            <w:gridSpan w:val="3"/>
          </w:tcPr>
          <w:p w14:paraId="58F16E93"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t>
            </w:r>
          </w:p>
        </w:tc>
        <w:tc>
          <w:tcPr>
            <w:tcW w:w="2693" w:type="dxa"/>
          </w:tcPr>
          <w:p w14:paraId="412BE64D" w14:textId="77777777" w:rsidR="001B4ED5" w:rsidRPr="00895D0B" w:rsidRDefault="001B4ED5">
            <w:pPr>
              <w:spacing w:line="240" w:lineRule="auto"/>
              <w:jc w:val="center"/>
              <w:rPr>
                <w:rFonts w:cs="Times New Roman"/>
                <w:color w:val="000000" w:themeColor="text1"/>
                <w:szCs w:val="24"/>
              </w:rPr>
            </w:pPr>
          </w:p>
        </w:tc>
      </w:tr>
      <w:tr w:rsidR="00895D0B" w:rsidRPr="00895D0B" w14:paraId="3643BD09" w14:textId="77777777">
        <w:trPr>
          <w:trHeight w:val="870"/>
        </w:trPr>
        <w:tc>
          <w:tcPr>
            <w:tcW w:w="2158" w:type="dxa"/>
            <w:gridSpan w:val="2"/>
          </w:tcPr>
          <w:p w14:paraId="41B47694"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A3:</w:t>
            </w:r>
            <w:r w:rsidRPr="00895D0B">
              <w:rPr>
                <w:rFonts w:cs="Times New Roman"/>
                <w:color w:val="000000" w:themeColor="text1"/>
                <w:szCs w:val="24"/>
              </w:rPr>
              <w:t xml:space="preserve"> Class/zone of residents </w:t>
            </w:r>
          </w:p>
        </w:tc>
        <w:tc>
          <w:tcPr>
            <w:tcW w:w="4216" w:type="dxa"/>
            <w:gridSpan w:val="3"/>
          </w:tcPr>
          <w:p w14:paraId="4335D891" w14:textId="77777777" w:rsidR="001B4ED5" w:rsidRPr="00895D0B" w:rsidRDefault="006B41C0">
            <w:pPr>
              <w:pStyle w:val="ListParagraph"/>
              <w:numPr>
                <w:ilvl w:val="0"/>
                <w:numId w:val="24"/>
              </w:numPr>
              <w:spacing w:line="240" w:lineRule="auto"/>
              <w:jc w:val="left"/>
              <w:rPr>
                <w:rFonts w:cs="Times New Roman"/>
                <w:color w:val="000000" w:themeColor="text1"/>
                <w:szCs w:val="24"/>
              </w:rPr>
            </w:pPr>
            <w:r w:rsidRPr="00895D0B">
              <w:rPr>
                <w:rFonts w:cs="Times New Roman"/>
                <w:color w:val="000000" w:themeColor="text1"/>
                <w:szCs w:val="24"/>
              </w:rPr>
              <w:t>Zone 1 [   ]</w:t>
            </w:r>
          </w:p>
          <w:p w14:paraId="03C2137D" w14:textId="77777777" w:rsidR="001B4ED5" w:rsidRPr="00895D0B" w:rsidRDefault="006B41C0">
            <w:pPr>
              <w:pStyle w:val="ListParagraph"/>
              <w:numPr>
                <w:ilvl w:val="0"/>
                <w:numId w:val="24"/>
              </w:numPr>
              <w:spacing w:line="240" w:lineRule="auto"/>
              <w:jc w:val="left"/>
              <w:rPr>
                <w:rFonts w:cs="Times New Roman"/>
                <w:color w:val="000000" w:themeColor="text1"/>
                <w:szCs w:val="24"/>
              </w:rPr>
            </w:pPr>
            <w:r w:rsidRPr="00895D0B">
              <w:rPr>
                <w:rFonts w:cs="Times New Roman"/>
                <w:color w:val="000000" w:themeColor="text1"/>
                <w:szCs w:val="24"/>
              </w:rPr>
              <w:t>Zone 2 [   ]</w:t>
            </w:r>
          </w:p>
          <w:p w14:paraId="47724999" w14:textId="77777777" w:rsidR="001B4ED5" w:rsidRPr="00895D0B" w:rsidRDefault="006B41C0">
            <w:pPr>
              <w:pStyle w:val="ListParagraph"/>
              <w:numPr>
                <w:ilvl w:val="0"/>
                <w:numId w:val="24"/>
              </w:numPr>
              <w:spacing w:line="240" w:lineRule="auto"/>
              <w:jc w:val="left"/>
              <w:rPr>
                <w:rFonts w:cs="Times New Roman"/>
                <w:color w:val="000000" w:themeColor="text1"/>
                <w:szCs w:val="24"/>
              </w:rPr>
            </w:pPr>
            <w:r w:rsidRPr="00895D0B">
              <w:rPr>
                <w:rFonts w:cs="Times New Roman"/>
                <w:color w:val="000000" w:themeColor="text1"/>
                <w:szCs w:val="24"/>
              </w:rPr>
              <w:t>Zone 3 [   ]</w:t>
            </w:r>
          </w:p>
        </w:tc>
        <w:tc>
          <w:tcPr>
            <w:tcW w:w="2693" w:type="dxa"/>
          </w:tcPr>
          <w:p w14:paraId="067E4C5A" w14:textId="77777777" w:rsidR="001B4ED5" w:rsidRPr="00895D0B" w:rsidRDefault="001B4ED5">
            <w:pPr>
              <w:spacing w:line="240" w:lineRule="auto"/>
              <w:rPr>
                <w:rFonts w:cs="Times New Roman"/>
                <w:color w:val="000000" w:themeColor="text1"/>
                <w:szCs w:val="24"/>
              </w:rPr>
            </w:pPr>
          </w:p>
        </w:tc>
      </w:tr>
      <w:tr w:rsidR="00895D0B" w:rsidRPr="00895D0B" w14:paraId="3569C215" w14:textId="77777777">
        <w:trPr>
          <w:trHeight w:val="161"/>
        </w:trPr>
        <w:tc>
          <w:tcPr>
            <w:tcW w:w="2158" w:type="dxa"/>
            <w:gridSpan w:val="2"/>
          </w:tcPr>
          <w:p w14:paraId="5FB7DFC7"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A4:</w:t>
            </w:r>
            <w:r w:rsidRPr="00895D0B">
              <w:rPr>
                <w:rFonts w:cs="Times New Roman"/>
                <w:color w:val="000000" w:themeColor="text1"/>
                <w:szCs w:val="24"/>
              </w:rPr>
              <w:t xml:space="preserve"> Household name </w:t>
            </w:r>
          </w:p>
        </w:tc>
        <w:tc>
          <w:tcPr>
            <w:tcW w:w="4216" w:type="dxa"/>
            <w:gridSpan w:val="3"/>
          </w:tcPr>
          <w:p w14:paraId="2C10C982"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t>
            </w:r>
          </w:p>
        </w:tc>
        <w:tc>
          <w:tcPr>
            <w:tcW w:w="2693" w:type="dxa"/>
          </w:tcPr>
          <w:p w14:paraId="1B0F4F81" w14:textId="77777777" w:rsidR="001B4ED5" w:rsidRPr="00895D0B" w:rsidRDefault="001B4ED5">
            <w:pPr>
              <w:spacing w:line="240" w:lineRule="auto"/>
              <w:rPr>
                <w:rFonts w:cs="Times New Roman"/>
                <w:color w:val="000000" w:themeColor="text1"/>
                <w:szCs w:val="24"/>
              </w:rPr>
            </w:pPr>
          </w:p>
        </w:tc>
      </w:tr>
      <w:tr w:rsidR="00895D0B" w:rsidRPr="00895D0B" w14:paraId="58F1F8EF" w14:textId="77777777">
        <w:trPr>
          <w:trHeight w:val="70"/>
        </w:trPr>
        <w:tc>
          <w:tcPr>
            <w:tcW w:w="2158" w:type="dxa"/>
            <w:gridSpan w:val="2"/>
          </w:tcPr>
          <w:p w14:paraId="35477EA4"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A5:</w:t>
            </w:r>
            <w:r w:rsidRPr="00895D0B">
              <w:rPr>
                <w:rFonts w:cs="Times New Roman"/>
                <w:color w:val="000000" w:themeColor="text1"/>
                <w:szCs w:val="24"/>
              </w:rPr>
              <w:t xml:space="preserve"> Household number </w:t>
            </w:r>
          </w:p>
        </w:tc>
        <w:tc>
          <w:tcPr>
            <w:tcW w:w="4216" w:type="dxa"/>
            <w:gridSpan w:val="3"/>
          </w:tcPr>
          <w:p w14:paraId="12D21958"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t>
            </w:r>
          </w:p>
        </w:tc>
        <w:tc>
          <w:tcPr>
            <w:tcW w:w="2693" w:type="dxa"/>
          </w:tcPr>
          <w:p w14:paraId="21230E8D" w14:textId="77777777" w:rsidR="001B4ED5" w:rsidRPr="00895D0B" w:rsidRDefault="001B4ED5">
            <w:pPr>
              <w:spacing w:line="240" w:lineRule="auto"/>
              <w:rPr>
                <w:rFonts w:cs="Times New Roman"/>
                <w:color w:val="000000" w:themeColor="text1"/>
                <w:szCs w:val="24"/>
              </w:rPr>
            </w:pPr>
          </w:p>
        </w:tc>
      </w:tr>
      <w:tr w:rsidR="00895D0B" w:rsidRPr="00895D0B" w14:paraId="38DB91A5" w14:textId="77777777">
        <w:trPr>
          <w:trHeight w:val="585"/>
        </w:trPr>
        <w:tc>
          <w:tcPr>
            <w:tcW w:w="9067" w:type="dxa"/>
            <w:gridSpan w:val="6"/>
            <w:shd w:val="clear" w:color="auto" w:fill="95B3D7" w:themeFill="accent1" w:themeFillTint="99"/>
          </w:tcPr>
          <w:p w14:paraId="55E7CE20" w14:textId="77777777" w:rsidR="001B4ED5" w:rsidRPr="00895D0B" w:rsidRDefault="006B41C0">
            <w:pPr>
              <w:spacing w:line="240" w:lineRule="auto"/>
              <w:jc w:val="center"/>
              <w:rPr>
                <w:rFonts w:cs="Times New Roman"/>
                <w:color w:val="000000" w:themeColor="text1"/>
                <w:szCs w:val="24"/>
                <w:highlight w:val="yellow"/>
              </w:rPr>
            </w:pPr>
            <w:r w:rsidRPr="00895D0B">
              <w:rPr>
                <w:rFonts w:cs="Times New Roman"/>
                <w:b/>
                <w:color w:val="000000" w:themeColor="text1"/>
                <w:szCs w:val="24"/>
              </w:rPr>
              <w:t>SECTION B: SOCIO-ECONOMIC AND DEMOGRAPHIC CHARACTERISTICS</w:t>
            </w:r>
          </w:p>
        </w:tc>
      </w:tr>
      <w:tr w:rsidR="00895D0B" w:rsidRPr="00895D0B" w14:paraId="7682C7F1" w14:textId="77777777">
        <w:trPr>
          <w:trHeight w:val="585"/>
        </w:trPr>
        <w:tc>
          <w:tcPr>
            <w:tcW w:w="9067" w:type="dxa"/>
            <w:gridSpan w:val="6"/>
            <w:shd w:val="clear" w:color="auto" w:fill="F2DBDB" w:themeFill="accent2" w:themeFillTint="33"/>
          </w:tcPr>
          <w:p w14:paraId="5A6F2F9F" w14:textId="77777777" w:rsidR="001B4ED5" w:rsidRPr="00895D0B" w:rsidRDefault="006B41C0">
            <w:pPr>
              <w:spacing w:line="240" w:lineRule="auto"/>
              <w:jc w:val="center"/>
              <w:rPr>
                <w:rFonts w:cs="Times New Roman"/>
                <w:color w:val="000000" w:themeColor="text1"/>
                <w:szCs w:val="24"/>
                <w:highlight w:val="yellow"/>
              </w:rPr>
            </w:pPr>
            <w:r w:rsidRPr="00895D0B">
              <w:rPr>
                <w:rFonts w:cs="Times New Roman"/>
                <w:b/>
                <w:i/>
                <w:color w:val="000000" w:themeColor="text1"/>
                <w:szCs w:val="24"/>
              </w:rPr>
              <w:t>NB: In this section, I would like to ask your questions about your social and economic life as well as households information</w:t>
            </w:r>
          </w:p>
        </w:tc>
      </w:tr>
      <w:tr w:rsidR="00895D0B" w:rsidRPr="00895D0B" w14:paraId="5663F496" w14:textId="77777777">
        <w:trPr>
          <w:trHeight w:val="519"/>
        </w:trPr>
        <w:tc>
          <w:tcPr>
            <w:tcW w:w="2486" w:type="dxa"/>
            <w:gridSpan w:val="3"/>
          </w:tcPr>
          <w:p w14:paraId="123D58F2"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B1:</w:t>
            </w:r>
            <w:r w:rsidRPr="00895D0B">
              <w:rPr>
                <w:rFonts w:cs="Times New Roman"/>
                <w:color w:val="000000" w:themeColor="text1"/>
                <w:szCs w:val="24"/>
              </w:rPr>
              <w:t xml:space="preserve"> Age of the respondents</w:t>
            </w:r>
          </w:p>
        </w:tc>
        <w:tc>
          <w:tcPr>
            <w:tcW w:w="3888" w:type="dxa"/>
            <w:gridSpan w:val="2"/>
          </w:tcPr>
          <w:p w14:paraId="568A0112"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 xml:space="preserve"> …………………………….</w:t>
            </w:r>
          </w:p>
        </w:tc>
        <w:tc>
          <w:tcPr>
            <w:tcW w:w="2693" w:type="dxa"/>
          </w:tcPr>
          <w:p w14:paraId="0758027C" w14:textId="77777777" w:rsidR="001B4ED5" w:rsidRPr="00895D0B" w:rsidRDefault="001B4ED5">
            <w:pPr>
              <w:spacing w:line="240" w:lineRule="auto"/>
              <w:rPr>
                <w:rFonts w:cs="Times New Roman"/>
                <w:color w:val="000000" w:themeColor="text1"/>
                <w:szCs w:val="24"/>
              </w:rPr>
            </w:pPr>
          </w:p>
        </w:tc>
      </w:tr>
      <w:tr w:rsidR="00895D0B" w:rsidRPr="00895D0B" w14:paraId="6C941675" w14:textId="77777777">
        <w:trPr>
          <w:trHeight w:val="585"/>
        </w:trPr>
        <w:tc>
          <w:tcPr>
            <w:tcW w:w="2486" w:type="dxa"/>
            <w:gridSpan w:val="3"/>
          </w:tcPr>
          <w:p w14:paraId="53AAF868"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lastRenderedPageBreak/>
              <w:t>B2:</w:t>
            </w:r>
            <w:r w:rsidRPr="00895D0B">
              <w:rPr>
                <w:rFonts w:cs="Times New Roman"/>
                <w:color w:val="000000" w:themeColor="text1"/>
                <w:szCs w:val="24"/>
              </w:rPr>
              <w:t xml:space="preserve"> Gender of the respondents</w:t>
            </w:r>
          </w:p>
        </w:tc>
        <w:tc>
          <w:tcPr>
            <w:tcW w:w="3888" w:type="dxa"/>
            <w:gridSpan w:val="2"/>
          </w:tcPr>
          <w:p w14:paraId="6108866B" w14:textId="77777777" w:rsidR="001B4ED5" w:rsidRPr="00895D0B" w:rsidRDefault="006B41C0">
            <w:pPr>
              <w:pStyle w:val="ListParagraph"/>
              <w:spacing w:line="240" w:lineRule="auto"/>
              <w:rPr>
                <w:rFonts w:cs="Times New Roman"/>
                <w:color w:val="000000" w:themeColor="text1"/>
                <w:szCs w:val="24"/>
              </w:rPr>
            </w:pPr>
            <w:r w:rsidRPr="00895D0B">
              <w:rPr>
                <w:rFonts w:cs="Times New Roman"/>
                <w:color w:val="000000" w:themeColor="text1"/>
                <w:szCs w:val="24"/>
              </w:rPr>
              <w:t>0. Male [   ]</w:t>
            </w:r>
          </w:p>
          <w:p w14:paraId="1F19B281" w14:textId="77777777" w:rsidR="001B4ED5" w:rsidRPr="00895D0B" w:rsidRDefault="006B41C0">
            <w:pPr>
              <w:pStyle w:val="ListParagraph"/>
              <w:spacing w:line="240" w:lineRule="auto"/>
              <w:rPr>
                <w:rFonts w:cs="Times New Roman"/>
                <w:color w:val="000000" w:themeColor="text1"/>
                <w:szCs w:val="24"/>
              </w:rPr>
            </w:pPr>
            <w:r w:rsidRPr="00895D0B">
              <w:rPr>
                <w:rFonts w:cs="Times New Roman"/>
                <w:color w:val="000000" w:themeColor="text1"/>
                <w:szCs w:val="24"/>
              </w:rPr>
              <w:t>1. Female [   ]</w:t>
            </w:r>
          </w:p>
        </w:tc>
        <w:tc>
          <w:tcPr>
            <w:tcW w:w="2693" w:type="dxa"/>
          </w:tcPr>
          <w:p w14:paraId="37E1CD77" w14:textId="77777777" w:rsidR="001B4ED5" w:rsidRPr="00895D0B" w:rsidRDefault="001B4ED5">
            <w:pPr>
              <w:spacing w:line="240" w:lineRule="auto"/>
              <w:rPr>
                <w:rFonts w:cs="Times New Roman"/>
                <w:color w:val="000000" w:themeColor="text1"/>
                <w:szCs w:val="24"/>
              </w:rPr>
            </w:pPr>
          </w:p>
        </w:tc>
      </w:tr>
      <w:tr w:rsidR="00895D0B" w:rsidRPr="00895D0B" w14:paraId="5CE577ED" w14:textId="77777777">
        <w:trPr>
          <w:trHeight w:val="585"/>
        </w:trPr>
        <w:tc>
          <w:tcPr>
            <w:tcW w:w="2486" w:type="dxa"/>
            <w:gridSpan w:val="3"/>
          </w:tcPr>
          <w:p w14:paraId="082E8A9B"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B3:</w:t>
            </w:r>
            <w:r w:rsidRPr="00895D0B">
              <w:rPr>
                <w:rFonts w:cs="Times New Roman"/>
                <w:color w:val="000000" w:themeColor="text1"/>
                <w:szCs w:val="24"/>
              </w:rPr>
              <w:t xml:space="preserve"> Marital status </w:t>
            </w:r>
          </w:p>
        </w:tc>
        <w:tc>
          <w:tcPr>
            <w:tcW w:w="3888" w:type="dxa"/>
            <w:gridSpan w:val="2"/>
          </w:tcPr>
          <w:p w14:paraId="7C8818C6" w14:textId="77777777" w:rsidR="001B4ED5" w:rsidRPr="00895D0B" w:rsidRDefault="006B41C0">
            <w:pPr>
              <w:pStyle w:val="ListParagraph"/>
              <w:numPr>
                <w:ilvl w:val="0"/>
                <w:numId w:val="25"/>
              </w:numPr>
              <w:spacing w:line="240" w:lineRule="auto"/>
              <w:jc w:val="left"/>
              <w:rPr>
                <w:rFonts w:cs="Times New Roman"/>
                <w:color w:val="000000" w:themeColor="text1"/>
                <w:szCs w:val="24"/>
              </w:rPr>
            </w:pPr>
            <w:r w:rsidRPr="00895D0B">
              <w:rPr>
                <w:rFonts w:cs="Times New Roman"/>
                <w:color w:val="000000" w:themeColor="text1"/>
                <w:szCs w:val="24"/>
              </w:rPr>
              <w:t>Single [   ]</w:t>
            </w:r>
          </w:p>
          <w:p w14:paraId="0C2B542D" w14:textId="77777777" w:rsidR="001B4ED5" w:rsidRPr="00895D0B" w:rsidRDefault="006B41C0">
            <w:pPr>
              <w:pStyle w:val="ListParagraph"/>
              <w:numPr>
                <w:ilvl w:val="0"/>
                <w:numId w:val="25"/>
              </w:numPr>
              <w:spacing w:line="240" w:lineRule="auto"/>
              <w:jc w:val="left"/>
              <w:rPr>
                <w:rFonts w:cs="Times New Roman"/>
                <w:color w:val="000000" w:themeColor="text1"/>
                <w:szCs w:val="24"/>
              </w:rPr>
            </w:pPr>
            <w:r w:rsidRPr="00895D0B">
              <w:rPr>
                <w:rFonts w:cs="Times New Roman"/>
                <w:color w:val="000000" w:themeColor="text1"/>
                <w:szCs w:val="24"/>
              </w:rPr>
              <w:t>Married [   ]</w:t>
            </w:r>
          </w:p>
          <w:p w14:paraId="7548F9B7" w14:textId="77777777" w:rsidR="001B4ED5" w:rsidRPr="00895D0B" w:rsidRDefault="006B41C0">
            <w:pPr>
              <w:pStyle w:val="ListParagraph"/>
              <w:numPr>
                <w:ilvl w:val="0"/>
                <w:numId w:val="25"/>
              </w:numPr>
              <w:spacing w:line="240" w:lineRule="auto"/>
              <w:jc w:val="left"/>
              <w:rPr>
                <w:rFonts w:cs="Times New Roman"/>
                <w:color w:val="000000" w:themeColor="text1"/>
                <w:szCs w:val="24"/>
              </w:rPr>
            </w:pPr>
            <w:r w:rsidRPr="00895D0B">
              <w:rPr>
                <w:rFonts w:cs="Times New Roman"/>
                <w:color w:val="000000" w:themeColor="text1"/>
                <w:szCs w:val="24"/>
              </w:rPr>
              <w:t>Separated [   ]</w:t>
            </w:r>
          </w:p>
          <w:p w14:paraId="0BA0EA9A" w14:textId="77777777" w:rsidR="001B4ED5" w:rsidRPr="00895D0B" w:rsidRDefault="006B41C0">
            <w:pPr>
              <w:pStyle w:val="ListParagraph"/>
              <w:numPr>
                <w:ilvl w:val="0"/>
                <w:numId w:val="25"/>
              </w:numPr>
              <w:spacing w:line="240" w:lineRule="auto"/>
              <w:jc w:val="left"/>
              <w:rPr>
                <w:rFonts w:cs="Times New Roman"/>
                <w:color w:val="000000" w:themeColor="text1"/>
                <w:szCs w:val="24"/>
              </w:rPr>
            </w:pPr>
            <w:r w:rsidRPr="00895D0B">
              <w:rPr>
                <w:rFonts w:cs="Times New Roman"/>
                <w:color w:val="000000" w:themeColor="text1"/>
                <w:szCs w:val="24"/>
              </w:rPr>
              <w:t>Widowed  [   ]</w:t>
            </w:r>
          </w:p>
          <w:p w14:paraId="3754D902" w14:textId="77777777" w:rsidR="001B4ED5" w:rsidRPr="00895D0B" w:rsidRDefault="006B41C0">
            <w:pPr>
              <w:pStyle w:val="ListParagraph"/>
              <w:numPr>
                <w:ilvl w:val="0"/>
                <w:numId w:val="25"/>
              </w:numPr>
              <w:spacing w:line="240" w:lineRule="auto"/>
              <w:jc w:val="left"/>
              <w:rPr>
                <w:rFonts w:cs="Times New Roman"/>
                <w:color w:val="000000" w:themeColor="text1"/>
                <w:szCs w:val="24"/>
              </w:rPr>
            </w:pPr>
            <w:r w:rsidRPr="00895D0B">
              <w:rPr>
                <w:rFonts w:cs="Times New Roman"/>
                <w:color w:val="000000" w:themeColor="text1"/>
                <w:szCs w:val="24"/>
              </w:rPr>
              <w:t>Others, specify …………….</w:t>
            </w:r>
          </w:p>
        </w:tc>
        <w:tc>
          <w:tcPr>
            <w:tcW w:w="2693" w:type="dxa"/>
          </w:tcPr>
          <w:p w14:paraId="4D15EB02" w14:textId="77777777" w:rsidR="001B4ED5" w:rsidRPr="00895D0B" w:rsidRDefault="001B4ED5">
            <w:pPr>
              <w:spacing w:line="240" w:lineRule="auto"/>
              <w:rPr>
                <w:rFonts w:cs="Times New Roman"/>
                <w:color w:val="000000" w:themeColor="text1"/>
                <w:szCs w:val="24"/>
              </w:rPr>
            </w:pPr>
          </w:p>
        </w:tc>
      </w:tr>
      <w:tr w:rsidR="00895D0B" w:rsidRPr="00895D0B" w14:paraId="0CC98746" w14:textId="77777777">
        <w:trPr>
          <w:trHeight w:val="570"/>
        </w:trPr>
        <w:tc>
          <w:tcPr>
            <w:tcW w:w="2486" w:type="dxa"/>
            <w:gridSpan w:val="3"/>
          </w:tcPr>
          <w:p w14:paraId="6A36B4E2"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B4:</w:t>
            </w:r>
            <w:r w:rsidRPr="00895D0B">
              <w:rPr>
                <w:rFonts w:cs="Times New Roman"/>
                <w:color w:val="000000" w:themeColor="text1"/>
                <w:szCs w:val="24"/>
              </w:rPr>
              <w:t xml:space="preserve"> Employment status </w:t>
            </w:r>
          </w:p>
        </w:tc>
        <w:tc>
          <w:tcPr>
            <w:tcW w:w="3888" w:type="dxa"/>
            <w:gridSpan w:val="2"/>
          </w:tcPr>
          <w:p w14:paraId="4FC6309F" w14:textId="77777777" w:rsidR="001B4ED5" w:rsidRPr="00895D0B" w:rsidRDefault="006B41C0">
            <w:pPr>
              <w:pStyle w:val="ListParagraph"/>
              <w:numPr>
                <w:ilvl w:val="0"/>
                <w:numId w:val="26"/>
              </w:numPr>
              <w:spacing w:line="240" w:lineRule="auto"/>
              <w:jc w:val="left"/>
              <w:rPr>
                <w:rFonts w:cs="Times New Roman"/>
                <w:color w:val="000000" w:themeColor="text1"/>
                <w:szCs w:val="24"/>
              </w:rPr>
            </w:pPr>
            <w:r w:rsidRPr="00895D0B">
              <w:rPr>
                <w:rFonts w:cs="Times New Roman"/>
                <w:color w:val="000000" w:themeColor="text1"/>
                <w:szCs w:val="24"/>
              </w:rPr>
              <w:t>Employed [   ]</w:t>
            </w:r>
          </w:p>
          <w:p w14:paraId="01441A88" w14:textId="77777777" w:rsidR="001B4ED5" w:rsidRPr="00895D0B" w:rsidRDefault="006B41C0">
            <w:pPr>
              <w:pStyle w:val="ListParagraph"/>
              <w:numPr>
                <w:ilvl w:val="0"/>
                <w:numId w:val="26"/>
              </w:numPr>
              <w:spacing w:line="240" w:lineRule="auto"/>
              <w:jc w:val="left"/>
              <w:rPr>
                <w:rFonts w:cs="Times New Roman"/>
                <w:color w:val="000000" w:themeColor="text1"/>
                <w:szCs w:val="24"/>
              </w:rPr>
            </w:pPr>
            <w:r w:rsidRPr="00895D0B">
              <w:rPr>
                <w:rFonts w:cs="Times New Roman"/>
                <w:color w:val="000000" w:themeColor="text1"/>
                <w:szCs w:val="24"/>
              </w:rPr>
              <w:t xml:space="preserve">Unemployed [   ] </w:t>
            </w:r>
          </w:p>
        </w:tc>
        <w:tc>
          <w:tcPr>
            <w:tcW w:w="2693" w:type="dxa"/>
          </w:tcPr>
          <w:p w14:paraId="2CBA93EC" w14:textId="77777777" w:rsidR="001B4ED5" w:rsidRPr="00895D0B" w:rsidRDefault="001B4ED5">
            <w:pPr>
              <w:spacing w:line="240" w:lineRule="auto"/>
              <w:rPr>
                <w:rFonts w:cs="Times New Roman"/>
                <w:color w:val="000000" w:themeColor="text1"/>
                <w:szCs w:val="24"/>
              </w:rPr>
            </w:pPr>
          </w:p>
        </w:tc>
      </w:tr>
      <w:tr w:rsidR="00895D0B" w:rsidRPr="00895D0B" w14:paraId="649BE223" w14:textId="77777777">
        <w:trPr>
          <w:trHeight w:val="570"/>
        </w:trPr>
        <w:tc>
          <w:tcPr>
            <w:tcW w:w="2486" w:type="dxa"/>
            <w:gridSpan w:val="3"/>
          </w:tcPr>
          <w:p w14:paraId="2A5752CC" w14:textId="77777777" w:rsidR="001B4ED5" w:rsidRPr="00895D0B" w:rsidRDefault="006B41C0">
            <w:pPr>
              <w:spacing w:line="240" w:lineRule="auto"/>
              <w:jc w:val="left"/>
              <w:rPr>
                <w:rFonts w:cs="Times New Roman"/>
                <w:b/>
                <w:color w:val="000000" w:themeColor="text1"/>
                <w:szCs w:val="24"/>
              </w:rPr>
            </w:pPr>
            <w:r w:rsidRPr="00895D0B">
              <w:rPr>
                <w:rFonts w:cs="Times New Roman"/>
                <w:b/>
                <w:color w:val="000000" w:themeColor="text1"/>
                <w:szCs w:val="24"/>
              </w:rPr>
              <w:t>B5:</w:t>
            </w:r>
            <w:r w:rsidRPr="00895D0B">
              <w:rPr>
                <w:rFonts w:cs="Times New Roman"/>
                <w:color w:val="000000" w:themeColor="text1"/>
                <w:szCs w:val="24"/>
              </w:rPr>
              <w:t xml:space="preserve"> Type of employment</w:t>
            </w:r>
          </w:p>
        </w:tc>
        <w:tc>
          <w:tcPr>
            <w:tcW w:w="3888" w:type="dxa"/>
            <w:gridSpan w:val="2"/>
          </w:tcPr>
          <w:p w14:paraId="73102D71" w14:textId="77777777" w:rsidR="001B4ED5" w:rsidRPr="00895D0B" w:rsidRDefault="006B41C0">
            <w:pPr>
              <w:pStyle w:val="ListParagraph"/>
              <w:numPr>
                <w:ilvl w:val="0"/>
                <w:numId w:val="27"/>
              </w:numPr>
              <w:spacing w:line="240" w:lineRule="auto"/>
              <w:jc w:val="left"/>
              <w:rPr>
                <w:rFonts w:cs="Times New Roman"/>
                <w:color w:val="000000" w:themeColor="text1"/>
                <w:szCs w:val="24"/>
              </w:rPr>
            </w:pPr>
            <w:r w:rsidRPr="00895D0B">
              <w:rPr>
                <w:rFonts w:cs="Times New Roman"/>
                <w:color w:val="000000" w:themeColor="text1"/>
                <w:szCs w:val="24"/>
              </w:rPr>
              <w:t>Formal worker [   ]</w:t>
            </w:r>
          </w:p>
          <w:p w14:paraId="4EAC3BA1" w14:textId="77777777" w:rsidR="001B4ED5" w:rsidRPr="00895D0B" w:rsidRDefault="006B41C0">
            <w:pPr>
              <w:pStyle w:val="ListParagraph"/>
              <w:numPr>
                <w:ilvl w:val="0"/>
                <w:numId w:val="27"/>
              </w:numPr>
              <w:spacing w:line="240" w:lineRule="auto"/>
              <w:jc w:val="left"/>
              <w:rPr>
                <w:rFonts w:cs="Times New Roman"/>
                <w:color w:val="000000" w:themeColor="text1"/>
                <w:szCs w:val="24"/>
              </w:rPr>
            </w:pPr>
            <w:r w:rsidRPr="00895D0B">
              <w:rPr>
                <w:rFonts w:cs="Times New Roman"/>
                <w:color w:val="000000" w:themeColor="text1"/>
                <w:szCs w:val="24"/>
              </w:rPr>
              <w:t>Informal worker [   ]</w:t>
            </w:r>
          </w:p>
        </w:tc>
        <w:tc>
          <w:tcPr>
            <w:tcW w:w="2693" w:type="dxa"/>
          </w:tcPr>
          <w:p w14:paraId="40785D30" w14:textId="77777777" w:rsidR="001B4ED5" w:rsidRPr="00895D0B" w:rsidRDefault="001B4ED5">
            <w:pPr>
              <w:spacing w:line="240" w:lineRule="auto"/>
              <w:rPr>
                <w:rFonts w:cs="Times New Roman"/>
                <w:color w:val="000000" w:themeColor="text1"/>
                <w:szCs w:val="24"/>
              </w:rPr>
            </w:pPr>
          </w:p>
        </w:tc>
      </w:tr>
      <w:tr w:rsidR="00895D0B" w:rsidRPr="00895D0B" w14:paraId="720E7700" w14:textId="77777777">
        <w:trPr>
          <w:trHeight w:val="736"/>
        </w:trPr>
        <w:tc>
          <w:tcPr>
            <w:tcW w:w="2486" w:type="dxa"/>
            <w:gridSpan w:val="3"/>
          </w:tcPr>
          <w:p w14:paraId="4B3F418A"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 xml:space="preserve">B6: </w:t>
            </w:r>
            <w:r w:rsidRPr="00895D0B">
              <w:rPr>
                <w:rFonts w:cs="Times New Roman"/>
                <w:color w:val="000000" w:themeColor="text1"/>
                <w:szCs w:val="24"/>
              </w:rPr>
              <w:t>Education attainment</w:t>
            </w:r>
            <w:r w:rsidRPr="00895D0B">
              <w:rPr>
                <w:rFonts w:cs="Times New Roman"/>
                <w:b/>
                <w:color w:val="000000" w:themeColor="text1"/>
                <w:szCs w:val="24"/>
              </w:rPr>
              <w:t xml:space="preserve"> </w:t>
            </w:r>
          </w:p>
        </w:tc>
        <w:tc>
          <w:tcPr>
            <w:tcW w:w="3888" w:type="dxa"/>
            <w:gridSpan w:val="2"/>
          </w:tcPr>
          <w:p w14:paraId="54C22964" w14:textId="77777777" w:rsidR="001B4ED5" w:rsidRPr="00895D0B" w:rsidRDefault="006B41C0">
            <w:pPr>
              <w:pStyle w:val="ListParagraph"/>
              <w:numPr>
                <w:ilvl w:val="0"/>
                <w:numId w:val="28"/>
              </w:numPr>
              <w:spacing w:line="240" w:lineRule="auto"/>
              <w:jc w:val="left"/>
              <w:rPr>
                <w:rFonts w:cs="Times New Roman"/>
                <w:color w:val="000000" w:themeColor="text1"/>
                <w:szCs w:val="24"/>
              </w:rPr>
            </w:pPr>
            <w:r w:rsidRPr="00895D0B">
              <w:rPr>
                <w:rFonts w:cs="Times New Roman"/>
                <w:color w:val="000000" w:themeColor="text1"/>
                <w:szCs w:val="24"/>
              </w:rPr>
              <w:t>No Formal Education [   ]</w:t>
            </w:r>
          </w:p>
          <w:p w14:paraId="37BACE80" w14:textId="77777777" w:rsidR="001B4ED5" w:rsidRPr="00895D0B" w:rsidRDefault="006B41C0">
            <w:pPr>
              <w:pStyle w:val="ListParagraph"/>
              <w:numPr>
                <w:ilvl w:val="0"/>
                <w:numId w:val="28"/>
              </w:numPr>
              <w:spacing w:line="240" w:lineRule="auto"/>
              <w:jc w:val="left"/>
              <w:rPr>
                <w:rFonts w:cs="Times New Roman"/>
                <w:color w:val="000000" w:themeColor="text1"/>
                <w:szCs w:val="24"/>
              </w:rPr>
            </w:pPr>
            <w:r w:rsidRPr="00895D0B">
              <w:rPr>
                <w:rFonts w:cs="Times New Roman"/>
                <w:color w:val="000000" w:themeColor="text1"/>
                <w:szCs w:val="24"/>
              </w:rPr>
              <w:t>Basic Education [   ]</w:t>
            </w:r>
          </w:p>
          <w:p w14:paraId="1490D0EE" w14:textId="77777777" w:rsidR="001B4ED5" w:rsidRPr="00895D0B" w:rsidRDefault="006B41C0">
            <w:pPr>
              <w:pStyle w:val="ListParagraph"/>
              <w:numPr>
                <w:ilvl w:val="0"/>
                <w:numId w:val="28"/>
              </w:numPr>
              <w:spacing w:line="240" w:lineRule="auto"/>
              <w:jc w:val="left"/>
              <w:rPr>
                <w:rFonts w:cs="Times New Roman"/>
                <w:color w:val="000000" w:themeColor="text1"/>
                <w:szCs w:val="24"/>
              </w:rPr>
            </w:pPr>
            <w:r w:rsidRPr="00895D0B">
              <w:rPr>
                <w:rFonts w:cs="Times New Roman"/>
                <w:color w:val="000000" w:themeColor="text1"/>
                <w:szCs w:val="24"/>
              </w:rPr>
              <w:t>SHS/Secondary Education [   ]</w:t>
            </w:r>
          </w:p>
          <w:p w14:paraId="12ABF86E" w14:textId="77777777" w:rsidR="001B4ED5" w:rsidRPr="00895D0B" w:rsidRDefault="006B41C0">
            <w:pPr>
              <w:pStyle w:val="ListParagraph"/>
              <w:numPr>
                <w:ilvl w:val="0"/>
                <w:numId w:val="28"/>
              </w:numPr>
              <w:spacing w:line="240" w:lineRule="auto"/>
              <w:jc w:val="left"/>
              <w:rPr>
                <w:rFonts w:cs="Times New Roman"/>
                <w:color w:val="000000" w:themeColor="text1"/>
                <w:szCs w:val="24"/>
              </w:rPr>
            </w:pPr>
            <w:r w:rsidRPr="00895D0B">
              <w:rPr>
                <w:rFonts w:cs="Times New Roman"/>
                <w:color w:val="000000" w:themeColor="text1"/>
                <w:szCs w:val="24"/>
              </w:rPr>
              <w:t>Tertiary Education [   ]</w:t>
            </w:r>
          </w:p>
        </w:tc>
        <w:tc>
          <w:tcPr>
            <w:tcW w:w="2693" w:type="dxa"/>
          </w:tcPr>
          <w:p w14:paraId="6A664FC0" w14:textId="77777777" w:rsidR="001B4ED5" w:rsidRPr="00895D0B" w:rsidRDefault="001B4ED5">
            <w:pPr>
              <w:spacing w:line="240" w:lineRule="auto"/>
              <w:rPr>
                <w:rFonts w:cs="Times New Roman"/>
                <w:color w:val="000000" w:themeColor="text1"/>
                <w:szCs w:val="24"/>
              </w:rPr>
            </w:pPr>
          </w:p>
        </w:tc>
      </w:tr>
      <w:tr w:rsidR="00895D0B" w:rsidRPr="00895D0B" w14:paraId="650A5353" w14:textId="77777777">
        <w:trPr>
          <w:trHeight w:val="585"/>
        </w:trPr>
        <w:tc>
          <w:tcPr>
            <w:tcW w:w="2486" w:type="dxa"/>
            <w:gridSpan w:val="3"/>
          </w:tcPr>
          <w:p w14:paraId="2FF83DAD"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B7:</w:t>
            </w:r>
            <w:r w:rsidRPr="00895D0B">
              <w:rPr>
                <w:rFonts w:cs="Times New Roman"/>
                <w:color w:val="000000" w:themeColor="text1"/>
                <w:szCs w:val="24"/>
              </w:rPr>
              <w:t xml:space="preserve"> Residential status (settlers or natives) </w:t>
            </w:r>
          </w:p>
        </w:tc>
        <w:tc>
          <w:tcPr>
            <w:tcW w:w="3888" w:type="dxa"/>
            <w:gridSpan w:val="2"/>
          </w:tcPr>
          <w:p w14:paraId="6162E74B" w14:textId="77777777" w:rsidR="001B4ED5" w:rsidRPr="00895D0B" w:rsidRDefault="006B41C0">
            <w:pPr>
              <w:pStyle w:val="ListParagraph"/>
              <w:numPr>
                <w:ilvl w:val="0"/>
                <w:numId w:val="29"/>
              </w:numPr>
              <w:spacing w:line="240" w:lineRule="auto"/>
              <w:jc w:val="left"/>
              <w:rPr>
                <w:rFonts w:cs="Times New Roman"/>
                <w:color w:val="000000" w:themeColor="text1"/>
                <w:szCs w:val="24"/>
              </w:rPr>
            </w:pPr>
            <w:r w:rsidRPr="00895D0B">
              <w:rPr>
                <w:rFonts w:cs="Times New Roman"/>
                <w:color w:val="000000" w:themeColor="text1"/>
                <w:szCs w:val="24"/>
              </w:rPr>
              <w:t>Native [   ]</w:t>
            </w:r>
          </w:p>
          <w:p w14:paraId="2A501318" w14:textId="77777777" w:rsidR="001B4ED5" w:rsidRPr="00895D0B" w:rsidRDefault="006B41C0">
            <w:pPr>
              <w:pStyle w:val="ListParagraph"/>
              <w:numPr>
                <w:ilvl w:val="0"/>
                <w:numId w:val="29"/>
              </w:numPr>
              <w:spacing w:line="240" w:lineRule="auto"/>
              <w:jc w:val="left"/>
              <w:rPr>
                <w:rFonts w:cs="Times New Roman"/>
                <w:color w:val="000000" w:themeColor="text1"/>
                <w:szCs w:val="24"/>
              </w:rPr>
            </w:pPr>
            <w:r w:rsidRPr="00895D0B">
              <w:rPr>
                <w:rFonts w:cs="Times New Roman"/>
                <w:color w:val="000000" w:themeColor="text1"/>
                <w:szCs w:val="24"/>
              </w:rPr>
              <w:t>Settler [   ]</w:t>
            </w:r>
          </w:p>
        </w:tc>
        <w:tc>
          <w:tcPr>
            <w:tcW w:w="2693" w:type="dxa"/>
          </w:tcPr>
          <w:p w14:paraId="5CF95A4E" w14:textId="77777777" w:rsidR="001B4ED5" w:rsidRPr="00895D0B" w:rsidRDefault="001B4ED5">
            <w:pPr>
              <w:spacing w:line="240" w:lineRule="auto"/>
              <w:rPr>
                <w:rFonts w:cs="Times New Roman"/>
                <w:color w:val="000000" w:themeColor="text1"/>
                <w:szCs w:val="24"/>
              </w:rPr>
            </w:pPr>
          </w:p>
        </w:tc>
      </w:tr>
      <w:tr w:rsidR="00895D0B" w:rsidRPr="00895D0B" w14:paraId="10297F76" w14:textId="77777777">
        <w:trPr>
          <w:trHeight w:val="536"/>
        </w:trPr>
        <w:tc>
          <w:tcPr>
            <w:tcW w:w="2486" w:type="dxa"/>
            <w:gridSpan w:val="3"/>
          </w:tcPr>
          <w:p w14:paraId="582B940F"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B8:</w:t>
            </w:r>
            <w:r w:rsidRPr="00895D0B">
              <w:rPr>
                <w:rFonts w:cs="Times New Roman"/>
                <w:color w:val="000000" w:themeColor="text1"/>
                <w:szCs w:val="24"/>
              </w:rPr>
              <w:t xml:space="preserve"> Households incomes level </w:t>
            </w:r>
          </w:p>
        </w:tc>
        <w:tc>
          <w:tcPr>
            <w:tcW w:w="3888" w:type="dxa"/>
            <w:gridSpan w:val="2"/>
          </w:tcPr>
          <w:p w14:paraId="1ADBD56C"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t>
            </w:r>
          </w:p>
        </w:tc>
        <w:tc>
          <w:tcPr>
            <w:tcW w:w="2693" w:type="dxa"/>
          </w:tcPr>
          <w:p w14:paraId="7E975F21" w14:textId="77777777" w:rsidR="001B4ED5" w:rsidRPr="00895D0B" w:rsidRDefault="001B4ED5">
            <w:pPr>
              <w:spacing w:line="240" w:lineRule="auto"/>
              <w:rPr>
                <w:rFonts w:cs="Times New Roman"/>
                <w:color w:val="000000" w:themeColor="text1"/>
                <w:szCs w:val="24"/>
              </w:rPr>
            </w:pPr>
          </w:p>
        </w:tc>
      </w:tr>
      <w:tr w:rsidR="00895D0B" w:rsidRPr="00895D0B" w14:paraId="6306F441" w14:textId="77777777">
        <w:trPr>
          <w:trHeight w:val="219"/>
        </w:trPr>
        <w:tc>
          <w:tcPr>
            <w:tcW w:w="2486" w:type="dxa"/>
            <w:gridSpan w:val="3"/>
          </w:tcPr>
          <w:p w14:paraId="230B78C2"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B9:</w:t>
            </w:r>
            <w:r w:rsidRPr="00895D0B">
              <w:rPr>
                <w:rFonts w:cs="Times New Roman"/>
                <w:color w:val="000000" w:themeColor="text1"/>
                <w:szCs w:val="24"/>
              </w:rPr>
              <w:t xml:space="preserve"> Household size </w:t>
            </w:r>
          </w:p>
        </w:tc>
        <w:tc>
          <w:tcPr>
            <w:tcW w:w="3888" w:type="dxa"/>
            <w:gridSpan w:val="2"/>
          </w:tcPr>
          <w:p w14:paraId="0A24685F"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t>
            </w:r>
          </w:p>
        </w:tc>
        <w:tc>
          <w:tcPr>
            <w:tcW w:w="2693" w:type="dxa"/>
          </w:tcPr>
          <w:p w14:paraId="31C4B956" w14:textId="77777777" w:rsidR="001B4ED5" w:rsidRPr="00895D0B" w:rsidRDefault="001B4ED5">
            <w:pPr>
              <w:spacing w:line="240" w:lineRule="auto"/>
              <w:rPr>
                <w:rFonts w:cs="Times New Roman"/>
                <w:color w:val="000000" w:themeColor="text1"/>
                <w:szCs w:val="24"/>
              </w:rPr>
            </w:pPr>
          </w:p>
        </w:tc>
      </w:tr>
      <w:tr w:rsidR="00895D0B" w:rsidRPr="00895D0B" w14:paraId="3BA71F31" w14:textId="77777777">
        <w:trPr>
          <w:trHeight w:val="219"/>
        </w:trPr>
        <w:tc>
          <w:tcPr>
            <w:tcW w:w="9067" w:type="dxa"/>
            <w:gridSpan w:val="6"/>
            <w:shd w:val="clear" w:color="auto" w:fill="95B3D7" w:themeFill="accent1" w:themeFillTint="99"/>
          </w:tcPr>
          <w:p w14:paraId="1CD53D8E" w14:textId="77777777" w:rsidR="001B4ED5" w:rsidRPr="00895D0B" w:rsidRDefault="006B41C0">
            <w:pPr>
              <w:spacing w:line="240" w:lineRule="auto"/>
              <w:jc w:val="center"/>
              <w:rPr>
                <w:rFonts w:cs="Times New Roman"/>
                <w:color w:val="000000" w:themeColor="text1"/>
                <w:szCs w:val="24"/>
              </w:rPr>
            </w:pPr>
            <w:r w:rsidRPr="00895D0B">
              <w:rPr>
                <w:rFonts w:eastAsia="Times New Roman" w:cs="Times New Roman"/>
                <w:b/>
                <w:color w:val="000000" w:themeColor="text1"/>
                <w:szCs w:val="24"/>
              </w:rPr>
              <w:t>SECTION C: CHARACTERISTICS OF URBAN FARMING</w:t>
            </w:r>
          </w:p>
        </w:tc>
      </w:tr>
      <w:tr w:rsidR="00895D0B" w:rsidRPr="00895D0B" w14:paraId="49BECA8B" w14:textId="77777777">
        <w:trPr>
          <w:trHeight w:val="219"/>
        </w:trPr>
        <w:tc>
          <w:tcPr>
            <w:tcW w:w="9067" w:type="dxa"/>
            <w:gridSpan w:val="6"/>
            <w:shd w:val="clear" w:color="auto" w:fill="E5B8B7" w:themeFill="accent2" w:themeFillTint="66"/>
          </w:tcPr>
          <w:p w14:paraId="156473E5" w14:textId="77777777" w:rsidR="001B4ED5" w:rsidRPr="00895D0B" w:rsidRDefault="006B41C0">
            <w:pPr>
              <w:spacing w:line="240" w:lineRule="auto"/>
              <w:jc w:val="center"/>
              <w:rPr>
                <w:rFonts w:cs="Times New Roman"/>
                <w:color w:val="000000" w:themeColor="text1"/>
                <w:szCs w:val="24"/>
              </w:rPr>
            </w:pPr>
            <w:r w:rsidRPr="00895D0B">
              <w:rPr>
                <w:rFonts w:eastAsia="Times New Roman" w:cs="Times New Roman"/>
                <w:b/>
                <w:i/>
                <w:color w:val="000000" w:themeColor="text1"/>
                <w:szCs w:val="24"/>
              </w:rPr>
              <w:t>NB: In this section, I would like to ask you few question about the features of your agriculture production in the urban space (crop or animals/both)</w:t>
            </w:r>
          </w:p>
        </w:tc>
      </w:tr>
      <w:tr w:rsidR="00895D0B" w:rsidRPr="00895D0B" w14:paraId="5BCF0A96" w14:textId="77777777">
        <w:trPr>
          <w:trHeight w:val="585"/>
        </w:trPr>
        <w:tc>
          <w:tcPr>
            <w:tcW w:w="2486" w:type="dxa"/>
            <w:gridSpan w:val="3"/>
          </w:tcPr>
          <w:p w14:paraId="376D12BC" w14:textId="77777777" w:rsidR="001B4ED5" w:rsidRPr="00895D0B" w:rsidRDefault="006B41C0">
            <w:pPr>
              <w:spacing w:line="240" w:lineRule="auto"/>
              <w:jc w:val="left"/>
              <w:rPr>
                <w:rFonts w:cs="Times New Roman"/>
                <w:b/>
                <w:color w:val="000000" w:themeColor="text1"/>
                <w:szCs w:val="24"/>
              </w:rPr>
            </w:pPr>
            <w:r w:rsidRPr="00895D0B">
              <w:rPr>
                <w:rFonts w:cs="Times New Roman"/>
                <w:b/>
                <w:color w:val="000000" w:themeColor="text1"/>
                <w:szCs w:val="24"/>
              </w:rPr>
              <w:t>C1: Do you engage in UA</w:t>
            </w:r>
          </w:p>
        </w:tc>
        <w:tc>
          <w:tcPr>
            <w:tcW w:w="3888" w:type="dxa"/>
            <w:gridSpan w:val="2"/>
          </w:tcPr>
          <w:p w14:paraId="6E7480C6" w14:textId="77777777" w:rsidR="001B4ED5" w:rsidRPr="00895D0B" w:rsidRDefault="006B41C0">
            <w:pPr>
              <w:pStyle w:val="ListParagraph"/>
              <w:numPr>
                <w:ilvl w:val="0"/>
                <w:numId w:val="30"/>
              </w:numPr>
              <w:spacing w:line="240" w:lineRule="auto"/>
              <w:jc w:val="left"/>
              <w:rPr>
                <w:rFonts w:cs="Times New Roman"/>
                <w:color w:val="000000" w:themeColor="text1"/>
                <w:szCs w:val="24"/>
              </w:rPr>
            </w:pPr>
            <w:r w:rsidRPr="00895D0B">
              <w:rPr>
                <w:rFonts w:cs="Times New Roman"/>
                <w:color w:val="000000" w:themeColor="text1"/>
                <w:szCs w:val="24"/>
              </w:rPr>
              <w:t>Yes [   ]</w:t>
            </w:r>
          </w:p>
          <w:p w14:paraId="067D1AE7" w14:textId="77777777" w:rsidR="001B4ED5" w:rsidRPr="00895D0B" w:rsidRDefault="006B41C0">
            <w:pPr>
              <w:pStyle w:val="ListParagraph"/>
              <w:numPr>
                <w:ilvl w:val="0"/>
                <w:numId w:val="30"/>
              </w:numPr>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shd w:val="clear" w:color="auto" w:fill="00B050"/>
          </w:tcPr>
          <w:p w14:paraId="087DC3D9" w14:textId="77777777" w:rsidR="001B4ED5" w:rsidRPr="00895D0B" w:rsidRDefault="006B41C0">
            <w:pPr>
              <w:spacing w:line="240" w:lineRule="auto"/>
              <w:rPr>
                <w:rFonts w:cs="Times New Roman"/>
                <w:b/>
                <w:i/>
                <w:color w:val="000000" w:themeColor="text1"/>
                <w:szCs w:val="24"/>
              </w:rPr>
            </w:pPr>
            <w:r w:rsidRPr="00895D0B">
              <w:rPr>
                <w:rFonts w:cs="Times New Roman"/>
                <w:b/>
                <w:i/>
                <w:color w:val="000000" w:themeColor="text1"/>
                <w:szCs w:val="24"/>
              </w:rPr>
              <w:t>If yes, skip C2 to C4, if no complete C2 to C4 and F1 to F26</w:t>
            </w:r>
          </w:p>
        </w:tc>
      </w:tr>
      <w:tr w:rsidR="00895D0B" w:rsidRPr="00895D0B" w14:paraId="14592BD9" w14:textId="77777777">
        <w:trPr>
          <w:trHeight w:val="585"/>
        </w:trPr>
        <w:tc>
          <w:tcPr>
            <w:tcW w:w="2486" w:type="dxa"/>
            <w:gridSpan w:val="3"/>
          </w:tcPr>
          <w:p w14:paraId="30D60385"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 xml:space="preserve">C2: </w:t>
            </w:r>
            <w:r w:rsidRPr="00895D0B">
              <w:rPr>
                <w:rFonts w:cs="Times New Roman"/>
                <w:color w:val="000000" w:themeColor="text1"/>
                <w:szCs w:val="24"/>
              </w:rPr>
              <w:t xml:space="preserve">If no to question </w:t>
            </w:r>
            <w:r w:rsidRPr="00895D0B">
              <w:rPr>
                <w:rFonts w:cs="Times New Roman"/>
                <w:b/>
                <w:color w:val="000000" w:themeColor="text1"/>
                <w:szCs w:val="24"/>
              </w:rPr>
              <w:t>C1,</w:t>
            </w:r>
            <w:r w:rsidRPr="00895D0B">
              <w:rPr>
                <w:rFonts w:cs="Times New Roman"/>
                <w:color w:val="000000" w:themeColor="text1"/>
                <w:szCs w:val="24"/>
              </w:rPr>
              <w:t xml:space="preserve"> which of the following affect your participation in UA </w:t>
            </w:r>
            <w:r w:rsidRPr="00895D0B">
              <w:rPr>
                <w:rFonts w:cs="Times New Roman"/>
                <w:b/>
                <w:i/>
                <w:color w:val="000000" w:themeColor="text1"/>
                <w:szCs w:val="24"/>
              </w:rPr>
              <w:t>(tick as many as possible)</w:t>
            </w:r>
          </w:p>
        </w:tc>
        <w:tc>
          <w:tcPr>
            <w:tcW w:w="3888" w:type="dxa"/>
            <w:gridSpan w:val="2"/>
          </w:tcPr>
          <w:p w14:paraId="1D51D5CB" w14:textId="77777777" w:rsidR="001B4ED5" w:rsidRPr="00895D0B" w:rsidRDefault="006B41C0">
            <w:pPr>
              <w:pStyle w:val="ListParagraph"/>
              <w:numPr>
                <w:ilvl w:val="0"/>
                <w:numId w:val="31"/>
              </w:numPr>
              <w:spacing w:line="240" w:lineRule="auto"/>
              <w:jc w:val="left"/>
              <w:rPr>
                <w:rFonts w:cs="Times New Roman"/>
                <w:color w:val="000000" w:themeColor="text1"/>
                <w:szCs w:val="24"/>
              </w:rPr>
            </w:pPr>
            <w:r w:rsidRPr="00895D0B">
              <w:rPr>
                <w:rFonts w:cs="Times New Roman"/>
                <w:color w:val="000000" w:themeColor="text1"/>
                <w:szCs w:val="24"/>
              </w:rPr>
              <w:t>Access to land [   ]</w:t>
            </w:r>
          </w:p>
          <w:p w14:paraId="6783835E" w14:textId="77777777" w:rsidR="001B4ED5" w:rsidRPr="00895D0B" w:rsidRDefault="006B41C0">
            <w:pPr>
              <w:pStyle w:val="ListParagraph"/>
              <w:numPr>
                <w:ilvl w:val="0"/>
                <w:numId w:val="31"/>
              </w:numPr>
              <w:spacing w:line="240" w:lineRule="auto"/>
              <w:jc w:val="left"/>
              <w:rPr>
                <w:rFonts w:cs="Times New Roman"/>
                <w:color w:val="000000" w:themeColor="text1"/>
                <w:szCs w:val="24"/>
              </w:rPr>
            </w:pPr>
            <w:r w:rsidRPr="00895D0B">
              <w:rPr>
                <w:rFonts w:cs="Times New Roman"/>
                <w:color w:val="000000" w:themeColor="text1"/>
                <w:szCs w:val="24"/>
              </w:rPr>
              <w:t>Inability to control animals’ destructions [ ]</w:t>
            </w:r>
          </w:p>
          <w:p w14:paraId="3B5396F3" w14:textId="77777777" w:rsidR="001B4ED5" w:rsidRPr="00895D0B" w:rsidRDefault="006B41C0">
            <w:pPr>
              <w:pStyle w:val="ListParagraph"/>
              <w:numPr>
                <w:ilvl w:val="0"/>
                <w:numId w:val="31"/>
              </w:numPr>
              <w:spacing w:line="240" w:lineRule="auto"/>
              <w:jc w:val="left"/>
              <w:rPr>
                <w:rFonts w:cs="Times New Roman"/>
                <w:color w:val="000000" w:themeColor="text1"/>
                <w:szCs w:val="24"/>
              </w:rPr>
            </w:pPr>
            <w:r w:rsidRPr="00895D0B">
              <w:rPr>
                <w:rFonts w:cs="Times New Roman"/>
                <w:color w:val="000000" w:themeColor="text1"/>
                <w:szCs w:val="24"/>
              </w:rPr>
              <w:t>Low yield due to weather changes [   ]</w:t>
            </w:r>
          </w:p>
          <w:p w14:paraId="10D2AE0A" w14:textId="77777777" w:rsidR="001B4ED5" w:rsidRPr="00895D0B" w:rsidRDefault="006B41C0">
            <w:pPr>
              <w:pStyle w:val="ListParagraph"/>
              <w:numPr>
                <w:ilvl w:val="0"/>
                <w:numId w:val="31"/>
              </w:numPr>
              <w:spacing w:line="240" w:lineRule="auto"/>
              <w:jc w:val="left"/>
              <w:rPr>
                <w:rFonts w:cs="Times New Roman"/>
                <w:color w:val="000000" w:themeColor="text1"/>
                <w:szCs w:val="24"/>
              </w:rPr>
            </w:pPr>
            <w:r w:rsidRPr="00895D0B">
              <w:rPr>
                <w:rFonts w:cs="Times New Roman"/>
                <w:color w:val="000000" w:themeColor="text1"/>
                <w:szCs w:val="24"/>
              </w:rPr>
              <w:t>Less availability of knowledge [   ]</w:t>
            </w:r>
          </w:p>
          <w:p w14:paraId="7D6B6D3A" w14:textId="77777777" w:rsidR="001B4ED5" w:rsidRPr="00895D0B" w:rsidRDefault="006B41C0">
            <w:pPr>
              <w:pStyle w:val="ListParagraph"/>
              <w:numPr>
                <w:ilvl w:val="0"/>
                <w:numId w:val="31"/>
              </w:numPr>
              <w:spacing w:line="240" w:lineRule="auto"/>
              <w:jc w:val="left"/>
              <w:rPr>
                <w:rFonts w:cs="Times New Roman"/>
                <w:color w:val="000000" w:themeColor="text1"/>
                <w:szCs w:val="24"/>
              </w:rPr>
            </w:pPr>
            <w:r w:rsidRPr="00895D0B">
              <w:rPr>
                <w:rFonts w:cs="Times New Roman"/>
                <w:color w:val="000000" w:themeColor="text1"/>
                <w:szCs w:val="24"/>
              </w:rPr>
              <w:t>Land tenure security [   ]</w:t>
            </w:r>
          </w:p>
          <w:p w14:paraId="1D4A41BC" w14:textId="77777777" w:rsidR="001B4ED5" w:rsidRPr="00895D0B" w:rsidRDefault="006B41C0">
            <w:pPr>
              <w:pStyle w:val="ListParagraph"/>
              <w:numPr>
                <w:ilvl w:val="0"/>
                <w:numId w:val="31"/>
              </w:numPr>
              <w:spacing w:line="240" w:lineRule="auto"/>
              <w:jc w:val="left"/>
              <w:rPr>
                <w:rFonts w:cs="Times New Roman"/>
                <w:color w:val="000000" w:themeColor="text1"/>
                <w:szCs w:val="24"/>
              </w:rPr>
            </w:pPr>
            <w:r w:rsidRPr="00895D0B">
              <w:rPr>
                <w:rFonts w:cs="Times New Roman"/>
                <w:color w:val="000000" w:themeColor="text1"/>
                <w:szCs w:val="24"/>
              </w:rPr>
              <w:t>Difficulties in the use of public lands (legal actions and/or confiscation) [   ]</w:t>
            </w:r>
          </w:p>
          <w:p w14:paraId="44C87FEB" w14:textId="77777777" w:rsidR="001B4ED5" w:rsidRPr="00895D0B" w:rsidRDefault="006B41C0">
            <w:pPr>
              <w:pStyle w:val="ListParagraph"/>
              <w:numPr>
                <w:ilvl w:val="0"/>
                <w:numId w:val="31"/>
              </w:numPr>
              <w:spacing w:line="240" w:lineRule="auto"/>
              <w:jc w:val="left"/>
              <w:rPr>
                <w:rFonts w:cs="Times New Roman"/>
                <w:color w:val="000000" w:themeColor="text1"/>
                <w:szCs w:val="24"/>
              </w:rPr>
            </w:pPr>
            <w:r w:rsidRPr="00895D0B">
              <w:rPr>
                <w:rFonts w:cs="Times New Roman"/>
                <w:color w:val="000000" w:themeColor="text1"/>
                <w:szCs w:val="24"/>
              </w:rPr>
              <w:t>Access and affordability of inputs [   ]</w:t>
            </w:r>
          </w:p>
          <w:p w14:paraId="5AE0442B" w14:textId="77777777" w:rsidR="001B4ED5" w:rsidRPr="00895D0B" w:rsidRDefault="006B41C0">
            <w:pPr>
              <w:pStyle w:val="ListParagraph"/>
              <w:numPr>
                <w:ilvl w:val="0"/>
                <w:numId w:val="31"/>
              </w:numPr>
              <w:spacing w:line="240" w:lineRule="auto"/>
              <w:jc w:val="left"/>
              <w:rPr>
                <w:rFonts w:cs="Times New Roman"/>
                <w:color w:val="000000" w:themeColor="text1"/>
                <w:szCs w:val="24"/>
              </w:rPr>
            </w:pPr>
            <w:r w:rsidRPr="00895D0B">
              <w:rPr>
                <w:rFonts w:cs="Times New Roman"/>
                <w:color w:val="000000" w:themeColor="text1"/>
                <w:szCs w:val="24"/>
              </w:rPr>
              <w:t>No interest [   ]</w:t>
            </w:r>
          </w:p>
          <w:p w14:paraId="68A411BE" w14:textId="77777777" w:rsidR="001B4ED5" w:rsidRPr="00895D0B" w:rsidRDefault="006B41C0">
            <w:pPr>
              <w:pStyle w:val="ListParagraph"/>
              <w:numPr>
                <w:ilvl w:val="0"/>
                <w:numId w:val="31"/>
              </w:numPr>
              <w:spacing w:line="240" w:lineRule="auto"/>
              <w:jc w:val="left"/>
              <w:rPr>
                <w:rFonts w:cs="Times New Roman"/>
                <w:color w:val="000000" w:themeColor="text1"/>
                <w:szCs w:val="24"/>
              </w:rPr>
            </w:pPr>
            <w:r w:rsidRPr="00895D0B">
              <w:rPr>
                <w:rFonts w:cs="Times New Roman"/>
                <w:color w:val="000000" w:themeColor="text1"/>
                <w:szCs w:val="24"/>
              </w:rPr>
              <w:t>Others, specify…………………………………………….</w:t>
            </w:r>
          </w:p>
        </w:tc>
        <w:tc>
          <w:tcPr>
            <w:tcW w:w="2693" w:type="dxa"/>
          </w:tcPr>
          <w:p w14:paraId="794983FB" w14:textId="77777777" w:rsidR="001B4ED5" w:rsidRPr="00895D0B" w:rsidRDefault="001B4ED5">
            <w:pPr>
              <w:spacing w:line="240" w:lineRule="auto"/>
              <w:rPr>
                <w:rFonts w:cs="Times New Roman"/>
                <w:color w:val="000000" w:themeColor="text1"/>
                <w:szCs w:val="24"/>
              </w:rPr>
            </w:pPr>
          </w:p>
        </w:tc>
      </w:tr>
      <w:tr w:rsidR="00895D0B" w:rsidRPr="00895D0B" w14:paraId="4AC4889E" w14:textId="77777777">
        <w:trPr>
          <w:trHeight w:val="585"/>
        </w:trPr>
        <w:tc>
          <w:tcPr>
            <w:tcW w:w="2486" w:type="dxa"/>
            <w:gridSpan w:val="3"/>
          </w:tcPr>
          <w:p w14:paraId="3BF3DA75"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C3:</w:t>
            </w:r>
            <w:r w:rsidRPr="00895D0B">
              <w:rPr>
                <w:rFonts w:cs="Times New Roman"/>
                <w:color w:val="000000" w:themeColor="text1"/>
                <w:szCs w:val="24"/>
              </w:rPr>
              <w:t xml:space="preserve"> Despite your no participation in UA, how will you rate the relevance of participation in UA</w:t>
            </w:r>
          </w:p>
        </w:tc>
        <w:tc>
          <w:tcPr>
            <w:tcW w:w="3888" w:type="dxa"/>
            <w:gridSpan w:val="2"/>
          </w:tcPr>
          <w:p w14:paraId="15107DF1" w14:textId="77777777" w:rsidR="001B4ED5" w:rsidRPr="00895D0B" w:rsidRDefault="006B41C0">
            <w:pPr>
              <w:pStyle w:val="ListParagraph"/>
              <w:numPr>
                <w:ilvl w:val="0"/>
                <w:numId w:val="32"/>
              </w:numPr>
              <w:tabs>
                <w:tab w:val="left" w:pos="934"/>
              </w:tabs>
              <w:spacing w:line="240" w:lineRule="auto"/>
              <w:jc w:val="left"/>
              <w:rPr>
                <w:rFonts w:cs="Times New Roman"/>
                <w:color w:val="000000" w:themeColor="text1"/>
                <w:szCs w:val="24"/>
              </w:rPr>
            </w:pPr>
            <w:r w:rsidRPr="00895D0B">
              <w:rPr>
                <w:rFonts w:cs="Times New Roman"/>
                <w:color w:val="000000" w:themeColor="text1"/>
                <w:szCs w:val="24"/>
              </w:rPr>
              <w:t>Very relevant [   ]</w:t>
            </w:r>
          </w:p>
          <w:p w14:paraId="34BC4C4F" w14:textId="77777777" w:rsidR="001B4ED5" w:rsidRPr="00895D0B" w:rsidRDefault="006B41C0">
            <w:pPr>
              <w:pStyle w:val="ListParagraph"/>
              <w:numPr>
                <w:ilvl w:val="0"/>
                <w:numId w:val="32"/>
              </w:numPr>
              <w:tabs>
                <w:tab w:val="left" w:pos="934"/>
              </w:tabs>
              <w:spacing w:line="240" w:lineRule="auto"/>
              <w:jc w:val="left"/>
              <w:rPr>
                <w:rFonts w:cs="Times New Roman"/>
                <w:color w:val="000000" w:themeColor="text1"/>
                <w:szCs w:val="24"/>
              </w:rPr>
            </w:pPr>
            <w:r w:rsidRPr="00895D0B">
              <w:rPr>
                <w:rFonts w:cs="Times New Roman"/>
                <w:color w:val="000000" w:themeColor="text1"/>
                <w:szCs w:val="24"/>
              </w:rPr>
              <w:t>Relevant [   ]</w:t>
            </w:r>
          </w:p>
          <w:p w14:paraId="36C850A9" w14:textId="77777777" w:rsidR="001B4ED5" w:rsidRPr="00895D0B" w:rsidRDefault="006B41C0">
            <w:pPr>
              <w:pStyle w:val="ListParagraph"/>
              <w:numPr>
                <w:ilvl w:val="0"/>
                <w:numId w:val="32"/>
              </w:numPr>
              <w:tabs>
                <w:tab w:val="left" w:pos="934"/>
              </w:tabs>
              <w:spacing w:line="240" w:lineRule="auto"/>
              <w:jc w:val="left"/>
              <w:rPr>
                <w:rFonts w:cs="Times New Roman"/>
                <w:color w:val="000000" w:themeColor="text1"/>
                <w:szCs w:val="24"/>
              </w:rPr>
            </w:pPr>
            <w:r w:rsidRPr="00895D0B">
              <w:rPr>
                <w:rFonts w:cs="Times New Roman"/>
                <w:color w:val="000000" w:themeColor="text1"/>
                <w:szCs w:val="24"/>
              </w:rPr>
              <w:t>No idea [   ]</w:t>
            </w:r>
          </w:p>
          <w:p w14:paraId="3DCB34B1" w14:textId="77777777" w:rsidR="001B4ED5" w:rsidRPr="00895D0B" w:rsidRDefault="006B41C0">
            <w:pPr>
              <w:pStyle w:val="ListParagraph"/>
              <w:numPr>
                <w:ilvl w:val="0"/>
                <w:numId w:val="32"/>
              </w:numPr>
              <w:tabs>
                <w:tab w:val="left" w:pos="934"/>
              </w:tabs>
              <w:spacing w:line="240" w:lineRule="auto"/>
              <w:jc w:val="left"/>
              <w:rPr>
                <w:rFonts w:cs="Times New Roman"/>
                <w:color w:val="000000" w:themeColor="text1"/>
                <w:szCs w:val="24"/>
              </w:rPr>
            </w:pPr>
            <w:r w:rsidRPr="00895D0B">
              <w:rPr>
                <w:rFonts w:cs="Times New Roman"/>
                <w:color w:val="000000" w:themeColor="text1"/>
                <w:szCs w:val="24"/>
              </w:rPr>
              <w:t>Very irrelevant [   ]</w:t>
            </w:r>
          </w:p>
          <w:p w14:paraId="37B14736" w14:textId="77777777" w:rsidR="001B4ED5" w:rsidRPr="00895D0B" w:rsidRDefault="006B41C0">
            <w:pPr>
              <w:pStyle w:val="ListParagraph"/>
              <w:numPr>
                <w:ilvl w:val="0"/>
                <w:numId w:val="32"/>
              </w:numPr>
              <w:tabs>
                <w:tab w:val="left" w:pos="934"/>
              </w:tabs>
              <w:spacing w:line="240" w:lineRule="auto"/>
              <w:jc w:val="left"/>
              <w:rPr>
                <w:rFonts w:cs="Times New Roman"/>
                <w:color w:val="000000" w:themeColor="text1"/>
                <w:szCs w:val="24"/>
              </w:rPr>
            </w:pPr>
            <w:r w:rsidRPr="00895D0B">
              <w:rPr>
                <w:rFonts w:cs="Times New Roman"/>
                <w:color w:val="000000" w:themeColor="text1"/>
                <w:szCs w:val="24"/>
              </w:rPr>
              <w:t>Ireelevant [   ]</w:t>
            </w:r>
          </w:p>
          <w:p w14:paraId="2705C573" w14:textId="77777777" w:rsidR="001B4ED5" w:rsidRPr="00895D0B" w:rsidRDefault="001B4ED5">
            <w:pPr>
              <w:tabs>
                <w:tab w:val="left" w:pos="934"/>
              </w:tabs>
              <w:spacing w:line="240" w:lineRule="auto"/>
              <w:ind w:left="360"/>
              <w:rPr>
                <w:rFonts w:cs="Times New Roman"/>
                <w:color w:val="000000" w:themeColor="text1"/>
                <w:szCs w:val="24"/>
              </w:rPr>
            </w:pPr>
          </w:p>
        </w:tc>
        <w:tc>
          <w:tcPr>
            <w:tcW w:w="2693" w:type="dxa"/>
          </w:tcPr>
          <w:p w14:paraId="237496A9" w14:textId="77777777" w:rsidR="001B4ED5" w:rsidRPr="00895D0B" w:rsidRDefault="001B4ED5">
            <w:pPr>
              <w:spacing w:line="240" w:lineRule="auto"/>
              <w:rPr>
                <w:rFonts w:cs="Times New Roman"/>
                <w:color w:val="000000" w:themeColor="text1"/>
                <w:szCs w:val="24"/>
              </w:rPr>
            </w:pPr>
          </w:p>
        </w:tc>
      </w:tr>
      <w:tr w:rsidR="00895D0B" w:rsidRPr="00895D0B" w14:paraId="45D6B7A5" w14:textId="77777777">
        <w:trPr>
          <w:trHeight w:val="585"/>
        </w:trPr>
        <w:tc>
          <w:tcPr>
            <w:tcW w:w="2486" w:type="dxa"/>
            <w:gridSpan w:val="3"/>
          </w:tcPr>
          <w:p w14:paraId="70B9EA37"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C4:</w:t>
            </w:r>
            <w:r w:rsidRPr="00895D0B">
              <w:rPr>
                <w:rFonts w:cs="Times New Roman"/>
                <w:color w:val="000000" w:themeColor="text1"/>
                <w:szCs w:val="24"/>
              </w:rPr>
              <w:t xml:space="preserve"> Which of the following explains your ratings in question C3 above .</w:t>
            </w:r>
            <w:r w:rsidRPr="00895D0B">
              <w:rPr>
                <w:rFonts w:cs="Times New Roman"/>
                <w:b/>
                <w:i/>
                <w:color w:val="000000" w:themeColor="text1"/>
                <w:szCs w:val="24"/>
              </w:rPr>
              <w:t>(tick as many as possible)</w:t>
            </w:r>
          </w:p>
        </w:tc>
        <w:tc>
          <w:tcPr>
            <w:tcW w:w="3888" w:type="dxa"/>
            <w:gridSpan w:val="2"/>
          </w:tcPr>
          <w:p w14:paraId="275B3180" w14:textId="77777777" w:rsidR="001B4ED5" w:rsidRPr="00895D0B" w:rsidRDefault="006B41C0">
            <w:pPr>
              <w:pStyle w:val="ListParagraph"/>
              <w:numPr>
                <w:ilvl w:val="0"/>
                <w:numId w:val="33"/>
              </w:numPr>
              <w:spacing w:line="240" w:lineRule="auto"/>
              <w:jc w:val="left"/>
              <w:rPr>
                <w:rFonts w:cs="Times New Roman"/>
                <w:color w:val="000000" w:themeColor="text1"/>
                <w:szCs w:val="24"/>
              </w:rPr>
            </w:pPr>
            <w:r w:rsidRPr="00895D0B">
              <w:rPr>
                <w:rFonts w:cs="Times New Roman"/>
                <w:color w:val="000000" w:themeColor="text1"/>
                <w:szCs w:val="24"/>
              </w:rPr>
              <w:t>Addition to households’ income [   ]</w:t>
            </w:r>
          </w:p>
          <w:p w14:paraId="7086B62B" w14:textId="77777777" w:rsidR="001B4ED5" w:rsidRPr="00895D0B" w:rsidRDefault="006B41C0">
            <w:pPr>
              <w:pStyle w:val="ListParagraph"/>
              <w:numPr>
                <w:ilvl w:val="0"/>
                <w:numId w:val="33"/>
              </w:numPr>
              <w:spacing w:line="240" w:lineRule="auto"/>
              <w:jc w:val="left"/>
              <w:rPr>
                <w:rFonts w:cs="Times New Roman"/>
                <w:color w:val="000000" w:themeColor="text1"/>
                <w:szCs w:val="24"/>
              </w:rPr>
            </w:pPr>
            <w:r w:rsidRPr="00895D0B">
              <w:rPr>
                <w:rFonts w:cs="Times New Roman"/>
                <w:color w:val="000000" w:themeColor="text1"/>
                <w:szCs w:val="24"/>
              </w:rPr>
              <w:t>Supplement to urban households’ food needs[   ]</w:t>
            </w:r>
          </w:p>
          <w:p w14:paraId="7B077213" w14:textId="77777777" w:rsidR="001B4ED5" w:rsidRPr="00895D0B" w:rsidRDefault="006B41C0">
            <w:pPr>
              <w:pStyle w:val="ListParagraph"/>
              <w:numPr>
                <w:ilvl w:val="0"/>
                <w:numId w:val="33"/>
              </w:numPr>
              <w:spacing w:line="240" w:lineRule="auto"/>
              <w:jc w:val="left"/>
              <w:rPr>
                <w:rFonts w:cs="Times New Roman"/>
                <w:color w:val="000000" w:themeColor="text1"/>
                <w:szCs w:val="24"/>
              </w:rPr>
            </w:pPr>
            <w:r w:rsidRPr="00895D0B">
              <w:rPr>
                <w:rFonts w:cs="Times New Roman"/>
                <w:color w:val="000000" w:themeColor="text1"/>
                <w:szCs w:val="24"/>
              </w:rPr>
              <w:t>Employment to people who practice it [   ]</w:t>
            </w:r>
          </w:p>
          <w:p w14:paraId="67B036D0" w14:textId="77777777" w:rsidR="001B4ED5" w:rsidRPr="00895D0B" w:rsidRDefault="006B41C0">
            <w:pPr>
              <w:pStyle w:val="ListParagraph"/>
              <w:numPr>
                <w:ilvl w:val="0"/>
                <w:numId w:val="33"/>
              </w:numPr>
              <w:spacing w:line="240" w:lineRule="auto"/>
              <w:jc w:val="left"/>
              <w:rPr>
                <w:rFonts w:cs="Times New Roman"/>
                <w:color w:val="000000" w:themeColor="text1"/>
                <w:szCs w:val="24"/>
              </w:rPr>
            </w:pPr>
            <w:r w:rsidRPr="00895D0B">
              <w:rPr>
                <w:rFonts w:cs="Times New Roman"/>
                <w:color w:val="000000" w:themeColor="text1"/>
                <w:szCs w:val="24"/>
              </w:rPr>
              <w:t>Environmental benefits (e.g, beautification, carbon sink, solid wastes and wastes water treatment, etc.) [   ]</w:t>
            </w:r>
          </w:p>
          <w:p w14:paraId="6E33C9C3" w14:textId="77777777" w:rsidR="001B4ED5" w:rsidRPr="00895D0B" w:rsidRDefault="006B41C0">
            <w:pPr>
              <w:pStyle w:val="ListParagraph"/>
              <w:numPr>
                <w:ilvl w:val="0"/>
                <w:numId w:val="33"/>
              </w:numPr>
              <w:spacing w:line="240" w:lineRule="auto"/>
              <w:jc w:val="left"/>
              <w:rPr>
                <w:rFonts w:cs="Times New Roman"/>
                <w:color w:val="000000" w:themeColor="text1"/>
                <w:szCs w:val="24"/>
              </w:rPr>
            </w:pPr>
            <w:r w:rsidRPr="00895D0B">
              <w:rPr>
                <w:rFonts w:cs="Times New Roman"/>
                <w:color w:val="000000" w:themeColor="text1"/>
                <w:szCs w:val="24"/>
              </w:rPr>
              <w:t>Reduction in distances to get food [   ]</w:t>
            </w:r>
          </w:p>
          <w:p w14:paraId="53D035E0" w14:textId="77777777" w:rsidR="001B4ED5" w:rsidRPr="00895D0B" w:rsidRDefault="006B41C0">
            <w:pPr>
              <w:pStyle w:val="ListParagraph"/>
              <w:numPr>
                <w:ilvl w:val="0"/>
                <w:numId w:val="33"/>
              </w:numPr>
              <w:spacing w:line="240" w:lineRule="auto"/>
              <w:jc w:val="left"/>
              <w:rPr>
                <w:rFonts w:cs="Times New Roman"/>
                <w:color w:val="000000" w:themeColor="text1"/>
                <w:szCs w:val="24"/>
              </w:rPr>
            </w:pPr>
            <w:r w:rsidRPr="00895D0B">
              <w:rPr>
                <w:rFonts w:cs="Times New Roman"/>
                <w:color w:val="000000" w:themeColor="text1"/>
                <w:szCs w:val="24"/>
              </w:rPr>
              <w:t xml:space="preserve">Promotes all year consumption of fresh vegetables [  ]  </w:t>
            </w:r>
          </w:p>
          <w:p w14:paraId="75AFABE9" w14:textId="77777777" w:rsidR="001B4ED5" w:rsidRPr="00895D0B" w:rsidRDefault="006B41C0">
            <w:pPr>
              <w:pStyle w:val="ListParagraph"/>
              <w:numPr>
                <w:ilvl w:val="0"/>
                <w:numId w:val="33"/>
              </w:numPr>
              <w:spacing w:line="240" w:lineRule="auto"/>
              <w:jc w:val="left"/>
              <w:rPr>
                <w:rFonts w:cs="Times New Roman"/>
                <w:color w:val="000000" w:themeColor="text1"/>
                <w:szCs w:val="24"/>
              </w:rPr>
            </w:pPr>
            <w:r w:rsidRPr="00895D0B">
              <w:rPr>
                <w:rFonts w:cs="Times New Roman"/>
                <w:color w:val="000000" w:themeColor="text1"/>
                <w:szCs w:val="24"/>
              </w:rPr>
              <w:t>Others, specify ……………………………………..</w:t>
            </w:r>
          </w:p>
        </w:tc>
        <w:tc>
          <w:tcPr>
            <w:tcW w:w="2693" w:type="dxa"/>
          </w:tcPr>
          <w:p w14:paraId="6F630C2B" w14:textId="77777777" w:rsidR="001B4ED5" w:rsidRPr="00895D0B" w:rsidRDefault="001B4ED5">
            <w:pPr>
              <w:spacing w:line="240" w:lineRule="auto"/>
              <w:rPr>
                <w:rFonts w:cs="Times New Roman"/>
                <w:color w:val="000000" w:themeColor="text1"/>
                <w:szCs w:val="24"/>
              </w:rPr>
            </w:pPr>
          </w:p>
        </w:tc>
      </w:tr>
      <w:tr w:rsidR="00895D0B" w:rsidRPr="00895D0B" w14:paraId="596E0E68" w14:textId="77777777">
        <w:trPr>
          <w:trHeight w:val="585"/>
        </w:trPr>
        <w:tc>
          <w:tcPr>
            <w:tcW w:w="2486" w:type="dxa"/>
            <w:gridSpan w:val="3"/>
          </w:tcPr>
          <w:p w14:paraId="59500FAE"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C5:</w:t>
            </w:r>
            <w:r w:rsidRPr="00895D0B">
              <w:rPr>
                <w:rFonts w:cs="Times New Roman"/>
                <w:color w:val="000000" w:themeColor="text1"/>
                <w:szCs w:val="24"/>
              </w:rPr>
              <w:t xml:space="preserve">  If you participate in UA, which of the following described your land tenure arrangement ?</w:t>
            </w:r>
          </w:p>
        </w:tc>
        <w:tc>
          <w:tcPr>
            <w:tcW w:w="3888" w:type="dxa"/>
            <w:gridSpan w:val="2"/>
          </w:tcPr>
          <w:p w14:paraId="6F765EC6" w14:textId="77777777" w:rsidR="001B4ED5" w:rsidRPr="00895D0B" w:rsidRDefault="006B41C0">
            <w:pPr>
              <w:pStyle w:val="ListParagraph"/>
              <w:numPr>
                <w:ilvl w:val="0"/>
                <w:numId w:val="34"/>
              </w:numPr>
              <w:spacing w:line="240" w:lineRule="auto"/>
              <w:jc w:val="left"/>
              <w:rPr>
                <w:rFonts w:cs="Times New Roman"/>
                <w:color w:val="000000" w:themeColor="text1"/>
                <w:szCs w:val="24"/>
              </w:rPr>
            </w:pPr>
            <w:r w:rsidRPr="00895D0B">
              <w:rPr>
                <w:rFonts w:cs="Times New Roman"/>
                <w:color w:val="000000" w:themeColor="text1"/>
                <w:szCs w:val="24"/>
              </w:rPr>
              <w:t>Family/relative land [   ]</w:t>
            </w:r>
          </w:p>
          <w:p w14:paraId="2B1EC698" w14:textId="77777777" w:rsidR="001B4ED5" w:rsidRPr="00895D0B" w:rsidRDefault="006B41C0">
            <w:pPr>
              <w:pStyle w:val="ListParagraph"/>
              <w:numPr>
                <w:ilvl w:val="0"/>
                <w:numId w:val="35"/>
              </w:numPr>
              <w:spacing w:line="240" w:lineRule="auto"/>
              <w:jc w:val="left"/>
              <w:rPr>
                <w:rFonts w:cs="Times New Roman"/>
                <w:color w:val="000000" w:themeColor="text1"/>
                <w:szCs w:val="24"/>
              </w:rPr>
            </w:pPr>
            <w:r w:rsidRPr="00895D0B">
              <w:rPr>
                <w:rFonts w:cs="Times New Roman"/>
                <w:color w:val="000000" w:themeColor="text1"/>
                <w:szCs w:val="24"/>
              </w:rPr>
              <w:t>Purchased [   ]</w:t>
            </w:r>
          </w:p>
          <w:p w14:paraId="56B58803" w14:textId="77777777" w:rsidR="001B4ED5" w:rsidRPr="00895D0B" w:rsidRDefault="006B41C0">
            <w:pPr>
              <w:pStyle w:val="ListParagraph"/>
              <w:numPr>
                <w:ilvl w:val="0"/>
                <w:numId w:val="35"/>
              </w:numPr>
              <w:spacing w:line="240" w:lineRule="auto"/>
              <w:jc w:val="left"/>
              <w:rPr>
                <w:rFonts w:cs="Times New Roman"/>
                <w:color w:val="000000" w:themeColor="text1"/>
                <w:szCs w:val="24"/>
              </w:rPr>
            </w:pPr>
            <w:r w:rsidRPr="00895D0B">
              <w:rPr>
                <w:rFonts w:cs="Times New Roman"/>
                <w:color w:val="000000" w:themeColor="text1"/>
                <w:szCs w:val="24"/>
              </w:rPr>
              <w:t>Gift [   ]</w:t>
            </w:r>
          </w:p>
          <w:p w14:paraId="0D2FD048" w14:textId="77777777" w:rsidR="001B4ED5" w:rsidRPr="00895D0B" w:rsidRDefault="006B41C0">
            <w:pPr>
              <w:pStyle w:val="ListParagraph"/>
              <w:numPr>
                <w:ilvl w:val="0"/>
                <w:numId w:val="35"/>
              </w:numPr>
              <w:spacing w:line="240" w:lineRule="auto"/>
              <w:jc w:val="left"/>
              <w:rPr>
                <w:rFonts w:cs="Times New Roman"/>
                <w:color w:val="000000" w:themeColor="text1"/>
                <w:szCs w:val="24"/>
              </w:rPr>
            </w:pPr>
            <w:r w:rsidRPr="00895D0B">
              <w:rPr>
                <w:rFonts w:cs="Times New Roman"/>
                <w:color w:val="000000" w:themeColor="text1"/>
                <w:szCs w:val="24"/>
              </w:rPr>
              <w:t>Rented [   ]</w:t>
            </w:r>
          </w:p>
          <w:p w14:paraId="7E5610ED" w14:textId="77777777" w:rsidR="001B4ED5" w:rsidRPr="00895D0B" w:rsidRDefault="006B41C0">
            <w:pPr>
              <w:pStyle w:val="ListParagraph"/>
              <w:numPr>
                <w:ilvl w:val="0"/>
                <w:numId w:val="35"/>
              </w:numPr>
              <w:spacing w:line="240" w:lineRule="auto"/>
              <w:jc w:val="left"/>
              <w:rPr>
                <w:rFonts w:cs="Times New Roman"/>
                <w:color w:val="000000" w:themeColor="text1"/>
                <w:szCs w:val="24"/>
              </w:rPr>
            </w:pPr>
            <w:r w:rsidRPr="00895D0B">
              <w:rPr>
                <w:rFonts w:cs="Times New Roman"/>
                <w:color w:val="000000" w:themeColor="text1"/>
                <w:szCs w:val="24"/>
              </w:rPr>
              <w:t>Other…………………………………</w:t>
            </w:r>
          </w:p>
        </w:tc>
        <w:tc>
          <w:tcPr>
            <w:tcW w:w="2693" w:type="dxa"/>
          </w:tcPr>
          <w:p w14:paraId="46D44BD5" w14:textId="77777777" w:rsidR="001B4ED5" w:rsidRPr="00895D0B" w:rsidRDefault="001B4ED5">
            <w:pPr>
              <w:spacing w:line="240" w:lineRule="auto"/>
              <w:rPr>
                <w:rFonts w:cs="Times New Roman"/>
                <w:color w:val="000000" w:themeColor="text1"/>
                <w:szCs w:val="24"/>
              </w:rPr>
            </w:pPr>
          </w:p>
        </w:tc>
      </w:tr>
      <w:tr w:rsidR="00895D0B" w:rsidRPr="00895D0B" w14:paraId="026956ED" w14:textId="77777777">
        <w:trPr>
          <w:trHeight w:val="585"/>
        </w:trPr>
        <w:tc>
          <w:tcPr>
            <w:tcW w:w="2486" w:type="dxa"/>
            <w:gridSpan w:val="3"/>
          </w:tcPr>
          <w:p w14:paraId="6E2B986D"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 xml:space="preserve">C6: </w:t>
            </w:r>
            <w:r w:rsidRPr="00895D0B">
              <w:rPr>
                <w:rFonts w:cs="Times New Roman"/>
                <w:color w:val="000000" w:themeColor="text1"/>
                <w:szCs w:val="24"/>
              </w:rPr>
              <w:t xml:space="preserve">How will you describe land accessibility with respect to your participation in UA </w:t>
            </w:r>
          </w:p>
        </w:tc>
        <w:tc>
          <w:tcPr>
            <w:tcW w:w="3888" w:type="dxa"/>
            <w:gridSpan w:val="2"/>
          </w:tcPr>
          <w:p w14:paraId="198375FA" w14:textId="77777777" w:rsidR="001B4ED5" w:rsidRPr="00895D0B" w:rsidRDefault="006B41C0">
            <w:pPr>
              <w:pStyle w:val="ListParagraph"/>
              <w:numPr>
                <w:ilvl w:val="0"/>
                <w:numId w:val="36"/>
              </w:numPr>
              <w:spacing w:line="240" w:lineRule="auto"/>
              <w:jc w:val="left"/>
              <w:rPr>
                <w:rFonts w:cs="Times New Roman"/>
                <w:color w:val="000000" w:themeColor="text1"/>
                <w:szCs w:val="24"/>
              </w:rPr>
            </w:pPr>
            <w:r w:rsidRPr="00895D0B">
              <w:rPr>
                <w:rFonts w:cs="Times New Roman"/>
                <w:color w:val="000000" w:themeColor="text1"/>
                <w:szCs w:val="24"/>
              </w:rPr>
              <w:t>Easy to access land [   ]</w:t>
            </w:r>
          </w:p>
          <w:p w14:paraId="6351AC58" w14:textId="77777777" w:rsidR="001B4ED5" w:rsidRPr="00895D0B" w:rsidRDefault="006B41C0">
            <w:pPr>
              <w:pStyle w:val="ListParagraph"/>
              <w:numPr>
                <w:ilvl w:val="0"/>
                <w:numId w:val="37"/>
              </w:numPr>
              <w:spacing w:line="240" w:lineRule="auto"/>
              <w:jc w:val="left"/>
              <w:rPr>
                <w:rFonts w:cs="Times New Roman"/>
                <w:color w:val="000000" w:themeColor="text1"/>
                <w:szCs w:val="24"/>
              </w:rPr>
            </w:pPr>
            <w:r w:rsidRPr="00895D0B">
              <w:rPr>
                <w:rFonts w:cs="Times New Roman"/>
                <w:color w:val="000000" w:themeColor="text1"/>
                <w:szCs w:val="24"/>
              </w:rPr>
              <w:t>Difficult to access land [   ]</w:t>
            </w:r>
          </w:p>
          <w:p w14:paraId="4F4D9278" w14:textId="77777777" w:rsidR="001B4ED5" w:rsidRPr="00895D0B" w:rsidRDefault="001B4ED5">
            <w:pPr>
              <w:spacing w:line="240" w:lineRule="auto"/>
              <w:rPr>
                <w:rFonts w:cs="Times New Roman"/>
                <w:color w:val="000000" w:themeColor="text1"/>
                <w:szCs w:val="24"/>
              </w:rPr>
            </w:pPr>
          </w:p>
        </w:tc>
        <w:tc>
          <w:tcPr>
            <w:tcW w:w="2693" w:type="dxa"/>
          </w:tcPr>
          <w:p w14:paraId="6DF8F203" w14:textId="77777777" w:rsidR="001B4ED5" w:rsidRPr="00895D0B" w:rsidRDefault="001B4ED5">
            <w:pPr>
              <w:spacing w:line="240" w:lineRule="auto"/>
              <w:rPr>
                <w:rFonts w:cs="Times New Roman"/>
                <w:color w:val="000000" w:themeColor="text1"/>
                <w:szCs w:val="24"/>
              </w:rPr>
            </w:pPr>
          </w:p>
        </w:tc>
      </w:tr>
      <w:tr w:rsidR="00895D0B" w:rsidRPr="00895D0B" w14:paraId="7B0FC0E6" w14:textId="77777777">
        <w:trPr>
          <w:trHeight w:val="585"/>
        </w:trPr>
        <w:tc>
          <w:tcPr>
            <w:tcW w:w="2486" w:type="dxa"/>
            <w:gridSpan w:val="3"/>
          </w:tcPr>
          <w:p w14:paraId="1E388310"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C7:</w:t>
            </w:r>
            <w:r w:rsidRPr="00895D0B">
              <w:rPr>
                <w:rFonts w:cs="Times New Roman"/>
                <w:color w:val="000000" w:themeColor="text1"/>
                <w:szCs w:val="24"/>
              </w:rPr>
              <w:t xml:space="preserve"> What is the main purpose of acquiring the land that is now for UA?</w:t>
            </w:r>
          </w:p>
        </w:tc>
        <w:tc>
          <w:tcPr>
            <w:tcW w:w="3888" w:type="dxa"/>
            <w:gridSpan w:val="2"/>
          </w:tcPr>
          <w:p w14:paraId="7908C2CB" w14:textId="77777777" w:rsidR="001B4ED5" w:rsidRPr="00895D0B" w:rsidRDefault="006B41C0">
            <w:pPr>
              <w:pStyle w:val="ListParagraph"/>
              <w:numPr>
                <w:ilvl w:val="0"/>
                <w:numId w:val="38"/>
              </w:numPr>
              <w:spacing w:line="240" w:lineRule="auto"/>
              <w:jc w:val="left"/>
              <w:rPr>
                <w:rFonts w:cs="Times New Roman"/>
                <w:color w:val="000000" w:themeColor="text1"/>
                <w:szCs w:val="24"/>
              </w:rPr>
            </w:pPr>
            <w:r w:rsidRPr="00895D0B">
              <w:rPr>
                <w:rFonts w:cs="Times New Roman"/>
                <w:color w:val="000000" w:themeColor="text1"/>
                <w:szCs w:val="24"/>
              </w:rPr>
              <w:t>For residential purpose [   ]</w:t>
            </w:r>
          </w:p>
          <w:p w14:paraId="6025EF9D" w14:textId="77777777" w:rsidR="001B4ED5" w:rsidRPr="00895D0B" w:rsidRDefault="006B41C0">
            <w:pPr>
              <w:pStyle w:val="ListParagraph"/>
              <w:numPr>
                <w:ilvl w:val="0"/>
                <w:numId w:val="39"/>
              </w:numPr>
              <w:spacing w:line="240" w:lineRule="auto"/>
              <w:jc w:val="left"/>
              <w:rPr>
                <w:rFonts w:cs="Times New Roman"/>
                <w:color w:val="000000" w:themeColor="text1"/>
                <w:szCs w:val="24"/>
              </w:rPr>
            </w:pPr>
            <w:r w:rsidRPr="00895D0B">
              <w:rPr>
                <w:rFonts w:cs="Times New Roman"/>
                <w:color w:val="000000" w:themeColor="text1"/>
                <w:szCs w:val="24"/>
              </w:rPr>
              <w:t>For farming purpose [   ]</w:t>
            </w:r>
          </w:p>
          <w:p w14:paraId="2A663C45" w14:textId="77777777" w:rsidR="001B4ED5" w:rsidRPr="00895D0B" w:rsidRDefault="006B41C0">
            <w:pPr>
              <w:pStyle w:val="ListParagraph"/>
              <w:numPr>
                <w:ilvl w:val="0"/>
                <w:numId w:val="39"/>
              </w:numPr>
              <w:spacing w:line="240" w:lineRule="auto"/>
              <w:jc w:val="left"/>
              <w:rPr>
                <w:rFonts w:cs="Times New Roman"/>
                <w:color w:val="000000" w:themeColor="text1"/>
                <w:szCs w:val="24"/>
              </w:rPr>
            </w:pPr>
            <w:r w:rsidRPr="00895D0B">
              <w:rPr>
                <w:rFonts w:cs="Times New Roman"/>
                <w:color w:val="000000" w:themeColor="text1"/>
                <w:szCs w:val="24"/>
              </w:rPr>
              <w:t>For educational purpose [   ]</w:t>
            </w:r>
          </w:p>
          <w:p w14:paraId="2F22DB90" w14:textId="77777777" w:rsidR="001B4ED5" w:rsidRPr="00895D0B" w:rsidRDefault="006B41C0">
            <w:pPr>
              <w:pStyle w:val="ListParagraph"/>
              <w:numPr>
                <w:ilvl w:val="0"/>
                <w:numId w:val="39"/>
              </w:numPr>
              <w:spacing w:line="240" w:lineRule="auto"/>
              <w:jc w:val="left"/>
              <w:rPr>
                <w:rFonts w:cs="Times New Roman"/>
                <w:color w:val="000000" w:themeColor="text1"/>
                <w:szCs w:val="24"/>
              </w:rPr>
            </w:pPr>
            <w:r w:rsidRPr="00895D0B">
              <w:rPr>
                <w:rFonts w:cs="Times New Roman"/>
                <w:color w:val="000000" w:themeColor="text1"/>
                <w:szCs w:val="24"/>
              </w:rPr>
              <w:t>For commercial purpose [   ]</w:t>
            </w:r>
          </w:p>
          <w:p w14:paraId="674DFB80" w14:textId="77777777" w:rsidR="001B4ED5" w:rsidRPr="00895D0B" w:rsidRDefault="006B41C0">
            <w:pPr>
              <w:pStyle w:val="ListParagraph"/>
              <w:numPr>
                <w:ilvl w:val="0"/>
                <w:numId w:val="39"/>
              </w:numPr>
              <w:spacing w:line="240" w:lineRule="auto"/>
              <w:jc w:val="left"/>
              <w:rPr>
                <w:rFonts w:cs="Times New Roman"/>
                <w:color w:val="000000" w:themeColor="text1"/>
                <w:szCs w:val="24"/>
              </w:rPr>
            </w:pPr>
            <w:r w:rsidRPr="00895D0B">
              <w:rPr>
                <w:rFonts w:cs="Times New Roman"/>
                <w:color w:val="000000" w:themeColor="text1"/>
                <w:szCs w:val="24"/>
              </w:rPr>
              <w:t>For religious purpose [   ]</w:t>
            </w:r>
          </w:p>
          <w:p w14:paraId="35B655B0" w14:textId="77777777" w:rsidR="001B4ED5" w:rsidRPr="00895D0B" w:rsidRDefault="006B41C0">
            <w:pPr>
              <w:pStyle w:val="ListParagraph"/>
              <w:numPr>
                <w:ilvl w:val="0"/>
                <w:numId w:val="39"/>
              </w:numPr>
              <w:spacing w:line="240" w:lineRule="auto"/>
              <w:jc w:val="left"/>
              <w:rPr>
                <w:rFonts w:cs="Times New Roman"/>
                <w:color w:val="000000" w:themeColor="text1"/>
                <w:szCs w:val="24"/>
              </w:rPr>
            </w:pPr>
            <w:r w:rsidRPr="00895D0B">
              <w:rPr>
                <w:rFonts w:cs="Times New Roman"/>
                <w:color w:val="000000" w:themeColor="text1"/>
                <w:szCs w:val="24"/>
              </w:rPr>
              <w:t>Others, specify ……………………</w:t>
            </w:r>
          </w:p>
        </w:tc>
        <w:tc>
          <w:tcPr>
            <w:tcW w:w="2693" w:type="dxa"/>
          </w:tcPr>
          <w:p w14:paraId="2F0201E7" w14:textId="77777777" w:rsidR="001B4ED5" w:rsidRPr="00895D0B" w:rsidRDefault="001B4ED5">
            <w:pPr>
              <w:spacing w:line="240" w:lineRule="auto"/>
              <w:rPr>
                <w:rFonts w:cs="Times New Roman"/>
                <w:color w:val="000000" w:themeColor="text1"/>
                <w:szCs w:val="24"/>
              </w:rPr>
            </w:pPr>
          </w:p>
        </w:tc>
      </w:tr>
      <w:tr w:rsidR="00895D0B" w:rsidRPr="00895D0B" w14:paraId="5D10C19A" w14:textId="77777777">
        <w:trPr>
          <w:trHeight w:val="585"/>
        </w:trPr>
        <w:tc>
          <w:tcPr>
            <w:tcW w:w="2486" w:type="dxa"/>
            <w:gridSpan w:val="3"/>
          </w:tcPr>
          <w:p w14:paraId="26682A6C"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C8:</w:t>
            </w:r>
            <w:r w:rsidRPr="00895D0B">
              <w:rPr>
                <w:rFonts w:cs="Times New Roman"/>
                <w:color w:val="000000" w:themeColor="text1"/>
                <w:szCs w:val="24"/>
              </w:rPr>
              <w:t xml:space="preserve"> Type of urban agriculture  </w:t>
            </w:r>
          </w:p>
        </w:tc>
        <w:tc>
          <w:tcPr>
            <w:tcW w:w="3888" w:type="dxa"/>
            <w:gridSpan w:val="2"/>
          </w:tcPr>
          <w:p w14:paraId="0530363F" w14:textId="77777777" w:rsidR="001B4ED5" w:rsidRPr="00895D0B" w:rsidRDefault="006B41C0">
            <w:pPr>
              <w:pStyle w:val="ListParagraph"/>
              <w:numPr>
                <w:ilvl w:val="0"/>
                <w:numId w:val="40"/>
              </w:numPr>
              <w:spacing w:line="240" w:lineRule="auto"/>
              <w:jc w:val="left"/>
              <w:rPr>
                <w:rFonts w:cs="Times New Roman"/>
                <w:color w:val="000000" w:themeColor="text1"/>
                <w:szCs w:val="24"/>
              </w:rPr>
            </w:pPr>
            <w:r w:rsidRPr="00895D0B">
              <w:rPr>
                <w:rFonts w:cs="Times New Roman"/>
                <w:color w:val="000000" w:themeColor="text1"/>
                <w:szCs w:val="24"/>
              </w:rPr>
              <w:t>Crop production [   ]</w:t>
            </w:r>
          </w:p>
          <w:p w14:paraId="259DCD87" w14:textId="77777777" w:rsidR="001B4ED5" w:rsidRPr="00895D0B" w:rsidRDefault="006B41C0">
            <w:pPr>
              <w:pStyle w:val="ListParagraph"/>
              <w:numPr>
                <w:ilvl w:val="0"/>
                <w:numId w:val="41"/>
              </w:numPr>
              <w:spacing w:line="240" w:lineRule="auto"/>
              <w:jc w:val="left"/>
              <w:rPr>
                <w:rFonts w:cs="Times New Roman"/>
                <w:color w:val="000000" w:themeColor="text1"/>
                <w:szCs w:val="24"/>
              </w:rPr>
            </w:pPr>
            <w:r w:rsidRPr="00895D0B">
              <w:rPr>
                <w:rFonts w:cs="Times New Roman"/>
                <w:color w:val="000000" w:themeColor="text1"/>
                <w:szCs w:val="24"/>
              </w:rPr>
              <w:t>Animals production [   ]</w:t>
            </w:r>
          </w:p>
          <w:p w14:paraId="31E28830" w14:textId="77777777" w:rsidR="001B4ED5" w:rsidRPr="00895D0B" w:rsidRDefault="006B41C0">
            <w:pPr>
              <w:pStyle w:val="ListParagraph"/>
              <w:numPr>
                <w:ilvl w:val="0"/>
                <w:numId w:val="41"/>
              </w:numPr>
              <w:spacing w:line="240" w:lineRule="auto"/>
              <w:jc w:val="left"/>
              <w:rPr>
                <w:rFonts w:cs="Times New Roman"/>
                <w:color w:val="000000" w:themeColor="text1"/>
                <w:szCs w:val="24"/>
              </w:rPr>
            </w:pPr>
            <w:r w:rsidRPr="00895D0B">
              <w:rPr>
                <w:rFonts w:cs="Times New Roman"/>
                <w:color w:val="000000" w:themeColor="text1"/>
                <w:szCs w:val="24"/>
              </w:rPr>
              <w:t>Both crop and animal production [   ]</w:t>
            </w:r>
          </w:p>
        </w:tc>
        <w:tc>
          <w:tcPr>
            <w:tcW w:w="2693" w:type="dxa"/>
            <w:shd w:val="clear" w:color="auto" w:fill="00B050"/>
          </w:tcPr>
          <w:p w14:paraId="5A8F729A" w14:textId="77777777" w:rsidR="001B4ED5" w:rsidRPr="00895D0B" w:rsidRDefault="006B41C0">
            <w:pPr>
              <w:spacing w:line="240" w:lineRule="auto"/>
              <w:rPr>
                <w:rFonts w:cs="Times New Roman"/>
                <w:b/>
                <w:i/>
                <w:color w:val="000000" w:themeColor="text1"/>
                <w:szCs w:val="24"/>
              </w:rPr>
            </w:pPr>
            <w:r w:rsidRPr="00895D0B">
              <w:rPr>
                <w:rFonts w:cs="Times New Roman"/>
                <w:b/>
                <w:i/>
                <w:color w:val="000000" w:themeColor="text1"/>
                <w:szCs w:val="24"/>
              </w:rPr>
              <w:t>If option 0, skip QC9 – C25a;</w:t>
            </w:r>
          </w:p>
          <w:p w14:paraId="4C2C5DA1" w14:textId="77777777" w:rsidR="001B4ED5" w:rsidRPr="00895D0B" w:rsidRDefault="006B41C0">
            <w:pPr>
              <w:spacing w:line="240" w:lineRule="auto"/>
              <w:rPr>
                <w:rFonts w:cs="Times New Roman"/>
                <w:color w:val="000000" w:themeColor="text1"/>
                <w:szCs w:val="24"/>
              </w:rPr>
            </w:pPr>
            <w:r w:rsidRPr="00895D0B">
              <w:rPr>
                <w:rFonts w:cs="Times New Roman"/>
                <w:b/>
                <w:i/>
                <w:color w:val="000000" w:themeColor="text1"/>
                <w:szCs w:val="24"/>
              </w:rPr>
              <w:t>If option 1, skip QC3 – C9; If option 2, no skip</w:t>
            </w:r>
          </w:p>
        </w:tc>
      </w:tr>
      <w:tr w:rsidR="00895D0B" w:rsidRPr="00895D0B" w14:paraId="40DAC818" w14:textId="77777777">
        <w:trPr>
          <w:trHeight w:val="585"/>
        </w:trPr>
        <w:tc>
          <w:tcPr>
            <w:tcW w:w="2486" w:type="dxa"/>
            <w:gridSpan w:val="3"/>
          </w:tcPr>
          <w:p w14:paraId="66E02229"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C9:</w:t>
            </w:r>
            <w:r w:rsidRPr="00895D0B">
              <w:rPr>
                <w:rFonts w:cs="Times New Roman"/>
                <w:color w:val="000000" w:themeColor="text1"/>
                <w:szCs w:val="24"/>
              </w:rPr>
              <w:t xml:space="preserve"> Location of Urban farm</w:t>
            </w:r>
          </w:p>
        </w:tc>
        <w:tc>
          <w:tcPr>
            <w:tcW w:w="3888" w:type="dxa"/>
            <w:gridSpan w:val="2"/>
          </w:tcPr>
          <w:p w14:paraId="3F8B6A58" w14:textId="77777777" w:rsidR="001B4ED5" w:rsidRPr="00895D0B" w:rsidRDefault="006B41C0">
            <w:pPr>
              <w:pStyle w:val="ListParagraph"/>
              <w:numPr>
                <w:ilvl w:val="0"/>
                <w:numId w:val="42"/>
              </w:numPr>
              <w:spacing w:line="240" w:lineRule="auto"/>
              <w:jc w:val="left"/>
              <w:rPr>
                <w:rFonts w:cs="Times New Roman"/>
                <w:color w:val="000000" w:themeColor="text1"/>
                <w:szCs w:val="24"/>
              </w:rPr>
            </w:pPr>
            <w:r w:rsidRPr="00895D0B">
              <w:rPr>
                <w:rFonts w:cs="Times New Roman"/>
                <w:color w:val="000000" w:themeColor="text1"/>
                <w:szCs w:val="24"/>
              </w:rPr>
              <w:t>Roadside [   ]</w:t>
            </w:r>
          </w:p>
          <w:p w14:paraId="627B7793" w14:textId="77777777" w:rsidR="001B4ED5" w:rsidRPr="00895D0B" w:rsidRDefault="006B41C0">
            <w:pPr>
              <w:pStyle w:val="ListParagraph"/>
              <w:numPr>
                <w:ilvl w:val="0"/>
                <w:numId w:val="43"/>
              </w:numPr>
              <w:spacing w:line="240" w:lineRule="auto"/>
              <w:jc w:val="left"/>
              <w:rPr>
                <w:rFonts w:cs="Times New Roman"/>
                <w:color w:val="000000" w:themeColor="text1"/>
                <w:szCs w:val="24"/>
              </w:rPr>
            </w:pPr>
            <w:r w:rsidRPr="00895D0B">
              <w:rPr>
                <w:rFonts w:cs="Times New Roman"/>
                <w:color w:val="000000" w:themeColor="text1"/>
                <w:szCs w:val="24"/>
              </w:rPr>
              <w:t>Riverside [   ]</w:t>
            </w:r>
          </w:p>
          <w:p w14:paraId="35A738CA" w14:textId="77777777" w:rsidR="001B4ED5" w:rsidRPr="00895D0B" w:rsidRDefault="006B41C0">
            <w:pPr>
              <w:pStyle w:val="ListParagraph"/>
              <w:numPr>
                <w:ilvl w:val="0"/>
                <w:numId w:val="43"/>
              </w:numPr>
              <w:spacing w:line="240" w:lineRule="auto"/>
              <w:jc w:val="left"/>
              <w:rPr>
                <w:rFonts w:cs="Times New Roman"/>
                <w:color w:val="000000" w:themeColor="text1"/>
                <w:szCs w:val="24"/>
              </w:rPr>
            </w:pPr>
            <w:r w:rsidRPr="00895D0B">
              <w:rPr>
                <w:rFonts w:cs="Times New Roman"/>
                <w:color w:val="000000" w:themeColor="text1"/>
                <w:szCs w:val="24"/>
              </w:rPr>
              <w:t>Park [   ]</w:t>
            </w:r>
          </w:p>
          <w:p w14:paraId="6B3A76EB" w14:textId="77777777" w:rsidR="001B4ED5" w:rsidRPr="00895D0B" w:rsidRDefault="006B41C0">
            <w:pPr>
              <w:pStyle w:val="ListParagraph"/>
              <w:numPr>
                <w:ilvl w:val="0"/>
                <w:numId w:val="43"/>
              </w:numPr>
              <w:spacing w:line="240" w:lineRule="auto"/>
              <w:jc w:val="left"/>
              <w:rPr>
                <w:rFonts w:cs="Times New Roman"/>
                <w:color w:val="000000" w:themeColor="text1"/>
                <w:szCs w:val="24"/>
              </w:rPr>
            </w:pPr>
            <w:r w:rsidRPr="00895D0B">
              <w:rPr>
                <w:rFonts w:cs="Times New Roman"/>
                <w:color w:val="000000" w:themeColor="text1"/>
                <w:szCs w:val="24"/>
              </w:rPr>
              <w:t>Public land [   ]</w:t>
            </w:r>
          </w:p>
          <w:p w14:paraId="3CF117E6" w14:textId="77777777" w:rsidR="001B4ED5" w:rsidRPr="00895D0B" w:rsidRDefault="006B41C0">
            <w:pPr>
              <w:pStyle w:val="ListParagraph"/>
              <w:numPr>
                <w:ilvl w:val="0"/>
                <w:numId w:val="43"/>
              </w:numPr>
              <w:spacing w:line="240" w:lineRule="auto"/>
              <w:jc w:val="left"/>
              <w:rPr>
                <w:rFonts w:cs="Times New Roman"/>
                <w:color w:val="000000" w:themeColor="text1"/>
                <w:szCs w:val="24"/>
              </w:rPr>
            </w:pPr>
            <w:r w:rsidRPr="00895D0B">
              <w:rPr>
                <w:rFonts w:cs="Times New Roman"/>
                <w:color w:val="000000" w:themeColor="text1"/>
                <w:szCs w:val="24"/>
              </w:rPr>
              <w:t>Private residential [   ]</w:t>
            </w:r>
          </w:p>
          <w:p w14:paraId="082E9638" w14:textId="77777777" w:rsidR="001B4ED5" w:rsidRPr="00895D0B" w:rsidRDefault="006B41C0">
            <w:pPr>
              <w:pStyle w:val="ListParagraph"/>
              <w:numPr>
                <w:ilvl w:val="0"/>
                <w:numId w:val="43"/>
              </w:numPr>
              <w:spacing w:line="240" w:lineRule="auto"/>
              <w:jc w:val="left"/>
              <w:rPr>
                <w:rFonts w:cs="Times New Roman"/>
                <w:color w:val="000000" w:themeColor="text1"/>
                <w:szCs w:val="24"/>
              </w:rPr>
            </w:pPr>
            <w:r w:rsidRPr="00895D0B">
              <w:rPr>
                <w:rFonts w:cs="Times New Roman"/>
                <w:color w:val="000000" w:themeColor="text1"/>
                <w:szCs w:val="24"/>
              </w:rPr>
              <w:t>Industrial [   ]</w:t>
            </w:r>
          </w:p>
          <w:p w14:paraId="7E4596A4" w14:textId="77777777" w:rsidR="001B4ED5" w:rsidRPr="00895D0B" w:rsidRDefault="006B41C0">
            <w:pPr>
              <w:pStyle w:val="ListParagraph"/>
              <w:numPr>
                <w:ilvl w:val="0"/>
                <w:numId w:val="43"/>
              </w:numPr>
              <w:spacing w:line="240" w:lineRule="auto"/>
              <w:jc w:val="left"/>
              <w:rPr>
                <w:rFonts w:cs="Times New Roman"/>
                <w:color w:val="000000" w:themeColor="text1"/>
                <w:szCs w:val="24"/>
              </w:rPr>
            </w:pPr>
            <w:r w:rsidRPr="00895D0B">
              <w:rPr>
                <w:rFonts w:cs="Times New Roman"/>
                <w:color w:val="000000" w:themeColor="text1"/>
                <w:szCs w:val="24"/>
              </w:rPr>
              <w:t>Homes [   ]</w:t>
            </w:r>
          </w:p>
          <w:p w14:paraId="4EB1098A" w14:textId="77777777" w:rsidR="001B4ED5" w:rsidRPr="00895D0B" w:rsidRDefault="006B41C0">
            <w:pPr>
              <w:pStyle w:val="ListParagraph"/>
              <w:numPr>
                <w:ilvl w:val="0"/>
                <w:numId w:val="43"/>
              </w:numPr>
              <w:spacing w:line="240" w:lineRule="auto"/>
              <w:jc w:val="left"/>
              <w:rPr>
                <w:rFonts w:cs="Times New Roman"/>
                <w:color w:val="000000" w:themeColor="text1"/>
                <w:szCs w:val="24"/>
              </w:rPr>
            </w:pPr>
            <w:r w:rsidRPr="00895D0B">
              <w:rPr>
                <w:rFonts w:cs="Times New Roman"/>
                <w:color w:val="000000" w:themeColor="text1"/>
                <w:szCs w:val="24"/>
              </w:rPr>
              <w:t>Uncompleted building [   ]</w:t>
            </w:r>
          </w:p>
          <w:p w14:paraId="78C7C5A0" w14:textId="77777777" w:rsidR="001B4ED5" w:rsidRPr="00895D0B" w:rsidRDefault="006B41C0">
            <w:pPr>
              <w:pStyle w:val="ListParagraph"/>
              <w:numPr>
                <w:ilvl w:val="0"/>
                <w:numId w:val="43"/>
              </w:numPr>
              <w:spacing w:line="240" w:lineRule="auto"/>
              <w:jc w:val="left"/>
              <w:rPr>
                <w:rFonts w:cs="Times New Roman"/>
                <w:color w:val="000000" w:themeColor="text1"/>
                <w:szCs w:val="24"/>
              </w:rPr>
            </w:pPr>
            <w:r w:rsidRPr="00895D0B">
              <w:rPr>
                <w:rFonts w:cs="Times New Roman"/>
                <w:color w:val="000000" w:themeColor="text1"/>
                <w:szCs w:val="24"/>
              </w:rPr>
              <w:lastRenderedPageBreak/>
              <w:t>Other, specify ……………………………………</w:t>
            </w:r>
          </w:p>
        </w:tc>
        <w:tc>
          <w:tcPr>
            <w:tcW w:w="2693" w:type="dxa"/>
          </w:tcPr>
          <w:p w14:paraId="22F58ACE" w14:textId="77777777" w:rsidR="001B4ED5" w:rsidRPr="00895D0B" w:rsidRDefault="001B4ED5">
            <w:pPr>
              <w:spacing w:line="240" w:lineRule="auto"/>
              <w:rPr>
                <w:rFonts w:cs="Times New Roman"/>
                <w:color w:val="000000" w:themeColor="text1"/>
                <w:szCs w:val="24"/>
              </w:rPr>
            </w:pPr>
          </w:p>
        </w:tc>
      </w:tr>
      <w:tr w:rsidR="00895D0B" w:rsidRPr="00895D0B" w14:paraId="0C14A25F" w14:textId="77777777">
        <w:trPr>
          <w:trHeight w:val="1170"/>
        </w:trPr>
        <w:tc>
          <w:tcPr>
            <w:tcW w:w="2486" w:type="dxa"/>
            <w:gridSpan w:val="3"/>
          </w:tcPr>
          <w:p w14:paraId="243B1098"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C10:</w:t>
            </w:r>
            <w:r w:rsidRPr="00895D0B">
              <w:rPr>
                <w:rFonts w:cs="Times New Roman"/>
                <w:color w:val="000000" w:themeColor="text1"/>
                <w:szCs w:val="24"/>
              </w:rPr>
              <w:t xml:space="preserve"> How long have you been into crop cultivation in the urban area in years?</w:t>
            </w:r>
          </w:p>
        </w:tc>
        <w:tc>
          <w:tcPr>
            <w:tcW w:w="3888" w:type="dxa"/>
            <w:gridSpan w:val="2"/>
          </w:tcPr>
          <w:p w14:paraId="08F862D3" w14:textId="77777777" w:rsidR="001B4ED5" w:rsidRPr="00895D0B" w:rsidRDefault="001B4ED5">
            <w:pPr>
              <w:spacing w:line="240" w:lineRule="auto"/>
              <w:rPr>
                <w:rFonts w:cs="Times New Roman"/>
                <w:color w:val="000000" w:themeColor="text1"/>
                <w:szCs w:val="24"/>
              </w:rPr>
            </w:pPr>
          </w:p>
          <w:p w14:paraId="3BF3F6B2"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t>
            </w:r>
          </w:p>
        </w:tc>
        <w:tc>
          <w:tcPr>
            <w:tcW w:w="2693" w:type="dxa"/>
          </w:tcPr>
          <w:p w14:paraId="194BCD6E" w14:textId="77777777" w:rsidR="001B4ED5" w:rsidRPr="00895D0B" w:rsidRDefault="001B4ED5">
            <w:pPr>
              <w:spacing w:line="240" w:lineRule="auto"/>
              <w:rPr>
                <w:rFonts w:cs="Times New Roman"/>
                <w:color w:val="000000" w:themeColor="text1"/>
                <w:szCs w:val="24"/>
                <w:highlight w:val="yellow"/>
              </w:rPr>
            </w:pPr>
          </w:p>
        </w:tc>
      </w:tr>
      <w:tr w:rsidR="00895D0B" w:rsidRPr="00895D0B" w14:paraId="7351AEBF" w14:textId="77777777">
        <w:trPr>
          <w:trHeight w:val="1455"/>
        </w:trPr>
        <w:tc>
          <w:tcPr>
            <w:tcW w:w="2486" w:type="dxa"/>
            <w:gridSpan w:val="3"/>
          </w:tcPr>
          <w:p w14:paraId="0EA5CCD7"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C11:</w:t>
            </w:r>
            <w:r w:rsidRPr="00895D0B">
              <w:rPr>
                <w:rFonts w:cs="Times New Roman"/>
                <w:color w:val="000000" w:themeColor="text1"/>
                <w:szCs w:val="24"/>
              </w:rPr>
              <w:t xml:space="preserve"> What is the size of your plot for crop cultivation? (in acres)</w:t>
            </w:r>
          </w:p>
        </w:tc>
        <w:tc>
          <w:tcPr>
            <w:tcW w:w="3888" w:type="dxa"/>
            <w:gridSpan w:val="2"/>
          </w:tcPr>
          <w:p w14:paraId="09AFFBAC" w14:textId="77777777" w:rsidR="001B4ED5" w:rsidRPr="00895D0B" w:rsidRDefault="001B4ED5">
            <w:pPr>
              <w:spacing w:line="240" w:lineRule="auto"/>
              <w:rPr>
                <w:rFonts w:cs="Times New Roman"/>
                <w:color w:val="000000" w:themeColor="text1"/>
                <w:szCs w:val="24"/>
              </w:rPr>
            </w:pPr>
          </w:p>
          <w:p w14:paraId="3F56A55D" w14:textId="77777777" w:rsidR="001B4ED5" w:rsidRPr="00895D0B" w:rsidRDefault="001B4ED5">
            <w:pPr>
              <w:spacing w:line="240" w:lineRule="auto"/>
              <w:rPr>
                <w:rFonts w:cs="Times New Roman"/>
                <w:color w:val="000000" w:themeColor="text1"/>
                <w:szCs w:val="24"/>
              </w:rPr>
            </w:pPr>
          </w:p>
          <w:p w14:paraId="7A12BD3E"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t>
            </w:r>
          </w:p>
        </w:tc>
        <w:tc>
          <w:tcPr>
            <w:tcW w:w="2693" w:type="dxa"/>
          </w:tcPr>
          <w:p w14:paraId="3BF2F945" w14:textId="77777777" w:rsidR="001B4ED5" w:rsidRPr="00895D0B" w:rsidRDefault="001B4ED5">
            <w:pPr>
              <w:spacing w:line="240" w:lineRule="auto"/>
              <w:rPr>
                <w:rFonts w:cs="Times New Roman"/>
                <w:color w:val="000000" w:themeColor="text1"/>
                <w:szCs w:val="24"/>
                <w:highlight w:val="yellow"/>
              </w:rPr>
            </w:pPr>
          </w:p>
        </w:tc>
      </w:tr>
      <w:tr w:rsidR="00895D0B" w:rsidRPr="00895D0B" w14:paraId="209BC3C0" w14:textId="77777777">
        <w:trPr>
          <w:trHeight w:val="585"/>
        </w:trPr>
        <w:tc>
          <w:tcPr>
            <w:tcW w:w="2486" w:type="dxa"/>
            <w:gridSpan w:val="3"/>
          </w:tcPr>
          <w:p w14:paraId="1FA9B7B2"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C12:</w:t>
            </w:r>
            <w:r w:rsidRPr="00895D0B">
              <w:rPr>
                <w:rFonts w:cs="Times New Roman"/>
                <w:color w:val="000000" w:themeColor="text1"/>
                <w:szCs w:val="24"/>
              </w:rPr>
              <w:t xml:space="preserve"> Is the farm fenced?</w:t>
            </w:r>
          </w:p>
        </w:tc>
        <w:tc>
          <w:tcPr>
            <w:tcW w:w="3888" w:type="dxa"/>
            <w:gridSpan w:val="2"/>
          </w:tcPr>
          <w:p w14:paraId="4CF8E721" w14:textId="77777777" w:rsidR="001B4ED5" w:rsidRPr="00895D0B" w:rsidRDefault="006B41C0">
            <w:pPr>
              <w:pStyle w:val="ListParagraph"/>
              <w:numPr>
                <w:ilvl w:val="0"/>
                <w:numId w:val="44"/>
              </w:numPr>
              <w:spacing w:line="240" w:lineRule="auto"/>
              <w:jc w:val="left"/>
              <w:rPr>
                <w:rFonts w:cs="Times New Roman"/>
                <w:color w:val="000000" w:themeColor="text1"/>
                <w:szCs w:val="24"/>
              </w:rPr>
            </w:pPr>
            <w:r w:rsidRPr="00895D0B">
              <w:rPr>
                <w:rFonts w:cs="Times New Roman"/>
                <w:color w:val="000000" w:themeColor="text1"/>
                <w:szCs w:val="24"/>
              </w:rPr>
              <w:t>Yes [   ]</w:t>
            </w:r>
          </w:p>
          <w:p w14:paraId="03C7B110" w14:textId="77777777" w:rsidR="001B4ED5" w:rsidRPr="00895D0B" w:rsidRDefault="006B41C0">
            <w:pPr>
              <w:pStyle w:val="ListParagraph"/>
              <w:numPr>
                <w:ilvl w:val="0"/>
                <w:numId w:val="45"/>
              </w:numPr>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tcPr>
          <w:p w14:paraId="1EE05EA6" w14:textId="77777777" w:rsidR="001B4ED5" w:rsidRPr="00895D0B" w:rsidRDefault="001B4ED5">
            <w:pPr>
              <w:spacing w:line="240" w:lineRule="auto"/>
              <w:rPr>
                <w:rFonts w:cs="Times New Roman"/>
                <w:color w:val="000000" w:themeColor="text1"/>
                <w:szCs w:val="24"/>
                <w:highlight w:val="yellow"/>
              </w:rPr>
            </w:pPr>
          </w:p>
        </w:tc>
      </w:tr>
      <w:tr w:rsidR="00895D0B" w:rsidRPr="00895D0B" w14:paraId="4B86BE51" w14:textId="77777777">
        <w:trPr>
          <w:trHeight w:val="870"/>
        </w:trPr>
        <w:tc>
          <w:tcPr>
            <w:tcW w:w="2486" w:type="dxa"/>
            <w:gridSpan w:val="3"/>
          </w:tcPr>
          <w:p w14:paraId="12B14E21"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C12a:</w:t>
            </w:r>
            <w:r w:rsidRPr="00895D0B">
              <w:rPr>
                <w:rFonts w:cs="Times New Roman"/>
                <w:color w:val="000000" w:themeColor="text1"/>
                <w:szCs w:val="24"/>
              </w:rPr>
              <w:t xml:space="preserve"> If yes, what materials are used in fencing?</w:t>
            </w:r>
          </w:p>
        </w:tc>
        <w:tc>
          <w:tcPr>
            <w:tcW w:w="3888" w:type="dxa"/>
            <w:gridSpan w:val="2"/>
          </w:tcPr>
          <w:p w14:paraId="370F165D" w14:textId="77777777" w:rsidR="001B4ED5" w:rsidRPr="00895D0B" w:rsidRDefault="006B41C0">
            <w:pPr>
              <w:pStyle w:val="ListParagraph"/>
              <w:numPr>
                <w:ilvl w:val="0"/>
                <w:numId w:val="46"/>
              </w:numPr>
              <w:spacing w:line="240" w:lineRule="auto"/>
              <w:jc w:val="left"/>
              <w:rPr>
                <w:rFonts w:cs="Times New Roman"/>
                <w:color w:val="000000" w:themeColor="text1"/>
                <w:szCs w:val="24"/>
              </w:rPr>
            </w:pPr>
            <w:r w:rsidRPr="00895D0B">
              <w:rPr>
                <w:rFonts w:cs="Times New Roman"/>
                <w:color w:val="000000" w:themeColor="text1"/>
                <w:szCs w:val="24"/>
              </w:rPr>
              <w:t>Block/bricks [   ]</w:t>
            </w:r>
          </w:p>
          <w:p w14:paraId="58D9C779" w14:textId="77777777" w:rsidR="001B4ED5" w:rsidRPr="00895D0B" w:rsidRDefault="006B41C0">
            <w:pPr>
              <w:pStyle w:val="ListParagraph"/>
              <w:numPr>
                <w:ilvl w:val="0"/>
                <w:numId w:val="46"/>
              </w:numPr>
              <w:spacing w:line="240" w:lineRule="auto"/>
              <w:jc w:val="left"/>
              <w:rPr>
                <w:rFonts w:cs="Times New Roman"/>
                <w:color w:val="000000" w:themeColor="text1"/>
                <w:szCs w:val="24"/>
              </w:rPr>
            </w:pPr>
            <w:r w:rsidRPr="00895D0B">
              <w:rPr>
                <w:rFonts w:cs="Times New Roman"/>
                <w:color w:val="000000" w:themeColor="text1"/>
                <w:szCs w:val="24"/>
              </w:rPr>
              <w:t>Wire mesh [   ]</w:t>
            </w:r>
          </w:p>
          <w:p w14:paraId="35C6570E" w14:textId="77777777" w:rsidR="001B4ED5" w:rsidRPr="00895D0B" w:rsidRDefault="006B41C0">
            <w:pPr>
              <w:pStyle w:val="ListParagraph"/>
              <w:numPr>
                <w:ilvl w:val="0"/>
                <w:numId w:val="46"/>
              </w:numPr>
              <w:spacing w:line="240" w:lineRule="auto"/>
              <w:jc w:val="left"/>
              <w:rPr>
                <w:rFonts w:cs="Times New Roman"/>
                <w:color w:val="000000" w:themeColor="text1"/>
                <w:szCs w:val="24"/>
              </w:rPr>
            </w:pPr>
            <w:r w:rsidRPr="00895D0B">
              <w:rPr>
                <w:rFonts w:cs="Times New Roman"/>
                <w:color w:val="000000" w:themeColor="text1"/>
                <w:szCs w:val="24"/>
              </w:rPr>
              <w:t>Sticks [   ]</w:t>
            </w:r>
          </w:p>
          <w:p w14:paraId="150695B8" w14:textId="77777777" w:rsidR="001B4ED5" w:rsidRPr="00895D0B" w:rsidRDefault="006B41C0">
            <w:pPr>
              <w:pStyle w:val="ListParagraph"/>
              <w:numPr>
                <w:ilvl w:val="0"/>
                <w:numId w:val="46"/>
              </w:numPr>
              <w:spacing w:line="240" w:lineRule="auto"/>
              <w:jc w:val="left"/>
              <w:rPr>
                <w:rFonts w:cs="Times New Roman"/>
                <w:color w:val="000000" w:themeColor="text1"/>
                <w:szCs w:val="24"/>
              </w:rPr>
            </w:pPr>
            <w:r w:rsidRPr="00895D0B">
              <w:rPr>
                <w:rFonts w:cs="Times New Roman"/>
                <w:color w:val="000000" w:themeColor="text1"/>
                <w:szCs w:val="24"/>
              </w:rPr>
              <w:t>Guinea corn stocks [   ]</w:t>
            </w:r>
          </w:p>
          <w:p w14:paraId="38AA8152" w14:textId="77777777" w:rsidR="001B4ED5" w:rsidRPr="00895D0B" w:rsidRDefault="006B41C0">
            <w:pPr>
              <w:pStyle w:val="ListParagraph"/>
              <w:numPr>
                <w:ilvl w:val="0"/>
                <w:numId w:val="46"/>
              </w:numPr>
              <w:spacing w:line="240" w:lineRule="auto"/>
              <w:jc w:val="left"/>
              <w:rPr>
                <w:rFonts w:cs="Times New Roman"/>
                <w:color w:val="000000" w:themeColor="text1"/>
                <w:szCs w:val="24"/>
              </w:rPr>
            </w:pPr>
            <w:r w:rsidRPr="00895D0B">
              <w:rPr>
                <w:rFonts w:cs="Times New Roman"/>
                <w:color w:val="000000" w:themeColor="text1"/>
                <w:szCs w:val="24"/>
              </w:rPr>
              <w:t xml:space="preserve">Others, specify </w:t>
            </w:r>
          </w:p>
        </w:tc>
        <w:tc>
          <w:tcPr>
            <w:tcW w:w="2693" w:type="dxa"/>
          </w:tcPr>
          <w:p w14:paraId="002FF997" w14:textId="77777777" w:rsidR="001B4ED5" w:rsidRPr="00895D0B" w:rsidRDefault="001B4ED5">
            <w:pPr>
              <w:spacing w:line="240" w:lineRule="auto"/>
              <w:rPr>
                <w:rFonts w:cs="Times New Roman"/>
                <w:color w:val="000000" w:themeColor="text1"/>
                <w:szCs w:val="24"/>
                <w:highlight w:val="yellow"/>
              </w:rPr>
            </w:pPr>
          </w:p>
        </w:tc>
      </w:tr>
      <w:tr w:rsidR="00895D0B" w:rsidRPr="00895D0B" w14:paraId="49D6D625" w14:textId="77777777">
        <w:trPr>
          <w:trHeight w:val="2967"/>
        </w:trPr>
        <w:tc>
          <w:tcPr>
            <w:tcW w:w="2486" w:type="dxa"/>
            <w:gridSpan w:val="3"/>
          </w:tcPr>
          <w:p w14:paraId="0B400691"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C13:</w:t>
            </w:r>
            <w:r w:rsidRPr="00895D0B">
              <w:rPr>
                <w:rFonts w:cs="Times New Roman"/>
                <w:color w:val="000000" w:themeColor="text1"/>
                <w:szCs w:val="24"/>
              </w:rPr>
              <w:t xml:space="preserve"> What type of crop do you grow? (</w:t>
            </w:r>
            <w:r w:rsidRPr="00895D0B">
              <w:rPr>
                <w:rFonts w:cs="Times New Roman"/>
                <w:b/>
                <w:i/>
                <w:color w:val="000000" w:themeColor="text1"/>
                <w:szCs w:val="24"/>
              </w:rPr>
              <w:t>tick as many as possible</w:t>
            </w:r>
            <w:r w:rsidRPr="00895D0B">
              <w:rPr>
                <w:rFonts w:cs="Times New Roman"/>
                <w:color w:val="000000" w:themeColor="text1"/>
                <w:szCs w:val="24"/>
              </w:rPr>
              <w:t>)</w:t>
            </w:r>
          </w:p>
        </w:tc>
        <w:tc>
          <w:tcPr>
            <w:tcW w:w="3888" w:type="dxa"/>
            <w:gridSpan w:val="2"/>
          </w:tcPr>
          <w:p w14:paraId="3248A212" w14:textId="77777777" w:rsidR="001B4ED5" w:rsidRPr="00895D0B" w:rsidRDefault="006B41C0">
            <w:pPr>
              <w:pStyle w:val="ListParagraph"/>
              <w:numPr>
                <w:ilvl w:val="0"/>
                <w:numId w:val="47"/>
              </w:numPr>
              <w:spacing w:line="240" w:lineRule="auto"/>
              <w:jc w:val="left"/>
              <w:rPr>
                <w:rFonts w:cs="Times New Roman"/>
                <w:color w:val="000000" w:themeColor="text1"/>
                <w:szCs w:val="24"/>
              </w:rPr>
            </w:pPr>
            <w:r w:rsidRPr="00895D0B">
              <w:rPr>
                <w:rFonts w:cs="Times New Roman"/>
                <w:color w:val="000000" w:themeColor="text1"/>
                <w:szCs w:val="24"/>
              </w:rPr>
              <w:t>Maize [   ]</w:t>
            </w:r>
          </w:p>
          <w:p w14:paraId="277E6BA0" w14:textId="77777777" w:rsidR="001B4ED5" w:rsidRPr="00895D0B" w:rsidRDefault="006B41C0">
            <w:pPr>
              <w:pStyle w:val="ListParagraph"/>
              <w:numPr>
                <w:ilvl w:val="0"/>
                <w:numId w:val="48"/>
              </w:numPr>
              <w:spacing w:line="240" w:lineRule="auto"/>
              <w:jc w:val="left"/>
              <w:rPr>
                <w:rFonts w:cs="Times New Roman"/>
                <w:color w:val="000000" w:themeColor="text1"/>
                <w:szCs w:val="24"/>
              </w:rPr>
            </w:pPr>
            <w:r w:rsidRPr="00895D0B">
              <w:rPr>
                <w:rFonts w:cs="Times New Roman"/>
                <w:color w:val="000000" w:themeColor="text1"/>
                <w:szCs w:val="24"/>
              </w:rPr>
              <w:t>Millets [   ]</w:t>
            </w:r>
          </w:p>
          <w:p w14:paraId="37F39FDC" w14:textId="77777777" w:rsidR="001B4ED5" w:rsidRPr="00895D0B" w:rsidRDefault="006B41C0">
            <w:pPr>
              <w:pStyle w:val="ListParagraph"/>
              <w:numPr>
                <w:ilvl w:val="0"/>
                <w:numId w:val="48"/>
              </w:numPr>
              <w:spacing w:line="240" w:lineRule="auto"/>
              <w:jc w:val="left"/>
              <w:rPr>
                <w:rFonts w:cs="Times New Roman"/>
                <w:color w:val="000000" w:themeColor="text1"/>
                <w:szCs w:val="24"/>
              </w:rPr>
            </w:pPr>
            <w:r w:rsidRPr="00895D0B">
              <w:rPr>
                <w:rFonts w:cs="Times New Roman"/>
                <w:color w:val="000000" w:themeColor="text1"/>
                <w:szCs w:val="24"/>
              </w:rPr>
              <w:t>Beans [   ]</w:t>
            </w:r>
          </w:p>
          <w:p w14:paraId="18488062" w14:textId="77777777" w:rsidR="001B4ED5" w:rsidRPr="00895D0B" w:rsidRDefault="006B41C0">
            <w:pPr>
              <w:pStyle w:val="ListParagraph"/>
              <w:numPr>
                <w:ilvl w:val="0"/>
                <w:numId w:val="48"/>
              </w:numPr>
              <w:spacing w:line="240" w:lineRule="auto"/>
              <w:jc w:val="left"/>
              <w:rPr>
                <w:rFonts w:cs="Times New Roman"/>
                <w:color w:val="000000" w:themeColor="text1"/>
                <w:szCs w:val="24"/>
              </w:rPr>
            </w:pPr>
            <w:r w:rsidRPr="00895D0B">
              <w:rPr>
                <w:rFonts w:cs="Times New Roman"/>
                <w:color w:val="000000" w:themeColor="text1"/>
                <w:szCs w:val="24"/>
              </w:rPr>
              <w:t>Groundnuts [   ]</w:t>
            </w:r>
          </w:p>
          <w:p w14:paraId="3071F1B1" w14:textId="77777777" w:rsidR="001B4ED5" w:rsidRPr="00895D0B" w:rsidRDefault="006B41C0">
            <w:pPr>
              <w:pStyle w:val="ListParagraph"/>
              <w:numPr>
                <w:ilvl w:val="0"/>
                <w:numId w:val="48"/>
              </w:numPr>
              <w:spacing w:line="240" w:lineRule="auto"/>
              <w:jc w:val="left"/>
              <w:rPr>
                <w:rFonts w:cs="Times New Roman"/>
                <w:color w:val="000000" w:themeColor="text1"/>
                <w:szCs w:val="24"/>
              </w:rPr>
            </w:pPr>
            <w:r w:rsidRPr="00895D0B">
              <w:rPr>
                <w:rFonts w:cs="Times New Roman"/>
                <w:color w:val="000000" w:themeColor="text1"/>
                <w:szCs w:val="24"/>
              </w:rPr>
              <w:t>Yams [   ]</w:t>
            </w:r>
          </w:p>
          <w:p w14:paraId="1E51CEB9" w14:textId="77777777" w:rsidR="001B4ED5" w:rsidRPr="00895D0B" w:rsidRDefault="006B41C0">
            <w:pPr>
              <w:pStyle w:val="ListParagraph"/>
              <w:numPr>
                <w:ilvl w:val="0"/>
                <w:numId w:val="48"/>
              </w:numPr>
              <w:spacing w:line="240" w:lineRule="auto"/>
              <w:jc w:val="left"/>
              <w:rPr>
                <w:rFonts w:cs="Times New Roman"/>
                <w:color w:val="000000" w:themeColor="text1"/>
                <w:szCs w:val="24"/>
              </w:rPr>
            </w:pPr>
            <w:r w:rsidRPr="00895D0B">
              <w:rPr>
                <w:rFonts w:cs="Times New Roman"/>
                <w:color w:val="000000" w:themeColor="text1"/>
                <w:szCs w:val="24"/>
              </w:rPr>
              <w:t>Cassava [   ]</w:t>
            </w:r>
          </w:p>
          <w:p w14:paraId="43744442" w14:textId="77777777" w:rsidR="001B4ED5" w:rsidRPr="00895D0B" w:rsidRDefault="006B41C0">
            <w:pPr>
              <w:pStyle w:val="ListParagraph"/>
              <w:numPr>
                <w:ilvl w:val="0"/>
                <w:numId w:val="48"/>
              </w:numPr>
              <w:spacing w:line="240" w:lineRule="auto"/>
              <w:jc w:val="left"/>
              <w:rPr>
                <w:rFonts w:cs="Times New Roman"/>
                <w:color w:val="000000" w:themeColor="text1"/>
                <w:szCs w:val="24"/>
              </w:rPr>
            </w:pPr>
            <w:r w:rsidRPr="00895D0B">
              <w:rPr>
                <w:rFonts w:cs="Times New Roman"/>
                <w:color w:val="000000" w:themeColor="text1"/>
                <w:szCs w:val="24"/>
              </w:rPr>
              <w:t>Okara [   ]</w:t>
            </w:r>
          </w:p>
          <w:p w14:paraId="5E6B6287" w14:textId="77777777" w:rsidR="001B4ED5" w:rsidRPr="00895D0B" w:rsidRDefault="006B41C0">
            <w:pPr>
              <w:pStyle w:val="ListParagraph"/>
              <w:numPr>
                <w:ilvl w:val="0"/>
                <w:numId w:val="48"/>
              </w:numPr>
              <w:spacing w:line="240" w:lineRule="auto"/>
              <w:jc w:val="left"/>
              <w:rPr>
                <w:rFonts w:cs="Times New Roman"/>
                <w:color w:val="000000" w:themeColor="text1"/>
                <w:szCs w:val="24"/>
              </w:rPr>
            </w:pPr>
            <w:r w:rsidRPr="00895D0B">
              <w:rPr>
                <w:rFonts w:cs="Times New Roman"/>
                <w:color w:val="000000" w:themeColor="text1"/>
                <w:szCs w:val="24"/>
              </w:rPr>
              <w:t>Tomatoes [   ]</w:t>
            </w:r>
          </w:p>
          <w:p w14:paraId="58AFCAFB" w14:textId="77777777" w:rsidR="001B4ED5" w:rsidRPr="00895D0B" w:rsidRDefault="006B41C0">
            <w:pPr>
              <w:pStyle w:val="ListParagraph"/>
              <w:numPr>
                <w:ilvl w:val="0"/>
                <w:numId w:val="48"/>
              </w:numPr>
              <w:spacing w:line="240" w:lineRule="auto"/>
              <w:jc w:val="left"/>
              <w:rPr>
                <w:rFonts w:cs="Times New Roman"/>
                <w:color w:val="000000" w:themeColor="text1"/>
                <w:szCs w:val="24"/>
              </w:rPr>
            </w:pPr>
            <w:r w:rsidRPr="00895D0B">
              <w:rPr>
                <w:rFonts w:cs="Times New Roman"/>
                <w:color w:val="000000" w:themeColor="text1"/>
                <w:szCs w:val="24"/>
              </w:rPr>
              <w:t>Pepper [   ]</w:t>
            </w:r>
          </w:p>
          <w:p w14:paraId="6B0AD546" w14:textId="77777777" w:rsidR="001B4ED5" w:rsidRPr="00895D0B" w:rsidRDefault="006B41C0">
            <w:pPr>
              <w:pStyle w:val="ListParagraph"/>
              <w:numPr>
                <w:ilvl w:val="0"/>
                <w:numId w:val="48"/>
              </w:numPr>
              <w:spacing w:line="240" w:lineRule="auto"/>
              <w:jc w:val="left"/>
              <w:rPr>
                <w:rFonts w:cs="Times New Roman"/>
                <w:color w:val="000000" w:themeColor="text1"/>
                <w:szCs w:val="24"/>
              </w:rPr>
            </w:pPr>
            <w:r w:rsidRPr="00895D0B">
              <w:rPr>
                <w:rFonts w:cs="Times New Roman"/>
                <w:color w:val="000000" w:themeColor="text1"/>
                <w:szCs w:val="24"/>
              </w:rPr>
              <w:t>Cabbage [   ]</w:t>
            </w:r>
          </w:p>
          <w:p w14:paraId="19A4D352" w14:textId="77777777" w:rsidR="001B4ED5" w:rsidRPr="00895D0B" w:rsidRDefault="006B41C0">
            <w:pPr>
              <w:pStyle w:val="ListParagraph"/>
              <w:numPr>
                <w:ilvl w:val="0"/>
                <w:numId w:val="48"/>
              </w:numPr>
              <w:spacing w:line="240" w:lineRule="auto"/>
              <w:jc w:val="left"/>
              <w:rPr>
                <w:rFonts w:cs="Times New Roman"/>
                <w:color w:val="000000" w:themeColor="text1"/>
                <w:szCs w:val="24"/>
              </w:rPr>
            </w:pPr>
            <w:r w:rsidRPr="00895D0B">
              <w:rPr>
                <w:rFonts w:cs="Times New Roman"/>
                <w:color w:val="000000" w:themeColor="text1"/>
                <w:szCs w:val="24"/>
              </w:rPr>
              <w:t>Pumpkin leaves [   ]</w:t>
            </w:r>
          </w:p>
          <w:p w14:paraId="634BB20D" w14:textId="77777777" w:rsidR="001B4ED5" w:rsidRPr="00895D0B" w:rsidRDefault="006B41C0">
            <w:pPr>
              <w:pStyle w:val="ListParagraph"/>
              <w:numPr>
                <w:ilvl w:val="0"/>
                <w:numId w:val="48"/>
              </w:numPr>
              <w:spacing w:line="240" w:lineRule="auto"/>
              <w:jc w:val="left"/>
              <w:rPr>
                <w:rFonts w:cs="Times New Roman"/>
                <w:color w:val="000000" w:themeColor="text1"/>
                <w:szCs w:val="24"/>
              </w:rPr>
            </w:pPr>
            <w:r w:rsidRPr="00895D0B">
              <w:rPr>
                <w:rFonts w:cs="Times New Roman"/>
                <w:color w:val="000000" w:themeColor="text1"/>
                <w:szCs w:val="24"/>
              </w:rPr>
              <w:t>Other specify ………………………………..</w:t>
            </w:r>
          </w:p>
        </w:tc>
        <w:tc>
          <w:tcPr>
            <w:tcW w:w="2693" w:type="dxa"/>
          </w:tcPr>
          <w:p w14:paraId="69FA7E94" w14:textId="77777777" w:rsidR="001B4ED5" w:rsidRPr="00895D0B" w:rsidRDefault="001B4ED5">
            <w:pPr>
              <w:spacing w:line="240" w:lineRule="auto"/>
              <w:rPr>
                <w:rFonts w:cs="Times New Roman"/>
                <w:color w:val="000000" w:themeColor="text1"/>
                <w:szCs w:val="24"/>
              </w:rPr>
            </w:pPr>
          </w:p>
        </w:tc>
      </w:tr>
      <w:tr w:rsidR="00895D0B" w:rsidRPr="00895D0B" w14:paraId="421FDE98" w14:textId="77777777">
        <w:trPr>
          <w:trHeight w:val="929"/>
        </w:trPr>
        <w:tc>
          <w:tcPr>
            <w:tcW w:w="2486" w:type="dxa"/>
            <w:gridSpan w:val="3"/>
          </w:tcPr>
          <w:p w14:paraId="51E2363D"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C14:</w:t>
            </w:r>
            <w:r w:rsidRPr="00895D0B">
              <w:rPr>
                <w:rFonts w:cs="Times New Roman"/>
                <w:color w:val="000000" w:themeColor="text1"/>
                <w:szCs w:val="24"/>
              </w:rPr>
              <w:t xml:space="preserve"> What motivates your interest in crop cultivation?</w:t>
            </w:r>
          </w:p>
        </w:tc>
        <w:tc>
          <w:tcPr>
            <w:tcW w:w="3888" w:type="dxa"/>
            <w:gridSpan w:val="2"/>
          </w:tcPr>
          <w:p w14:paraId="6E47921B" w14:textId="77777777" w:rsidR="001B4ED5" w:rsidRPr="00895D0B" w:rsidRDefault="006B41C0">
            <w:pPr>
              <w:pStyle w:val="ListParagraph"/>
              <w:numPr>
                <w:ilvl w:val="0"/>
                <w:numId w:val="49"/>
              </w:numPr>
              <w:spacing w:line="240" w:lineRule="auto"/>
              <w:jc w:val="left"/>
              <w:rPr>
                <w:rFonts w:cs="Times New Roman"/>
                <w:color w:val="000000" w:themeColor="text1"/>
                <w:szCs w:val="24"/>
              </w:rPr>
            </w:pPr>
            <w:r w:rsidRPr="00895D0B">
              <w:rPr>
                <w:rFonts w:cs="Times New Roman"/>
                <w:color w:val="000000" w:themeColor="text1"/>
                <w:szCs w:val="24"/>
              </w:rPr>
              <w:t>Sale for income [   ]</w:t>
            </w:r>
          </w:p>
          <w:p w14:paraId="4ABD0EBE" w14:textId="77777777" w:rsidR="001B4ED5" w:rsidRPr="00895D0B" w:rsidRDefault="006B41C0">
            <w:pPr>
              <w:pStyle w:val="ListParagraph"/>
              <w:numPr>
                <w:ilvl w:val="0"/>
                <w:numId w:val="50"/>
              </w:numPr>
              <w:spacing w:line="240" w:lineRule="auto"/>
              <w:jc w:val="left"/>
              <w:rPr>
                <w:rFonts w:cs="Times New Roman"/>
                <w:color w:val="000000" w:themeColor="text1"/>
                <w:szCs w:val="24"/>
              </w:rPr>
            </w:pPr>
            <w:r w:rsidRPr="00895D0B">
              <w:rPr>
                <w:rFonts w:cs="Times New Roman"/>
                <w:color w:val="000000" w:themeColor="text1"/>
                <w:szCs w:val="24"/>
              </w:rPr>
              <w:t>To meet household food needs [   ]</w:t>
            </w:r>
          </w:p>
          <w:p w14:paraId="51EB6F75" w14:textId="77777777" w:rsidR="001B4ED5" w:rsidRPr="00895D0B" w:rsidRDefault="006B41C0">
            <w:pPr>
              <w:pStyle w:val="ListParagraph"/>
              <w:numPr>
                <w:ilvl w:val="0"/>
                <w:numId w:val="50"/>
              </w:numPr>
              <w:spacing w:line="240" w:lineRule="auto"/>
              <w:jc w:val="left"/>
              <w:rPr>
                <w:rFonts w:cs="Times New Roman"/>
                <w:color w:val="000000" w:themeColor="text1"/>
                <w:szCs w:val="24"/>
              </w:rPr>
            </w:pPr>
            <w:r w:rsidRPr="00895D0B">
              <w:rPr>
                <w:rFonts w:cs="Times New Roman"/>
                <w:color w:val="000000" w:themeColor="text1"/>
                <w:szCs w:val="24"/>
              </w:rPr>
              <w:t>Just to occupy the land for protection [   ]</w:t>
            </w:r>
          </w:p>
          <w:p w14:paraId="501FAC93" w14:textId="77777777" w:rsidR="001B4ED5" w:rsidRPr="00895D0B" w:rsidRDefault="006B41C0">
            <w:pPr>
              <w:pStyle w:val="ListParagraph"/>
              <w:numPr>
                <w:ilvl w:val="0"/>
                <w:numId w:val="50"/>
              </w:numPr>
              <w:spacing w:line="240" w:lineRule="auto"/>
              <w:jc w:val="left"/>
              <w:rPr>
                <w:rFonts w:cs="Times New Roman"/>
                <w:color w:val="000000" w:themeColor="text1"/>
                <w:szCs w:val="24"/>
              </w:rPr>
            </w:pPr>
            <w:r w:rsidRPr="00895D0B">
              <w:rPr>
                <w:rFonts w:cs="Times New Roman"/>
                <w:color w:val="000000" w:themeColor="text1"/>
                <w:szCs w:val="24"/>
              </w:rPr>
              <w:t>Leisure [   ]</w:t>
            </w:r>
          </w:p>
          <w:p w14:paraId="6A2C71C5" w14:textId="77777777" w:rsidR="001B4ED5" w:rsidRPr="00895D0B" w:rsidRDefault="006B41C0">
            <w:pPr>
              <w:pStyle w:val="ListParagraph"/>
              <w:numPr>
                <w:ilvl w:val="0"/>
                <w:numId w:val="50"/>
              </w:numPr>
              <w:spacing w:line="240" w:lineRule="auto"/>
              <w:jc w:val="left"/>
              <w:rPr>
                <w:rFonts w:cs="Times New Roman"/>
                <w:color w:val="000000" w:themeColor="text1"/>
                <w:szCs w:val="24"/>
              </w:rPr>
            </w:pPr>
            <w:r w:rsidRPr="00895D0B">
              <w:rPr>
                <w:rFonts w:cs="Times New Roman"/>
                <w:color w:val="000000" w:themeColor="text1"/>
                <w:szCs w:val="24"/>
              </w:rPr>
              <w:t>Other, specify ……………………………….</w:t>
            </w:r>
          </w:p>
        </w:tc>
        <w:tc>
          <w:tcPr>
            <w:tcW w:w="2693" w:type="dxa"/>
          </w:tcPr>
          <w:p w14:paraId="461581C3" w14:textId="77777777" w:rsidR="001B4ED5" w:rsidRPr="00895D0B" w:rsidRDefault="001B4ED5">
            <w:pPr>
              <w:spacing w:line="240" w:lineRule="auto"/>
              <w:rPr>
                <w:rFonts w:cs="Times New Roman"/>
                <w:color w:val="000000" w:themeColor="text1"/>
                <w:szCs w:val="24"/>
              </w:rPr>
            </w:pPr>
          </w:p>
        </w:tc>
      </w:tr>
      <w:tr w:rsidR="00895D0B" w:rsidRPr="00895D0B" w14:paraId="291CA6F3" w14:textId="77777777">
        <w:trPr>
          <w:trHeight w:val="1423"/>
        </w:trPr>
        <w:tc>
          <w:tcPr>
            <w:tcW w:w="2486" w:type="dxa"/>
            <w:gridSpan w:val="3"/>
          </w:tcPr>
          <w:p w14:paraId="5BAB555E"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C15:</w:t>
            </w:r>
            <w:r w:rsidRPr="00895D0B">
              <w:rPr>
                <w:rFonts w:cs="Times New Roman"/>
                <w:color w:val="000000" w:themeColor="text1"/>
                <w:szCs w:val="24"/>
              </w:rPr>
              <w:t xml:space="preserve"> How often do you involve in the activities in the urban farm?  </w:t>
            </w:r>
          </w:p>
        </w:tc>
        <w:tc>
          <w:tcPr>
            <w:tcW w:w="3888" w:type="dxa"/>
            <w:gridSpan w:val="2"/>
          </w:tcPr>
          <w:p w14:paraId="56F6E36B" w14:textId="77777777" w:rsidR="001B4ED5" w:rsidRPr="00895D0B" w:rsidRDefault="006B41C0">
            <w:pPr>
              <w:pStyle w:val="ListParagraph"/>
              <w:numPr>
                <w:ilvl w:val="0"/>
                <w:numId w:val="51"/>
              </w:numPr>
              <w:spacing w:line="240" w:lineRule="auto"/>
              <w:jc w:val="left"/>
              <w:rPr>
                <w:rFonts w:cs="Times New Roman"/>
                <w:color w:val="000000" w:themeColor="text1"/>
                <w:szCs w:val="24"/>
              </w:rPr>
            </w:pPr>
            <w:r w:rsidRPr="00895D0B">
              <w:rPr>
                <w:rFonts w:cs="Times New Roman"/>
                <w:color w:val="000000" w:themeColor="text1"/>
                <w:szCs w:val="24"/>
              </w:rPr>
              <w:t>Everyday [   ]</w:t>
            </w:r>
          </w:p>
          <w:p w14:paraId="587F6BC4" w14:textId="77777777" w:rsidR="001B4ED5" w:rsidRPr="00895D0B" w:rsidRDefault="006B41C0">
            <w:pPr>
              <w:pStyle w:val="ListParagraph"/>
              <w:numPr>
                <w:ilvl w:val="0"/>
                <w:numId w:val="52"/>
              </w:numPr>
              <w:spacing w:line="240" w:lineRule="auto"/>
              <w:jc w:val="left"/>
              <w:rPr>
                <w:rFonts w:cs="Times New Roman"/>
                <w:color w:val="000000" w:themeColor="text1"/>
                <w:szCs w:val="24"/>
              </w:rPr>
            </w:pPr>
            <w:r w:rsidRPr="00895D0B">
              <w:rPr>
                <w:rFonts w:cs="Times New Roman"/>
                <w:color w:val="000000" w:themeColor="text1"/>
                <w:szCs w:val="24"/>
              </w:rPr>
              <w:t>Once a week [   ]</w:t>
            </w:r>
          </w:p>
          <w:p w14:paraId="2B562DA0" w14:textId="77777777" w:rsidR="001B4ED5" w:rsidRPr="00895D0B" w:rsidRDefault="006B41C0">
            <w:pPr>
              <w:pStyle w:val="ListParagraph"/>
              <w:numPr>
                <w:ilvl w:val="0"/>
                <w:numId w:val="52"/>
              </w:numPr>
              <w:spacing w:line="240" w:lineRule="auto"/>
              <w:jc w:val="left"/>
              <w:rPr>
                <w:rFonts w:cs="Times New Roman"/>
                <w:color w:val="000000" w:themeColor="text1"/>
                <w:szCs w:val="24"/>
              </w:rPr>
            </w:pPr>
            <w:r w:rsidRPr="00895D0B">
              <w:rPr>
                <w:rFonts w:cs="Times New Roman"/>
                <w:color w:val="000000" w:themeColor="text1"/>
                <w:szCs w:val="24"/>
              </w:rPr>
              <w:t>Once a month[   ]</w:t>
            </w:r>
          </w:p>
          <w:p w14:paraId="24210A6D" w14:textId="77777777" w:rsidR="001B4ED5" w:rsidRPr="00895D0B" w:rsidRDefault="006B41C0">
            <w:pPr>
              <w:pStyle w:val="ListParagraph"/>
              <w:numPr>
                <w:ilvl w:val="0"/>
                <w:numId w:val="52"/>
              </w:numPr>
              <w:spacing w:line="240" w:lineRule="auto"/>
              <w:jc w:val="left"/>
              <w:rPr>
                <w:rFonts w:cs="Times New Roman"/>
                <w:color w:val="000000" w:themeColor="text1"/>
                <w:szCs w:val="24"/>
              </w:rPr>
            </w:pPr>
            <w:r w:rsidRPr="00895D0B">
              <w:rPr>
                <w:rFonts w:cs="Times New Roman"/>
                <w:color w:val="000000" w:themeColor="text1"/>
                <w:szCs w:val="24"/>
              </w:rPr>
              <w:t>Twice a week [   ]</w:t>
            </w:r>
          </w:p>
          <w:p w14:paraId="2299AD06" w14:textId="77777777" w:rsidR="001B4ED5" w:rsidRPr="00895D0B" w:rsidRDefault="006B41C0">
            <w:pPr>
              <w:pStyle w:val="ListParagraph"/>
              <w:numPr>
                <w:ilvl w:val="0"/>
                <w:numId w:val="52"/>
              </w:numPr>
              <w:spacing w:line="240" w:lineRule="auto"/>
              <w:jc w:val="left"/>
              <w:rPr>
                <w:rFonts w:cs="Times New Roman"/>
                <w:color w:val="000000" w:themeColor="text1"/>
                <w:szCs w:val="24"/>
              </w:rPr>
            </w:pPr>
            <w:r w:rsidRPr="00895D0B">
              <w:rPr>
                <w:rFonts w:cs="Times New Roman"/>
                <w:color w:val="000000" w:themeColor="text1"/>
                <w:szCs w:val="24"/>
              </w:rPr>
              <w:t>Twice a month [   ]</w:t>
            </w:r>
          </w:p>
        </w:tc>
        <w:tc>
          <w:tcPr>
            <w:tcW w:w="2693" w:type="dxa"/>
          </w:tcPr>
          <w:p w14:paraId="7C8F8635" w14:textId="77777777" w:rsidR="001B4ED5" w:rsidRPr="00895D0B" w:rsidRDefault="001B4ED5">
            <w:pPr>
              <w:spacing w:line="240" w:lineRule="auto"/>
              <w:rPr>
                <w:rFonts w:cs="Times New Roman"/>
                <w:color w:val="000000" w:themeColor="text1"/>
                <w:szCs w:val="24"/>
              </w:rPr>
            </w:pPr>
          </w:p>
        </w:tc>
      </w:tr>
      <w:tr w:rsidR="00895D0B" w:rsidRPr="00895D0B" w14:paraId="53358957" w14:textId="77777777">
        <w:trPr>
          <w:trHeight w:val="626"/>
        </w:trPr>
        <w:tc>
          <w:tcPr>
            <w:tcW w:w="2486" w:type="dxa"/>
            <w:gridSpan w:val="3"/>
          </w:tcPr>
          <w:p w14:paraId="4B3D9051"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C16:</w:t>
            </w:r>
            <w:r w:rsidRPr="00895D0B">
              <w:rPr>
                <w:rFonts w:cs="Times New Roman"/>
                <w:color w:val="000000" w:themeColor="text1"/>
                <w:szCs w:val="24"/>
              </w:rPr>
              <w:t xml:space="preserve"> What is the main source of labour to your crop farming?</w:t>
            </w:r>
          </w:p>
        </w:tc>
        <w:tc>
          <w:tcPr>
            <w:tcW w:w="3888" w:type="dxa"/>
            <w:gridSpan w:val="2"/>
          </w:tcPr>
          <w:p w14:paraId="13D65DAD" w14:textId="77777777" w:rsidR="001B4ED5" w:rsidRPr="00895D0B" w:rsidRDefault="006B41C0">
            <w:pPr>
              <w:pStyle w:val="ListParagraph"/>
              <w:numPr>
                <w:ilvl w:val="0"/>
                <w:numId w:val="53"/>
              </w:numPr>
              <w:spacing w:line="240" w:lineRule="auto"/>
              <w:jc w:val="left"/>
              <w:rPr>
                <w:rFonts w:cs="Times New Roman"/>
                <w:color w:val="000000" w:themeColor="text1"/>
                <w:szCs w:val="24"/>
              </w:rPr>
            </w:pPr>
            <w:r w:rsidRPr="00895D0B">
              <w:rPr>
                <w:rFonts w:cs="Times New Roman"/>
                <w:color w:val="000000" w:themeColor="text1"/>
                <w:szCs w:val="24"/>
              </w:rPr>
              <w:t>Hired labour [   ]</w:t>
            </w:r>
          </w:p>
          <w:p w14:paraId="21D47F0E" w14:textId="77777777" w:rsidR="001B4ED5" w:rsidRPr="00895D0B" w:rsidRDefault="006B41C0">
            <w:pPr>
              <w:pStyle w:val="ListParagraph"/>
              <w:numPr>
                <w:ilvl w:val="0"/>
                <w:numId w:val="54"/>
              </w:numPr>
              <w:spacing w:line="240" w:lineRule="auto"/>
              <w:ind w:right="51"/>
              <w:rPr>
                <w:rFonts w:cs="Times New Roman"/>
                <w:color w:val="000000" w:themeColor="text1"/>
                <w:szCs w:val="24"/>
              </w:rPr>
            </w:pPr>
            <w:r w:rsidRPr="00895D0B">
              <w:rPr>
                <w:rFonts w:cs="Times New Roman"/>
                <w:color w:val="000000" w:themeColor="text1"/>
                <w:szCs w:val="24"/>
              </w:rPr>
              <w:t>Family labour [   ]</w:t>
            </w:r>
          </w:p>
          <w:p w14:paraId="701B0151" w14:textId="77777777" w:rsidR="001B4ED5" w:rsidRPr="00895D0B" w:rsidRDefault="006B41C0">
            <w:pPr>
              <w:pStyle w:val="ListParagraph"/>
              <w:numPr>
                <w:ilvl w:val="0"/>
                <w:numId w:val="54"/>
              </w:numPr>
              <w:spacing w:line="240" w:lineRule="auto"/>
              <w:ind w:right="51"/>
              <w:rPr>
                <w:rFonts w:cs="Times New Roman"/>
                <w:color w:val="000000" w:themeColor="text1"/>
                <w:szCs w:val="24"/>
              </w:rPr>
            </w:pPr>
            <w:r w:rsidRPr="00895D0B">
              <w:rPr>
                <w:rFonts w:cs="Times New Roman"/>
                <w:color w:val="000000" w:themeColor="text1"/>
                <w:szCs w:val="24"/>
              </w:rPr>
              <w:t>Social labour [   ]</w:t>
            </w:r>
          </w:p>
          <w:p w14:paraId="570E7A55" w14:textId="77777777" w:rsidR="001B4ED5" w:rsidRPr="00895D0B" w:rsidRDefault="006B41C0">
            <w:pPr>
              <w:pStyle w:val="ListParagraph"/>
              <w:numPr>
                <w:ilvl w:val="0"/>
                <w:numId w:val="54"/>
              </w:numPr>
              <w:spacing w:line="240" w:lineRule="auto"/>
              <w:ind w:right="51"/>
              <w:rPr>
                <w:rFonts w:cs="Times New Roman"/>
                <w:color w:val="000000" w:themeColor="text1"/>
                <w:szCs w:val="24"/>
              </w:rPr>
            </w:pPr>
            <w:r w:rsidRPr="00895D0B">
              <w:rPr>
                <w:rFonts w:cs="Times New Roman"/>
                <w:color w:val="000000" w:themeColor="text1"/>
                <w:szCs w:val="24"/>
              </w:rPr>
              <w:lastRenderedPageBreak/>
              <w:t>Other specify …………………………………….</w:t>
            </w:r>
          </w:p>
        </w:tc>
        <w:tc>
          <w:tcPr>
            <w:tcW w:w="2693" w:type="dxa"/>
          </w:tcPr>
          <w:p w14:paraId="6177FD19" w14:textId="77777777" w:rsidR="001B4ED5" w:rsidRPr="00895D0B" w:rsidRDefault="001B4ED5">
            <w:pPr>
              <w:spacing w:line="240" w:lineRule="auto"/>
              <w:rPr>
                <w:rFonts w:cs="Times New Roman"/>
                <w:color w:val="000000" w:themeColor="text1"/>
                <w:szCs w:val="24"/>
              </w:rPr>
            </w:pPr>
          </w:p>
        </w:tc>
      </w:tr>
      <w:tr w:rsidR="00895D0B" w:rsidRPr="00895D0B" w14:paraId="6B426C39" w14:textId="77777777">
        <w:trPr>
          <w:trHeight w:val="669"/>
        </w:trPr>
        <w:tc>
          <w:tcPr>
            <w:tcW w:w="2486" w:type="dxa"/>
            <w:gridSpan w:val="3"/>
          </w:tcPr>
          <w:p w14:paraId="47E29F9A"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C16a:</w:t>
            </w:r>
            <w:r w:rsidRPr="00895D0B">
              <w:rPr>
                <w:rFonts w:cs="Times New Roman"/>
                <w:color w:val="000000" w:themeColor="text1"/>
                <w:szCs w:val="24"/>
              </w:rPr>
              <w:t xml:space="preserve"> If hired labour, how much do you spend per season?</w:t>
            </w:r>
          </w:p>
        </w:tc>
        <w:tc>
          <w:tcPr>
            <w:tcW w:w="3888" w:type="dxa"/>
            <w:gridSpan w:val="2"/>
          </w:tcPr>
          <w:p w14:paraId="5C11BE58" w14:textId="77777777" w:rsidR="001B4ED5" w:rsidRPr="00895D0B" w:rsidRDefault="001B4ED5">
            <w:pPr>
              <w:pStyle w:val="ListParagraph"/>
              <w:spacing w:line="240" w:lineRule="auto"/>
              <w:rPr>
                <w:rFonts w:cs="Times New Roman"/>
                <w:color w:val="000000" w:themeColor="text1"/>
                <w:szCs w:val="24"/>
              </w:rPr>
            </w:pPr>
          </w:p>
          <w:p w14:paraId="2FC02949" w14:textId="77777777" w:rsidR="001B4ED5" w:rsidRPr="00895D0B" w:rsidRDefault="006B41C0">
            <w:pPr>
              <w:pStyle w:val="ListParagraph"/>
              <w:spacing w:line="240" w:lineRule="auto"/>
              <w:rPr>
                <w:rFonts w:cs="Times New Roman"/>
                <w:color w:val="000000" w:themeColor="text1"/>
                <w:szCs w:val="24"/>
              </w:rPr>
            </w:pPr>
            <w:r w:rsidRPr="00895D0B">
              <w:rPr>
                <w:rFonts w:cs="Times New Roman"/>
                <w:color w:val="000000" w:themeColor="text1"/>
                <w:szCs w:val="24"/>
              </w:rPr>
              <w:t>…………………………..</w:t>
            </w:r>
          </w:p>
        </w:tc>
        <w:tc>
          <w:tcPr>
            <w:tcW w:w="2693" w:type="dxa"/>
          </w:tcPr>
          <w:p w14:paraId="79FC9DE6" w14:textId="77777777" w:rsidR="001B4ED5" w:rsidRPr="00895D0B" w:rsidRDefault="001B4ED5">
            <w:pPr>
              <w:spacing w:line="240" w:lineRule="auto"/>
              <w:rPr>
                <w:rFonts w:cs="Times New Roman"/>
                <w:color w:val="000000" w:themeColor="text1"/>
                <w:szCs w:val="24"/>
              </w:rPr>
            </w:pPr>
          </w:p>
        </w:tc>
      </w:tr>
      <w:tr w:rsidR="00895D0B" w:rsidRPr="00895D0B" w14:paraId="411A7593" w14:textId="77777777">
        <w:trPr>
          <w:trHeight w:val="467"/>
        </w:trPr>
        <w:tc>
          <w:tcPr>
            <w:tcW w:w="2486" w:type="dxa"/>
            <w:gridSpan w:val="3"/>
          </w:tcPr>
          <w:p w14:paraId="6E3EC7A8"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C17:</w:t>
            </w:r>
            <w:r w:rsidRPr="00895D0B">
              <w:rPr>
                <w:rFonts w:cs="Times New Roman"/>
                <w:color w:val="000000" w:themeColor="text1"/>
                <w:szCs w:val="24"/>
              </w:rPr>
              <w:t xml:space="preserve"> How much do you spend on inputs?</w:t>
            </w:r>
          </w:p>
        </w:tc>
        <w:tc>
          <w:tcPr>
            <w:tcW w:w="3888" w:type="dxa"/>
            <w:gridSpan w:val="2"/>
          </w:tcPr>
          <w:p w14:paraId="797E6918" w14:textId="77777777" w:rsidR="001B4ED5" w:rsidRPr="00895D0B" w:rsidRDefault="001B4ED5">
            <w:pPr>
              <w:spacing w:line="240" w:lineRule="auto"/>
              <w:ind w:right="51"/>
              <w:rPr>
                <w:rFonts w:cs="Times New Roman"/>
                <w:color w:val="000000" w:themeColor="text1"/>
                <w:szCs w:val="24"/>
              </w:rPr>
            </w:pPr>
          </w:p>
          <w:p w14:paraId="0192C1AC" w14:textId="77777777" w:rsidR="001B4ED5" w:rsidRPr="00895D0B" w:rsidRDefault="006B41C0">
            <w:pPr>
              <w:spacing w:line="240" w:lineRule="auto"/>
              <w:ind w:right="51"/>
              <w:rPr>
                <w:rFonts w:cs="Times New Roman"/>
                <w:color w:val="000000" w:themeColor="text1"/>
                <w:szCs w:val="24"/>
              </w:rPr>
            </w:pPr>
            <w:r w:rsidRPr="00895D0B">
              <w:rPr>
                <w:rFonts w:cs="Times New Roman"/>
                <w:color w:val="000000" w:themeColor="text1"/>
                <w:szCs w:val="24"/>
              </w:rPr>
              <w:t>………………………</w:t>
            </w:r>
          </w:p>
        </w:tc>
        <w:tc>
          <w:tcPr>
            <w:tcW w:w="2693" w:type="dxa"/>
          </w:tcPr>
          <w:p w14:paraId="761C9203" w14:textId="77777777" w:rsidR="001B4ED5" w:rsidRPr="00895D0B" w:rsidRDefault="001B4ED5">
            <w:pPr>
              <w:spacing w:line="240" w:lineRule="auto"/>
              <w:rPr>
                <w:rFonts w:cs="Times New Roman"/>
                <w:color w:val="000000" w:themeColor="text1"/>
                <w:szCs w:val="24"/>
              </w:rPr>
            </w:pPr>
          </w:p>
        </w:tc>
      </w:tr>
      <w:tr w:rsidR="00895D0B" w:rsidRPr="00895D0B" w14:paraId="71582440" w14:textId="77777777">
        <w:trPr>
          <w:trHeight w:val="906"/>
        </w:trPr>
        <w:tc>
          <w:tcPr>
            <w:tcW w:w="2486" w:type="dxa"/>
            <w:gridSpan w:val="3"/>
          </w:tcPr>
          <w:p w14:paraId="2F1D70C7"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C18:</w:t>
            </w:r>
            <w:r w:rsidRPr="00895D0B">
              <w:rPr>
                <w:rFonts w:cs="Times New Roman"/>
                <w:color w:val="000000" w:themeColor="text1"/>
                <w:szCs w:val="24"/>
              </w:rPr>
              <w:t xml:space="preserve"> What is the main purpose for cultivating crops in the urban area?</w:t>
            </w:r>
          </w:p>
        </w:tc>
        <w:tc>
          <w:tcPr>
            <w:tcW w:w="3888" w:type="dxa"/>
            <w:gridSpan w:val="2"/>
          </w:tcPr>
          <w:p w14:paraId="177C5D1C" w14:textId="77777777" w:rsidR="001B4ED5" w:rsidRPr="00895D0B" w:rsidRDefault="006B41C0">
            <w:pPr>
              <w:pStyle w:val="ListParagraph"/>
              <w:numPr>
                <w:ilvl w:val="0"/>
                <w:numId w:val="55"/>
              </w:numPr>
              <w:spacing w:line="240" w:lineRule="auto"/>
              <w:jc w:val="left"/>
              <w:rPr>
                <w:rFonts w:cs="Times New Roman"/>
                <w:color w:val="000000" w:themeColor="text1"/>
                <w:szCs w:val="24"/>
              </w:rPr>
            </w:pPr>
            <w:r w:rsidRPr="00895D0B">
              <w:rPr>
                <w:rFonts w:cs="Times New Roman"/>
                <w:color w:val="000000" w:themeColor="text1"/>
                <w:szCs w:val="24"/>
              </w:rPr>
              <w:t>For sale only [   ]</w:t>
            </w:r>
          </w:p>
          <w:p w14:paraId="190CB458" w14:textId="77777777" w:rsidR="001B4ED5" w:rsidRPr="00895D0B" w:rsidRDefault="006B41C0">
            <w:pPr>
              <w:pStyle w:val="ListParagraph"/>
              <w:numPr>
                <w:ilvl w:val="0"/>
                <w:numId w:val="56"/>
              </w:numPr>
              <w:spacing w:line="240" w:lineRule="auto"/>
              <w:ind w:right="51"/>
              <w:rPr>
                <w:rFonts w:cs="Times New Roman"/>
                <w:color w:val="000000" w:themeColor="text1"/>
                <w:szCs w:val="24"/>
              </w:rPr>
            </w:pPr>
            <w:r w:rsidRPr="00895D0B">
              <w:rPr>
                <w:rFonts w:cs="Times New Roman"/>
                <w:color w:val="000000" w:themeColor="text1"/>
                <w:szCs w:val="24"/>
              </w:rPr>
              <w:t>For consumption only [   ]</w:t>
            </w:r>
          </w:p>
          <w:p w14:paraId="176F5E27" w14:textId="77777777" w:rsidR="001B4ED5" w:rsidRPr="00895D0B" w:rsidRDefault="006B41C0">
            <w:pPr>
              <w:pStyle w:val="ListParagraph"/>
              <w:numPr>
                <w:ilvl w:val="0"/>
                <w:numId w:val="56"/>
              </w:numPr>
              <w:spacing w:line="240" w:lineRule="auto"/>
              <w:ind w:right="51"/>
              <w:rPr>
                <w:rFonts w:cs="Times New Roman"/>
                <w:color w:val="000000" w:themeColor="text1"/>
                <w:szCs w:val="24"/>
              </w:rPr>
            </w:pPr>
            <w:r w:rsidRPr="00895D0B">
              <w:rPr>
                <w:rFonts w:cs="Times New Roman"/>
                <w:color w:val="000000" w:themeColor="text1"/>
                <w:szCs w:val="24"/>
              </w:rPr>
              <w:t>For consumption with minimal sales [   ]</w:t>
            </w:r>
          </w:p>
        </w:tc>
        <w:tc>
          <w:tcPr>
            <w:tcW w:w="2693" w:type="dxa"/>
          </w:tcPr>
          <w:p w14:paraId="267BAAE7" w14:textId="77777777" w:rsidR="001B4ED5" w:rsidRPr="00895D0B" w:rsidRDefault="001B4ED5">
            <w:pPr>
              <w:spacing w:line="240" w:lineRule="auto"/>
              <w:rPr>
                <w:rFonts w:cs="Times New Roman"/>
                <w:color w:val="000000" w:themeColor="text1"/>
                <w:szCs w:val="24"/>
              </w:rPr>
            </w:pPr>
          </w:p>
        </w:tc>
      </w:tr>
      <w:tr w:rsidR="00895D0B" w:rsidRPr="00895D0B" w14:paraId="72F733BC" w14:textId="77777777">
        <w:trPr>
          <w:trHeight w:val="906"/>
        </w:trPr>
        <w:tc>
          <w:tcPr>
            <w:tcW w:w="2486" w:type="dxa"/>
            <w:gridSpan w:val="3"/>
          </w:tcPr>
          <w:p w14:paraId="5D739E43"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C18a:</w:t>
            </w:r>
            <w:r w:rsidRPr="00895D0B">
              <w:rPr>
                <w:rFonts w:cs="Times New Roman"/>
                <w:color w:val="000000" w:themeColor="text1"/>
                <w:szCs w:val="24"/>
              </w:rPr>
              <w:t xml:space="preserve"> If option 1 or 3 in Q 17, how much do you get per season? </w:t>
            </w:r>
          </w:p>
        </w:tc>
        <w:tc>
          <w:tcPr>
            <w:tcW w:w="3888" w:type="dxa"/>
            <w:gridSpan w:val="2"/>
          </w:tcPr>
          <w:p w14:paraId="378B69A6" w14:textId="77777777" w:rsidR="001B4ED5" w:rsidRPr="00895D0B" w:rsidRDefault="001B4ED5">
            <w:pPr>
              <w:spacing w:line="240" w:lineRule="auto"/>
              <w:ind w:right="51"/>
              <w:rPr>
                <w:rFonts w:cs="Times New Roman"/>
                <w:color w:val="000000" w:themeColor="text1"/>
                <w:szCs w:val="24"/>
              </w:rPr>
            </w:pPr>
          </w:p>
          <w:p w14:paraId="7A60E210" w14:textId="77777777" w:rsidR="001B4ED5" w:rsidRPr="00895D0B" w:rsidRDefault="006B41C0">
            <w:pPr>
              <w:spacing w:line="240" w:lineRule="auto"/>
              <w:ind w:right="51"/>
              <w:rPr>
                <w:rFonts w:cs="Times New Roman"/>
                <w:color w:val="000000" w:themeColor="text1"/>
                <w:szCs w:val="24"/>
              </w:rPr>
            </w:pPr>
            <w:r w:rsidRPr="00895D0B">
              <w:rPr>
                <w:rFonts w:cs="Times New Roman"/>
                <w:color w:val="000000" w:themeColor="text1"/>
                <w:szCs w:val="24"/>
              </w:rPr>
              <w:t>………………..</w:t>
            </w:r>
          </w:p>
        </w:tc>
        <w:tc>
          <w:tcPr>
            <w:tcW w:w="2693" w:type="dxa"/>
          </w:tcPr>
          <w:p w14:paraId="71CD7B11" w14:textId="77777777" w:rsidR="001B4ED5" w:rsidRPr="00895D0B" w:rsidRDefault="001B4ED5">
            <w:pPr>
              <w:spacing w:line="240" w:lineRule="auto"/>
              <w:rPr>
                <w:rFonts w:cs="Times New Roman"/>
                <w:color w:val="000000" w:themeColor="text1"/>
                <w:szCs w:val="24"/>
              </w:rPr>
            </w:pPr>
          </w:p>
        </w:tc>
      </w:tr>
      <w:tr w:rsidR="00895D0B" w:rsidRPr="00895D0B" w14:paraId="4A8E6C2F" w14:textId="77777777">
        <w:trPr>
          <w:trHeight w:val="2340"/>
        </w:trPr>
        <w:tc>
          <w:tcPr>
            <w:tcW w:w="2486" w:type="dxa"/>
            <w:gridSpan w:val="3"/>
          </w:tcPr>
          <w:p w14:paraId="1088972E"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C19:</w:t>
            </w:r>
            <w:r w:rsidRPr="00895D0B">
              <w:rPr>
                <w:rFonts w:cs="Times New Roman"/>
                <w:color w:val="000000" w:themeColor="text1"/>
                <w:szCs w:val="24"/>
              </w:rPr>
              <w:t xml:space="preserve"> What type of animals do you rear? (</w:t>
            </w:r>
            <w:r w:rsidRPr="00895D0B">
              <w:rPr>
                <w:rFonts w:cs="Times New Roman"/>
                <w:b/>
                <w:i/>
                <w:color w:val="000000" w:themeColor="text1"/>
                <w:szCs w:val="24"/>
              </w:rPr>
              <w:t>tick as many as possible</w:t>
            </w:r>
            <w:r w:rsidRPr="00895D0B">
              <w:rPr>
                <w:rFonts w:cs="Times New Roman"/>
                <w:color w:val="000000" w:themeColor="text1"/>
                <w:szCs w:val="24"/>
              </w:rPr>
              <w:t>)</w:t>
            </w:r>
          </w:p>
        </w:tc>
        <w:tc>
          <w:tcPr>
            <w:tcW w:w="3888" w:type="dxa"/>
            <w:gridSpan w:val="2"/>
          </w:tcPr>
          <w:p w14:paraId="631C7821" w14:textId="77777777" w:rsidR="001B4ED5" w:rsidRPr="00895D0B" w:rsidRDefault="006B41C0">
            <w:pPr>
              <w:pStyle w:val="ListParagraph"/>
              <w:numPr>
                <w:ilvl w:val="0"/>
                <w:numId w:val="57"/>
              </w:numPr>
              <w:spacing w:line="240" w:lineRule="auto"/>
              <w:jc w:val="left"/>
              <w:rPr>
                <w:rFonts w:cs="Times New Roman"/>
                <w:color w:val="000000" w:themeColor="text1"/>
                <w:szCs w:val="24"/>
              </w:rPr>
            </w:pPr>
            <w:r w:rsidRPr="00895D0B">
              <w:rPr>
                <w:rFonts w:cs="Times New Roman"/>
                <w:color w:val="000000" w:themeColor="text1"/>
                <w:szCs w:val="24"/>
              </w:rPr>
              <w:t>Chicken [   ]</w:t>
            </w:r>
          </w:p>
          <w:p w14:paraId="56398193" w14:textId="77777777" w:rsidR="001B4ED5" w:rsidRPr="00895D0B" w:rsidRDefault="006B41C0">
            <w:pPr>
              <w:pStyle w:val="ListParagraph"/>
              <w:numPr>
                <w:ilvl w:val="0"/>
                <w:numId w:val="58"/>
              </w:numPr>
              <w:spacing w:line="240" w:lineRule="auto"/>
              <w:jc w:val="left"/>
              <w:rPr>
                <w:rFonts w:cs="Times New Roman"/>
                <w:color w:val="000000" w:themeColor="text1"/>
                <w:szCs w:val="24"/>
              </w:rPr>
            </w:pPr>
            <w:r w:rsidRPr="00895D0B">
              <w:rPr>
                <w:rFonts w:cs="Times New Roman"/>
                <w:color w:val="000000" w:themeColor="text1"/>
                <w:szCs w:val="24"/>
              </w:rPr>
              <w:t>Guinea fowls [   ]</w:t>
            </w:r>
          </w:p>
          <w:p w14:paraId="772CBA58" w14:textId="77777777" w:rsidR="001B4ED5" w:rsidRPr="00895D0B" w:rsidRDefault="006B41C0">
            <w:pPr>
              <w:pStyle w:val="ListParagraph"/>
              <w:numPr>
                <w:ilvl w:val="0"/>
                <w:numId w:val="58"/>
              </w:numPr>
              <w:spacing w:line="240" w:lineRule="auto"/>
              <w:jc w:val="left"/>
              <w:rPr>
                <w:rFonts w:cs="Times New Roman"/>
                <w:color w:val="000000" w:themeColor="text1"/>
                <w:szCs w:val="24"/>
              </w:rPr>
            </w:pPr>
            <w:r w:rsidRPr="00895D0B">
              <w:rPr>
                <w:rFonts w:cs="Times New Roman"/>
                <w:color w:val="000000" w:themeColor="text1"/>
                <w:szCs w:val="24"/>
              </w:rPr>
              <w:t>Ducks [   ]</w:t>
            </w:r>
          </w:p>
          <w:p w14:paraId="09F5A8ED" w14:textId="77777777" w:rsidR="001B4ED5" w:rsidRPr="00895D0B" w:rsidRDefault="006B41C0">
            <w:pPr>
              <w:pStyle w:val="ListParagraph"/>
              <w:numPr>
                <w:ilvl w:val="0"/>
                <w:numId w:val="58"/>
              </w:numPr>
              <w:spacing w:line="240" w:lineRule="auto"/>
              <w:jc w:val="left"/>
              <w:rPr>
                <w:rFonts w:cs="Times New Roman"/>
                <w:color w:val="000000" w:themeColor="text1"/>
                <w:szCs w:val="24"/>
              </w:rPr>
            </w:pPr>
            <w:r w:rsidRPr="00895D0B">
              <w:rPr>
                <w:rFonts w:cs="Times New Roman"/>
                <w:color w:val="000000" w:themeColor="text1"/>
                <w:szCs w:val="24"/>
              </w:rPr>
              <w:t>Turkeys [   ]</w:t>
            </w:r>
          </w:p>
          <w:p w14:paraId="305E2F64" w14:textId="77777777" w:rsidR="001B4ED5" w:rsidRPr="00895D0B" w:rsidRDefault="006B41C0">
            <w:pPr>
              <w:pStyle w:val="ListParagraph"/>
              <w:numPr>
                <w:ilvl w:val="0"/>
                <w:numId w:val="58"/>
              </w:numPr>
              <w:spacing w:line="240" w:lineRule="auto"/>
              <w:jc w:val="left"/>
              <w:rPr>
                <w:rFonts w:cs="Times New Roman"/>
                <w:color w:val="000000" w:themeColor="text1"/>
                <w:szCs w:val="24"/>
              </w:rPr>
            </w:pPr>
            <w:r w:rsidRPr="00895D0B">
              <w:rPr>
                <w:rFonts w:cs="Times New Roman"/>
                <w:color w:val="000000" w:themeColor="text1"/>
                <w:szCs w:val="24"/>
              </w:rPr>
              <w:t>Goats [   ]</w:t>
            </w:r>
          </w:p>
          <w:p w14:paraId="284CD803" w14:textId="77777777" w:rsidR="001B4ED5" w:rsidRPr="00895D0B" w:rsidRDefault="006B41C0">
            <w:pPr>
              <w:pStyle w:val="ListParagraph"/>
              <w:numPr>
                <w:ilvl w:val="0"/>
                <w:numId w:val="58"/>
              </w:numPr>
              <w:spacing w:line="240" w:lineRule="auto"/>
              <w:jc w:val="left"/>
              <w:rPr>
                <w:rFonts w:cs="Times New Roman"/>
                <w:color w:val="000000" w:themeColor="text1"/>
                <w:szCs w:val="24"/>
              </w:rPr>
            </w:pPr>
            <w:r w:rsidRPr="00895D0B">
              <w:rPr>
                <w:rFonts w:cs="Times New Roman"/>
                <w:color w:val="000000" w:themeColor="text1"/>
                <w:szCs w:val="24"/>
              </w:rPr>
              <w:t>Sheep [   ]</w:t>
            </w:r>
          </w:p>
          <w:p w14:paraId="2707A5E9" w14:textId="77777777" w:rsidR="001B4ED5" w:rsidRPr="00895D0B" w:rsidRDefault="006B41C0">
            <w:pPr>
              <w:pStyle w:val="ListParagraph"/>
              <w:numPr>
                <w:ilvl w:val="0"/>
                <w:numId w:val="58"/>
              </w:numPr>
              <w:spacing w:line="240" w:lineRule="auto"/>
              <w:jc w:val="left"/>
              <w:rPr>
                <w:rFonts w:cs="Times New Roman"/>
                <w:color w:val="000000" w:themeColor="text1"/>
                <w:szCs w:val="24"/>
              </w:rPr>
            </w:pPr>
            <w:r w:rsidRPr="00895D0B">
              <w:rPr>
                <w:rFonts w:cs="Times New Roman"/>
                <w:color w:val="000000" w:themeColor="text1"/>
                <w:szCs w:val="24"/>
              </w:rPr>
              <w:t>Cattle [   ]</w:t>
            </w:r>
          </w:p>
          <w:p w14:paraId="6B74A5AC" w14:textId="77777777" w:rsidR="001B4ED5" w:rsidRPr="00895D0B" w:rsidRDefault="006B41C0">
            <w:pPr>
              <w:pStyle w:val="ListParagraph"/>
              <w:numPr>
                <w:ilvl w:val="0"/>
                <w:numId w:val="58"/>
              </w:numPr>
              <w:spacing w:line="240" w:lineRule="auto"/>
              <w:jc w:val="left"/>
              <w:rPr>
                <w:rFonts w:cs="Times New Roman"/>
                <w:color w:val="000000" w:themeColor="text1"/>
                <w:szCs w:val="24"/>
              </w:rPr>
            </w:pPr>
            <w:r w:rsidRPr="00895D0B">
              <w:rPr>
                <w:rFonts w:cs="Times New Roman"/>
                <w:color w:val="000000" w:themeColor="text1"/>
                <w:szCs w:val="24"/>
              </w:rPr>
              <w:t>Pigs [   ]</w:t>
            </w:r>
          </w:p>
          <w:p w14:paraId="7504A301" w14:textId="77777777" w:rsidR="001B4ED5" w:rsidRPr="00895D0B" w:rsidRDefault="006B41C0">
            <w:pPr>
              <w:pStyle w:val="ListParagraph"/>
              <w:numPr>
                <w:ilvl w:val="0"/>
                <w:numId w:val="58"/>
              </w:numPr>
              <w:spacing w:line="240" w:lineRule="auto"/>
              <w:jc w:val="left"/>
              <w:rPr>
                <w:rFonts w:cs="Times New Roman"/>
                <w:color w:val="000000" w:themeColor="text1"/>
                <w:szCs w:val="24"/>
              </w:rPr>
            </w:pPr>
            <w:r w:rsidRPr="00895D0B">
              <w:rPr>
                <w:rFonts w:cs="Times New Roman"/>
                <w:color w:val="000000" w:themeColor="text1"/>
                <w:szCs w:val="24"/>
              </w:rPr>
              <w:t>Others, specify ……………………………….</w:t>
            </w:r>
          </w:p>
        </w:tc>
        <w:tc>
          <w:tcPr>
            <w:tcW w:w="2693" w:type="dxa"/>
          </w:tcPr>
          <w:p w14:paraId="4DEE5061" w14:textId="77777777" w:rsidR="001B4ED5" w:rsidRPr="00895D0B" w:rsidRDefault="001B4ED5">
            <w:pPr>
              <w:spacing w:line="240" w:lineRule="auto"/>
              <w:rPr>
                <w:rFonts w:cs="Times New Roman"/>
                <w:color w:val="000000" w:themeColor="text1"/>
                <w:szCs w:val="24"/>
              </w:rPr>
            </w:pPr>
          </w:p>
        </w:tc>
      </w:tr>
      <w:tr w:rsidR="00895D0B" w:rsidRPr="00895D0B" w14:paraId="46972321" w14:textId="77777777">
        <w:trPr>
          <w:trHeight w:val="558"/>
        </w:trPr>
        <w:tc>
          <w:tcPr>
            <w:tcW w:w="2486" w:type="dxa"/>
            <w:gridSpan w:val="3"/>
          </w:tcPr>
          <w:p w14:paraId="54D923D6" w14:textId="77777777" w:rsidR="001B4ED5" w:rsidRPr="00895D0B" w:rsidRDefault="006B41C0">
            <w:pPr>
              <w:spacing w:line="240" w:lineRule="auto"/>
              <w:jc w:val="left"/>
              <w:rPr>
                <w:rFonts w:cs="Times New Roman"/>
                <w:b/>
                <w:color w:val="000000" w:themeColor="text1"/>
                <w:szCs w:val="24"/>
              </w:rPr>
            </w:pPr>
            <w:r w:rsidRPr="00895D0B">
              <w:rPr>
                <w:rFonts w:cs="Times New Roman"/>
                <w:b/>
                <w:color w:val="000000" w:themeColor="text1"/>
                <w:szCs w:val="24"/>
              </w:rPr>
              <w:t>C20:</w:t>
            </w:r>
            <w:r w:rsidRPr="00895D0B">
              <w:rPr>
                <w:rFonts w:cs="Times New Roman"/>
                <w:color w:val="000000" w:themeColor="text1"/>
                <w:szCs w:val="24"/>
              </w:rPr>
              <w:t xml:space="preserve"> What is the size of your plot for rearing?</w:t>
            </w:r>
          </w:p>
        </w:tc>
        <w:tc>
          <w:tcPr>
            <w:tcW w:w="3888" w:type="dxa"/>
            <w:gridSpan w:val="2"/>
          </w:tcPr>
          <w:p w14:paraId="29409DA3" w14:textId="77777777" w:rsidR="001B4ED5" w:rsidRPr="00895D0B" w:rsidRDefault="001B4ED5">
            <w:pPr>
              <w:spacing w:line="240" w:lineRule="auto"/>
              <w:rPr>
                <w:rFonts w:cs="Times New Roman"/>
                <w:color w:val="000000" w:themeColor="text1"/>
                <w:szCs w:val="24"/>
              </w:rPr>
            </w:pPr>
          </w:p>
          <w:p w14:paraId="2EEC4856"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t>
            </w:r>
          </w:p>
        </w:tc>
        <w:tc>
          <w:tcPr>
            <w:tcW w:w="2693" w:type="dxa"/>
          </w:tcPr>
          <w:p w14:paraId="399FE814" w14:textId="77777777" w:rsidR="001B4ED5" w:rsidRPr="00895D0B" w:rsidRDefault="001B4ED5">
            <w:pPr>
              <w:spacing w:line="240" w:lineRule="auto"/>
              <w:rPr>
                <w:rFonts w:cs="Times New Roman"/>
                <w:color w:val="000000" w:themeColor="text1"/>
                <w:szCs w:val="24"/>
              </w:rPr>
            </w:pPr>
          </w:p>
        </w:tc>
      </w:tr>
      <w:tr w:rsidR="00895D0B" w:rsidRPr="00895D0B" w14:paraId="0DB27822" w14:textId="77777777">
        <w:trPr>
          <w:trHeight w:val="151"/>
        </w:trPr>
        <w:tc>
          <w:tcPr>
            <w:tcW w:w="2486" w:type="dxa"/>
            <w:gridSpan w:val="3"/>
          </w:tcPr>
          <w:p w14:paraId="2F2B76FD"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C21:</w:t>
            </w:r>
            <w:r w:rsidRPr="00895D0B">
              <w:rPr>
                <w:rFonts w:cs="Times New Roman"/>
                <w:color w:val="000000" w:themeColor="text1"/>
                <w:szCs w:val="24"/>
              </w:rPr>
              <w:t xml:space="preserve"> How do you keep your animals? </w:t>
            </w:r>
          </w:p>
        </w:tc>
        <w:tc>
          <w:tcPr>
            <w:tcW w:w="3888" w:type="dxa"/>
            <w:gridSpan w:val="2"/>
          </w:tcPr>
          <w:p w14:paraId="3180A51F" w14:textId="77777777" w:rsidR="001B4ED5" w:rsidRPr="00895D0B" w:rsidRDefault="006B41C0">
            <w:pPr>
              <w:pStyle w:val="ListParagraph"/>
              <w:numPr>
                <w:ilvl w:val="0"/>
                <w:numId w:val="59"/>
              </w:numPr>
              <w:spacing w:line="240" w:lineRule="auto"/>
              <w:jc w:val="left"/>
              <w:rPr>
                <w:rFonts w:cs="Times New Roman"/>
                <w:color w:val="000000" w:themeColor="text1"/>
                <w:szCs w:val="24"/>
              </w:rPr>
            </w:pPr>
            <w:r w:rsidRPr="00895D0B">
              <w:rPr>
                <w:rFonts w:cs="Times New Roman"/>
                <w:color w:val="000000" w:themeColor="text1"/>
                <w:szCs w:val="24"/>
              </w:rPr>
              <w:t>Intensive [   ]</w:t>
            </w:r>
          </w:p>
          <w:p w14:paraId="2F4B6E9B" w14:textId="77777777" w:rsidR="001B4ED5" w:rsidRPr="00895D0B" w:rsidRDefault="006B41C0">
            <w:pPr>
              <w:pStyle w:val="ListParagraph"/>
              <w:numPr>
                <w:ilvl w:val="0"/>
                <w:numId w:val="60"/>
              </w:numPr>
              <w:spacing w:line="240" w:lineRule="auto"/>
              <w:jc w:val="left"/>
              <w:rPr>
                <w:rFonts w:cs="Times New Roman"/>
                <w:color w:val="000000" w:themeColor="text1"/>
                <w:szCs w:val="24"/>
              </w:rPr>
            </w:pPr>
            <w:r w:rsidRPr="00895D0B">
              <w:rPr>
                <w:rFonts w:cs="Times New Roman"/>
                <w:color w:val="000000" w:themeColor="text1"/>
                <w:szCs w:val="24"/>
              </w:rPr>
              <w:t>Semi-intensive [   ]</w:t>
            </w:r>
          </w:p>
          <w:p w14:paraId="7BDEE9B3" w14:textId="77777777" w:rsidR="001B4ED5" w:rsidRPr="00895D0B" w:rsidRDefault="006B41C0">
            <w:pPr>
              <w:pStyle w:val="ListParagraph"/>
              <w:numPr>
                <w:ilvl w:val="0"/>
                <w:numId w:val="60"/>
              </w:numPr>
              <w:spacing w:line="240" w:lineRule="auto"/>
              <w:jc w:val="left"/>
              <w:rPr>
                <w:rFonts w:cs="Times New Roman"/>
                <w:color w:val="000000" w:themeColor="text1"/>
                <w:szCs w:val="24"/>
              </w:rPr>
            </w:pPr>
            <w:r w:rsidRPr="00895D0B">
              <w:rPr>
                <w:rFonts w:cs="Times New Roman"/>
                <w:color w:val="000000" w:themeColor="text1"/>
                <w:szCs w:val="24"/>
              </w:rPr>
              <w:t>Free range [   ]</w:t>
            </w:r>
          </w:p>
        </w:tc>
        <w:tc>
          <w:tcPr>
            <w:tcW w:w="2693" w:type="dxa"/>
          </w:tcPr>
          <w:p w14:paraId="31B87D7A" w14:textId="77777777" w:rsidR="001B4ED5" w:rsidRPr="00895D0B" w:rsidRDefault="001B4ED5">
            <w:pPr>
              <w:spacing w:line="240" w:lineRule="auto"/>
              <w:rPr>
                <w:rFonts w:cs="Times New Roman"/>
                <w:color w:val="000000" w:themeColor="text1"/>
                <w:szCs w:val="24"/>
              </w:rPr>
            </w:pPr>
          </w:p>
        </w:tc>
      </w:tr>
      <w:tr w:rsidR="00895D0B" w:rsidRPr="00895D0B" w14:paraId="534083CD" w14:textId="77777777">
        <w:trPr>
          <w:trHeight w:val="151"/>
        </w:trPr>
        <w:tc>
          <w:tcPr>
            <w:tcW w:w="2486" w:type="dxa"/>
            <w:gridSpan w:val="3"/>
          </w:tcPr>
          <w:p w14:paraId="12B7566B"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C22:</w:t>
            </w:r>
            <w:r w:rsidRPr="00895D0B">
              <w:rPr>
                <w:rFonts w:cs="Times New Roman"/>
                <w:color w:val="000000" w:themeColor="text1"/>
                <w:szCs w:val="24"/>
              </w:rPr>
              <w:t xml:space="preserve"> Do you house your animals separately? </w:t>
            </w:r>
          </w:p>
        </w:tc>
        <w:tc>
          <w:tcPr>
            <w:tcW w:w="3888" w:type="dxa"/>
            <w:gridSpan w:val="2"/>
          </w:tcPr>
          <w:p w14:paraId="1E7B04D7" w14:textId="77777777" w:rsidR="001B4ED5" w:rsidRPr="00895D0B" w:rsidRDefault="006B41C0">
            <w:pPr>
              <w:pStyle w:val="ListParagraph"/>
              <w:numPr>
                <w:ilvl w:val="0"/>
                <w:numId w:val="61"/>
              </w:numPr>
              <w:spacing w:line="240" w:lineRule="auto"/>
              <w:jc w:val="left"/>
              <w:rPr>
                <w:rFonts w:cs="Times New Roman"/>
                <w:color w:val="000000" w:themeColor="text1"/>
                <w:szCs w:val="24"/>
              </w:rPr>
            </w:pPr>
            <w:r w:rsidRPr="00895D0B">
              <w:rPr>
                <w:rFonts w:cs="Times New Roman"/>
                <w:color w:val="000000" w:themeColor="text1"/>
                <w:szCs w:val="24"/>
              </w:rPr>
              <w:t>Yes [   ]</w:t>
            </w:r>
          </w:p>
          <w:p w14:paraId="707567E5" w14:textId="77777777" w:rsidR="001B4ED5" w:rsidRPr="00895D0B" w:rsidRDefault="006B41C0">
            <w:pPr>
              <w:pStyle w:val="ListParagraph"/>
              <w:numPr>
                <w:ilvl w:val="0"/>
                <w:numId w:val="62"/>
              </w:numPr>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tcPr>
          <w:p w14:paraId="631FBA72" w14:textId="77777777" w:rsidR="001B4ED5" w:rsidRPr="00895D0B" w:rsidRDefault="001B4ED5">
            <w:pPr>
              <w:spacing w:line="240" w:lineRule="auto"/>
              <w:rPr>
                <w:rFonts w:cs="Times New Roman"/>
                <w:color w:val="000000" w:themeColor="text1"/>
                <w:szCs w:val="24"/>
              </w:rPr>
            </w:pPr>
          </w:p>
        </w:tc>
      </w:tr>
      <w:tr w:rsidR="00895D0B" w:rsidRPr="00895D0B" w14:paraId="1E53A57F" w14:textId="77777777">
        <w:trPr>
          <w:trHeight w:val="585"/>
        </w:trPr>
        <w:tc>
          <w:tcPr>
            <w:tcW w:w="2486" w:type="dxa"/>
            <w:gridSpan w:val="3"/>
          </w:tcPr>
          <w:p w14:paraId="6D0D27E3"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C22a:</w:t>
            </w:r>
            <w:r w:rsidRPr="00895D0B">
              <w:rPr>
                <w:rFonts w:cs="Times New Roman"/>
                <w:color w:val="000000" w:themeColor="text1"/>
                <w:szCs w:val="24"/>
              </w:rPr>
              <w:t xml:space="preserve"> If yes, what unit do you house poultry?</w:t>
            </w:r>
          </w:p>
        </w:tc>
        <w:tc>
          <w:tcPr>
            <w:tcW w:w="3888" w:type="dxa"/>
            <w:gridSpan w:val="2"/>
          </w:tcPr>
          <w:p w14:paraId="2CC01631" w14:textId="77777777" w:rsidR="001B4ED5" w:rsidRPr="00895D0B" w:rsidRDefault="006B41C0">
            <w:pPr>
              <w:pStyle w:val="ListParagraph"/>
              <w:numPr>
                <w:ilvl w:val="0"/>
                <w:numId w:val="63"/>
              </w:numPr>
              <w:spacing w:line="240" w:lineRule="auto"/>
              <w:jc w:val="left"/>
              <w:rPr>
                <w:rFonts w:cs="Times New Roman"/>
                <w:color w:val="000000" w:themeColor="text1"/>
                <w:szCs w:val="24"/>
              </w:rPr>
            </w:pPr>
            <w:r w:rsidRPr="00895D0B">
              <w:rPr>
                <w:rFonts w:cs="Times New Roman"/>
                <w:color w:val="000000" w:themeColor="text1"/>
                <w:szCs w:val="24"/>
              </w:rPr>
              <w:t>Bricks/Blocks Built unit [   ]</w:t>
            </w:r>
          </w:p>
          <w:p w14:paraId="602030D6" w14:textId="77777777" w:rsidR="001B4ED5" w:rsidRPr="00895D0B" w:rsidRDefault="006B41C0">
            <w:pPr>
              <w:pStyle w:val="ListParagraph"/>
              <w:numPr>
                <w:ilvl w:val="0"/>
                <w:numId w:val="64"/>
              </w:numPr>
              <w:spacing w:line="240" w:lineRule="auto"/>
              <w:jc w:val="left"/>
              <w:rPr>
                <w:rFonts w:cs="Times New Roman"/>
                <w:color w:val="000000" w:themeColor="text1"/>
                <w:szCs w:val="24"/>
              </w:rPr>
            </w:pPr>
            <w:r w:rsidRPr="00895D0B">
              <w:rPr>
                <w:rFonts w:cs="Times New Roman"/>
                <w:color w:val="000000" w:themeColor="text1"/>
                <w:szCs w:val="24"/>
              </w:rPr>
              <w:t>Wooden structure [   ]</w:t>
            </w:r>
          </w:p>
          <w:p w14:paraId="4DFE762E" w14:textId="77777777" w:rsidR="001B4ED5" w:rsidRPr="00895D0B" w:rsidRDefault="006B41C0">
            <w:pPr>
              <w:pStyle w:val="ListParagraph"/>
              <w:numPr>
                <w:ilvl w:val="0"/>
                <w:numId w:val="64"/>
              </w:numPr>
              <w:spacing w:line="240" w:lineRule="auto"/>
              <w:jc w:val="left"/>
              <w:rPr>
                <w:rFonts w:cs="Times New Roman"/>
                <w:color w:val="000000" w:themeColor="text1"/>
                <w:szCs w:val="24"/>
              </w:rPr>
            </w:pPr>
            <w:r w:rsidRPr="00895D0B">
              <w:rPr>
                <w:rFonts w:cs="Times New Roman"/>
                <w:color w:val="000000" w:themeColor="text1"/>
                <w:szCs w:val="24"/>
              </w:rPr>
              <w:t>Open space [   ]</w:t>
            </w:r>
          </w:p>
          <w:p w14:paraId="3608A6E4" w14:textId="77777777" w:rsidR="001B4ED5" w:rsidRPr="00895D0B" w:rsidRDefault="006B41C0">
            <w:pPr>
              <w:pStyle w:val="ListParagraph"/>
              <w:numPr>
                <w:ilvl w:val="0"/>
                <w:numId w:val="64"/>
              </w:numPr>
              <w:spacing w:line="240" w:lineRule="auto"/>
              <w:jc w:val="left"/>
              <w:rPr>
                <w:rFonts w:cs="Times New Roman"/>
                <w:color w:val="000000" w:themeColor="text1"/>
                <w:szCs w:val="24"/>
              </w:rPr>
            </w:pPr>
            <w:r w:rsidRPr="00895D0B">
              <w:rPr>
                <w:rFonts w:cs="Times New Roman"/>
                <w:color w:val="000000" w:themeColor="text1"/>
                <w:szCs w:val="24"/>
              </w:rPr>
              <w:t xml:space="preserve">Others, specify </w:t>
            </w:r>
          </w:p>
        </w:tc>
        <w:tc>
          <w:tcPr>
            <w:tcW w:w="2693" w:type="dxa"/>
          </w:tcPr>
          <w:p w14:paraId="04F74D0D" w14:textId="77777777" w:rsidR="001B4ED5" w:rsidRPr="00895D0B" w:rsidRDefault="001B4ED5">
            <w:pPr>
              <w:spacing w:line="240" w:lineRule="auto"/>
              <w:rPr>
                <w:rFonts w:cs="Times New Roman"/>
                <w:color w:val="000000" w:themeColor="text1"/>
                <w:szCs w:val="24"/>
              </w:rPr>
            </w:pPr>
          </w:p>
        </w:tc>
      </w:tr>
      <w:tr w:rsidR="00895D0B" w:rsidRPr="00895D0B" w14:paraId="4FA7F125" w14:textId="77777777">
        <w:trPr>
          <w:trHeight w:val="285"/>
        </w:trPr>
        <w:tc>
          <w:tcPr>
            <w:tcW w:w="2486" w:type="dxa"/>
            <w:gridSpan w:val="3"/>
          </w:tcPr>
          <w:p w14:paraId="0A00AE57"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C22b:</w:t>
            </w:r>
            <w:r w:rsidRPr="00895D0B">
              <w:rPr>
                <w:rFonts w:cs="Times New Roman"/>
                <w:color w:val="000000" w:themeColor="text1"/>
                <w:szCs w:val="24"/>
              </w:rPr>
              <w:t xml:space="preserve"> If yes, what unit do you house ruminants?</w:t>
            </w:r>
          </w:p>
        </w:tc>
        <w:tc>
          <w:tcPr>
            <w:tcW w:w="3888" w:type="dxa"/>
            <w:gridSpan w:val="2"/>
          </w:tcPr>
          <w:p w14:paraId="572CF1BB" w14:textId="77777777" w:rsidR="001B4ED5" w:rsidRPr="00895D0B" w:rsidRDefault="006B41C0">
            <w:pPr>
              <w:pStyle w:val="ListParagraph"/>
              <w:numPr>
                <w:ilvl w:val="0"/>
                <w:numId w:val="65"/>
              </w:numPr>
              <w:spacing w:line="240" w:lineRule="auto"/>
              <w:jc w:val="left"/>
              <w:rPr>
                <w:rFonts w:cs="Times New Roman"/>
                <w:color w:val="000000" w:themeColor="text1"/>
                <w:szCs w:val="24"/>
              </w:rPr>
            </w:pPr>
            <w:r w:rsidRPr="00895D0B">
              <w:rPr>
                <w:rFonts w:cs="Times New Roman"/>
                <w:color w:val="000000" w:themeColor="text1"/>
                <w:szCs w:val="24"/>
              </w:rPr>
              <w:t>Bricks/Blocks Built unit [   ]</w:t>
            </w:r>
          </w:p>
          <w:p w14:paraId="724280A0" w14:textId="77777777" w:rsidR="001B4ED5" w:rsidRPr="00895D0B" w:rsidRDefault="006B41C0">
            <w:pPr>
              <w:pStyle w:val="ListParagraph"/>
              <w:numPr>
                <w:ilvl w:val="0"/>
                <w:numId w:val="66"/>
              </w:numPr>
              <w:spacing w:line="240" w:lineRule="auto"/>
              <w:jc w:val="left"/>
              <w:rPr>
                <w:rFonts w:cs="Times New Roman"/>
                <w:color w:val="000000" w:themeColor="text1"/>
                <w:szCs w:val="24"/>
              </w:rPr>
            </w:pPr>
            <w:r w:rsidRPr="00895D0B">
              <w:rPr>
                <w:rFonts w:cs="Times New Roman"/>
                <w:color w:val="000000" w:themeColor="text1"/>
                <w:szCs w:val="24"/>
              </w:rPr>
              <w:t>Wooden structure [   ]</w:t>
            </w:r>
          </w:p>
          <w:p w14:paraId="7C4D7754" w14:textId="77777777" w:rsidR="001B4ED5" w:rsidRPr="00895D0B" w:rsidRDefault="006B41C0">
            <w:pPr>
              <w:pStyle w:val="ListParagraph"/>
              <w:numPr>
                <w:ilvl w:val="0"/>
                <w:numId w:val="66"/>
              </w:numPr>
              <w:spacing w:line="240" w:lineRule="auto"/>
              <w:jc w:val="left"/>
              <w:rPr>
                <w:rFonts w:cs="Times New Roman"/>
                <w:color w:val="000000" w:themeColor="text1"/>
                <w:szCs w:val="24"/>
              </w:rPr>
            </w:pPr>
            <w:r w:rsidRPr="00895D0B">
              <w:rPr>
                <w:rFonts w:cs="Times New Roman"/>
                <w:color w:val="000000" w:themeColor="text1"/>
                <w:szCs w:val="24"/>
              </w:rPr>
              <w:t>Open space [   ]</w:t>
            </w:r>
          </w:p>
        </w:tc>
        <w:tc>
          <w:tcPr>
            <w:tcW w:w="2693" w:type="dxa"/>
          </w:tcPr>
          <w:p w14:paraId="42E7BF70" w14:textId="77777777" w:rsidR="001B4ED5" w:rsidRPr="00895D0B" w:rsidRDefault="001B4ED5">
            <w:pPr>
              <w:spacing w:line="240" w:lineRule="auto"/>
              <w:rPr>
                <w:rFonts w:cs="Times New Roman"/>
                <w:color w:val="000000" w:themeColor="text1"/>
                <w:szCs w:val="24"/>
              </w:rPr>
            </w:pPr>
          </w:p>
        </w:tc>
      </w:tr>
      <w:tr w:rsidR="00895D0B" w:rsidRPr="00895D0B" w14:paraId="281C689F" w14:textId="77777777">
        <w:trPr>
          <w:trHeight w:val="285"/>
        </w:trPr>
        <w:tc>
          <w:tcPr>
            <w:tcW w:w="2486" w:type="dxa"/>
            <w:gridSpan w:val="3"/>
          </w:tcPr>
          <w:p w14:paraId="78DB00E3"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C22c:</w:t>
            </w:r>
            <w:r w:rsidRPr="00895D0B">
              <w:rPr>
                <w:rFonts w:cs="Times New Roman"/>
                <w:color w:val="000000" w:themeColor="text1"/>
                <w:szCs w:val="24"/>
              </w:rPr>
              <w:t xml:space="preserve"> If yes to </w:t>
            </w:r>
            <w:r w:rsidRPr="00895D0B">
              <w:rPr>
                <w:rFonts w:cs="Times New Roman"/>
                <w:b/>
                <w:color w:val="000000" w:themeColor="text1"/>
                <w:szCs w:val="24"/>
              </w:rPr>
              <w:t>C22</w:t>
            </w:r>
            <w:r w:rsidRPr="00895D0B">
              <w:rPr>
                <w:rFonts w:cs="Times New Roman"/>
                <w:color w:val="000000" w:themeColor="text1"/>
                <w:szCs w:val="24"/>
              </w:rPr>
              <w:t>, what unit do you housE pigs?</w:t>
            </w:r>
          </w:p>
        </w:tc>
        <w:tc>
          <w:tcPr>
            <w:tcW w:w="3888" w:type="dxa"/>
            <w:gridSpan w:val="2"/>
          </w:tcPr>
          <w:p w14:paraId="04BE0C9D" w14:textId="77777777" w:rsidR="001B4ED5" w:rsidRPr="00895D0B" w:rsidRDefault="006B41C0">
            <w:pPr>
              <w:pStyle w:val="ListParagraph"/>
              <w:numPr>
                <w:ilvl w:val="0"/>
                <w:numId w:val="67"/>
              </w:numPr>
              <w:spacing w:line="240" w:lineRule="auto"/>
              <w:jc w:val="left"/>
              <w:rPr>
                <w:rFonts w:cs="Times New Roman"/>
                <w:color w:val="000000" w:themeColor="text1"/>
                <w:szCs w:val="24"/>
              </w:rPr>
            </w:pPr>
            <w:r w:rsidRPr="00895D0B">
              <w:rPr>
                <w:rFonts w:cs="Times New Roman"/>
                <w:color w:val="000000" w:themeColor="text1"/>
                <w:szCs w:val="24"/>
              </w:rPr>
              <w:t>Bricks/Blocks Built unit [   ]</w:t>
            </w:r>
          </w:p>
          <w:p w14:paraId="09F6982A" w14:textId="77777777" w:rsidR="001B4ED5" w:rsidRPr="00895D0B" w:rsidRDefault="006B41C0">
            <w:pPr>
              <w:pStyle w:val="ListParagraph"/>
              <w:numPr>
                <w:ilvl w:val="0"/>
                <w:numId w:val="68"/>
              </w:numPr>
              <w:spacing w:line="240" w:lineRule="auto"/>
              <w:jc w:val="left"/>
              <w:rPr>
                <w:rFonts w:cs="Times New Roman"/>
                <w:color w:val="000000" w:themeColor="text1"/>
                <w:szCs w:val="24"/>
              </w:rPr>
            </w:pPr>
            <w:r w:rsidRPr="00895D0B">
              <w:rPr>
                <w:rFonts w:cs="Times New Roman"/>
                <w:color w:val="000000" w:themeColor="text1"/>
                <w:szCs w:val="24"/>
              </w:rPr>
              <w:t>Wooden structure [   ]</w:t>
            </w:r>
          </w:p>
          <w:p w14:paraId="54382E6A" w14:textId="77777777" w:rsidR="001B4ED5" w:rsidRPr="00895D0B" w:rsidRDefault="006B41C0">
            <w:pPr>
              <w:pStyle w:val="ListParagraph"/>
              <w:numPr>
                <w:ilvl w:val="0"/>
                <w:numId w:val="68"/>
              </w:numPr>
              <w:spacing w:line="240" w:lineRule="auto"/>
              <w:jc w:val="left"/>
              <w:rPr>
                <w:rFonts w:cs="Times New Roman"/>
                <w:color w:val="000000" w:themeColor="text1"/>
                <w:szCs w:val="24"/>
              </w:rPr>
            </w:pPr>
            <w:r w:rsidRPr="00895D0B">
              <w:rPr>
                <w:rFonts w:cs="Times New Roman"/>
                <w:color w:val="000000" w:themeColor="text1"/>
                <w:szCs w:val="24"/>
              </w:rPr>
              <w:t>Open space [   ]</w:t>
            </w:r>
          </w:p>
        </w:tc>
        <w:tc>
          <w:tcPr>
            <w:tcW w:w="2693" w:type="dxa"/>
          </w:tcPr>
          <w:p w14:paraId="0A598A54" w14:textId="77777777" w:rsidR="001B4ED5" w:rsidRPr="00895D0B" w:rsidRDefault="001B4ED5">
            <w:pPr>
              <w:spacing w:line="240" w:lineRule="auto"/>
              <w:rPr>
                <w:rFonts w:cs="Times New Roman"/>
                <w:color w:val="000000" w:themeColor="text1"/>
                <w:szCs w:val="24"/>
              </w:rPr>
            </w:pPr>
          </w:p>
        </w:tc>
      </w:tr>
      <w:tr w:rsidR="00895D0B" w:rsidRPr="00895D0B" w14:paraId="682915A5" w14:textId="77777777">
        <w:trPr>
          <w:trHeight w:val="285"/>
        </w:trPr>
        <w:tc>
          <w:tcPr>
            <w:tcW w:w="2486" w:type="dxa"/>
            <w:gridSpan w:val="3"/>
          </w:tcPr>
          <w:p w14:paraId="64E666C3"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 xml:space="preserve">C23: </w:t>
            </w:r>
            <w:r w:rsidRPr="00895D0B">
              <w:rPr>
                <w:rFonts w:cs="Times New Roman"/>
                <w:color w:val="000000" w:themeColor="text1"/>
                <w:szCs w:val="24"/>
              </w:rPr>
              <w:t xml:space="preserve">What is the reason for your choices in either </w:t>
            </w:r>
            <w:r w:rsidRPr="00895D0B">
              <w:rPr>
                <w:rFonts w:cs="Times New Roman"/>
                <w:b/>
                <w:color w:val="000000" w:themeColor="text1"/>
                <w:szCs w:val="24"/>
              </w:rPr>
              <w:t>C22a, C22b and/or C22c C20c</w:t>
            </w:r>
            <w:r w:rsidRPr="00895D0B">
              <w:rPr>
                <w:rFonts w:cs="Times New Roman"/>
                <w:color w:val="000000" w:themeColor="text1"/>
                <w:szCs w:val="24"/>
              </w:rPr>
              <w:t xml:space="preserve"> above?</w:t>
            </w:r>
          </w:p>
        </w:tc>
        <w:tc>
          <w:tcPr>
            <w:tcW w:w="3888" w:type="dxa"/>
            <w:gridSpan w:val="2"/>
          </w:tcPr>
          <w:p w14:paraId="76014038" w14:textId="77777777" w:rsidR="001B4ED5" w:rsidRPr="00895D0B" w:rsidRDefault="006B41C0">
            <w:pPr>
              <w:pStyle w:val="ListParagraph"/>
              <w:numPr>
                <w:ilvl w:val="0"/>
                <w:numId w:val="69"/>
              </w:numPr>
              <w:spacing w:line="240" w:lineRule="auto"/>
              <w:jc w:val="left"/>
              <w:rPr>
                <w:rFonts w:cs="Times New Roman"/>
                <w:color w:val="000000" w:themeColor="text1"/>
                <w:szCs w:val="24"/>
              </w:rPr>
            </w:pPr>
            <w:r w:rsidRPr="00895D0B">
              <w:rPr>
                <w:rFonts w:cs="Times New Roman"/>
                <w:color w:val="000000" w:themeColor="text1"/>
                <w:szCs w:val="24"/>
              </w:rPr>
              <w:t>To prevent theft [   ]</w:t>
            </w:r>
          </w:p>
          <w:p w14:paraId="2909AE70" w14:textId="77777777" w:rsidR="001B4ED5" w:rsidRPr="00895D0B" w:rsidRDefault="006B41C0">
            <w:pPr>
              <w:pStyle w:val="ListParagraph"/>
              <w:numPr>
                <w:ilvl w:val="0"/>
                <w:numId w:val="70"/>
              </w:numPr>
              <w:spacing w:line="240" w:lineRule="auto"/>
              <w:jc w:val="left"/>
              <w:rPr>
                <w:rFonts w:cs="Times New Roman"/>
                <w:color w:val="000000" w:themeColor="text1"/>
                <w:szCs w:val="24"/>
              </w:rPr>
            </w:pPr>
            <w:r w:rsidRPr="00895D0B">
              <w:rPr>
                <w:rFonts w:cs="Times New Roman"/>
                <w:color w:val="000000" w:themeColor="text1"/>
                <w:szCs w:val="24"/>
              </w:rPr>
              <w:t>Easy to reach animals [   ]</w:t>
            </w:r>
          </w:p>
          <w:p w14:paraId="7375CF88" w14:textId="77777777" w:rsidR="001B4ED5" w:rsidRPr="00895D0B" w:rsidRDefault="006B41C0">
            <w:pPr>
              <w:pStyle w:val="ListParagraph"/>
              <w:numPr>
                <w:ilvl w:val="0"/>
                <w:numId w:val="70"/>
              </w:numPr>
              <w:spacing w:line="240" w:lineRule="auto"/>
              <w:jc w:val="left"/>
              <w:rPr>
                <w:rFonts w:cs="Times New Roman"/>
                <w:color w:val="000000" w:themeColor="text1"/>
                <w:szCs w:val="24"/>
              </w:rPr>
            </w:pPr>
            <w:r w:rsidRPr="00895D0B">
              <w:rPr>
                <w:rFonts w:cs="Times New Roman"/>
                <w:color w:val="000000" w:themeColor="text1"/>
                <w:szCs w:val="24"/>
              </w:rPr>
              <w:t>To prevent disease infections [   ]</w:t>
            </w:r>
          </w:p>
          <w:p w14:paraId="09A7943D" w14:textId="77777777" w:rsidR="001B4ED5" w:rsidRPr="00895D0B" w:rsidRDefault="006B41C0">
            <w:pPr>
              <w:pStyle w:val="ListParagraph"/>
              <w:numPr>
                <w:ilvl w:val="0"/>
                <w:numId w:val="70"/>
              </w:numPr>
              <w:spacing w:line="240" w:lineRule="auto"/>
              <w:jc w:val="left"/>
              <w:rPr>
                <w:rFonts w:cs="Times New Roman"/>
                <w:color w:val="000000" w:themeColor="text1"/>
                <w:szCs w:val="24"/>
              </w:rPr>
            </w:pPr>
            <w:r w:rsidRPr="00895D0B">
              <w:rPr>
                <w:rFonts w:cs="Times New Roman"/>
                <w:color w:val="000000" w:themeColor="text1"/>
                <w:szCs w:val="24"/>
              </w:rPr>
              <w:lastRenderedPageBreak/>
              <w:t>Others specify …………………………………</w:t>
            </w:r>
          </w:p>
        </w:tc>
        <w:tc>
          <w:tcPr>
            <w:tcW w:w="2693" w:type="dxa"/>
          </w:tcPr>
          <w:p w14:paraId="7CEE9723" w14:textId="77777777" w:rsidR="001B4ED5" w:rsidRPr="00895D0B" w:rsidRDefault="001B4ED5">
            <w:pPr>
              <w:spacing w:line="240" w:lineRule="auto"/>
              <w:rPr>
                <w:rFonts w:cs="Times New Roman"/>
                <w:color w:val="000000" w:themeColor="text1"/>
                <w:szCs w:val="24"/>
              </w:rPr>
            </w:pPr>
          </w:p>
        </w:tc>
      </w:tr>
      <w:tr w:rsidR="00895D0B" w:rsidRPr="00895D0B" w14:paraId="2D2BF27B" w14:textId="77777777">
        <w:trPr>
          <w:trHeight w:val="285"/>
        </w:trPr>
        <w:tc>
          <w:tcPr>
            <w:tcW w:w="2486" w:type="dxa"/>
            <w:gridSpan w:val="3"/>
          </w:tcPr>
          <w:p w14:paraId="0B304591"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 xml:space="preserve">C24: </w:t>
            </w:r>
            <w:r w:rsidRPr="00895D0B">
              <w:rPr>
                <w:rFonts w:cs="Times New Roman"/>
                <w:color w:val="000000" w:themeColor="text1"/>
                <w:szCs w:val="24"/>
              </w:rPr>
              <w:t>What motivates you into rearing?</w:t>
            </w:r>
          </w:p>
        </w:tc>
        <w:tc>
          <w:tcPr>
            <w:tcW w:w="3888" w:type="dxa"/>
            <w:gridSpan w:val="2"/>
          </w:tcPr>
          <w:p w14:paraId="55E9915C" w14:textId="77777777" w:rsidR="001B4ED5" w:rsidRPr="00895D0B" w:rsidRDefault="006B41C0">
            <w:pPr>
              <w:pStyle w:val="ListParagraph"/>
              <w:numPr>
                <w:ilvl w:val="0"/>
                <w:numId w:val="71"/>
              </w:numPr>
              <w:spacing w:line="240" w:lineRule="auto"/>
              <w:jc w:val="left"/>
              <w:rPr>
                <w:rFonts w:cs="Times New Roman"/>
                <w:color w:val="000000" w:themeColor="text1"/>
                <w:szCs w:val="24"/>
              </w:rPr>
            </w:pPr>
            <w:r w:rsidRPr="00895D0B">
              <w:rPr>
                <w:rFonts w:cs="Times New Roman"/>
                <w:color w:val="000000" w:themeColor="text1"/>
                <w:szCs w:val="24"/>
              </w:rPr>
              <w:t>Sale for income [   ]</w:t>
            </w:r>
          </w:p>
          <w:p w14:paraId="7C7A4D69" w14:textId="77777777" w:rsidR="001B4ED5" w:rsidRPr="00895D0B" w:rsidRDefault="006B41C0">
            <w:pPr>
              <w:pStyle w:val="ListParagraph"/>
              <w:numPr>
                <w:ilvl w:val="0"/>
                <w:numId w:val="72"/>
              </w:numPr>
              <w:spacing w:line="240" w:lineRule="auto"/>
              <w:jc w:val="left"/>
              <w:rPr>
                <w:rFonts w:cs="Times New Roman"/>
                <w:color w:val="000000" w:themeColor="text1"/>
                <w:szCs w:val="24"/>
              </w:rPr>
            </w:pPr>
            <w:r w:rsidRPr="00895D0B">
              <w:rPr>
                <w:rFonts w:cs="Times New Roman"/>
                <w:color w:val="000000" w:themeColor="text1"/>
                <w:szCs w:val="24"/>
              </w:rPr>
              <w:t>To meet household nutritional needs [   ]</w:t>
            </w:r>
          </w:p>
          <w:p w14:paraId="7AF8B0EC" w14:textId="77777777" w:rsidR="001B4ED5" w:rsidRPr="00895D0B" w:rsidRDefault="006B41C0">
            <w:pPr>
              <w:pStyle w:val="ListParagraph"/>
              <w:numPr>
                <w:ilvl w:val="0"/>
                <w:numId w:val="72"/>
              </w:numPr>
              <w:spacing w:line="240" w:lineRule="auto"/>
              <w:jc w:val="left"/>
              <w:rPr>
                <w:rFonts w:cs="Times New Roman"/>
                <w:color w:val="000000" w:themeColor="text1"/>
                <w:szCs w:val="24"/>
              </w:rPr>
            </w:pPr>
            <w:r w:rsidRPr="00895D0B">
              <w:rPr>
                <w:rFonts w:cs="Times New Roman"/>
                <w:color w:val="000000" w:themeColor="text1"/>
                <w:szCs w:val="24"/>
              </w:rPr>
              <w:t>Just to occupy the land for protection [   ]</w:t>
            </w:r>
          </w:p>
          <w:p w14:paraId="31A850A3" w14:textId="77777777" w:rsidR="001B4ED5" w:rsidRPr="00895D0B" w:rsidRDefault="006B41C0">
            <w:pPr>
              <w:pStyle w:val="ListParagraph"/>
              <w:numPr>
                <w:ilvl w:val="0"/>
                <w:numId w:val="72"/>
              </w:numPr>
              <w:spacing w:line="240" w:lineRule="auto"/>
              <w:jc w:val="left"/>
              <w:rPr>
                <w:rFonts w:cs="Times New Roman"/>
                <w:color w:val="000000" w:themeColor="text1"/>
                <w:szCs w:val="24"/>
              </w:rPr>
            </w:pPr>
            <w:r w:rsidRPr="00895D0B">
              <w:rPr>
                <w:rFonts w:cs="Times New Roman"/>
                <w:color w:val="000000" w:themeColor="text1"/>
                <w:szCs w:val="24"/>
              </w:rPr>
              <w:t>Leisure [   ]</w:t>
            </w:r>
          </w:p>
          <w:p w14:paraId="212A3D48" w14:textId="77777777" w:rsidR="001B4ED5" w:rsidRPr="00895D0B" w:rsidRDefault="006B41C0">
            <w:pPr>
              <w:pStyle w:val="ListParagraph"/>
              <w:numPr>
                <w:ilvl w:val="0"/>
                <w:numId w:val="72"/>
              </w:numPr>
              <w:spacing w:line="240" w:lineRule="auto"/>
              <w:jc w:val="left"/>
              <w:rPr>
                <w:rFonts w:cs="Times New Roman"/>
                <w:color w:val="000000" w:themeColor="text1"/>
                <w:szCs w:val="24"/>
              </w:rPr>
            </w:pPr>
            <w:r w:rsidRPr="00895D0B">
              <w:rPr>
                <w:rFonts w:cs="Times New Roman"/>
                <w:color w:val="000000" w:themeColor="text1"/>
                <w:szCs w:val="24"/>
              </w:rPr>
              <w:t>Other specify …………………………………………</w:t>
            </w:r>
          </w:p>
        </w:tc>
        <w:tc>
          <w:tcPr>
            <w:tcW w:w="2693" w:type="dxa"/>
          </w:tcPr>
          <w:p w14:paraId="6C7DB23E" w14:textId="77777777" w:rsidR="001B4ED5" w:rsidRPr="00895D0B" w:rsidRDefault="001B4ED5">
            <w:pPr>
              <w:spacing w:line="240" w:lineRule="auto"/>
              <w:rPr>
                <w:rFonts w:cs="Times New Roman"/>
                <w:color w:val="000000" w:themeColor="text1"/>
                <w:szCs w:val="24"/>
              </w:rPr>
            </w:pPr>
          </w:p>
        </w:tc>
      </w:tr>
      <w:tr w:rsidR="00895D0B" w:rsidRPr="00895D0B" w14:paraId="33FC332F" w14:textId="77777777">
        <w:trPr>
          <w:trHeight w:val="1367"/>
        </w:trPr>
        <w:tc>
          <w:tcPr>
            <w:tcW w:w="2486" w:type="dxa"/>
            <w:gridSpan w:val="3"/>
          </w:tcPr>
          <w:p w14:paraId="0A021933"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C25:</w:t>
            </w:r>
            <w:r w:rsidRPr="00895D0B">
              <w:rPr>
                <w:rFonts w:cs="Times New Roman"/>
                <w:color w:val="000000" w:themeColor="text1"/>
                <w:szCs w:val="24"/>
              </w:rPr>
              <w:t xml:space="preserve"> How often do you involve in rearing activities in the urban area?  </w:t>
            </w:r>
          </w:p>
        </w:tc>
        <w:tc>
          <w:tcPr>
            <w:tcW w:w="3888" w:type="dxa"/>
            <w:gridSpan w:val="2"/>
          </w:tcPr>
          <w:p w14:paraId="0D8D7C11" w14:textId="77777777" w:rsidR="001B4ED5" w:rsidRPr="00895D0B" w:rsidRDefault="006B41C0">
            <w:pPr>
              <w:pStyle w:val="ListParagraph"/>
              <w:numPr>
                <w:ilvl w:val="0"/>
                <w:numId w:val="73"/>
              </w:numPr>
              <w:spacing w:line="240" w:lineRule="auto"/>
              <w:jc w:val="left"/>
              <w:rPr>
                <w:rFonts w:cs="Times New Roman"/>
                <w:color w:val="000000" w:themeColor="text1"/>
                <w:szCs w:val="24"/>
              </w:rPr>
            </w:pPr>
            <w:r w:rsidRPr="00895D0B">
              <w:rPr>
                <w:rFonts w:cs="Times New Roman"/>
                <w:color w:val="000000" w:themeColor="text1"/>
                <w:szCs w:val="24"/>
              </w:rPr>
              <w:t>Everyday [   ]</w:t>
            </w:r>
          </w:p>
          <w:p w14:paraId="07DD570B" w14:textId="77777777" w:rsidR="001B4ED5" w:rsidRPr="00895D0B" w:rsidRDefault="006B41C0">
            <w:pPr>
              <w:pStyle w:val="ListParagraph"/>
              <w:numPr>
                <w:ilvl w:val="0"/>
                <w:numId w:val="74"/>
              </w:numPr>
              <w:spacing w:line="240" w:lineRule="auto"/>
              <w:jc w:val="left"/>
              <w:rPr>
                <w:rFonts w:cs="Times New Roman"/>
                <w:color w:val="000000" w:themeColor="text1"/>
                <w:szCs w:val="24"/>
              </w:rPr>
            </w:pPr>
            <w:r w:rsidRPr="00895D0B">
              <w:rPr>
                <w:rFonts w:cs="Times New Roman"/>
                <w:color w:val="000000" w:themeColor="text1"/>
                <w:szCs w:val="24"/>
              </w:rPr>
              <w:t>Once a week [   ]</w:t>
            </w:r>
          </w:p>
          <w:p w14:paraId="516103AE" w14:textId="77777777" w:rsidR="001B4ED5" w:rsidRPr="00895D0B" w:rsidRDefault="006B41C0">
            <w:pPr>
              <w:pStyle w:val="ListParagraph"/>
              <w:numPr>
                <w:ilvl w:val="0"/>
                <w:numId w:val="74"/>
              </w:numPr>
              <w:spacing w:line="240" w:lineRule="auto"/>
              <w:jc w:val="left"/>
              <w:rPr>
                <w:rFonts w:cs="Times New Roman"/>
                <w:color w:val="000000" w:themeColor="text1"/>
                <w:szCs w:val="24"/>
              </w:rPr>
            </w:pPr>
            <w:r w:rsidRPr="00895D0B">
              <w:rPr>
                <w:rFonts w:cs="Times New Roman"/>
                <w:color w:val="000000" w:themeColor="text1"/>
                <w:szCs w:val="24"/>
              </w:rPr>
              <w:t xml:space="preserve"> Once a month [   ]</w:t>
            </w:r>
          </w:p>
          <w:p w14:paraId="11D71D61" w14:textId="77777777" w:rsidR="001B4ED5" w:rsidRPr="00895D0B" w:rsidRDefault="006B41C0">
            <w:pPr>
              <w:pStyle w:val="ListParagraph"/>
              <w:numPr>
                <w:ilvl w:val="0"/>
                <w:numId w:val="74"/>
              </w:numPr>
              <w:spacing w:line="240" w:lineRule="auto"/>
              <w:jc w:val="left"/>
              <w:rPr>
                <w:rFonts w:cs="Times New Roman"/>
                <w:color w:val="000000" w:themeColor="text1"/>
                <w:szCs w:val="24"/>
              </w:rPr>
            </w:pPr>
            <w:r w:rsidRPr="00895D0B">
              <w:rPr>
                <w:rFonts w:cs="Times New Roman"/>
                <w:color w:val="000000" w:themeColor="text1"/>
                <w:szCs w:val="24"/>
              </w:rPr>
              <w:t>Twice a week [   ]</w:t>
            </w:r>
          </w:p>
          <w:p w14:paraId="048ECCB0" w14:textId="77777777" w:rsidR="001B4ED5" w:rsidRPr="00895D0B" w:rsidRDefault="006B41C0">
            <w:pPr>
              <w:pStyle w:val="ListParagraph"/>
              <w:numPr>
                <w:ilvl w:val="0"/>
                <w:numId w:val="74"/>
              </w:numPr>
              <w:spacing w:line="240" w:lineRule="auto"/>
              <w:jc w:val="left"/>
              <w:rPr>
                <w:rFonts w:cs="Times New Roman"/>
                <w:color w:val="000000" w:themeColor="text1"/>
                <w:szCs w:val="24"/>
              </w:rPr>
            </w:pPr>
            <w:r w:rsidRPr="00895D0B">
              <w:rPr>
                <w:rFonts w:cs="Times New Roman"/>
                <w:color w:val="000000" w:themeColor="text1"/>
                <w:szCs w:val="24"/>
              </w:rPr>
              <w:t>Twice a month [   ]</w:t>
            </w:r>
          </w:p>
          <w:p w14:paraId="754F231F" w14:textId="77777777" w:rsidR="001B4ED5" w:rsidRPr="00895D0B" w:rsidRDefault="006B41C0">
            <w:pPr>
              <w:pStyle w:val="ListParagraph"/>
              <w:numPr>
                <w:ilvl w:val="0"/>
                <w:numId w:val="74"/>
              </w:numPr>
              <w:spacing w:line="240" w:lineRule="auto"/>
              <w:jc w:val="left"/>
              <w:rPr>
                <w:rFonts w:cs="Times New Roman"/>
                <w:color w:val="000000" w:themeColor="text1"/>
                <w:szCs w:val="24"/>
              </w:rPr>
            </w:pPr>
            <w:r w:rsidRPr="00895D0B">
              <w:rPr>
                <w:rFonts w:cs="Times New Roman"/>
                <w:color w:val="000000" w:themeColor="text1"/>
                <w:szCs w:val="24"/>
              </w:rPr>
              <w:t xml:space="preserve">Others, specify </w:t>
            </w:r>
          </w:p>
        </w:tc>
        <w:tc>
          <w:tcPr>
            <w:tcW w:w="2693" w:type="dxa"/>
          </w:tcPr>
          <w:p w14:paraId="78035C63" w14:textId="77777777" w:rsidR="001B4ED5" w:rsidRPr="00895D0B" w:rsidRDefault="001B4ED5">
            <w:pPr>
              <w:spacing w:line="240" w:lineRule="auto"/>
              <w:rPr>
                <w:rFonts w:cs="Times New Roman"/>
                <w:color w:val="000000" w:themeColor="text1"/>
                <w:szCs w:val="24"/>
              </w:rPr>
            </w:pPr>
          </w:p>
        </w:tc>
      </w:tr>
      <w:tr w:rsidR="00895D0B" w:rsidRPr="00895D0B" w14:paraId="55F0867B" w14:textId="77777777">
        <w:trPr>
          <w:trHeight w:val="300"/>
        </w:trPr>
        <w:tc>
          <w:tcPr>
            <w:tcW w:w="2486" w:type="dxa"/>
            <w:gridSpan w:val="3"/>
          </w:tcPr>
          <w:p w14:paraId="6D44573B"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C26:</w:t>
            </w:r>
            <w:r w:rsidRPr="00895D0B">
              <w:rPr>
                <w:rFonts w:cs="Times New Roman"/>
                <w:color w:val="000000" w:themeColor="text1"/>
                <w:szCs w:val="24"/>
              </w:rPr>
              <w:t xml:space="preserve"> What is the main source of labour to your animals rearing?</w:t>
            </w:r>
          </w:p>
        </w:tc>
        <w:tc>
          <w:tcPr>
            <w:tcW w:w="3888" w:type="dxa"/>
            <w:gridSpan w:val="2"/>
          </w:tcPr>
          <w:p w14:paraId="71D3655F" w14:textId="77777777" w:rsidR="001B4ED5" w:rsidRPr="00895D0B" w:rsidRDefault="006B41C0">
            <w:pPr>
              <w:pStyle w:val="ListParagraph"/>
              <w:numPr>
                <w:ilvl w:val="0"/>
                <w:numId w:val="75"/>
              </w:numPr>
              <w:spacing w:line="240" w:lineRule="auto"/>
              <w:jc w:val="left"/>
              <w:rPr>
                <w:rFonts w:cs="Times New Roman"/>
                <w:color w:val="000000" w:themeColor="text1"/>
                <w:szCs w:val="24"/>
              </w:rPr>
            </w:pPr>
            <w:r w:rsidRPr="00895D0B">
              <w:rPr>
                <w:rFonts w:cs="Times New Roman"/>
                <w:color w:val="000000" w:themeColor="text1"/>
                <w:szCs w:val="24"/>
              </w:rPr>
              <w:t>Hired labour [   ]</w:t>
            </w:r>
          </w:p>
          <w:p w14:paraId="55E4DFED" w14:textId="77777777" w:rsidR="001B4ED5" w:rsidRPr="00895D0B" w:rsidRDefault="006B41C0">
            <w:pPr>
              <w:pStyle w:val="ListParagraph"/>
              <w:numPr>
                <w:ilvl w:val="0"/>
                <w:numId w:val="76"/>
              </w:numPr>
              <w:spacing w:line="240" w:lineRule="auto"/>
              <w:ind w:right="51"/>
              <w:rPr>
                <w:rFonts w:cs="Times New Roman"/>
                <w:color w:val="000000" w:themeColor="text1"/>
                <w:szCs w:val="24"/>
              </w:rPr>
            </w:pPr>
            <w:r w:rsidRPr="00895D0B">
              <w:rPr>
                <w:rFonts w:cs="Times New Roman"/>
                <w:color w:val="000000" w:themeColor="text1"/>
                <w:szCs w:val="24"/>
              </w:rPr>
              <w:t>Family labour [   ]</w:t>
            </w:r>
          </w:p>
          <w:p w14:paraId="486F6F06" w14:textId="77777777" w:rsidR="001B4ED5" w:rsidRPr="00895D0B" w:rsidRDefault="006B41C0">
            <w:pPr>
              <w:pStyle w:val="ListParagraph"/>
              <w:numPr>
                <w:ilvl w:val="0"/>
                <w:numId w:val="76"/>
              </w:numPr>
              <w:spacing w:line="240" w:lineRule="auto"/>
              <w:ind w:right="51"/>
              <w:rPr>
                <w:rFonts w:cs="Times New Roman"/>
                <w:color w:val="000000" w:themeColor="text1"/>
                <w:szCs w:val="24"/>
              </w:rPr>
            </w:pPr>
            <w:r w:rsidRPr="00895D0B">
              <w:rPr>
                <w:rFonts w:cs="Times New Roman"/>
                <w:color w:val="000000" w:themeColor="text1"/>
                <w:szCs w:val="24"/>
              </w:rPr>
              <w:t>Social labour [   ]</w:t>
            </w:r>
          </w:p>
          <w:p w14:paraId="7603108B" w14:textId="77777777" w:rsidR="001B4ED5" w:rsidRPr="00895D0B" w:rsidRDefault="006B41C0">
            <w:pPr>
              <w:pStyle w:val="ListParagraph"/>
              <w:numPr>
                <w:ilvl w:val="0"/>
                <w:numId w:val="76"/>
              </w:numPr>
              <w:spacing w:line="240" w:lineRule="auto"/>
              <w:ind w:right="51"/>
              <w:rPr>
                <w:rFonts w:cs="Times New Roman"/>
                <w:color w:val="000000" w:themeColor="text1"/>
                <w:szCs w:val="24"/>
              </w:rPr>
            </w:pPr>
            <w:r w:rsidRPr="00895D0B">
              <w:rPr>
                <w:rFonts w:cs="Times New Roman"/>
                <w:color w:val="000000" w:themeColor="text1"/>
                <w:szCs w:val="24"/>
              </w:rPr>
              <w:t xml:space="preserve">Others, specify </w:t>
            </w:r>
          </w:p>
        </w:tc>
        <w:tc>
          <w:tcPr>
            <w:tcW w:w="2693" w:type="dxa"/>
          </w:tcPr>
          <w:p w14:paraId="6E9E9CC1" w14:textId="77777777" w:rsidR="001B4ED5" w:rsidRPr="00895D0B" w:rsidRDefault="001B4ED5">
            <w:pPr>
              <w:spacing w:line="240" w:lineRule="auto"/>
              <w:rPr>
                <w:rFonts w:cs="Times New Roman"/>
                <w:color w:val="000000" w:themeColor="text1"/>
                <w:szCs w:val="24"/>
              </w:rPr>
            </w:pPr>
          </w:p>
        </w:tc>
      </w:tr>
      <w:tr w:rsidR="00895D0B" w:rsidRPr="00895D0B" w14:paraId="6C9117A0" w14:textId="77777777">
        <w:trPr>
          <w:trHeight w:val="285"/>
        </w:trPr>
        <w:tc>
          <w:tcPr>
            <w:tcW w:w="2486" w:type="dxa"/>
            <w:gridSpan w:val="3"/>
          </w:tcPr>
          <w:p w14:paraId="07640BF5"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C26a:</w:t>
            </w:r>
            <w:r w:rsidRPr="00895D0B">
              <w:rPr>
                <w:rFonts w:cs="Times New Roman"/>
                <w:color w:val="000000" w:themeColor="text1"/>
                <w:szCs w:val="24"/>
              </w:rPr>
              <w:t xml:space="preserve"> If hired labour, how much do you spend per season?</w:t>
            </w:r>
          </w:p>
        </w:tc>
        <w:tc>
          <w:tcPr>
            <w:tcW w:w="3888" w:type="dxa"/>
            <w:gridSpan w:val="2"/>
          </w:tcPr>
          <w:p w14:paraId="242B5F5E" w14:textId="77777777" w:rsidR="001B4ED5" w:rsidRPr="00895D0B" w:rsidRDefault="001B4ED5">
            <w:pPr>
              <w:spacing w:line="240" w:lineRule="auto"/>
              <w:ind w:right="51"/>
              <w:rPr>
                <w:rFonts w:cs="Times New Roman"/>
                <w:color w:val="000000" w:themeColor="text1"/>
                <w:szCs w:val="24"/>
              </w:rPr>
            </w:pPr>
          </w:p>
          <w:p w14:paraId="2EF656D1" w14:textId="77777777" w:rsidR="001B4ED5" w:rsidRPr="00895D0B" w:rsidRDefault="006B41C0">
            <w:pPr>
              <w:spacing w:line="240" w:lineRule="auto"/>
              <w:ind w:right="51"/>
              <w:rPr>
                <w:rFonts w:cs="Times New Roman"/>
                <w:color w:val="000000" w:themeColor="text1"/>
                <w:szCs w:val="24"/>
              </w:rPr>
            </w:pPr>
            <w:r w:rsidRPr="00895D0B">
              <w:rPr>
                <w:rFonts w:cs="Times New Roman"/>
                <w:color w:val="000000" w:themeColor="text1"/>
                <w:szCs w:val="24"/>
              </w:rPr>
              <w:t>………………….………….</w:t>
            </w:r>
          </w:p>
        </w:tc>
        <w:tc>
          <w:tcPr>
            <w:tcW w:w="2693" w:type="dxa"/>
          </w:tcPr>
          <w:p w14:paraId="3B6D5636" w14:textId="77777777" w:rsidR="001B4ED5" w:rsidRPr="00895D0B" w:rsidRDefault="001B4ED5">
            <w:pPr>
              <w:spacing w:line="240" w:lineRule="auto"/>
              <w:rPr>
                <w:rFonts w:cs="Times New Roman"/>
                <w:color w:val="000000" w:themeColor="text1"/>
                <w:szCs w:val="24"/>
              </w:rPr>
            </w:pPr>
          </w:p>
        </w:tc>
      </w:tr>
      <w:tr w:rsidR="00895D0B" w:rsidRPr="00895D0B" w14:paraId="191EDD57" w14:textId="77777777">
        <w:trPr>
          <w:trHeight w:val="285"/>
        </w:trPr>
        <w:tc>
          <w:tcPr>
            <w:tcW w:w="2486" w:type="dxa"/>
            <w:gridSpan w:val="3"/>
          </w:tcPr>
          <w:p w14:paraId="1544564E"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C27:</w:t>
            </w:r>
            <w:r w:rsidRPr="00895D0B">
              <w:rPr>
                <w:rFonts w:cs="Times New Roman"/>
                <w:color w:val="000000" w:themeColor="text1"/>
                <w:szCs w:val="24"/>
              </w:rPr>
              <w:t xml:space="preserve"> How much do you spend on inputs?</w:t>
            </w:r>
          </w:p>
          <w:p w14:paraId="79AFA781" w14:textId="77777777" w:rsidR="001B4ED5" w:rsidRPr="00895D0B" w:rsidRDefault="001B4ED5">
            <w:pPr>
              <w:spacing w:line="240" w:lineRule="auto"/>
              <w:ind w:right="51"/>
              <w:jc w:val="left"/>
              <w:rPr>
                <w:rFonts w:cs="Times New Roman"/>
                <w:color w:val="000000" w:themeColor="text1"/>
                <w:szCs w:val="24"/>
              </w:rPr>
            </w:pPr>
          </w:p>
        </w:tc>
        <w:tc>
          <w:tcPr>
            <w:tcW w:w="3888" w:type="dxa"/>
            <w:gridSpan w:val="2"/>
          </w:tcPr>
          <w:p w14:paraId="62B9F067" w14:textId="77777777" w:rsidR="001B4ED5" w:rsidRPr="00895D0B" w:rsidRDefault="001B4ED5">
            <w:pPr>
              <w:spacing w:line="240" w:lineRule="auto"/>
              <w:ind w:right="51"/>
              <w:rPr>
                <w:rFonts w:cs="Times New Roman"/>
                <w:color w:val="000000" w:themeColor="text1"/>
                <w:szCs w:val="24"/>
              </w:rPr>
            </w:pPr>
          </w:p>
          <w:p w14:paraId="12489908" w14:textId="77777777" w:rsidR="001B4ED5" w:rsidRPr="00895D0B" w:rsidRDefault="006B41C0">
            <w:pPr>
              <w:spacing w:line="240" w:lineRule="auto"/>
              <w:ind w:right="51"/>
              <w:rPr>
                <w:rFonts w:cs="Times New Roman"/>
                <w:color w:val="000000" w:themeColor="text1"/>
                <w:szCs w:val="24"/>
              </w:rPr>
            </w:pPr>
            <w:r w:rsidRPr="00895D0B">
              <w:rPr>
                <w:rFonts w:cs="Times New Roman"/>
                <w:color w:val="000000" w:themeColor="text1"/>
                <w:szCs w:val="24"/>
              </w:rPr>
              <w:t>……………………….</w:t>
            </w:r>
          </w:p>
        </w:tc>
        <w:tc>
          <w:tcPr>
            <w:tcW w:w="2693" w:type="dxa"/>
          </w:tcPr>
          <w:p w14:paraId="062373D1" w14:textId="77777777" w:rsidR="001B4ED5" w:rsidRPr="00895D0B" w:rsidRDefault="001B4ED5">
            <w:pPr>
              <w:spacing w:line="240" w:lineRule="auto"/>
              <w:rPr>
                <w:rFonts w:cs="Times New Roman"/>
                <w:color w:val="000000" w:themeColor="text1"/>
                <w:szCs w:val="24"/>
              </w:rPr>
            </w:pPr>
          </w:p>
        </w:tc>
      </w:tr>
      <w:tr w:rsidR="00895D0B" w:rsidRPr="00895D0B" w14:paraId="13BD5137" w14:textId="77777777">
        <w:trPr>
          <w:trHeight w:val="285"/>
        </w:trPr>
        <w:tc>
          <w:tcPr>
            <w:tcW w:w="2486" w:type="dxa"/>
            <w:gridSpan w:val="3"/>
          </w:tcPr>
          <w:p w14:paraId="501DFFDD"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C28:</w:t>
            </w:r>
            <w:r w:rsidRPr="00895D0B">
              <w:rPr>
                <w:rFonts w:cs="Times New Roman"/>
                <w:color w:val="000000" w:themeColor="text1"/>
                <w:szCs w:val="24"/>
              </w:rPr>
              <w:t xml:space="preserve"> how do you consider rearing animals in the urban area?</w:t>
            </w:r>
          </w:p>
        </w:tc>
        <w:tc>
          <w:tcPr>
            <w:tcW w:w="3888" w:type="dxa"/>
            <w:gridSpan w:val="2"/>
          </w:tcPr>
          <w:p w14:paraId="29ED9009" w14:textId="77777777" w:rsidR="001B4ED5" w:rsidRPr="00895D0B" w:rsidRDefault="006B41C0">
            <w:pPr>
              <w:pStyle w:val="ListParagraph"/>
              <w:numPr>
                <w:ilvl w:val="0"/>
                <w:numId w:val="77"/>
              </w:numPr>
              <w:spacing w:line="240" w:lineRule="auto"/>
              <w:jc w:val="left"/>
              <w:rPr>
                <w:rFonts w:cs="Times New Roman"/>
                <w:color w:val="000000" w:themeColor="text1"/>
                <w:szCs w:val="24"/>
              </w:rPr>
            </w:pPr>
            <w:r w:rsidRPr="00895D0B">
              <w:rPr>
                <w:rFonts w:cs="Times New Roman"/>
                <w:color w:val="000000" w:themeColor="text1"/>
                <w:szCs w:val="24"/>
              </w:rPr>
              <w:t>As part-time [   ]</w:t>
            </w:r>
          </w:p>
          <w:p w14:paraId="19BB7F71" w14:textId="77777777" w:rsidR="001B4ED5" w:rsidRPr="00895D0B" w:rsidRDefault="006B41C0">
            <w:pPr>
              <w:pStyle w:val="ListParagraph"/>
              <w:numPr>
                <w:ilvl w:val="0"/>
                <w:numId w:val="78"/>
              </w:numPr>
              <w:spacing w:line="240" w:lineRule="auto"/>
              <w:ind w:right="51"/>
              <w:rPr>
                <w:rFonts w:cs="Times New Roman"/>
                <w:color w:val="000000" w:themeColor="text1"/>
                <w:szCs w:val="24"/>
              </w:rPr>
            </w:pPr>
            <w:r w:rsidRPr="00895D0B">
              <w:rPr>
                <w:rFonts w:cs="Times New Roman"/>
                <w:color w:val="000000" w:themeColor="text1"/>
                <w:szCs w:val="24"/>
              </w:rPr>
              <w:t>As full time  [   ]</w:t>
            </w:r>
          </w:p>
          <w:p w14:paraId="4914C12E" w14:textId="77777777" w:rsidR="001B4ED5" w:rsidRPr="00895D0B" w:rsidRDefault="006B41C0">
            <w:pPr>
              <w:pStyle w:val="ListParagraph"/>
              <w:spacing w:line="240" w:lineRule="auto"/>
              <w:ind w:right="51"/>
              <w:rPr>
                <w:rFonts w:cs="Times New Roman"/>
                <w:color w:val="000000" w:themeColor="text1"/>
                <w:szCs w:val="24"/>
              </w:rPr>
            </w:pPr>
            <w:r w:rsidRPr="00895D0B">
              <w:rPr>
                <w:rFonts w:cs="Times New Roman"/>
                <w:color w:val="000000" w:themeColor="text1"/>
                <w:szCs w:val="24"/>
              </w:rPr>
              <w:t xml:space="preserve"> </w:t>
            </w:r>
          </w:p>
        </w:tc>
        <w:tc>
          <w:tcPr>
            <w:tcW w:w="2693" w:type="dxa"/>
          </w:tcPr>
          <w:p w14:paraId="3C43E537" w14:textId="77777777" w:rsidR="001B4ED5" w:rsidRPr="00895D0B" w:rsidRDefault="001B4ED5">
            <w:pPr>
              <w:spacing w:line="240" w:lineRule="auto"/>
              <w:rPr>
                <w:rFonts w:cs="Times New Roman"/>
                <w:color w:val="000000" w:themeColor="text1"/>
                <w:szCs w:val="24"/>
              </w:rPr>
            </w:pPr>
          </w:p>
        </w:tc>
      </w:tr>
      <w:tr w:rsidR="00895D0B" w:rsidRPr="00895D0B" w14:paraId="228BDCF1" w14:textId="77777777">
        <w:trPr>
          <w:trHeight w:val="285"/>
        </w:trPr>
        <w:tc>
          <w:tcPr>
            <w:tcW w:w="2486" w:type="dxa"/>
            <w:gridSpan w:val="3"/>
          </w:tcPr>
          <w:p w14:paraId="60E1637A"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C28a:</w:t>
            </w:r>
            <w:r w:rsidRPr="00895D0B">
              <w:rPr>
                <w:rFonts w:cs="Times New Roman"/>
                <w:color w:val="000000" w:themeColor="text1"/>
                <w:szCs w:val="24"/>
              </w:rPr>
              <w:t xml:space="preserve"> If option 1 or 3 in </w:t>
            </w:r>
            <w:r w:rsidRPr="00895D0B">
              <w:rPr>
                <w:rFonts w:cs="Times New Roman"/>
                <w:b/>
                <w:i/>
                <w:color w:val="000000" w:themeColor="text1"/>
                <w:szCs w:val="24"/>
              </w:rPr>
              <w:t>QC25</w:t>
            </w:r>
            <w:r w:rsidRPr="00895D0B">
              <w:rPr>
                <w:rFonts w:cs="Times New Roman"/>
                <w:color w:val="000000" w:themeColor="text1"/>
                <w:szCs w:val="24"/>
              </w:rPr>
              <w:t xml:space="preserve"> how much do you get per season? </w:t>
            </w:r>
          </w:p>
        </w:tc>
        <w:tc>
          <w:tcPr>
            <w:tcW w:w="3888" w:type="dxa"/>
            <w:gridSpan w:val="2"/>
          </w:tcPr>
          <w:p w14:paraId="41B21783" w14:textId="77777777" w:rsidR="001B4ED5" w:rsidRPr="00895D0B" w:rsidRDefault="001B4ED5">
            <w:pPr>
              <w:spacing w:line="240" w:lineRule="auto"/>
              <w:ind w:right="51"/>
              <w:rPr>
                <w:rFonts w:cs="Times New Roman"/>
                <w:color w:val="000000" w:themeColor="text1"/>
                <w:szCs w:val="24"/>
              </w:rPr>
            </w:pPr>
          </w:p>
          <w:p w14:paraId="683CCE69" w14:textId="77777777" w:rsidR="001B4ED5" w:rsidRPr="00895D0B" w:rsidRDefault="006B41C0">
            <w:pPr>
              <w:spacing w:line="240" w:lineRule="auto"/>
              <w:ind w:right="51"/>
              <w:rPr>
                <w:rFonts w:cs="Times New Roman"/>
                <w:color w:val="000000" w:themeColor="text1"/>
                <w:szCs w:val="24"/>
              </w:rPr>
            </w:pPr>
            <w:r w:rsidRPr="00895D0B">
              <w:rPr>
                <w:rFonts w:cs="Times New Roman"/>
                <w:color w:val="000000" w:themeColor="text1"/>
                <w:szCs w:val="24"/>
              </w:rPr>
              <w:t>…………………………..</w:t>
            </w:r>
          </w:p>
        </w:tc>
        <w:tc>
          <w:tcPr>
            <w:tcW w:w="2693" w:type="dxa"/>
          </w:tcPr>
          <w:p w14:paraId="7FC77978" w14:textId="77777777" w:rsidR="001B4ED5" w:rsidRPr="00895D0B" w:rsidRDefault="001B4ED5">
            <w:pPr>
              <w:spacing w:line="240" w:lineRule="auto"/>
              <w:rPr>
                <w:rFonts w:cs="Times New Roman"/>
                <w:color w:val="000000" w:themeColor="text1"/>
                <w:szCs w:val="24"/>
              </w:rPr>
            </w:pPr>
          </w:p>
        </w:tc>
      </w:tr>
      <w:tr w:rsidR="00895D0B" w:rsidRPr="00895D0B" w14:paraId="43D15BC3" w14:textId="77777777">
        <w:trPr>
          <w:trHeight w:val="300"/>
        </w:trPr>
        <w:tc>
          <w:tcPr>
            <w:tcW w:w="9067" w:type="dxa"/>
            <w:gridSpan w:val="6"/>
            <w:shd w:val="clear" w:color="auto" w:fill="95B3D7" w:themeFill="accent1" w:themeFillTint="99"/>
          </w:tcPr>
          <w:p w14:paraId="6AA7D633" w14:textId="77777777" w:rsidR="001B4ED5" w:rsidRPr="00895D0B" w:rsidRDefault="006B41C0">
            <w:pPr>
              <w:spacing w:line="240" w:lineRule="auto"/>
              <w:jc w:val="center"/>
              <w:rPr>
                <w:rFonts w:cs="Times New Roman"/>
                <w:color w:val="000000" w:themeColor="text1"/>
                <w:szCs w:val="24"/>
              </w:rPr>
            </w:pPr>
            <w:r w:rsidRPr="00895D0B">
              <w:rPr>
                <w:rFonts w:eastAsia="Times New Roman" w:cs="Times New Roman"/>
                <w:b/>
                <w:color w:val="000000" w:themeColor="text1"/>
                <w:szCs w:val="24"/>
              </w:rPr>
              <w:t>SECTION D: THE EFFECTS OF LAND USE CHANGE ON RESIDENTS’ PARTICIPATION IN URBAN AGRICULTURE (</w:t>
            </w:r>
            <w:r w:rsidRPr="00895D0B">
              <w:rPr>
                <w:rFonts w:eastAsia="Times New Roman" w:cs="Times New Roman"/>
                <w:b/>
                <w:i/>
                <w:color w:val="000000" w:themeColor="text1"/>
                <w:szCs w:val="24"/>
              </w:rPr>
              <w:t>SATELLITE IMAGES</w:t>
            </w:r>
            <w:r w:rsidRPr="00895D0B">
              <w:rPr>
                <w:rFonts w:eastAsia="Times New Roman" w:cs="Times New Roman"/>
                <w:b/>
                <w:color w:val="000000" w:themeColor="text1"/>
                <w:szCs w:val="24"/>
              </w:rPr>
              <w:t>)</w:t>
            </w:r>
          </w:p>
        </w:tc>
      </w:tr>
      <w:tr w:rsidR="00895D0B" w:rsidRPr="00895D0B" w14:paraId="1170E921" w14:textId="77777777">
        <w:trPr>
          <w:trHeight w:val="300"/>
        </w:trPr>
        <w:tc>
          <w:tcPr>
            <w:tcW w:w="1620" w:type="dxa"/>
          </w:tcPr>
          <w:p w14:paraId="51BA1DA2" w14:textId="77777777" w:rsidR="001B4ED5" w:rsidRPr="00895D0B" w:rsidRDefault="001B4ED5">
            <w:pPr>
              <w:spacing w:line="240" w:lineRule="auto"/>
              <w:rPr>
                <w:rFonts w:cs="Times New Roman"/>
                <w:color w:val="000000" w:themeColor="text1"/>
                <w:szCs w:val="24"/>
              </w:rPr>
            </w:pPr>
          </w:p>
        </w:tc>
        <w:tc>
          <w:tcPr>
            <w:tcW w:w="4754" w:type="dxa"/>
            <w:gridSpan w:val="4"/>
          </w:tcPr>
          <w:p w14:paraId="6C0FA8DD" w14:textId="77777777" w:rsidR="001B4ED5" w:rsidRPr="00895D0B" w:rsidRDefault="001B4ED5">
            <w:pPr>
              <w:spacing w:line="240" w:lineRule="auto"/>
              <w:rPr>
                <w:rFonts w:eastAsia="Times New Roman" w:cs="Times New Roman"/>
                <w:b/>
                <w:color w:val="000000" w:themeColor="text1"/>
                <w:szCs w:val="24"/>
              </w:rPr>
            </w:pPr>
          </w:p>
        </w:tc>
        <w:tc>
          <w:tcPr>
            <w:tcW w:w="2693" w:type="dxa"/>
          </w:tcPr>
          <w:p w14:paraId="2FCE1E66" w14:textId="77777777" w:rsidR="001B4ED5" w:rsidRPr="00895D0B" w:rsidRDefault="001B4ED5">
            <w:pPr>
              <w:spacing w:line="240" w:lineRule="auto"/>
              <w:rPr>
                <w:rFonts w:cs="Times New Roman"/>
                <w:color w:val="000000" w:themeColor="text1"/>
                <w:szCs w:val="24"/>
              </w:rPr>
            </w:pPr>
          </w:p>
        </w:tc>
      </w:tr>
      <w:tr w:rsidR="00895D0B" w:rsidRPr="00895D0B" w14:paraId="64EC0033" w14:textId="77777777">
        <w:trPr>
          <w:trHeight w:val="300"/>
        </w:trPr>
        <w:tc>
          <w:tcPr>
            <w:tcW w:w="1620" w:type="dxa"/>
          </w:tcPr>
          <w:p w14:paraId="33AC41B3" w14:textId="77777777" w:rsidR="001B4ED5" w:rsidRPr="00895D0B" w:rsidRDefault="001B4ED5">
            <w:pPr>
              <w:spacing w:line="240" w:lineRule="auto"/>
              <w:rPr>
                <w:rFonts w:cs="Times New Roman"/>
                <w:color w:val="000000" w:themeColor="text1"/>
                <w:szCs w:val="24"/>
              </w:rPr>
            </w:pPr>
          </w:p>
        </w:tc>
        <w:tc>
          <w:tcPr>
            <w:tcW w:w="4754" w:type="dxa"/>
            <w:gridSpan w:val="4"/>
          </w:tcPr>
          <w:p w14:paraId="72613808" w14:textId="77777777" w:rsidR="001B4ED5" w:rsidRPr="00895D0B" w:rsidRDefault="001B4ED5">
            <w:pPr>
              <w:spacing w:line="240" w:lineRule="auto"/>
              <w:rPr>
                <w:rFonts w:eastAsia="Times New Roman" w:cs="Times New Roman"/>
                <w:b/>
                <w:color w:val="000000" w:themeColor="text1"/>
                <w:szCs w:val="24"/>
              </w:rPr>
            </w:pPr>
          </w:p>
        </w:tc>
        <w:tc>
          <w:tcPr>
            <w:tcW w:w="2693" w:type="dxa"/>
          </w:tcPr>
          <w:p w14:paraId="16AF7A1A" w14:textId="77777777" w:rsidR="001B4ED5" w:rsidRPr="00895D0B" w:rsidRDefault="001B4ED5">
            <w:pPr>
              <w:spacing w:line="240" w:lineRule="auto"/>
              <w:rPr>
                <w:rFonts w:cs="Times New Roman"/>
                <w:color w:val="000000" w:themeColor="text1"/>
                <w:szCs w:val="24"/>
              </w:rPr>
            </w:pPr>
          </w:p>
        </w:tc>
      </w:tr>
      <w:tr w:rsidR="00895D0B" w:rsidRPr="00895D0B" w14:paraId="3E62FA2A" w14:textId="77777777">
        <w:trPr>
          <w:trHeight w:val="300"/>
        </w:trPr>
        <w:tc>
          <w:tcPr>
            <w:tcW w:w="1620" w:type="dxa"/>
          </w:tcPr>
          <w:p w14:paraId="4CD08CAD" w14:textId="77777777" w:rsidR="001B4ED5" w:rsidRPr="00895D0B" w:rsidRDefault="001B4ED5">
            <w:pPr>
              <w:spacing w:line="240" w:lineRule="auto"/>
              <w:rPr>
                <w:rFonts w:cs="Times New Roman"/>
                <w:color w:val="000000" w:themeColor="text1"/>
                <w:szCs w:val="24"/>
              </w:rPr>
            </w:pPr>
          </w:p>
        </w:tc>
        <w:tc>
          <w:tcPr>
            <w:tcW w:w="4754" w:type="dxa"/>
            <w:gridSpan w:val="4"/>
          </w:tcPr>
          <w:p w14:paraId="77B1B51E" w14:textId="77777777" w:rsidR="001B4ED5" w:rsidRPr="00895D0B" w:rsidRDefault="001B4ED5">
            <w:pPr>
              <w:spacing w:line="240" w:lineRule="auto"/>
              <w:rPr>
                <w:rFonts w:eastAsia="Times New Roman" w:cs="Times New Roman"/>
                <w:b/>
                <w:color w:val="000000" w:themeColor="text1"/>
                <w:szCs w:val="24"/>
              </w:rPr>
            </w:pPr>
          </w:p>
        </w:tc>
        <w:tc>
          <w:tcPr>
            <w:tcW w:w="2693" w:type="dxa"/>
          </w:tcPr>
          <w:p w14:paraId="777E2BCB" w14:textId="77777777" w:rsidR="001B4ED5" w:rsidRPr="00895D0B" w:rsidRDefault="001B4ED5">
            <w:pPr>
              <w:spacing w:line="240" w:lineRule="auto"/>
              <w:rPr>
                <w:rFonts w:cs="Times New Roman"/>
                <w:color w:val="000000" w:themeColor="text1"/>
                <w:szCs w:val="24"/>
              </w:rPr>
            </w:pPr>
          </w:p>
        </w:tc>
      </w:tr>
      <w:tr w:rsidR="00895D0B" w:rsidRPr="00895D0B" w14:paraId="5D60C507" w14:textId="77777777">
        <w:trPr>
          <w:trHeight w:val="285"/>
        </w:trPr>
        <w:tc>
          <w:tcPr>
            <w:tcW w:w="9067" w:type="dxa"/>
            <w:gridSpan w:val="6"/>
            <w:shd w:val="clear" w:color="auto" w:fill="95B3D7" w:themeFill="accent1" w:themeFillTint="99"/>
          </w:tcPr>
          <w:p w14:paraId="7623FAFD" w14:textId="77777777" w:rsidR="001B4ED5" w:rsidRPr="00895D0B" w:rsidRDefault="006B41C0">
            <w:pPr>
              <w:spacing w:line="240" w:lineRule="auto"/>
              <w:jc w:val="center"/>
              <w:rPr>
                <w:rFonts w:cs="Times New Roman"/>
                <w:color w:val="000000" w:themeColor="text1"/>
                <w:szCs w:val="24"/>
              </w:rPr>
            </w:pPr>
            <w:r w:rsidRPr="00895D0B">
              <w:rPr>
                <w:rFonts w:cs="Times New Roman"/>
                <w:b/>
                <w:color w:val="000000" w:themeColor="text1"/>
                <w:szCs w:val="24"/>
              </w:rPr>
              <w:t>SECTION E: TO EXPLORE CLIMATE CHANGE ADAPTATION STRATEGIES OF URBAN FARMERS</w:t>
            </w:r>
          </w:p>
        </w:tc>
      </w:tr>
      <w:tr w:rsidR="00895D0B" w:rsidRPr="00895D0B" w14:paraId="3F0DA160" w14:textId="77777777">
        <w:trPr>
          <w:trHeight w:val="285"/>
        </w:trPr>
        <w:tc>
          <w:tcPr>
            <w:tcW w:w="9067" w:type="dxa"/>
            <w:gridSpan w:val="6"/>
            <w:shd w:val="clear" w:color="auto" w:fill="E5B8B7" w:themeFill="accent2" w:themeFillTint="66"/>
          </w:tcPr>
          <w:p w14:paraId="647386F7" w14:textId="77777777" w:rsidR="001B4ED5" w:rsidRPr="00895D0B" w:rsidRDefault="006B41C0">
            <w:pPr>
              <w:spacing w:line="240" w:lineRule="auto"/>
              <w:jc w:val="center"/>
              <w:rPr>
                <w:rFonts w:cs="Times New Roman"/>
                <w:color w:val="000000" w:themeColor="text1"/>
                <w:szCs w:val="24"/>
              </w:rPr>
            </w:pPr>
            <w:r w:rsidRPr="00895D0B">
              <w:rPr>
                <w:rFonts w:cs="Times New Roman"/>
                <w:b/>
                <w:color w:val="000000" w:themeColor="text1"/>
                <w:szCs w:val="24"/>
              </w:rPr>
              <w:t>NB: In this section, I would like to ask you questions on how you adapt your crop farming and animals rearing to the changing weather</w:t>
            </w:r>
          </w:p>
        </w:tc>
      </w:tr>
      <w:tr w:rsidR="00895D0B" w:rsidRPr="00895D0B" w14:paraId="31F04A8C" w14:textId="77777777">
        <w:trPr>
          <w:trHeight w:val="300"/>
        </w:trPr>
        <w:tc>
          <w:tcPr>
            <w:tcW w:w="2486" w:type="dxa"/>
            <w:gridSpan w:val="3"/>
          </w:tcPr>
          <w:p w14:paraId="08F4AC15"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E1:</w:t>
            </w:r>
            <w:r w:rsidRPr="00895D0B">
              <w:rPr>
                <w:rFonts w:cs="Times New Roman"/>
                <w:color w:val="000000" w:themeColor="text1"/>
                <w:szCs w:val="24"/>
              </w:rPr>
              <w:t xml:space="preserve"> Do you have any knowledge in climate change? </w:t>
            </w:r>
          </w:p>
        </w:tc>
        <w:tc>
          <w:tcPr>
            <w:tcW w:w="3888" w:type="dxa"/>
            <w:gridSpan w:val="2"/>
          </w:tcPr>
          <w:p w14:paraId="2D7A4AB1" w14:textId="77777777" w:rsidR="001B4ED5" w:rsidRPr="00895D0B" w:rsidRDefault="006B41C0">
            <w:pPr>
              <w:pStyle w:val="ListParagraph"/>
              <w:numPr>
                <w:ilvl w:val="0"/>
                <w:numId w:val="79"/>
              </w:numPr>
              <w:spacing w:line="240" w:lineRule="auto"/>
              <w:jc w:val="left"/>
              <w:rPr>
                <w:rFonts w:cs="Times New Roman"/>
                <w:color w:val="000000" w:themeColor="text1"/>
                <w:szCs w:val="24"/>
              </w:rPr>
            </w:pPr>
            <w:r w:rsidRPr="00895D0B">
              <w:rPr>
                <w:rFonts w:cs="Times New Roman"/>
                <w:color w:val="000000" w:themeColor="text1"/>
                <w:szCs w:val="24"/>
              </w:rPr>
              <w:t>Yes [   ]</w:t>
            </w:r>
          </w:p>
          <w:p w14:paraId="47903075" w14:textId="77777777" w:rsidR="001B4ED5" w:rsidRPr="00895D0B" w:rsidRDefault="006B41C0">
            <w:pPr>
              <w:pStyle w:val="ListParagraph"/>
              <w:numPr>
                <w:ilvl w:val="0"/>
                <w:numId w:val="79"/>
              </w:numPr>
              <w:spacing w:line="240" w:lineRule="auto"/>
              <w:jc w:val="left"/>
              <w:rPr>
                <w:rFonts w:cs="Times New Roman"/>
                <w:color w:val="000000" w:themeColor="text1"/>
                <w:szCs w:val="24"/>
              </w:rPr>
            </w:pPr>
            <w:r w:rsidRPr="00895D0B">
              <w:rPr>
                <w:rFonts w:cs="Times New Roman"/>
                <w:color w:val="000000" w:themeColor="text1"/>
                <w:szCs w:val="24"/>
              </w:rPr>
              <w:t>No [   ]</w:t>
            </w:r>
          </w:p>
          <w:p w14:paraId="019FCF46" w14:textId="77777777" w:rsidR="001B4ED5" w:rsidRPr="00895D0B" w:rsidRDefault="001B4ED5">
            <w:pPr>
              <w:spacing w:line="240" w:lineRule="auto"/>
              <w:rPr>
                <w:rFonts w:cs="Times New Roman"/>
                <w:color w:val="000000" w:themeColor="text1"/>
                <w:szCs w:val="24"/>
              </w:rPr>
            </w:pPr>
          </w:p>
          <w:p w14:paraId="6ADF70F1" w14:textId="77777777" w:rsidR="001B4ED5" w:rsidRPr="00895D0B" w:rsidRDefault="001B4ED5">
            <w:pPr>
              <w:spacing w:line="240" w:lineRule="auto"/>
              <w:rPr>
                <w:rFonts w:cs="Times New Roman"/>
                <w:color w:val="000000" w:themeColor="text1"/>
                <w:szCs w:val="24"/>
              </w:rPr>
            </w:pPr>
          </w:p>
        </w:tc>
        <w:tc>
          <w:tcPr>
            <w:tcW w:w="2693" w:type="dxa"/>
            <w:shd w:val="clear" w:color="auto" w:fill="FFFFFF" w:themeFill="background1"/>
          </w:tcPr>
          <w:p w14:paraId="18FCB674" w14:textId="77777777" w:rsidR="001B4ED5" w:rsidRPr="00895D0B" w:rsidRDefault="001B4ED5">
            <w:pPr>
              <w:spacing w:line="240" w:lineRule="auto"/>
              <w:rPr>
                <w:rFonts w:cs="Times New Roman"/>
                <w:color w:val="000000" w:themeColor="text1"/>
                <w:szCs w:val="24"/>
              </w:rPr>
            </w:pPr>
          </w:p>
        </w:tc>
      </w:tr>
      <w:tr w:rsidR="00895D0B" w:rsidRPr="00895D0B" w14:paraId="0934739B" w14:textId="77777777">
        <w:trPr>
          <w:trHeight w:val="300"/>
        </w:trPr>
        <w:tc>
          <w:tcPr>
            <w:tcW w:w="2486" w:type="dxa"/>
            <w:gridSpan w:val="3"/>
          </w:tcPr>
          <w:p w14:paraId="6A689E7F"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lastRenderedPageBreak/>
              <w:t>E1a:</w:t>
            </w:r>
            <w:r w:rsidRPr="00895D0B">
              <w:rPr>
                <w:rFonts w:cs="Times New Roman"/>
                <w:color w:val="000000" w:themeColor="text1"/>
                <w:szCs w:val="24"/>
              </w:rPr>
              <w:t xml:space="preserve"> If yes in </w:t>
            </w:r>
            <w:r w:rsidRPr="00895D0B">
              <w:rPr>
                <w:rFonts w:cs="Times New Roman"/>
                <w:b/>
                <w:i/>
                <w:color w:val="000000" w:themeColor="text1"/>
                <w:szCs w:val="24"/>
              </w:rPr>
              <w:t>E1</w:t>
            </w:r>
            <w:r w:rsidRPr="00895D0B">
              <w:rPr>
                <w:rFonts w:cs="Times New Roman"/>
                <w:color w:val="000000" w:themeColor="text1"/>
                <w:szCs w:val="24"/>
              </w:rPr>
              <w:t>, what is climate change about?</w:t>
            </w:r>
          </w:p>
        </w:tc>
        <w:tc>
          <w:tcPr>
            <w:tcW w:w="3888" w:type="dxa"/>
            <w:gridSpan w:val="2"/>
          </w:tcPr>
          <w:p w14:paraId="4A954C79" w14:textId="77777777" w:rsidR="001B4ED5" w:rsidRPr="00895D0B" w:rsidRDefault="006B41C0">
            <w:pPr>
              <w:spacing w:line="240" w:lineRule="auto"/>
              <w:rPr>
                <w:rFonts w:cs="Times New Roman"/>
                <w:color w:val="000000" w:themeColor="text1"/>
                <w:szCs w:val="24"/>
              </w:rPr>
            </w:pPr>
            <w:r w:rsidRPr="00895D0B">
              <w:rPr>
                <w:rFonts w:cs="Times New Roman"/>
                <w:color w:val="000000" w:themeColor="text1"/>
                <w:szCs w:val="24"/>
              </w:rPr>
              <w:t>…………………………………..</w:t>
            </w:r>
          </w:p>
        </w:tc>
        <w:tc>
          <w:tcPr>
            <w:tcW w:w="2693" w:type="dxa"/>
            <w:shd w:val="clear" w:color="auto" w:fill="FFFFFF" w:themeFill="background1"/>
          </w:tcPr>
          <w:p w14:paraId="5CA38BBB" w14:textId="77777777" w:rsidR="001B4ED5" w:rsidRPr="00895D0B" w:rsidRDefault="001B4ED5">
            <w:pPr>
              <w:spacing w:line="240" w:lineRule="auto"/>
              <w:rPr>
                <w:rFonts w:cs="Times New Roman"/>
                <w:color w:val="000000" w:themeColor="text1"/>
                <w:szCs w:val="24"/>
              </w:rPr>
            </w:pPr>
          </w:p>
        </w:tc>
      </w:tr>
      <w:tr w:rsidR="00895D0B" w:rsidRPr="00895D0B" w14:paraId="3A66C3C1" w14:textId="77777777">
        <w:trPr>
          <w:trHeight w:val="300"/>
        </w:trPr>
        <w:tc>
          <w:tcPr>
            <w:tcW w:w="2486" w:type="dxa"/>
            <w:gridSpan w:val="3"/>
          </w:tcPr>
          <w:p w14:paraId="3C43BFA6"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E1b:</w:t>
            </w:r>
            <w:r w:rsidRPr="00895D0B">
              <w:rPr>
                <w:rFonts w:cs="Times New Roman"/>
                <w:color w:val="000000" w:themeColor="text1"/>
                <w:szCs w:val="24"/>
              </w:rPr>
              <w:t xml:space="preserve">If yes to </w:t>
            </w:r>
            <w:r w:rsidRPr="00895D0B">
              <w:rPr>
                <w:rFonts w:cs="Times New Roman"/>
                <w:b/>
                <w:i/>
                <w:color w:val="000000" w:themeColor="text1"/>
                <w:szCs w:val="24"/>
              </w:rPr>
              <w:t>E1,</w:t>
            </w:r>
            <w:r w:rsidRPr="00895D0B">
              <w:rPr>
                <w:rFonts w:cs="Times New Roman"/>
                <w:color w:val="000000" w:themeColor="text1"/>
                <w:szCs w:val="24"/>
              </w:rPr>
              <w:t xml:space="preserve"> how do you get the climate information?</w:t>
            </w:r>
          </w:p>
        </w:tc>
        <w:tc>
          <w:tcPr>
            <w:tcW w:w="3888" w:type="dxa"/>
            <w:gridSpan w:val="2"/>
          </w:tcPr>
          <w:p w14:paraId="0E1C21F1" w14:textId="77777777" w:rsidR="001B4ED5" w:rsidRPr="00895D0B" w:rsidRDefault="006B41C0">
            <w:pPr>
              <w:pStyle w:val="ListParagraph"/>
              <w:numPr>
                <w:ilvl w:val="0"/>
                <w:numId w:val="80"/>
              </w:numPr>
              <w:spacing w:line="240" w:lineRule="auto"/>
              <w:jc w:val="left"/>
              <w:rPr>
                <w:rFonts w:cs="Times New Roman"/>
                <w:color w:val="000000" w:themeColor="text1"/>
                <w:szCs w:val="24"/>
              </w:rPr>
            </w:pPr>
            <w:r w:rsidRPr="00895D0B">
              <w:rPr>
                <w:rFonts w:cs="Times New Roman"/>
                <w:color w:val="000000" w:themeColor="text1"/>
                <w:szCs w:val="24"/>
              </w:rPr>
              <w:t>From friends and neighbors [   ]</w:t>
            </w:r>
          </w:p>
          <w:p w14:paraId="684EDDD6" w14:textId="77777777" w:rsidR="001B4ED5" w:rsidRPr="00895D0B" w:rsidRDefault="006B41C0">
            <w:pPr>
              <w:pStyle w:val="ListParagraph"/>
              <w:numPr>
                <w:ilvl w:val="0"/>
                <w:numId w:val="81"/>
              </w:numPr>
              <w:spacing w:line="240" w:lineRule="auto"/>
              <w:jc w:val="left"/>
              <w:rPr>
                <w:rFonts w:cs="Times New Roman"/>
                <w:color w:val="000000" w:themeColor="text1"/>
                <w:szCs w:val="24"/>
              </w:rPr>
            </w:pPr>
            <w:r w:rsidRPr="00895D0B">
              <w:rPr>
                <w:rFonts w:cs="Times New Roman"/>
                <w:color w:val="000000" w:themeColor="text1"/>
                <w:szCs w:val="24"/>
              </w:rPr>
              <w:t>From agriculture services workers (MoFA/NGOs) [   ]</w:t>
            </w:r>
          </w:p>
          <w:p w14:paraId="34A138EE" w14:textId="77777777" w:rsidR="001B4ED5" w:rsidRPr="00895D0B" w:rsidRDefault="006B41C0">
            <w:pPr>
              <w:pStyle w:val="ListParagraph"/>
              <w:numPr>
                <w:ilvl w:val="0"/>
                <w:numId w:val="81"/>
              </w:numPr>
              <w:spacing w:line="240" w:lineRule="auto"/>
              <w:jc w:val="left"/>
              <w:rPr>
                <w:rFonts w:cs="Times New Roman"/>
                <w:color w:val="000000" w:themeColor="text1"/>
                <w:szCs w:val="24"/>
              </w:rPr>
            </w:pPr>
            <w:r w:rsidRPr="00895D0B">
              <w:rPr>
                <w:rFonts w:cs="Times New Roman"/>
                <w:color w:val="000000" w:themeColor="text1"/>
                <w:szCs w:val="24"/>
              </w:rPr>
              <w:t>Television [   ]</w:t>
            </w:r>
          </w:p>
          <w:p w14:paraId="2811C24D" w14:textId="77777777" w:rsidR="001B4ED5" w:rsidRPr="00895D0B" w:rsidRDefault="006B41C0">
            <w:pPr>
              <w:pStyle w:val="ListParagraph"/>
              <w:numPr>
                <w:ilvl w:val="0"/>
                <w:numId w:val="81"/>
              </w:numPr>
              <w:spacing w:line="240" w:lineRule="auto"/>
              <w:jc w:val="left"/>
              <w:rPr>
                <w:rFonts w:cs="Times New Roman"/>
                <w:color w:val="000000" w:themeColor="text1"/>
                <w:szCs w:val="24"/>
              </w:rPr>
            </w:pPr>
            <w:r w:rsidRPr="00895D0B">
              <w:rPr>
                <w:rFonts w:cs="Times New Roman"/>
                <w:color w:val="000000" w:themeColor="text1"/>
                <w:szCs w:val="24"/>
              </w:rPr>
              <w:t>Radio [   ]</w:t>
            </w:r>
          </w:p>
          <w:p w14:paraId="4C57D485" w14:textId="77777777" w:rsidR="001B4ED5" w:rsidRPr="00895D0B" w:rsidRDefault="006B41C0">
            <w:pPr>
              <w:pStyle w:val="ListParagraph"/>
              <w:numPr>
                <w:ilvl w:val="0"/>
                <w:numId w:val="81"/>
              </w:numPr>
              <w:spacing w:line="240" w:lineRule="auto"/>
              <w:jc w:val="left"/>
              <w:rPr>
                <w:rFonts w:cs="Times New Roman"/>
                <w:color w:val="000000" w:themeColor="text1"/>
                <w:szCs w:val="24"/>
              </w:rPr>
            </w:pPr>
            <w:r w:rsidRPr="00895D0B">
              <w:rPr>
                <w:rFonts w:cs="Times New Roman"/>
                <w:color w:val="000000" w:themeColor="text1"/>
                <w:szCs w:val="24"/>
              </w:rPr>
              <w:t>Personal observation [   ]</w:t>
            </w:r>
          </w:p>
          <w:p w14:paraId="6080D645" w14:textId="77777777" w:rsidR="001B4ED5" w:rsidRPr="00895D0B" w:rsidRDefault="006B41C0">
            <w:pPr>
              <w:pStyle w:val="ListParagraph"/>
              <w:numPr>
                <w:ilvl w:val="0"/>
                <w:numId w:val="81"/>
              </w:numPr>
              <w:spacing w:line="240" w:lineRule="auto"/>
              <w:jc w:val="left"/>
              <w:rPr>
                <w:rFonts w:cs="Times New Roman"/>
                <w:color w:val="000000" w:themeColor="text1"/>
                <w:szCs w:val="24"/>
              </w:rPr>
            </w:pPr>
            <w:r w:rsidRPr="00895D0B">
              <w:rPr>
                <w:rFonts w:cs="Times New Roman"/>
                <w:color w:val="000000" w:themeColor="text1"/>
                <w:szCs w:val="24"/>
              </w:rPr>
              <w:t>None [   ]</w:t>
            </w:r>
          </w:p>
          <w:p w14:paraId="49A8FABE" w14:textId="77777777" w:rsidR="001B4ED5" w:rsidRPr="00895D0B" w:rsidRDefault="006B41C0">
            <w:pPr>
              <w:pStyle w:val="ListParagraph"/>
              <w:numPr>
                <w:ilvl w:val="0"/>
                <w:numId w:val="81"/>
              </w:numPr>
              <w:spacing w:line="240" w:lineRule="auto"/>
              <w:jc w:val="left"/>
              <w:rPr>
                <w:rFonts w:cs="Times New Roman"/>
                <w:color w:val="000000" w:themeColor="text1"/>
                <w:szCs w:val="24"/>
              </w:rPr>
            </w:pPr>
            <w:r w:rsidRPr="00895D0B">
              <w:rPr>
                <w:rFonts w:cs="Times New Roman"/>
                <w:color w:val="000000" w:themeColor="text1"/>
                <w:szCs w:val="24"/>
              </w:rPr>
              <w:t>Others specify ………………….</w:t>
            </w:r>
          </w:p>
        </w:tc>
        <w:tc>
          <w:tcPr>
            <w:tcW w:w="2693" w:type="dxa"/>
            <w:shd w:val="clear" w:color="auto" w:fill="FFFFFF" w:themeFill="background1"/>
          </w:tcPr>
          <w:p w14:paraId="72A83784" w14:textId="77777777" w:rsidR="001B4ED5" w:rsidRPr="00895D0B" w:rsidRDefault="001B4ED5">
            <w:pPr>
              <w:spacing w:line="240" w:lineRule="auto"/>
              <w:rPr>
                <w:rFonts w:cs="Times New Roman"/>
                <w:color w:val="000000" w:themeColor="text1"/>
                <w:szCs w:val="24"/>
              </w:rPr>
            </w:pPr>
          </w:p>
        </w:tc>
      </w:tr>
      <w:tr w:rsidR="00895D0B" w:rsidRPr="00895D0B" w14:paraId="4340DB4B" w14:textId="77777777">
        <w:trPr>
          <w:trHeight w:val="300"/>
        </w:trPr>
        <w:tc>
          <w:tcPr>
            <w:tcW w:w="2486" w:type="dxa"/>
            <w:gridSpan w:val="3"/>
          </w:tcPr>
          <w:p w14:paraId="1370A63F"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E2:</w:t>
            </w:r>
            <w:r w:rsidRPr="00895D0B">
              <w:rPr>
                <w:rFonts w:cs="Times New Roman"/>
                <w:color w:val="000000" w:themeColor="text1"/>
                <w:szCs w:val="24"/>
              </w:rPr>
              <w:t xml:space="preserve"> Is climate change affecting your crops cultivation or animal rearing? </w:t>
            </w:r>
          </w:p>
        </w:tc>
        <w:tc>
          <w:tcPr>
            <w:tcW w:w="3888" w:type="dxa"/>
            <w:gridSpan w:val="2"/>
          </w:tcPr>
          <w:p w14:paraId="63A67E46" w14:textId="77777777" w:rsidR="001B4ED5" w:rsidRPr="00895D0B" w:rsidRDefault="006B41C0">
            <w:pPr>
              <w:pStyle w:val="ListParagraph"/>
              <w:numPr>
                <w:ilvl w:val="0"/>
                <w:numId w:val="82"/>
              </w:numPr>
              <w:spacing w:line="240" w:lineRule="auto"/>
              <w:jc w:val="left"/>
              <w:rPr>
                <w:rFonts w:cs="Times New Roman"/>
                <w:color w:val="000000" w:themeColor="text1"/>
                <w:szCs w:val="24"/>
              </w:rPr>
            </w:pPr>
            <w:r w:rsidRPr="00895D0B">
              <w:rPr>
                <w:rFonts w:cs="Times New Roman"/>
                <w:color w:val="000000" w:themeColor="text1"/>
                <w:szCs w:val="24"/>
              </w:rPr>
              <w:t>Yes [   ]</w:t>
            </w:r>
          </w:p>
          <w:p w14:paraId="054736E6" w14:textId="77777777" w:rsidR="001B4ED5" w:rsidRPr="00895D0B" w:rsidRDefault="006B41C0">
            <w:pPr>
              <w:pStyle w:val="ListParagraph"/>
              <w:numPr>
                <w:ilvl w:val="0"/>
                <w:numId w:val="82"/>
              </w:numPr>
              <w:spacing w:line="240" w:lineRule="auto"/>
              <w:jc w:val="left"/>
              <w:rPr>
                <w:rFonts w:cs="Times New Roman"/>
                <w:color w:val="000000" w:themeColor="text1"/>
                <w:szCs w:val="24"/>
              </w:rPr>
            </w:pPr>
            <w:r w:rsidRPr="00895D0B">
              <w:rPr>
                <w:rFonts w:cs="Times New Roman"/>
                <w:color w:val="000000" w:themeColor="text1"/>
                <w:szCs w:val="24"/>
              </w:rPr>
              <w:t>No [   ]</w:t>
            </w:r>
          </w:p>
          <w:p w14:paraId="1811C583" w14:textId="77777777" w:rsidR="001B4ED5" w:rsidRPr="00895D0B" w:rsidRDefault="001B4ED5">
            <w:pPr>
              <w:spacing w:line="240" w:lineRule="auto"/>
              <w:rPr>
                <w:rFonts w:cs="Times New Roman"/>
                <w:color w:val="000000" w:themeColor="text1"/>
                <w:szCs w:val="24"/>
              </w:rPr>
            </w:pPr>
          </w:p>
        </w:tc>
        <w:tc>
          <w:tcPr>
            <w:tcW w:w="2693" w:type="dxa"/>
            <w:shd w:val="clear" w:color="auto" w:fill="FFFFFF" w:themeFill="background1"/>
          </w:tcPr>
          <w:p w14:paraId="7CD2EFA7" w14:textId="77777777" w:rsidR="001B4ED5" w:rsidRPr="00895D0B" w:rsidRDefault="001B4ED5">
            <w:pPr>
              <w:spacing w:line="240" w:lineRule="auto"/>
              <w:rPr>
                <w:rFonts w:cs="Times New Roman"/>
                <w:color w:val="000000" w:themeColor="text1"/>
                <w:szCs w:val="24"/>
              </w:rPr>
            </w:pPr>
          </w:p>
        </w:tc>
      </w:tr>
      <w:tr w:rsidR="00895D0B" w:rsidRPr="00895D0B" w14:paraId="76FA885E" w14:textId="77777777">
        <w:trPr>
          <w:trHeight w:val="300"/>
        </w:trPr>
        <w:tc>
          <w:tcPr>
            <w:tcW w:w="2486" w:type="dxa"/>
            <w:gridSpan w:val="3"/>
          </w:tcPr>
          <w:p w14:paraId="2A29AF61"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Eaa:</w:t>
            </w:r>
            <w:r w:rsidRPr="00895D0B">
              <w:rPr>
                <w:rFonts w:cs="Times New Roman"/>
                <w:color w:val="000000" w:themeColor="text1"/>
                <w:szCs w:val="24"/>
              </w:rPr>
              <w:t xml:space="preserve"> If yes to </w:t>
            </w:r>
            <w:r w:rsidRPr="00895D0B">
              <w:rPr>
                <w:rFonts w:cs="Times New Roman"/>
                <w:b/>
                <w:i/>
                <w:color w:val="000000" w:themeColor="text1"/>
                <w:szCs w:val="24"/>
              </w:rPr>
              <w:t xml:space="preserve">E3 </w:t>
            </w:r>
            <w:r w:rsidRPr="00895D0B">
              <w:rPr>
                <w:rFonts w:cs="Times New Roman"/>
                <w:color w:val="000000" w:themeColor="text1"/>
                <w:szCs w:val="24"/>
              </w:rPr>
              <w:t>above</w:t>
            </w:r>
            <w:r w:rsidRPr="00895D0B">
              <w:rPr>
                <w:rFonts w:cs="Times New Roman"/>
                <w:i/>
                <w:color w:val="000000" w:themeColor="text1"/>
                <w:szCs w:val="24"/>
              </w:rPr>
              <w:t>,</w:t>
            </w:r>
            <w:r w:rsidRPr="00895D0B">
              <w:rPr>
                <w:rFonts w:cs="Times New Roman"/>
                <w:color w:val="000000" w:themeColor="text1"/>
                <w:szCs w:val="24"/>
              </w:rPr>
              <w:t xml:space="preserve"> in what ways does climate affect your activities? </w:t>
            </w:r>
            <w:r w:rsidRPr="00895D0B">
              <w:rPr>
                <w:rFonts w:cs="Times New Roman"/>
                <w:b/>
                <w:i/>
                <w:color w:val="000000" w:themeColor="text1"/>
                <w:szCs w:val="24"/>
              </w:rPr>
              <w:t>(choose as many as possible)</w:t>
            </w:r>
          </w:p>
        </w:tc>
        <w:tc>
          <w:tcPr>
            <w:tcW w:w="3888" w:type="dxa"/>
            <w:gridSpan w:val="2"/>
          </w:tcPr>
          <w:p w14:paraId="1C39DBA1" w14:textId="77777777" w:rsidR="001B4ED5" w:rsidRPr="00895D0B" w:rsidRDefault="006B41C0">
            <w:pPr>
              <w:pStyle w:val="ListParagraph"/>
              <w:numPr>
                <w:ilvl w:val="0"/>
                <w:numId w:val="83"/>
              </w:numPr>
              <w:spacing w:line="240" w:lineRule="auto"/>
              <w:jc w:val="left"/>
              <w:rPr>
                <w:rFonts w:cs="Times New Roman"/>
                <w:color w:val="000000" w:themeColor="text1"/>
                <w:szCs w:val="24"/>
              </w:rPr>
            </w:pPr>
            <w:r w:rsidRPr="00895D0B">
              <w:rPr>
                <w:rFonts w:cs="Times New Roman"/>
                <w:color w:val="000000" w:themeColor="text1"/>
                <w:szCs w:val="24"/>
              </w:rPr>
              <w:t>Insufficient water [   ]</w:t>
            </w:r>
          </w:p>
          <w:p w14:paraId="72AB7C96" w14:textId="77777777" w:rsidR="001B4ED5" w:rsidRPr="00895D0B" w:rsidRDefault="006B41C0">
            <w:pPr>
              <w:pStyle w:val="ListParagraph"/>
              <w:numPr>
                <w:ilvl w:val="0"/>
                <w:numId w:val="83"/>
              </w:numPr>
              <w:spacing w:line="240" w:lineRule="auto"/>
              <w:jc w:val="left"/>
              <w:rPr>
                <w:rFonts w:cs="Times New Roman"/>
                <w:color w:val="000000" w:themeColor="text1"/>
                <w:szCs w:val="24"/>
              </w:rPr>
            </w:pPr>
            <w:r w:rsidRPr="00895D0B">
              <w:rPr>
                <w:rFonts w:cs="Times New Roman"/>
                <w:color w:val="000000" w:themeColor="text1"/>
                <w:szCs w:val="24"/>
              </w:rPr>
              <w:t>Low yields [   ]</w:t>
            </w:r>
          </w:p>
          <w:p w14:paraId="37D7832C" w14:textId="77777777" w:rsidR="001B4ED5" w:rsidRPr="00895D0B" w:rsidRDefault="006B41C0">
            <w:pPr>
              <w:pStyle w:val="ListParagraph"/>
              <w:numPr>
                <w:ilvl w:val="0"/>
                <w:numId w:val="83"/>
              </w:numPr>
              <w:spacing w:line="240" w:lineRule="auto"/>
              <w:jc w:val="left"/>
              <w:rPr>
                <w:rFonts w:cs="Times New Roman"/>
                <w:color w:val="000000" w:themeColor="text1"/>
                <w:szCs w:val="24"/>
              </w:rPr>
            </w:pPr>
            <w:r w:rsidRPr="00895D0B">
              <w:rPr>
                <w:rFonts w:cs="Times New Roman"/>
                <w:color w:val="000000" w:themeColor="text1"/>
                <w:szCs w:val="24"/>
              </w:rPr>
              <w:t>Pest and diseases infestation [   ]</w:t>
            </w:r>
          </w:p>
          <w:p w14:paraId="61D0126A" w14:textId="77777777" w:rsidR="001B4ED5" w:rsidRPr="00895D0B" w:rsidRDefault="006B41C0">
            <w:pPr>
              <w:pStyle w:val="ListParagraph"/>
              <w:numPr>
                <w:ilvl w:val="0"/>
                <w:numId w:val="83"/>
              </w:numPr>
              <w:spacing w:line="240" w:lineRule="auto"/>
              <w:jc w:val="left"/>
              <w:rPr>
                <w:rFonts w:cs="Times New Roman"/>
                <w:color w:val="000000" w:themeColor="text1"/>
                <w:szCs w:val="24"/>
              </w:rPr>
            </w:pPr>
            <w:r w:rsidRPr="00895D0B">
              <w:rPr>
                <w:rFonts w:cs="Times New Roman"/>
                <w:color w:val="000000" w:themeColor="text1"/>
                <w:szCs w:val="24"/>
              </w:rPr>
              <w:t>Erosion effects [   ]</w:t>
            </w:r>
          </w:p>
          <w:p w14:paraId="065F47C6" w14:textId="77777777" w:rsidR="001B4ED5" w:rsidRPr="00895D0B" w:rsidRDefault="006B41C0">
            <w:pPr>
              <w:pStyle w:val="ListParagraph"/>
              <w:numPr>
                <w:ilvl w:val="0"/>
                <w:numId w:val="83"/>
              </w:numPr>
              <w:spacing w:line="240" w:lineRule="auto"/>
              <w:jc w:val="left"/>
              <w:rPr>
                <w:rFonts w:cs="Times New Roman"/>
                <w:color w:val="000000" w:themeColor="text1"/>
                <w:szCs w:val="24"/>
              </w:rPr>
            </w:pPr>
            <w:r w:rsidRPr="00895D0B">
              <w:rPr>
                <w:rFonts w:cs="Times New Roman"/>
                <w:color w:val="000000" w:themeColor="text1"/>
                <w:szCs w:val="24"/>
              </w:rPr>
              <w:t>Nutrients leaching [   ]</w:t>
            </w:r>
          </w:p>
          <w:p w14:paraId="1051338D" w14:textId="77777777" w:rsidR="001B4ED5" w:rsidRPr="00895D0B" w:rsidRDefault="006B41C0">
            <w:pPr>
              <w:pStyle w:val="ListParagraph"/>
              <w:numPr>
                <w:ilvl w:val="0"/>
                <w:numId w:val="83"/>
              </w:numPr>
              <w:spacing w:line="240" w:lineRule="auto"/>
              <w:jc w:val="left"/>
              <w:rPr>
                <w:rFonts w:cs="Times New Roman"/>
                <w:color w:val="000000" w:themeColor="text1"/>
                <w:szCs w:val="24"/>
              </w:rPr>
            </w:pPr>
            <w:r w:rsidRPr="00895D0B">
              <w:rPr>
                <w:rFonts w:cs="Times New Roman"/>
                <w:color w:val="000000" w:themeColor="text1"/>
                <w:szCs w:val="24"/>
              </w:rPr>
              <w:t>Post- harvest losses [   ]</w:t>
            </w:r>
          </w:p>
          <w:p w14:paraId="163359AE" w14:textId="77777777" w:rsidR="001B4ED5" w:rsidRPr="00895D0B" w:rsidRDefault="006B41C0">
            <w:pPr>
              <w:pStyle w:val="ListParagraph"/>
              <w:numPr>
                <w:ilvl w:val="0"/>
                <w:numId w:val="83"/>
              </w:numPr>
              <w:spacing w:line="240" w:lineRule="auto"/>
              <w:jc w:val="left"/>
              <w:rPr>
                <w:rFonts w:cs="Times New Roman"/>
                <w:color w:val="000000" w:themeColor="text1"/>
                <w:szCs w:val="24"/>
              </w:rPr>
            </w:pPr>
            <w:r w:rsidRPr="00895D0B">
              <w:rPr>
                <w:rFonts w:cs="Times New Roman"/>
                <w:color w:val="000000" w:themeColor="text1"/>
                <w:szCs w:val="24"/>
              </w:rPr>
              <w:t>Others specify …………………………………….</w:t>
            </w:r>
          </w:p>
        </w:tc>
        <w:tc>
          <w:tcPr>
            <w:tcW w:w="2693" w:type="dxa"/>
            <w:shd w:val="clear" w:color="auto" w:fill="FFFFFF" w:themeFill="background1"/>
          </w:tcPr>
          <w:p w14:paraId="4B041731" w14:textId="77777777" w:rsidR="001B4ED5" w:rsidRPr="00895D0B" w:rsidRDefault="001B4ED5">
            <w:pPr>
              <w:spacing w:line="240" w:lineRule="auto"/>
              <w:rPr>
                <w:rFonts w:cs="Times New Roman"/>
                <w:color w:val="000000" w:themeColor="text1"/>
                <w:szCs w:val="24"/>
              </w:rPr>
            </w:pPr>
          </w:p>
        </w:tc>
      </w:tr>
      <w:tr w:rsidR="00895D0B" w:rsidRPr="00895D0B" w14:paraId="77B12D3D" w14:textId="77777777">
        <w:trPr>
          <w:trHeight w:val="300"/>
        </w:trPr>
        <w:tc>
          <w:tcPr>
            <w:tcW w:w="2486" w:type="dxa"/>
            <w:gridSpan w:val="3"/>
          </w:tcPr>
          <w:p w14:paraId="044E68A0"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Ebb:</w:t>
            </w:r>
            <w:r w:rsidRPr="00895D0B">
              <w:rPr>
                <w:rFonts w:cs="Times New Roman"/>
                <w:color w:val="000000" w:themeColor="text1"/>
                <w:szCs w:val="24"/>
              </w:rPr>
              <w:t xml:space="preserve"> If yes to </w:t>
            </w:r>
            <w:r w:rsidRPr="00895D0B">
              <w:rPr>
                <w:rFonts w:cs="Times New Roman"/>
                <w:b/>
                <w:i/>
                <w:color w:val="000000" w:themeColor="text1"/>
                <w:szCs w:val="24"/>
              </w:rPr>
              <w:t xml:space="preserve">E3 </w:t>
            </w:r>
            <w:r w:rsidRPr="00895D0B">
              <w:rPr>
                <w:rFonts w:cs="Times New Roman"/>
                <w:color w:val="000000" w:themeColor="text1"/>
                <w:szCs w:val="24"/>
              </w:rPr>
              <w:t>above</w:t>
            </w:r>
            <w:r w:rsidRPr="00895D0B">
              <w:rPr>
                <w:rFonts w:cs="Times New Roman"/>
                <w:b/>
                <w:i/>
                <w:color w:val="000000" w:themeColor="text1"/>
                <w:szCs w:val="24"/>
              </w:rPr>
              <w:t>,</w:t>
            </w:r>
            <w:r w:rsidRPr="00895D0B">
              <w:rPr>
                <w:rFonts w:cs="Times New Roman"/>
                <w:color w:val="000000" w:themeColor="text1"/>
                <w:szCs w:val="24"/>
              </w:rPr>
              <w:t xml:space="preserve"> how do you manage weather changes in crop production? </w:t>
            </w:r>
            <w:r w:rsidRPr="00895D0B">
              <w:rPr>
                <w:rFonts w:cs="Times New Roman"/>
                <w:b/>
                <w:i/>
                <w:color w:val="000000" w:themeColor="text1"/>
                <w:szCs w:val="24"/>
              </w:rPr>
              <w:t>(Choose as many as possible)</w:t>
            </w:r>
          </w:p>
        </w:tc>
        <w:tc>
          <w:tcPr>
            <w:tcW w:w="3888" w:type="dxa"/>
            <w:gridSpan w:val="2"/>
          </w:tcPr>
          <w:p w14:paraId="4F1079F2" w14:textId="77777777" w:rsidR="001B4ED5" w:rsidRPr="00895D0B" w:rsidRDefault="006B41C0">
            <w:pPr>
              <w:pStyle w:val="ListParagraph"/>
              <w:numPr>
                <w:ilvl w:val="0"/>
                <w:numId w:val="84"/>
              </w:numPr>
              <w:spacing w:line="240" w:lineRule="auto"/>
              <w:jc w:val="left"/>
              <w:rPr>
                <w:rFonts w:cs="Times New Roman"/>
                <w:color w:val="000000" w:themeColor="text1"/>
                <w:szCs w:val="24"/>
              </w:rPr>
            </w:pPr>
            <w:r w:rsidRPr="00895D0B">
              <w:rPr>
                <w:rFonts w:cs="Times New Roman"/>
                <w:color w:val="000000" w:themeColor="text1"/>
                <w:szCs w:val="24"/>
              </w:rPr>
              <w:t>Growing early maturing crops [   ]</w:t>
            </w:r>
          </w:p>
          <w:p w14:paraId="46231F1E" w14:textId="77777777" w:rsidR="001B4ED5" w:rsidRPr="00895D0B" w:rsidRDefault="006B41C0">
            <w:pPr>
              <w:pStyle w:val="ListParagraph"/>
              <w:numPr>
                <w:ilvl w:val="0"/>
                <w:numId w:val="85"/>
              </w:numPr>
              <w:spacing w:line="240" w:lineRule="auto"/>
              <w:jc w:val="left"/>
              <w:rPr>
                <w:rFonts w:cs="Times New Roman"/>
                <w:color w:val="000000" w:themeColor="text1"/>
                <w:szCs w:val="24"/>
              </w:rPr>
            </w:pPr>
            <w:r w:rsidRPr="00895D0B">
              <w:rPr>
                <w:rFonts w:cs="Times New Roman"/>
                <w:color w:val="000000" w:themeColor="text1"/>
                <w:szCs w:val="24"/>
              </w:rPr>
              <w:t>Shifting planting dates [   ]</w:t>
            </w:r>
          </w:p>
          <w:p w14:paraId="4C6D9272" w14:textId="77777777" w:rsidR="001B4ED5" w:rsidRPr="00895D0B" w:rsidRDefault="006B41C0">
            <w:pPr>
              <w:pStyle w:val="ListParagraph"/>
              <w:numPr>
                <w:ilvl w:val="0"/>
                <w:numId w:val="85"/>
              </w:numPr>
              <w:spacing w:line="240" w:lineRule="auto"/>
              <w:jc w:val="left"/>
              <w:rPr>
                <w:rFonts w:cs="Times New Roman"/>
                <w:color w:val="000000" w:themeColor="text1"/>
                <w:szCs w:val="24"/>
              </w:rPr>
            </w:pPr>
            <w:r w:rsidRPr="00895D0B">
              <w:rPr>
                <w:rFonts w:cs="Times New Roman"/>
                <w:color w:val="000000" w:themeColor="text1"/>
                <w:szCs w:val="24"/>
              </w:rPr>
              <w:t>Mixed cropping [   ]</w:t>
            </w:r>
          </w:p>
          <w:p w14:paraId="2298035F" w14:textId="77777777" w:rsidR="001B4ED5" w:rsidRPr="00895D0B" w:rsidRDefault="006B41C0">
            <w:pPr>
              <w:pStyle w:val="ListParagraph"/>
              <w:numPr>
                <w:ilvl w:val="0"/>
                <w:numId w:val="85"/>
              </w:numPr>
              <w:spacing w:line="240" w:lineRule="auto"/>
              <w:jc w:val="left"/>
              <w:rPr>
                <w:rFonts w:cs="Times New Roman"/>
                <w:color w:val="000000" w:themeColor="text1"/>
                <w:szCs w:val="24"/>
              </w:rPr>
            </w:pPr>
            <w:r w:rsidRPr="00895D0B">
              <w:rPr>
                <w:rFonts w:cs="Times New Roman"/>
                <w:color w:val="000000" w:themeColor="text1"/>
                <w:szCs w:val="24"/>
              </w:rPr>
              <w:t>Irrigation [   ]</w:t>
            </w:r>
          </w:p>
          <w:p w14:paraId="3CC612D4" w14:textId="77777777" w:rsidR="001B4ED5" w:rsidRPr="00895D0B" w:rsidRDefault="006B41C0">
            <w:pPr>
              <w:pStyle w:val="ListParagraph"/>
              <w:numPr>
                <w:ilvl w:val="0"/>
                <w:numId w:val="85"/>
              </w:numPr>
              <w:spacing w:line="240" w:lineRule="auto"/>
              <w:jc w:val="left"/>
              <w:rPr>
                <w:rFonts w:cs="Times New Roman"/>
                <w:color w:val="000000" w:themeColor="text1"/>
                <w:szCs w:val="24"/>
              </w:rPr>
            </w:pPr>
            <w:r w:rsidRPr="00895D0B">
              <w:rPr>
                <w:rFonts w:cs="Times New Roman"/>
                <w:color w:val="000000" w:themeColor="text1"/>
                <w:szCs w:val="24"/>
              </w:rPr>
              <w:t xml:space="preserve">Others, specify </w:t>
            </w:r>
          </w:p>
        </w:tc>
        <w:tc>
          <w:tcPr>
            <w:tcW w:w="2693" w:type="dxa"/>
            <w:shd w:val="clear" w:color="auto" w:fill="FFFFFF" w:themeFill="background1"/>
          </w:tcPr>
          <w:p w14:paraId="15CD1527" w14:textId="77777777" w:rsidR="001B4ED5" w:rsidRPr="00895D0B" w:rsidRDefault="001B4ED5">
            <w:pPr>
              <w:spacing w:line="240" w:lineRule="auto"/>
              <w:rPr>
                <w:rFonts w:cs="Times New Roman"/>
                <w:color w:val="000000" w:themeColor="text1"/>
                <w:szCs w:val="24"/>
              </w:rPr>
            </w:pPr>
          </w:p>
        </w:tc>
      </w:tr>
      <w:tr w:rsidR="00895D0B" w:rsidRPr="00895D0B" w14:paraId="6B90BEE2" w14:textId="77777777">
        <w:trPr>
          <w:trHeight w:val="300"/>
        </w:trPr>
        <w:tc>
          <w:tcPr>
            <w:tcW w:w="2486" w:type="dxa"/>
            <w:gridSpan w:val="3"/>
          </w:tcPr>
          <w:p w14:paraId="63218694"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E3:</w:t>
            </w:r>
            <w:r w:rsidRPr="00895D0B">
              <w:rPr>
                <w:rFonts w:cs="Times New Roman"/>
                <w:color w:val="000000" w:themeColor="text1"/>
                <w:szCs w:val="24"/>
              </w:rPr>
              <w:t xml:space="preserve"> What is the main source of water for your crop cultivation? </w:t>
            </w:r>
            <w:r w:rsidRPr="00895D0B">
              <w:rPr>
                <w:rFonts w:cs="Times New Roman"/>
                <w:b/>
                <w:i/>
                <w:color w:val="000000" w:themeColor="text1"/>
                <w:szCs w:val="24"/>
              </w:rPr>
              <w:t>(Choose as many as possible)</w:t>
            </w:r>
          </w:p>
        </w:tc>
        <w:tc>
          <w:tcPr>
            <w:tcW w:w="3888" w:type="dxa"/>
            <w:gridSpan w:val="2"/>
          </w:tcPr>
          <w:p w14:paraId="1834BAB4" w14:textId="77777777" w:rsidR="001B4ED5" w:rsidRPr="00895D0B" w:rsidRDefault="006B41C0">
            <w:pPr>
              <w:pStyle w:val="ListParagraph"/>
              <w:numPr>
                <w:ilvl w:val="0"/>
                <w:numId w:val="86"/>
              </w:numPr>
              <w:spacing w:line="240" w:lineRule="auto"/>
              <w:jc w:val="left"/>
              <w:rPr>
                <w:rFonts w:cs="Times New Roman"/>
                <w:color w:val="000000" w:themeColor="text1"/>
                <w:szCs w:val="24"/>
              </w:rPr>
            </w:pPr>
            <w:r w:rsidRPr="00895D0B">
              <w:rPr>
                <w:rFonts w:cs="Times New Roman"/>
                <w:color w:val="000000" w:themeColor="text1"/>
                <w:szCs w:val="24"/>
              </w:rPr>
              <w:t>Rain [   ]</w:t>
            </w:r>
          </w:p>
          <w:p w14:paraId="39EB4430" w14:textId="77777777" w:rsidR="001B4ED5" w:rsidRPr="00895D0B" w:rsidRDefault="006B41C0">
            <w:pPr>
              <w:pStyle w:val="ListParagraph"/>
              <w:numPr>
                <w:ilvl w:val="0"/>
                <w:numId w:val="87"/>
              </w:numPr>
              <w:spacing w:line="240" w:lineRule="auto"/>
              <w:jc w:val="left"/>
              <w:rPr>
                <w:rFonts w:cs="Times New Roman"/>
                <w:color w:val="000000" w:themeColor="text1"/>
                <w:szCs w:val="24"/>
              </w:rPr>
            </w:pPr>
            <w:r w:rsidRPr="00895D0B">
              <w:rPr>
                <w:rFonts w:cs="Times New Roman"/>
                <w:color w:val="000000" w:themeColor="text1"/>
                <w:szCs w:val="24"/>
              </w:rPr>
              <w:t>Drains, streams, small rivers, dug-out/wells [   ]</w:t>
            </w:r>
          </w:p>
          <w:p w14:paraId="11A3B324" w14:textId="77777777" w:rsidR="001B4ED5" w:rsidRPr="00895D0B" w:rsidRDefault="006B41C0">
            <w:pPr>
              <w:pStyle w:val="ListParagraph"/>
              <w:numPr>
                <w:ilvl w:val="0"/>
                <w:numId w:val="87"/>
              </w:numPr>
              <w:spacing w:line="240" w:lineRule="auto"/>
              <w:jc w:val="left"/>
              <w:rPr>
                <w:rFonts w:cs="Times New Roman"/>
                <w:color w:val="000000" w:themeColor="text1"/>
                <w:szCs w:val="24"/>
              </w:rPr>
            </w:pPr>
            <w:r w:rsidRPr="00895D0B">
              <w:rPr>
                <w:rFonts w:cs="Times New Roman"/>
                <w:color w:val="000000" w:themeColor="text1"/>
                <w:szCs w:val="24"/>
              </w:rPr>
              <w:t>Pipe-borne water from public water system [   ]</w:t>
            </w:r>
          </w:p>
          <w:p w14:paraId="501C2D6A" w14:textId="77777777" w:rsidR="001B4ED5" w:rsidRPr="00895D0B" w:rsidRDefault="006B41C0">
            <w:pPr>
              <w:pStyle w:val="ListParagraph"/>
              <w:numPr>
                <w:ilvl w:val="0"/>
                <w:numId w:val="87"/>
              </w:numPr>
              <w:spacing w:line="240" w:lineRule="auto"/>
              <w:jc w:val="left"/>
              <w:rPr>
                <w:rFonts w:cs="Times New Roman"/>
                <w:color w:val="000000" w:themeColor="text1"/>
                <w:szCs w:val="24"/>
              </w:rPr>
            </w:pPr>
            <w:r w:rsidRPr="00895D0B">
              <w:rPr>
                <w:rFonts w:cs="Times New Roman"/>
                <w:color w:val="000000" w:themeColor="text1"/>
                <w:szCs w:val="24"/>
              </w:rPr>
              <w:t>Mechanized boreholes [   ]</w:t>
            </w:r>
          </w:p>
          <w:p w14:paraId="64072455" w14:textId="77777777" w:rsidR="001B4ED5" w:rsidRPr="00895D0B" w:rsidRDefault="006B41C0">
            <w:pPr>
              <w:pStyle w:val="ListParagraph"/>
              <w:numPr>
                <w:ilvl w:val="0"/>
                <w:numId w:val="87"/>
              </w:numPr>
              <w:spacing w:line="240" w:lineRule="auto"/>
              <w:jc w:val="left"/>
              <w:rPr>
                <w:rFonts w:cs="Times New Roman"/>
                <w:color w:val="000000" w:themeColor="text1"/>
                <w:szCs w:val="24"/>
              </w:rPr>
            </w:pPr>
            <w:r w:rsidRPr="00895D0B">
              <w:rPr>
                <w:rFonts w:cs="Times New Roman"/>
                <w:color w:val="000000" w:themeColor="text1"/>
                <w:szCs w:val="24"/>
              </w:rPr>
              <w:t>Others specify …………………………………</w:t>
            </w:r>
          </w:p>
        </w:tc>
        <w:tc>
          <w:tcPr>
            <w:tcW w:w="2693" w:type="dxa"/>
            <w:shd w:val="clear" w:color="auto" w:fill="FFFFFF" w:themeFill="background1"/>
          </w:tcPr>
          <w:p w14:paraId="0109AF25" w14:textId="77777777" w:rsidR="001B4ED5" w:rsidRPr="00895D0B" w:rsidRDefault="001B4ED5">
            <w:pPr>
              <w:spacing w:line="240" w:lineRule="auto"/>
              <w:rPr>
                <w:rFonts w:cs="Times New Roman"/>
                <w:color w:val="000000" w:themeColor="text1"/>
                <w:szCs w:val="24"/>
                <w:highlight w:val="yellow"/>
              </w:rPr>
            </w:pPr>
          </w:p>
        </w:tc>
      </w:tr>
      <w:tr w:rsidR="00895D0B" w:rsidRPr="00895D0B" w14:paraId="024B3949" w14:textId="77777777">
        <w:trPr>
          <w:trHeight w:val="300"/>
        </w:trPr>
        <w:tc>
          <w:tcPr>
            <w:tcW w:w="2486" w:type="dxa"/>
            <w:gridSpan w:val="3"/>
          </w:tcPr>
          <w:p w14:paraId="2AF7D6E5"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E4:</w:t>
            </w:r>
            <w:r w:rsidRPr="00895D0B">
              <w:rPr>
                <w:rFonts w:cs="Times New Roman"/>
                <w:color w:val="000000" w:themeColor="text1"/>
                <w:szCs w:val="24"/>
              </w:rPr>
              <w:t xml:space="preserve"> What is the main land preparation practices in your crop cultivation? </w:t>
            </w:r>
          </w:p>
        </w:tc>
        <w:tc>
          <w:tcPr>
            <w:tcW w:w="3888" w:type="dxa"/>
            <w:gridSpan w:val="2"/>
          </w:tcPr>
          <w:p w14:paraId="00FBD8B3" w14:textId="77777777" w:rsidR="001B4ED5" w:rsidRPr="00895D0B" w:rsidRDefault="006B41C0">
            <w:pPr>
              <w:pStyle w:val="ListParagraph"/>
              <w:numPr>
                <w:ilvl w:val="0"/>
                <w:numId w:val="88"/>
              </w:numPr>
              <w:spacing w:line="240" w:lineRule="auto"/>
              <w:jc w:val="left"/>
              <w:rPr>
                <w:rFonts w:cs="Times New Roman"/>
                <w:color w:val="000000" w:themeColor="text1"/>
                <w:szCs w:val="24"/>
              </w:rPr>
            </w:pPr>
            <w:r w:rsidRPr="00895D0B">
              <w:rPr>
                <w:rFonts w:cs="Times New Roman"/>
                <w:color w:val="000000" w:themeColor="text1"/>
                <w:szCs w:val="24"/>
              </w:rPr>
              <w:t>Raised mounds [   ]</w:t>
            </w:r>
          </w:p>
          <w:p w14:paraId="58B505C5" w14:textId="77777777" w:rsidR="001B4ED5" w:rsidRPr="00895D0B" w:rsidRDefault="006B41C0">
            <w:pPr>
              <w:pStyle w:val="ListParagraph"/>
              <w:numPr>
                <w:ilvl w:val="0"/>
                <w:numId w:val="89"/>
              </w:numPr>
              <w:spacing w:line="240" w:lineRule="auto"/>
              <w:jc w:val="left"/>
              <w:rPr>
                <w:rFonts w:cs="Times New Roman"/>
                <w:color w:val="000000" w:themeColor="text1"/>
                <w:szCs w:val="24"/>
              </w:rPr>
            </w:pPr>
            <w:r w:rsidRPr="00895D0B">
              <w:rPr>
                <w:rFonts w:cs="Times New Roman"/>
                <w:color w:val="000000" w:themeColor="text1"/>
                <w:szCs w:val="24"/>
              </w:rPr>
              <w:t>Zero tillage [   ]</w:t>
            </w:r>
          </w:p>
          <w:p w14:paraId="33AB3FFE" w14:textId="77777777" w:rsidR="001B4ED5" w:rsidRPr="00895D0B" w:rsidRDefault="006B41C0">
            <w:pPr>
              <w:pStyle w:val="ListParagraph"/>
              <w:numPr>
                <w:ilvl w:val="0"/>
                <w:numId w:val="89"/>
              </w:numPr>
              <w:spacing w:line="240" w:lineRule="auto"/>
              <w:jc w:val="left"/>
              <w:rPr>
                <w:rFonts w:cs="Times New Roman"/>
                <w:color w:val="000000" w:themeColor="text1"/>
                <w:szCs w:val="24"/>
              </w:rPr>
            </w:pPr>
            <w:r w:rsidRPr="00895D0B">
              <w:rPr>
                <w:rFonts w:cs="Times New Roman"/>
                <w:color w:val="000000" w:themeColor="text1"/>
                <w:szCs w:val="24"/>
              </w:rPr>
              <w:t>Tractor ploughing [   ]</w:t>
            </w:r>
          </w:p>
          <w:p w14:paraId="4BC2C804" w14:textId="77777777" w:rsidR="001B4ED5" w:rsidRPr="00895D0B" w:rsidRDefault="006B41C0">
            <w:pPr>
              <w:pStyle w:val="ListParagraph"/>
              <w:numPr>
                <w:ilvl w:val="0"/>
                <w:numId w:val="89"/>
              </w:numPr>
              <w:spacing w:line="240" w:lineRule="auto"/>
              <w:jc w:val="left"/>
              <w:rPr>
                <w:rFonts w:cs="Times New Roman"/>
                <w:color w:val="000000" w:themeColor="text1"/>
                <w:szCs w:val="24"/>
              </w:rPr>
            </w:pPr>
            <w:r w:rsidRPr="00895D0B">
              <w:rPr>
                <w:rFonts w:cs="Times New Roman"/>
                <w:color w:val="000000" w:themeColor="text1"/>
                <w:szCs w:val="24"/>
              </w:rPr>
              <w:t>The use of ridges [   ]</w:t>
            </w:r>
          </w:p>
          <w:p w14:paraId="0A802C01" w14:textId="77777777" w:rsidR="001B4ED5" w:rsidRPr="00895D0B" w:rsidRDefault="006B41C0">
            <w:pPr>
              <w:pStyle w:val="ListParagraph"/>
              <w:numPr>
                <w:ilvl w:val="0"/>
                <w:numId w:val="89"/>
              </w:numPr>
              <w:spacing w:line="240" w:lineRule="auto"/>
              <w:jc w:val="left"/>
              <w:rPr>
                <w:rFonts w:cs="Times New Roman"/>
                <w:color w:val="000000" w:themeColor="text1"/>
                <w:szCs w:val="24"/>
              </w:rPr>
            </w:pPr>
            <w:r w:rsidRPr="00895D0B">
              <w:rPr>
                <w:rFonts w:cs="Times New Roman"/>
                <w:color w:val="000000" w:themeColor="text1"/>
                <w:szCs w:val="24"/>
              </w:rPr>
              <w:t>The use of hand [   ]</w:t>
            </w:r>
          </w:p>
          <w:p w14:paraId="7224E113" w14:textId="77777777" w:rsidR="001B4ED5" w:rsidRPr="00895D0B" w:rsidRDefault="006B41C0">
            <w:pPr>
              <w:pStyle w:val="ListParagraph"/>
              <w:numPr>
                <w:ilvl w:val="0"/>
                <w:numId w:val="89"/>
              </w:numPr>
              <w:spacing w:line="240" w:lineRule="auto"/>
              <w:jc w:val="left"/>
              <w:rPr>
                <w:rFonts w:cs="Times New Roman"/>
                <w:color w:val="000000" w:themeColor="text1"/>
                <w:szCs w:val="24"/>
              </w:rPr>
            </w:pPr>
            <w:r w:rsidRPr="00895D0B">
              <w:rPr>
                <w:rFonts w:cs="Times New Roman"/>
                <w:color w:val="000000" w:themeColor="text1"/>
                <w:szCs w:val="24"/>
              </w:rPr>
              <w:t>Others specify ………………………………………</w:t>
            </w:r>
          </w:p>
        </w:tc>
        <w:tc>
          <w:tcPr>
            <w:tcW w:w="2693" w:type="dxa"/>
          </w:tcPr>
          <w:p w14:paraId="0BDB9762" w14:textId="77777777" w:rsidR="001B4ED5" w:rsidRPr="00895D0B" w:rsidRDefault="001B4ED5">
            <w:pPr>
              <w:spacing w:line="240" w:lineRule="auto"/>
              <w:rPr>
                <w:rFonts w:cs="Times New Roman"/>
                <w:color w:val="000000" w:themeColor="text1"/>
                <w:szCs w:val="24"/>
              </w:rPr>
            </w:pPr>
          </w:p>
        </w:tc>
      </w:tr>
      <w:tr w:rsidR="00895D0B" w:rsidRPr="00895D0B" w14:paraId="290F61DB" w14:textId="77777777">
        <w:trPr>
          <w:trHeight w:val="300"/>
        </w:trPr>
        <w:tc>
          <w:tcPr>
            <w:tcW w:w="2486" w:type="dxa"/>
            <w:gridSpan w:val="3"/>
          </w:tcPr>
          <w:p w14:paraId="1AE15F38"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lastRenderedPageBreak/>
              <w:t>E5:</w:t>
            </w:r>
            <w:r w:rsidRPr="00895D0B">
              <w:rPr>
                <w:rFonts w:cs="Times New Roman"/>
                <w:color w:val="000000" w:themeColor="text1"/>
                <w:szCs w:val="24"/>
              </w:rPr>
              <w:t xml:space="preserve"> What are the farm implements used in your crop farming </w:t>
            </w:r>
            <w:r w:rsidRPr="00895D0B">
              <w:rPr>
                <w:rFonts w:cs="Times New Roman"/>
                <w:b/>
                <w:i/>
                <w:color w:val="000000" w:themeColor="text1"/>
                <w:szCs w:val="24"/>
              </w:rPr>
              <w:t>(choose as many as possible)</w:t>
            </w:r>
          </w:p>
        </w:tc>
        <w:tc>
          <w:tcPr>
            <w:tcW w:w="3888" w:type="dxa"/>
            <w:gridSpan w:val="2"/>
          </w:tcPr>
          <w:p w14:paraId="530E9593" w14:textId="77777777" w:rsidR="001B4ED5" w:rsidRPr="00895D0B" w:rsidRDefault="006B41C0">
            <w:pPr>
              <w:pStyle w:val="ListParagraph"/>
              <w:numPr>
                <w:ilvl w:val="0"/>
                <w:numId w:val="90"/>
              </w:numPr>
              <w:spacing w:line="240" w:lineRule="auto"/>
              <w:jc w:val="left"/>
              <w:rPr>
                <w:rFonts w:cs="Times New Roman"/>
                <w:color w:val="000000" w:themeColor="text1"/>
                <w:szCs w:val="24"/>
              </w:rPr>
            </w:pPr>
            <w:r w:rsidRPr="00895D0B">
              <w:rPr>
                <w:rFonts w:cs="Times New Roman"/>
                <w:color w:val="000000" w:themeColor="text1"/>
                <w:szCs w:val="24"/>
              </w:rPr>
              <w:t>Hoes [   ]</w:t>
            </w:r>
          </w:p>
          <w:p w14:paraId="718D1C04" w14:textId="77777777" w:rsidR="001B4ED5" w:rsidRPr="00895D0B" w:rsidRDefault="006B41C0">
            <w:pPr>
              <w:pStyle w:val="ListParagraph"/>
              <w:numPr>
                <w:ilvl w:val="0"/>
                <w:numId w:val="91"/>
              </w:numPr>
              <w:spacing w:line="240" w:lineRule="auto"/>
              <w:jc w:val="left"/>
              <w:rPr>
                <w:rFonts w:cs="Times New Roman"/>
                <w:color w:val="000000" w:themeColor="text1"/>
                <w:szCs w:val="24"/>
              </w:rPr>
            </w:pPr>
            <w:r w:rsidRPr="00895D0B">
              <w:rPr>
                <w:rFonts w:cs="Times New Roman"/>
                <w:color w:val="000000" w:themeColor="text1"/>
                <w:szCs w:val="24"/>
              </w:rPr>
              <w:t>Tractor [   ]</w:t>
            </w:r>
          </w:p>
          <w:p w14:paraId="4D78A9B5" w14:textId="77777777" w:rsidR="001B4ED5" w:rsidRPr="00895D0B" w:rsidRDefault="006B41C0">
            <w:pPr>
              <w:pStyle w:val="ListParagraph"/>
              <w:numPr>
                <w:ilvl w:val="0"/>
                <w:numId w:val="91"/>
              </w:numPr>
              <w:spacing w:line="240" w:lineRule="auto"/>
              <w:jc w:val="left"/>
              <w:rPr>
                <w:rFonts w:cs="Times New Roman"/>
                <w:color w:val="000000" w:themeColor="text1"/>
                <w:szCs w:val="24"/>
              </w:rPr>
            </w:pPr>
            <w:r w:rsidRPr="00895D0B">
              <w:rPr>
                <w:rFonts w:cs="Times New Roman"/>
                <w:color w:val="000000" w:themeColor="text1"/>
                <w:szCs w:val="24"/>
              </w:rPr>
              <w:t>Planter [   ]</w:t>
            </w:r>
          </w:p>
          <w:p w14:paraId="29136018" w14:textId="77777777" w:rsidR="001B4ED5" w:rsidRPr="00895D0B" w:rsidRDefault="006B41C0">
            <w:pPr>
              <w:pStyle w:val="ListParagraph"/>
              <w:numPr>
                <w:ilvl w:val="0"/>
                <w:numId w:val="91"/>
              </w:numPr>
              <w:spacing w:line="240" w:lineRule="auto"/>
              <w:jc w:val="left"/>
              <w:rPr>
                <w:rFonts w:cs="Times New Roman"/>
                <w:color w:val="000000" w:themeColor="text1"/>
                <w:szCs w:val="24"/>
              </w:rPr>
            </w:pPr>
            <w:r w:rsidRPr="00895D0B">
              <w:rPr>
                <w:rFonts w:cs="Times New Roman"/>
                <w:color w:val="000000" w:themeColor="text1"/>
                <w:szCs w:val="24"/>
              </w:rPr>
              <w:t>Thrasher [   ]</w:t>
            </w:r>
          </w:p>
          <w:p w14:paraId="675A3C4D" w14:textId="77777777" w:rsidR="001B4ED5" w:rsidRPr="00895D0B" w:rsidRDefault="006B41C0">
            <w:pPr>
              <w:pStyle w:val="ListParagraph"/>
              <w:numPr>
                <w:ilvl w:val="0"/>
                <w:numId w:val="91"/>
              </w:numPr>
              <w:spacing w:line="240" w:lineRule="auto"/>
              <w:jc w:val="left"/>
              <w:rPr>
                <w:rFonts w:cs="Times New Roman"/>
                <w:color w:val="000000" w:themeColor="text1"/>
                <w:szCs w:val="24"/>
              </w:rPr>
            </w:pPr>
            <w:r w:rsidRPr="00895D0B">
              <w:rPr>
                <w:rFonts w:cs="Times New Roman"/>
                <w:color w:val="000000" w:themeColor="text1"/>
                <w:szCs w:val="24"/>
              </w:rPr>
              <w:t>Cutlasses [   ]</w:t>
            </w:r>
          </w:p>
          <w:p w14:paraId="0BC85009" w14:textId="77777777" w:rsidR="001B4ED5" w:rsidRPr="00895D0B" w:rsidRDefault="006B41C0">
            <w:pPr>
              <w:pStyle w:val="ListParagraph"/>
              <w:numPr>
                <w:ilvl w:val="0"/>
                <w:numId w:val="91"/>
              </w:numPr>
              <w:spacing w:line="240" w:lineRule="auto"/>
              <w:jc w:val="left"/>
              <w:rPr>
                <w:rFonts w:cs="Times New Roman"/>
                <w:color w:val="000000" w:themeColor="text1"/>
                <w:szCs w:val="24"/>
              </w:rPr>
            </w:pPr>
            <w:r w:rsidRPr="00895D0B">
              <w:rPr>
                <w:rFonts w:cs="Times New Roman"/>
                <w:color w:val="000000" w:themeColor="text1"/>
                <w:szCs w:val="24"/>
              </w:rPr>
              <w:t>Combine harvesters [   ]</w:t>
            </w:r>
          </w:p>
          <w:p w14:paraId="1EB318A0" w14:textId="77777777" w:rsidR="001B4ED5" w:rsidRPr="00895D0B" w:rsidRDefault="006B41C0">
            <w:pPr>
              <w:pStyle w:val="ListParagraph"/>
              <w:numPr>
                <w:ilvl w:val="0"/>
                <w:numId w:val="91"/>
              </w:numPr>
              <w:spacing w:line="240" w:lineRule="auto"/>
              <w:jc w:val="left"/>
              <w:rPr>
                <w:rFonts w:cs="Times New Roman"/>
                <w:color w:val="000000" w:themeColor="text1"/>
                <w:szCs w:val="24"/>
              </w:rPr>
            </w:pPr>
            <w:r w:rsidRPr="00895D0B">
              <w:rPr>
                <w:rFonts w:cs="Times New Roman"/>
                <w:color w:val="000000" w:themeColor="text1"/>
                <w:szCs w:val="24"/>
              </w:rPr>
              <w:t>Other specify ………………………………………………</w:t>
            </w:r>
          </w:p>
        </w:tc>
        <w:tc>
          <w:tcPr>
            <w:tcW w:w="2693" w:type="dxa"/>
          </w:tcPr>
          <w:p w14:paraId="57C4842C" w14:textId="77777777" w:rsidR="001B4ED5" w:rsidRPr="00895D0B" w:rsidRDefault="001B4ED5">
            <w:pPr>
              <w:spacing w:line="240" w:lineRule="auto"/>
              <w:rPr>
                <w:rFonts w:cs="Times New Roman"/>
                <w:color w:val="000000" w:themeColor="text1"/>
                <w:szCs w:val="24"/>
              </w:rPr>
            </w:pPr>
          </w:p>
        </w:tc>
      </w:tr>
      <w:tr w:rsidR="00895D0B" w:rsidRPr="00895D0B" w14:paraId="2BE7FF82" w14:textId="77777777">
        <w:trPr>
          <w:trHeight w:val="300"/>
        </w:trPr>
        <w:tc>
          <w:tcPr>
            <w:tcW w:w="2486" w:type="dxa"/>
            <w:gridSpan w:val="3"/>
          </w:tcPr>
          <w:p w14:paraId="4E29C82E"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E6:</w:t>
            </w:r>
            <w:r w:rsidRPr="00895D0B">
              <w:rPr>
                <w:rFonts w:cs="Times New Roman"/>
                <w:color w:val="000000" w:themeColor="text1"/>
                <w:szCs w:val="24"/>
              </w:rPr>
              <w:t xml:space="preserve"> What soil and water management practices do you use? </w:t>
            </w:r>
            <w:r w:rsidRPr="00895D0B">
              <w:rPr>
                <w:rFonts w:cs="Times New Roman"/>
                <w:b/>
                <w:i/>
                <w:color w:val="000000" w:themeColor="text1"/>
                <w:szCs w:val="24"/>
              </w:rPr>
              <w:t>(choose as many as possible)</w:t>
            </w:r>
          </w:p>
        </w:tc>
        <w:tc>
          <w:tcPr>
            <w:tcW w:w="3888" w:type="dxa"/>
            <w:gridSpan w:val="2"/>
          </w:tcPr>
          <w:p w14:paraId="33F15A56" w14:textId="77777777" w:rsidR="001B4ED5" w:rsidRPr="00895D0B" w:rsidRDefault="006B41C0">
            <w:pPr>
              <w:pStyle w:val="ListParagraph"/>
              <w:numPr>
                <w:ilvl w:val="0"/>
                <w:numId w:val="92"/>
              </w:numPr>
              <w:spacing w:line="240" w:lineRule="auto"/>
              <w:jc w:val="left"/>
              <w:rPr>
                <w:rFonts w:cs="Times New Roman"/>
                <w:color w:val="000000" w:themeColor="text1"/>
                <w:szCs w:val="24"/>
              </w:rPr>
            </w:pPr>
            <w:r w:rsidRPr="00895D0B">
              <w:rPr>
                <w:rFonts w:cs="Times New Roman"/>
                <w:color w:val="000000" w:themeColor="text1"/>
                <w:szCs w:val="24"/>
              </w:rPr>
              <w:t>Mulching [   ]</w:t>
            </w:r>
          </w:p>
          <w:p w14:paraId="4D2375F9" w14:textId="77777777" w:rsidR="001B4ED5" w:rsidRPr="00895D0B" w:rsidRDefault="006B41C0">
            <w:pPr>
              <w:pStyle w:val="ListParagraph"/>
              <w:numPr>
                <w:ilvl w:val="0"/>
                <w:numId w:val="93"/>
              </w:numPr>
              <w:spacing w:line="240" w:lineRule="auto"/>
              <w:jc w:val="left"/>
              <w:rPr>
                <w:rFonts w:cs="Times New Roman"/>
                <w:color w:val="000000" w:themeColor="text1"/>
                <w:szCs w:val="24"/>
              </w:rPr>
            </w:pPr>
            <w:r w:rsidRPr="00895D0B">
              <w:rPr>
                <w:rFonts w:cs="Times New Roman"/>
                <w:color w:val="000000" w:themeColor="text1"/>
                <w:szCs w:val="24"/>
              </w:rPr>
              <w:t>Intercropping [   ]</w:t>
            </w:r>
          </w:p>
          <w:p w14:paraId="6471BE67" w14:textId="77777777" w:rsidR="001B4ED5" w:rsidRPr="00895D0B" w:rsidRDefault="006B41C0">
            <w:pPr>
              <w:pStyle w:val="ListParagraph"/>
              <w:numPr>
                <w:ilvl w:val="0"/>
                <w:numId w:val="93"/>
              </w:numPr>
              <w:spacing w:line="240" w:lineRule="auto"/>
              <w:jc w:val="left"/>
              <w:rPr>
                <w:rFonts w:cs="Times New Roman"/>
                <w:color w:val="000000" w:themeColor="text1"/>
                <w:szCs w:val="24"/>
              </w:rPr>
            </w:pPr>
            <w:r w:rsidRPr="00895D0B">
              <w:rPr>
                <w:rFonts w:cs="Times New Roman"/>
                <w:color w:val="000000" w:themeColor="text1"/>
                <w:szCs w:val="24"/>
              </w:rPr>
              <w:t>Cover cropping [   ]</w:t>
            </w:r>
          </w:p>
          <w:p w14:paraId="7AA2534D" w14:textId="77777777" w:rsidR="001B4ED5" w:rsidRPr="00895D0B" w:rsidRDefault="006B41C0">
            <w:pPr>
              <w:pStyle w:val="ListParagraph"/>
              <w:numPr>
                <w:ilvl w:val="0"/>
                <w:numId w:val="93"/>
              </w:numPr>
              <w:spacing w:line="240" w:lineRule="auto"/>
              <w:jc w:val="left"/>
              <w:rPr>
                <w:rFonts w:cs="Times New Roman"/>
                <w:color w:val="000000" w:themeColor="text1"/>
                <w:szCs w:val="24"/>
              </w:rPr>
            </w:pPr>
            <w:r w:rsidRPr="00895D0B">
              <w:rPr>
                <w:rFonts w:cs="Times New Roman"/>
                <w:color w:val="000000" w:themeColor="text1"/>
                <w:szCs w:val="24"/>
              </w:rPr>
              <w:t>Ridging [   ]</w:t>
            </w:r>
          </w:p>
          <w:p w14:paraId="4062A1AA" w14:textId="77777777" w:rsidR="001B4ED5" w:rsidRPr="00895D0B" w:rsidRDefault="006B41C0">
            <w:pPr>
              <w:pStyle w:val="ListParagraph"/>
              <w:numPr>
                <w:ilvl w:val="0"/>
                <w:numId w:val="93"/>
              </w:numPr>
              <w:spacing w:line="240" w:lineRule="auto"/>
              <w:jc w:val="left"/>
              <w:rPr>
                <w:rFonts w:cs="Times New Roman"/>
                <w:color w:val="000000" w:themeColor="text1"/>
                <w:szCs w:val="24"/>
              </w:rPr>
            </w:pPr>
            <w:r w:rsidRPr="00895D0B">
              <w:rPr>
                <w:rFonts w:cs="Times New Roman"/>
                <w:color w:val="000000" w:themeColor="text1"/>
                <w:szCs w:val="24"/>
              </w:rPr>
              <w:t>Tired ridging [   ]</w:t>
            </w:r>
          </w:p>
          <w:p w14:paraId="22E0D7CB" w14:textId="77777777" w:rsidR="001B4ED5" w:rsidRPr="00895D0B" w:rsidRDefault="006B41C0">
            <w:pPr>
              <w:pStyle w:val="ListParagraph"/>
              <w:numPr>
                <w:ilvl w:val="0"/>
                <w:numId w:val="93"/>
              </w:numPr>
              <w:spacing w:line="240" w:lineRule="auto"/>
              <w:jc w:val="left"/>
              <w:rPr>
                <w:rFonts w:cs="Times New Roman"/>
                <w:color w:val="000000" w:themeColor="text1"/>
                <w:szCs w:val="24"/>
              </w:rPr>
            </w:pPr>
            <w:r w:rsidRPr="00895D0B">
              <w:rPr>
                <w:rFonts w:cs="Times New Roman"/>
                <w:color w:val="000000" w:themeColor="text1"/>
                <w:szCs w:val="24"/>
              </w:rPr>
              <w:t>Other specify ………………………………………………</w:t>
            </w:r>
          </w:p>
        </w:tc>
        <w:tc>
          <w:tcPr>
            <w:tcW w:w="2693" w:type="dxa"/>
          </w:tcPr>
          <w:p w14:paraId="26C342D7" w14:textId="77777777" w:rsidR="001B4ED5" w:rsidRPr="00895D0B" w:rsidRDefault="001B4ED5">
            <w:pPr>
              <w:spacing w:line="240" w:lineRule="auto"/>
              <w:rPr>
                <w:rFonts w:cs="Times New Roman"/>
                <w:color w:val="000000" w:themeColor="text1"/>
                <w:szCs w:val="24"/>
              </w:rPr>
            </w:pPr>
          </w:p>
        </w:tc>
      </w:tr>
      <w:tr w:rsidR="00895D0B" w:rsidRPr="00895D0B" w14:paraId="4659B816" w14:textId="77777777">
        <w:trPr>
          <w:trHeight w:val="300"/>
        </w:trPr>
        <w:tc>
          <w:tcPr>
            <w:tcW w:w="2486" w:type="dxa"/>
            <w:gridSpan w:val="3"/>
          </w:tcPr>
          <w:p w14:paraId="7E41EA0D"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E7:</w:t>
            </w:r>
            <w:r w:rsidRPr="00895D0B">
              <w:rPr>
                <w:rFonts w:cs="Times New Roman"/>
                <w:color w:val="000000" w:themeColor="text1"/>
                <w:szCs w:val="24"/>
              </w:rPr>
              <w:t xml:space="preserve"> What soil erosion management practices do you apply to your farm? </w:t>
            </w:r>
            <w:r w:rsidRPr="00895D0B">
              <w:rPr>
                <w:rFonts w:cs="Times New Roman"/>
                <w:b/>
                <w:i/>
                <w:color w:val="000000" w:themeColor="text1"/>
                <w:szCs w:val="24"/>
              </w:rPr>
              <w:t>(choose as many as possible)</w:t>
            </w:r>
          </w:p>
        </w:tc>
        <w:tc>
          <w:tcPr>
            <w:tcW w:w="3888" w:type="dxa"/>
            <w:gridSpan w:val="2"/>
          </w:tcPr>
          <w:p w14:paraId="41BCEE08" w14:textId="77777777" w:rsidR="001B4ED5" w:rsidRPr="00895D0B" w:rsidRDefault="006B41C0">
            <w:pPr>
              <w:pStyle w:val="ListParagraph"/>
              <w:numPr>
                <w:ilvl w:val="0"/>
                <w:numId w:val="94"/>
              </w:numPr>
              <w:spacing w:line="240" w:lineRule="auto"/>
              <w:jc w:val="left"/>
              <w:rPr>
                <w:rFonts w:cs="Times New Roman"/>
                <w:color w:val="000000" w:themeColor="text1"/>
                <w:szCs w:val="24"/>
              </w:rPr>
            </w:pPr>
            <w:r w:rsidRPr="00895D0B">
              <w:rPr>
                <w:rFonts w:cs="Times New Roman"/>
                <w:color w:val="000000" w:themeColor="text1"/>
                <w:szCs w:val="24"/>
              </w:rPr>
              <w:t>Boundary bounds [   ]</w:t>
            </w:r>
          </w:p>
          <w:p w14:paraId="080485BF" w14:textId="77777777" w:rsidR="001B4ED5" w:rsidRPr="00895D0B" w:rsidRDefault="006B41C0">
            <w:pPr>
              <w:pStyle w:val="ListParagraph"/>
              <w:numPr>
                <w:ilvl w:val="0"/>
                <w:numId w:val="95"/>
              </w:numPr>
              <w:spacing w:line="240" w:lineRule="auto"/>
              <w:jc w:val="left"/>
              <w:rPr>
                <w:rFonts w:cs="Times New Roman"/>
                <w:color w:val="000000" w:themeColor="text1"/>
                <w:szCs w:val="24"/>
              </w:rPr>
            </w:pPr>
            <w:r w:rsidRPr="00895D0B">
              <w:rPr>
                <w:rFonts w:cs="Times New Roman"/>
                <w:color w:val="000000" w:themeColor="text1"/>
                <w:szCs w:val="24"/>
              </w:rPr>
              <w:t>Contour ploughing [   ]</w:t>
            </w:r>
          </w:p>
          <w:p w14:paraId="308BA5E3" w14:textId="77777777" w:rsidR="001B4ED5" w:rsidRPr="00895D0B" w:rsidRDefault="006B41C0">
            <w:pPr>
              <w:pStyle w:val="ListParagraph"/>
              <w:numPr>
                <w:ilvl w:val="0"/>
                <w:numId w:val="95"/>
              </w:numPr>
              <w:spacing w:line="240" w:lineRule="auto"/>
              <w:jc w:val="left"/>
              <w:rPr>
                <w:rFonts w:cs="Times New Roman"/>
                <w:color w:val="000000" w:themeColor="text1"/>
                <w:szCs w:val="24"/>
              </w:rPr>
            </w:pPr>
            <w:r w:rsidRPr="00895D0B">
              <w:rPr>
                <w:rFonts w:cs="Times New Roman"/>
                <w:color w:val="000000" w:themeColor="text1"/>
                <w:szCs w:val="24"/>
              </w:rPr>
              <w:t>Stone bonding [   ]</w:t>
            </w:r>
          </w:p>
          <w:p w14:paraId="7867C376" w14:textId="77777777" w:rsidR="001B4ED5" w:rsidRPr="00895D0B" w:rsidRDefault="006B41C0">
            <w:pPr>
              <w:pStyle w:val="ListParagraph"/>
              <w:numPr>
                <w:ilvl w:val="0"/>
                <w:numId w:val="95"/>
              </w:numPr>
              <w:spacing w:line="240" w:lineRule="auto"/>
              <w:jc w:val="left"/>
              <w:rPr>
                <w:rFonts w:cs="Times New Roman"/>
                <w:color w:val="000000" w:themeColor="text1"/>
                <w:szCs w:val="24"/>
              </w:rPr>
            </w:pPr>
            <w:r w:rsidRPr="00895D0B">
              <w:rPr>
                <w:rFonts w:cs="Times New Roman"/>
                <w:color w:val="000000" w:themeColor="text1"/>
                <w:szCs w:val="24"/>
              </w:rPr>
              <w:t>Cover cropping  [   ]</w:t>
            </w:r>
          </w:p>
          <w:p w14:paraId="3FC28971" w14:textId="77777777" w:rsidR="001B4ED5" w:rsidRPr="00895D0B" w:rsidRDefault="006B41C0">
            <w:pPr>
              <w:pStyle w:val="ListParagraph"/>
              <w:numPr>
                <w:ilvl w:val="0"/>
                <w:numId w:val="95"/>
              </w:numPr>
              <w:spacing w:line="240" w:lineRule="auto"/>
              <w:jc w:val="left"/>
              <w:rPr>
                <w:rFonts w:cs="Times New Roman"/>
                <w:color w:val="000000" w:themeColor="text1"/>
                <w:szCs w:val="24"/>
              </w:rPr>
            </w:pPr>
            <w:r w:rsidRPr="00895D0B">
              <w:rPr>
                <w:rFonts w:cs="Times New Roman"/>
                <w:color w:val="000000" w:themeColor="text1"/>
                <w:szCs w:val="24"/>
              </w:rPr>
              <w:t>Other specify ………………………………………………</w:t>
            </w:r>
          </w:p>
        </w:tc>
        <w:tc>
          <w:tcPr>
            <w:tcW w:w="2693" w:type="dxa"/>
          </w:tcPr>
          <w:p w14:paraId="251F8C65" w14:textId="77777777" w:rsidR="001B4ED5" w:rsidRPr="00895D0B" w:rsidRDefault="001B4ED5">
            <w:pPr>
              <w:spacing w:line="240" w:lineRule="auto"/>
              <w:rPr>
                <w:rFonts w:cs="Times New Roman"/>
                <w:color w:val="000000" w:themeColor="text1"/>
                <w:szCs w:val="24"/>
              </w:rPr>
            </w:pPr>
          </w:p>
        </w:tc>
      </w:tr>
      <w:tr w:rsidR="00895D0B" w:rsidRPr="00895D0B" w14:paraId="05660380" w14:textId="77777777">
        <w:trPr>
          <w:trHeight w:val="994"/>
        </w:trPr>
        <w:tc>
          <w:tcPr>
            <w:tcW w:w="2486" w:type="dxa"/>
            <w:gridSpan w:val="3"/>
          </w:tcPr>
          <w:p w14:paraId="7AF80313"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E8:</w:t>
            </w:r>
            <w:r w:rsidRPr="00895D0B">
              <w:rPr>
                <w:rFonts w:cs="Times New Roman"/>
                <w:color w:val="000000" w:themeColor="text1"/>
                <w:szCs w:val="24"/>
              </w:rPr>
              <w:t xml:space="preserve"> What soil fertility management practices do you practice? (</w:t>
            </w:r>
            <w:r w:rsidRPr="00895D0B">
              <w:rPr>
                <w:rFonts w:cs="Times New Roman"/>
                <w:b/>
                <w:i/>
                <w:color w:val="000000" w:themeColor="text1"/>
                <w:szCs w:val="24"/>
              </w:rPr>
              <w:t>tick as many as possible</w:t>
            </w:r>
            <w:r w:rsidRPr="00895D0B">
              <w:rPr>
                <w:rFonts w:cs="Times New Roman"/>
                <w:color w:val="000000" w:themeColor="text1"/>
                <w:szCs w:val="24"/>
              </w:rPr>
              <w:t>)</w:t>
            </w:r>
          </w:p>
        </w:tc>
        <w:tc>
          <w:tcPr>
            <w:tcW w:w="3888" w:type="dxa"/>
            <w:gridSpan w:val="2"/>
          </w:tcPr>
          <w:p w14:paraId="179ADD00" w14:textId="77777777" w:rsidR="001B4ED5" w:rsidRPr="00895D0B" w:rsidRDefault="006B41C0">
            <w:pPr>
              <w:pStyle w:val="ListParagraph"/>
              <w:numPr>
                <w:ilvl w:val="0"/>
                <w:numId w:val="96"/>
              </w:numPr>
              <w:spacing w:line="240" w:lineRule="auto"/>
              <w:jc w:val="left"/>
              <w:rPr>
                <w:rFonts w:cs="Times New Roman"/>
                <w:color w:val="000000" w:themeColor="text1"/>
                <w:szCs w:val="24"/>
              </w:rPr>
            </w:pPr>
            <w:r w:rsidRPr="00895D0B">
              <w:rPr>
                <w:rFonts w:cs="Times New Roman"/>
                <w:color w:val="000000" w:themeColor="text1"/>
                <w:szCs w:val="24"/>
              </w:rPr>
              <w:t>Application of mineral fertilizers [   ]</w:t>
            </w:r>
          </w:p>
          <w:p w14:paraId="2B1D0E76" w14:textId="77777777" w:rsidR="001B4ED5" w:rsidRPr="00895D0B" w:rsidRDefault="006B41C0">
            <w:pPr>
              <w:pStyle w:val="ListParagraph"/>
              <w:numPr>
                <w:ilvl w:val="0"/>
                <w:numId w:val="97"/>
              </w:numPr>
              <w:spacing w:line="240" w:lineRule="auto"/>
              <w:jc w:val="left"/>
              <w:rPr>
                <w:rFonts w:cs="Times New Roman"/>
                <w:color w:val="000000" w:themeColor="text1"/>
                <w:szCs w:val="24"/>
              </w:rPr>
            </w:pPr>
            <w:r w:rsidRPr="00895D0B">
              <w:rPr>
                <w:rFonts w:cs="Times New Roman"/>
                <w:color w:val="000000" w:themeColor="text1"/>
                <w:szCs w:val="24"/>
              </w:rPr>
              <w:t>The use of crop residues [   ]</w:t>
            </w:r>
          </w:p>
          <w:p w14:paraId="14C086F5" w14:textId="77777777" w:rsidR="001B4ED5" w:rsidRPr="00895D0B" w:rsidRDefault="006B41C0">
            <w:pPr>
              <w:pStyle w:val="ListParagraph"/>
              <w:numPr>
                <w:ilvl w:val="0"/>
                <w:numId w:val="97"/>
              </w:numPr>
              <w:spacing w:line="240" w:lineRule="auto"/>
              <w:jc w:val="left"/>
              <w:rPr>
                <w:rFonts w:cs="Times New Roman"/>
                <w:color w:val="000000" w:themeColor="text1"/>
                <w:szCs w:val="24"/>
              </w:rPr>
            </w:pPr>
            <w:r w:rsidRPr="00895D0B">
              <w:rPr>
                <w:rFonts w:cs="Times New Roman"/>
                <w:color w:val="000000" w:themeColor="text1"/>
                <w:szCs w:val="24"/>
              </w:rPr>
              <w:t>Manure [   ]</w:t>
            </w:r>
          </w:p>
          <w:p w14:paraId="3906206C" w14:textId="77777777" w:rsidR="001B4ED5" w:rsidRPr="00895D0B" w:rsidRDefault="006B41C0">
            <w:pPr>
              <w:pStyle w:val="ListParagraph"/>
              <w:numPr>
                <w:ilvl w:val="0"/>
                <w:numId w:val="97"/>
              </w:numPr>
              <w:spacing w:line="240" w:lineRule="auto"/>
              <w:jc w:val="left"/>
              <w:rPr>
                <w:rFonts w:cs="Times New Roman"/>
                <w:color w:val="000000" w:themeColor="text1"/>
                <w:szCs w:val="24"/>
              </w:rPr>
            </w:pPr>
            <w:r w:rsidRPr="00895D0B">
              <w:rPr>
                <w:rFonts w:cs="Times New Roman"/>
                <w:color w:val="000000" w:themeColor="text1"/>
                <w:szCs w:val="24"/>
              </w:rPr>
              <w:t>Compost [   ]</w:t>
            </w:r>
          </w:p>
          <w:p w14:paraId="3B16AAA6" w14:textId="77777777" w:rsidR="001B4ED5" w:rsidRPr="00895D0B" w:rsidRDefault="006B41C0">
            <w:pPr>
              <w:pStyle w:val="ListParagraph"/>
              <w:numPr>
                <w:ilvl w:val="0"/>
                <w:numId w:val="97"/>
              </w:numPr>
              <w:spacing w:line="240" w:lineRule="auto"/>
              <w:jc w:val="left"/>
              <w:rPr>
                <w:rFonts w:cs="Times New Roman"/>
                <w:color w:val="000000" w:themeColor="text1"/>
                <w:szCs w:val="24"/>
              </w:rPr>
            </w:pPr>
            <w:r w:rsidRPr="00895D0B">
              <w:rPr>
                <w:rFonts w:cs="Times New Roman"/>
                <w:color w:val="000000" w:themeColor="text1"/>
                <w:szCs w:val="24"/>
              </w:rPr>
              <w:t>Other specify ………………………………………………</w:t>
            </w:r>
          </w:p>
        </w:tc>
        <w:tc>
          <w:tcPr>
            <w:tcW w:w="2693" w:type="dxa"/>
          </w:tcPr>
          <w:p w14:paraId="6F9D6CDB" w14:textId="77777777" w:rsidR="001B4ED5" w:rsidRPr="00895D0B" w:rsidRDefault="001B4ED5">
            <w:pPr>
              <w:spacing w:line="240" w:lineRule="auto"/>
              <w:rPr>
                <w:rFonts w:cs="Times New Roman"/>
                <w:color w:val="000000" w:themeColor="text1"/>
                <w:szCs w:val="24"/>
              </w:rPr>
            </w:pPr>
          </w:p>
        </w:tc>
      </w:tr>
      <w:tr w:rsidR="00895D0B" w:rsidRPr="00895D0B" w14:paraId="67AD0AD8" w14:textId="77777777">
        <w:trPr>
          <w:trHeight w:val="558"/>
        </w:trPr>
        <w:tc>
          <w:tcPr>
            <w:tcW w:w="2486" w:type="dxa"/>
            <w:gridSpan w:val="3"/>
          </w:tcPr>
          <w:p w14:paraId="35A0F561" w14:textId="77777777" w:rsidR="001B4ED5" w:rsidRPr="00895D0B" w:rsidRDefault="006B41C0">
            <w:pPr>
              <w:spacing w:line="240" w:lineRule="auto"/>
              <w:jc w:val="left"/>
              <w:rPr>
                <w:rFonts w:cs="Times New Roman"/>
                <w:b/>
                <w:color w:val="000000" w:themeColor="text1"/>
                <w:szCs w:val="24"/>
              </w:rPr>
            </w:pPr>
            <w:r w:rsidRPr="00895D0B">
              <w:rPr>
                <w:rFonts w:cs="Times New Roman"/>
                <w:b/>
                <w:color w:val="000000" w:themeColor="text1"/>
                <w:szCs w:val="24"/>
              </w:rPr>
              <w:t>E9:</w:t>
            </w:r>
            <w:r w:rsidRPr="00895D0B">
              <w:rPr>
                <w:rFonts w:cs="Times New Roman"/>
                <w:color w:val="000000" w:themeColor="text1"/>
                <w:szCs w:val="24"/>
              </w:rPr>
              <w:t xml:space="preserve"> How do you manage weather changes in crop production? </w:t>
            </w:r>
          </w:p>
        </w:tc>
        <w:tc>
          <w:tcPr>
            <w:tcW w:w="3888" w:type="dxa"/>
            <w:gridSpan w:val="2"/>
          </w:tcPr>
          <w:p w14:paraId="7AF266B2" w14:textId="77777777" w:rsidR="001B4ED5" w:rsidRPr="00895D0B" w:rsidRDefault="006B41C0">
            <w:pPr>
              <w:pStyle w:val="ListParagraph"/>
              <w:numPr>
                <w:ilvl w:val="0"/>
                <w:numId w:val="98"/>
              </w:numPr>
              <w:spacing w:line="240" w:lineRule="auto"/>
              <w:jc w:val="left"/>
              <w:rPr>
                <w:rFonts w:cs="Times New Roman"/>
                <w:color w:val="000000" w:themeColor="text1"/>
                <w:szCs w:val="24"/>
              </w:rPr>
            </w:pPr>
            <w:r w:rsidRPr="00895D0B">
              <w:rPr>
                <w:rFonts w:cs="Times New Roman"/>
                <w:color w:val="000000" w:themeColor="text1"/>
                <w:szCs w:val="24"/>
              </w:rPr>
              <w:t>Growing early maturing crops [   ]</w:t>
            </w:r>
          </w:p>
          <w:p w14:paraId="405AC069" w14:textId="77777777" w:rsidR="001B4ED5" w:rsidRPr="00895D0B" w:rsidRDefault="006B41C0">
            <w:pPr>
              <w:pStyle w:val="ListParagraph"/>
              <w:numPr>
                <w:ilvl w:val="0"/>
                <w:numId w:val="98"/>
              </w:numPr>
              <w:spacing w:line="240" w:lineRule="auto"/>
              <w:jc w:val="left"/>
              <w:rPr>
                <w:rFonts w:cs="Times New Roman"/>
                <w:color w:val="000000" w:themeColor="text1"/>
                <w:szCs w:val="24"/>
              </w:rPr>
            </w:pPr>
            <w:r w:rsidRPr="00895D0B">
              <w:rPr>
                <w:rFonts w:cs="Times New Roman"/>
                <w:color w:val="000000" w:themeColor="text1"/>
                <w:szCs w:val="24"/>
              </w:rPr>
              <w:t>Shifting planting dates [   ]</w:t>
            </w:r>
          </w:p>
          <w:p w14:paraId="74945ED2" w14:textId="77777777" w:rsidR="001B4ED5" w:rsidRPr="00895D0B" w:rsidRDefault="006B41C0">
            <w:pPr>
              <w:pStyle w:val="ListParagraph"/>
              <w:numPr>
                <w:ilvl w:val="0"/>
                <w:numId w:val="98"/>
              </w:numPr>
              <w:spacing w:line="240" w:lineRule="auto"/>
              <w:jc w:val="left"/>
              <w:rPr>
                <w:rFonts w:cs="Times New Roman"/>
                <w:color w:val="000000" w:themeColor="text1"/>
                <w:szCs w:val="24"/>
              </w:rPr>
            </w:pPr>
            <w:r w:rsidRPr="00895D0B">
              <w:rPr>
                <w:rFonts w:cs="Times New Roman"/>
                <w:color w:val="000000" w:themeColor="text1"/>
                <w:szCs w:val="24"/>
              </w:rPr>
              <w:t>Mixed cropping [   ]</w:t>
            </w:r>
          </w:p>
          <w:p w14:paraId="7B06A6F4" w14:textId="77777777" w:rsidR="001B4ED5" w:rsidRPr="00895D0B" w:rsidRDefault="006B41C0">
            <w:pPr>
              <w:pStyle w:val="ListParagraph"/>
              <w:numPr>
                <w:ilvl w:val="0"/>
                <w:numId w:val="98"/>
              </w:numPr>
              <w:spacing w:line="240" w:lineRule="auto"/>
              <w:jc w:val="left"/>
              <w:rPr>
                <w:rFonts w:cs="Times New Roman"/>
                <w:color w:val="000000" w:themeColor="text1"/>
                <w:szCs w:val="24"/>
              </w:rPr>
            </w:pPr>
            <w:r w:rsidRPr="00895D0B">
              <w:rPr>
                <w:rFonts w:cs="Times New Roman"/>
                <w:color w:val="000000" w:themeColor="text1"/>
                <w:szCs w:val="24"/>
              </w:rPr>
              <w:t>Irrigation [   ]</w:t>
            </w:r>
          </w:p>
          <w:p w14:paraId="493FEAD5" w14:textId="77777777" w:rsidR="001B4ED5" w:rsidRPr="00895D0B" w:rsidRDefault="006B41C0">
            <w:pPr>
              <w:pStyle w:val="ListParagraph"/>
              <w:numPr>
                <w:ilvl w:val="0"/>
                <w:numId w:val="98"/>
              </w:numPr>
              <w:spacing w:line="240" w:lineRule="auto"/>
              <w:jc w:val="left"/>
              <w:rPr>
                <w:rFonts w:cs="Times New Roman"/>
                <w:color w:val="000000" w:themeColor="text1"/>
                <w:szCs w:val="24"/>
              </w:rPr>
            </w:pPr>
            <w:r w:rsidRPr="00895D0B">
              <w:rPr>
                <w:rFonts w:cs="Times New Roman"/>
                <w:color w:val="000000" w:themeColor="text1"/>
                <w:szCs w:val="24"/>
              </w:rPr>
              <w:t>Others, specify ……………..</w:t>
            </w:r>
          </w:p>
        </w:tc>
        <w:tc>
          <w:tcPr>
            <w:tcW w:w="2693" w:type="dxa"/>
          </w:tcPr>
          <w:p w14:paraId="3420C186" w14:textId="77777777" w:rsidR="001B4ED5" w:rsidRPr="00895D0B" w:rsidRDefault="001B4ED5">
            <w:pPr>
              <w:spacing w:line="240" w:lineRule="auto"/>
              <w:rPr>
                <w:rFonts w:cs="Times New Roman"/>
                <w:color w:val="000000" w:themeColor="text1"/>
                <w:szCs w:val="24"/>
              </w:rPr>
            </w:pPr>
          </w:p>
        </w:tc>
      </w:tr>
      <w:tr w:rsidR="00895D0B" w:rsidRPr="00895D0B" w14:paraId="649026E3" w14:textId="77777777">
        <w:trPr>
          <w:trHeight w:val="300"/>
        </w:trPr>
        <w:tc>
          <w:tcPr>
            <w:tcW w:w="2486" w:type="dxa"/>
            <w:gridSpan w:val="3"/>
          </w:tcPr>
          <w:p w14:paraId="7485E026"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E10:</w:t>
            </w:r>
            <w:r w:rsidRPr="00895D0B">
              <w:rPr>
                <w:rFonts w:cs="Times New Roman"/>
                <w:color w:val="000000" w:themeColor="text1"/>
                <w:szCs w:val="24"/>
              </w:rPr>
              <w:t xml:space="preserve"> What type/variety of seeds do you sowin your farm?</w:t>
            </w:r>
          </w:p>
        </w:tc>
        <w:tc>
          <w:tcPr>
            <w:tcW w:w="3888" w:type="dxa"/>
            <w:gridSpan w:val="2"/>
          </w:tcPr>
          <w:p w14:paraId="4EF51048" w14:textId="77777777" w:rsidR="001B4ED5" w:rsidRPr="00895D0B" w:rsidRDefault="006B41C0">
            <w:pPr>
              <w:pStyle w:val="ListParagraph"/>
              <w:numPr>
                <w:ilvl w:val="0"/>
                <w:numId w:val="99"/>
              </w:numPr>
              <w:spacing w:line="240" w:lineRule="auto"/>
              <w:jc w:val="left"/>
              <w:rPr>
                <w:rFonts w:cs="Times New Roman"/>
                <w:color w:val="000000" w:themeColor="text1"/>
                <w:szCs w:val="24"/>
              </w:rPr>
            </w:pPr>
            <w:r w:rsidRPr="00895D0B">
              <w:rPr>
                <w:rFonts w:cs="Times New Roman"/>
                <w:color w:val="000000" w:themeColor="text1"/>
                <w:szCs w:val="24"/>
              </w:rPr>
              <w:t>Local/indigenous seeds [   ]</w:t>
            </w:r>
          </w:p>
          <w:p w14:paraId="2A7E8B60" w14:textId="77777777" w:rsidR="001B4ED5" w:rsidRPr="00895D0B" w:rsidRDefault="006B41C0">
            <w:pPr>
              <w:pStyle w:val="ListParagraph"/>
              <w:numPr>
                <w:ilvl w:val="0"/>
                <w:numId w:val="99"/>
              </w:numPr>
              <w:spacing w:line="240" w:lineRule="auto"/>
              <w:jc w:val="left"/>
              <w:rPr>
                <w:rFonts w:cs="Times New Roman"/>
                <w:color w:val="000000" w:themeColor="text1"/>
                <w:szCs w:val="24"/>
              </w:rPr>
            </w:pPr>
            <w:r w:rsidRPr="00895D0B">
              <w:rPr>
                <w:rFonts w:cs="Times New Roman"/>
                <w:color w:val="000000" w:themeColor="text1"/>
                <w:szCs w:val="24"/>
              </w:rPr>
              <w:t>Improved seeds [   ]</w:t>
            </w:r>
          </w:p>
          <w:p w14:paraId="53B5A6F5" w14:textId="77777777" w:rsidR="001B4ED5" w:rsidRPr="00895D0B" w:rsidRDefault="006B41C0">
            <w:pPr>
              <w:pStyle w:val="ListParagraph"/>
              <w:numPr>
                <w:ilvl w:val="0"/>
                <w:numId w:val="99"/>
              </w:numPr>
              <w:spacing w:line="240" w:lineRule="auto"/>
              <w:jc w:val="left"/>
              <w:rPr>
                <w:rFonts w:cs="Times New Roman"/>
                <w:color w:val="000000" w:themeColor="text1"/>
                <w:szCs w:val="24"/>
              </w:rPr>
            </w:pPr>
            <w:r w:rsidRPr="00895D0B">
              <w:rPr>
                <w:rFonts w:cs="Times New Roman"/>
                <w:color w:val="000000" w:themeColor="text1"/>
                <w:szCs w:val="24"/>
              </w:rPr>
              <w:t>Hybrid seeds [   ]</w:t>
            </w:r>
          </w:p>
          <w:p w14:paraId="7AD2F0F9" w14:textId="77777777" w:rsidR="001B4ED5" w:rsidRPr="00895D0B" w:rsidRDefault="006B41C0">
            <w:pPr>
              <w:pStyle w:val="ListParagraph"/>
              <w:numPr>
                <w:ilvl w:val="0"/>
                <w:numId w:val="99"/>
              </w:numPr>
              <w:spacing w:line="240" w:lineRule="auto"/>
              <w:jc w:val="left"/>
              <w:rPr>
                <w:rFonts w:cs="Times New Roman"/>
                <w:color w:val="000000" w:themeColor="text1"/>
                <w:szCs w:val="24"/>
              </w:rPr>
            </w:pPr>
            <w:r w:rsidRPr="00895D0B">
              <w:rPr>
                <w:rFonts w:cs="Times New Roman"/>
                <w:color w:val="000000" w:themeColor="text1"/>
                <w:szCs w:val="24"/>
              </w:rPr>
              <w:t>Both improved and indigenous/local seeds [   ]</w:t>
            </w:r>
          </w:p>
          <w:p w14:paraId="097376D9" w14:textId="77777777" w:rsidR="001B4ED5" w:rsidRPr="00895D0B" w:rsidRDefault="006B41C0">
            <w:pPr>
              <w:pStyle w:val="ListParagraph"/>
              <w:numPr>
                <w:ilvl w:val="0"/>
                <w:numId w:val="99"/>
              </w:numPr>
              <w:spacing w:line="240" w:lineRule="auto"/>
              <w:jc w:val="left"/>
              <w:rPr>
                <w:rFonts w:cs="Times New Roman"/>
                <w:color w:val="000000" w:themeColor="text1"/>
                <w:szCs w:val="24"/>
              </w:rPr>
            </w:pPr>
            <w:r w:rsidRPr="00895D0B">
              <w:rPr>
                <w:rFonts w:cs="Times New Roman"/>
                <w:color w:val="000000" w:themeColor="text1"/>
                <w:szCs w:val="24"/>
              </w:rPr>
              <w:t>Others, specify ……………………………………….</w:t>
            </w:r>
          </w:p>
        </w:tc>
        <w:tc>
          <w:tcPr>
            <w:tcW w:w="2693" w:type="dxa"/>
          </w:tcPr>
          <w:p w14:paraId="2DA31602" w14:textId="77777777" w:rsidR="001B4ED5" w:rsidRPr="00895D0B" w:rsidRDefault="001B4ED5">
            <w:pPr>
              <w:spacing w:line="240" w:lineRule="auto"/>
              <w:rPr>
                <w:rFonts w:cs="Times New Roman"/>
                <w:color w:val="000000" w:themeColor="text1"/>
                <w:szCs w:val="24"/>
              </w:rPr>
            </w:pPr>
          </w:p>
        </w:tc>
      </w:tr>
      <w:tr w:rsidR="00895D0B" w:rsidRPr="00895D0B" w14:paraId="2D74BCCA" w14:textId="77777777">
        <w:trPr>
          <w:trHeight w:val="300"/>
        </w:trPr>
        <w:tc>
          <w:tcPr>
            <w:tcW w:w="2486" w:type="dxa"/>
            <w:gridSpan w:val="3"/>
          </w:tcPr>
          <w:p w14:paraId="0930BC58"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 xml:space="preserve">E11: </w:t>
            </w:r>
            <w:r w:rsidRPr="00895D0B">
              <w:rPr>
                <w:rFonts w:cs="Times New Roman"/>
                <w:color w:val="000000" w:themeColor="text1"/>
                <w:szCs w:val="24"/>
              </w:rPr>
              <w:t>What is the sources of seeds you grow?</w:t>
            </w:r>
          </w:p>
        </w:tc>
        <w:tc>
          <w:tcPr>
            <w:tcW w:w="3888" w:type="dxa"/>
            <w:gridSpan w:val="2"/>
          </w:tcPr>
          <w:p w14:paraId="2DB62255" w14:textId="77777777" w:rsidR="001B4ED5" w:rsidRPr="00895D0B" w:rsidRDefault="006B41C0">
            <w:pPr>
              <w:pStyle w:val="ListParagraph"/>
              <w:numPr>
                <w:ilvl w:val="0"/>
                <w:numId w:val="100"/>
              </w:numPr>
              <w:spacing w:line="240" w:lineRule="auto"/>
              <w:jc w:val="left"/>
              <w:rPr>
                <w:rFonts w:cs="Times New Roman"/>
                <w:color w:val="000000" w:themeColor="text1"/>
                <w:szCs w:val="24"/>
              </w:rPr>
            </w:pPr>
            <w:r w:rsidRPr="00895D0B">
              <w:rPr>
                <w:rFonts w:cs="Times New Roman"/>
                <w:color w:val="000000" w:themeColor="text1"/>
                <w:szCs w:val="24"/>
              </w:rPr>
              <w:t>Own seeds [   ]</w:t>
            </w:r>
          </w:p>
          <w:p w14:paraId="3F4FF0B8" w14:textId="77777777" w:rsidR="001B4ED5" w:rsidRPr="00895D0B" w:rsidRDefault="006B41C0">
            <w:pPr>
              <w:pStyle w:val="ListParagraph"/>
              <w:numPr>
                <w:ilvl w:val="0"/>
                <w:numId w:val="101"/>
              </w:numPr>
              <w:spacing w:line="240" w:lineRule="auto"/>
              <w:jc w:val="left"/>
              <w:rPr>
                <w:rFonts w:cs="Times New Roman"/>
                <w:color w:val="000000" w:themeColor="text1"/>
                <w:szCs w:val="24"/>
              </w:rPr>
            </w:pPr>
            <w:r w:rsidRPr="00895D0B">
              <w:rPr>
                <w:rFonts w:cs="Times New Roman"/>
                <w:color w:val="000000" w:themeColor="text1"/>
                <w:szCs w:val="24"/>
              </w:rPr>
              <w:t>Bought from agro-shops [   ]</w:t>
            </w:r>
          </w:p>
          <w:p w14:paraId="78D29483" w14:textId="77777777" w:rsidR="001B4ED5" w:rsidRPr="00895D0B" w:rsidRDefault="006B41C0">
            <w:pPr>
              <w:pStyle w:val="ListParagraph"/>
              <w:numPr>
                <w:ilvl w:val="0"/>
                <w:numId w:val="101"/>
              </w:numPr>
              <w:spacing w:line="240" w:lineRule="auto"/>
              <w:jc w:val="left"/>
              <w:rPr>
                <w:rFonts w:cs="Times New Roman"/>
                <w:color w:val="000000" w:themeColor="text1"/>
                <w:szCs w:val="24"/>
              </w:rPr>
            </w:pPr>
            <w:r w:rsidRPr="00895D0B">
              <w:rPr>
                <w:rFonts w:cs="Times New Roman"/>
                <w:color w:val="000000" w:themeColor="text1"/>
                <w:szCs w:val="24"/>
              </w:rPr>
              <w:t>Family/relative seeds [   ]</w:t>
            </w:r>
          </w:p>
          <w:p w14:paraId="41986558" w14:textId="77777777" w:rsidR="001B4ED5" w:rsidRPr="00895D0B" w:rsidRDefault="001B4ED5">
            <w:pPr>
              <w:spacing w:line="240" w:lineRule="auto"/>
              <w:rPr>
                <w:rFonts w:cs="Times New Roman"/>
                <w:color w:val="000000" w:themeColor="text1"/>
                <w:szCs w:val="24"/>
              </w:rPr>
            </w:pPr>
          </w:p>
        </w:tc>
        <w:tc>
          <w:tcPr>
            <w:tcW w:w="2693" w:type="dxa"/>
          </w:tcPr>
          <w:p w14:paraId="0E74AF46" w14:textId="77777777" w:rsidR="001B4ED5" w:rsidRPr="00895D0B" w:rsidRDefault="001B4ED5">
            <w:pPr>
              <w:spacing w:line="240" w:lineRule="auto"/>
              <w:rPr>
                <w:rFonts w:cs="Times New Roman"/>
                <w:color w:val="000000" w:themeColor="text1"/>
                <w:szCs w:val="24"/>
              </w:rPr>
            </w:pPr>
          </w:p>
        </w:tc>
      </w:tr>
      <w:tr w:rsidR="00895D0B" w:rsidRPr="00895D0B" w14:paraId="0AA62882" w14:textId="77777777">
        <w:trPr>
          <w:trHeight w:val="300"/>
        </w:trPr>
        <w:tc>
          <w:tcPr>
            <w:tcW w:w="2486" w:type="dxa"/>
            <w:gridSpan w:val="3"/>
          </w:tcPr>
          <w:p w14:paraId="727B593C"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lastRenderedPageBreak/>
              <w:t>E12:</w:t>
            </w:r>
            <w:r w:rsidRPr="00895D0B">
              <w:rPr>
                <w:rFonts w:cs="Times New Roman"/>
                <w:color w:val="000000" w:themeColor="text1"/>
                <w:szCs w:val="24"/>
              </w:rPr>
              <w:t xml:space="preserve"> What is the yield situation of your crops? </w:t>
            </w:r>
          </w:p>
        </w:tc>
        <w:tc>
          <w:tcPr>
            <w:tcW w:w="3888" w:type="dxa"/>
            <w:gridSpan w:val="2"/>
          </w:tcPr>
          <w:p w14:paraId="011B5A6C" w14:textId="77777777" w:rsidR="001B4ED5" w:rsidRPr="00895D0B" w:rsidRDefault="006B41C0">
            <w:pPr>
              <w:pStyle w:val="ListParagraph"/>
              <w:numPr>
                <w:ilvl w:val="0"/>
                <w:numId w:val="102"/>
              </w:numPr>
              <w:spacing w:line="240" w:lineRule="auto"/>
              <w:jc w:val="left"/>
              <w:rPr>
                <w:rFonts w:cs="Times New Roman"/>
                <w:color w:val="000000" w:themeColor="text1"/>
                <w:szCs w:val="24"/>
              </w:rPr>
            </w:pPr>
            <w:r w:rsidRPr="00895D0B">
              <w:rPr>
                <w:rFonts w:cs="Times New Roman"/>
                <w:color w:val="000000" w:themeColor="text1"/>
                <w:szCs w:val="24"/>
              </w:rPr>
              <w:t>Good [   ]</w:t>
            </w:r>
          </w:p>
          <w:p w14:paraId="11688C06" w14:textId="77777777" w:rsidR="001B4ED5" w:rsidRPr="00895D0B" w:rsidRDefault="006B41C0">
            <w:pPr>
              <w:pStyle w:val="ListParagraph"/>
              <w:numPr>
                <w:ilvl w:val="0"/>
                <w:numId w:val="103"/>
              </w:numPr>
              <w:spacing w:line="240" w:lineRule="auto"/>
              <w:jc w:val="left"/>
              <w:rPr>
                <w:rFonts w:cs="Times New Roman"/>
                <w:color w:val="000000" w:themeColor="text1"/>
                <w:szCs w:val="24"/>
              </w:rPr>
            </w:pPr>
            <w:r w:rsidRPr="00895D0B">
              <w:rPr>
                <w:rFonts w:cs="Times New Roman"/>
                <w:color w:val="000000" w:themeColor="text1"/>
                <w:szCs w:val="24"/>
              </w:rPr>
              <w:t>Average [   ]</w:t>
            </w:r>
          </w:p>
          <w:p w14:paraId="72D06ACA" w14:textId="77777777" w:rsidR="001B4ED5" w:rsidRPr="00895D0B" w:rsidRDefault="006B41C0">
            <w:pPr>
              <w:pStyle w:val="ListParagraph"/>
              <w:numPr>
                <w:ilvl w:val="0"/>
                <w:numId w:val="103"/>
              </w:numPr>
              <w:spacing w:line="240" w:lineRule="auto"/>
              <w:jc w:val="left"/>
              <w:rPr>
                <w:rFonts w:cs="Times New Roman"/>
                <w:color w:val="000000" w:themeColor="text1"/>
                <w:szCs w:val="24"/>
              </w:rPr>
            </w:pPr>
            <w:r w:rsidRPr="00895D0B">
              <w:rPr>
                <w:rFonts w:cs="Times New Roman"/>
                <w:color w:val="000000" w:themeColor="text1"/>
                <w:szCs w:val="24"/>
              </w:rPr>
              <w:t>Not good [   ]</w:t>
            </w:r>
          </w:p>
          <w:p w14:paraId="409DBDF5" w14:textId="77777777" w:rsidR="001B4ED5" w:rsidRPr="00895D0B" w:rsidRDefault="001B4ED5">
            <w:pPr>
              <w:spacing w:line="240" w:lineRule="auto"/>
              <w:rPr>
                <w:rFonts w:cs="Times New Roman"/>
                <w:color w:val="000000" w:themeColor="text1"/>
                <w:szCs w:val="24"/>
              </w:rPr>
            </w:pPr>
          </w:p>
        </w:tc>
        <w:tc>
          <w:tcPr>
            <w:tcW w:w="2693" w:type="dxa"/>
          </w:tcPr>
          <w:p w14:paraId="7E8D37E4" w14:textId="77777777" w:rsidR="001B4ED5" w:rsidRPr="00895D0B" w:rsidRDefault="001B4ED5">
            <w:pPr>
              <w:spacing w:line="240" w:lineRule="auto"/>
              <w:rPr>
                <w:rFonts w:cs="Times New Roman"/>
                <w:color w:val="000000" w:themeColor="text1"/>
                <w:szCs w:val="24"/>
              </w:rPr>
            </w:pPr>
          </w:p>
        </w:tc>
      </w:tr>
      <w:tr w:rsidR="00895D0B" w:rsidRPr="00895D0B" w14:paraId="34C80420" w14:textId="77777777">
        <w:trPr>
          <w:trHeight w:val="285"/>
        </w:trPr>
        <w:tc>
          <w:tcPr>
            <w:tcW w:w="2486" w:type="dxa"/>
            <w:gridSpan w:val="3"/>
          </w:tcPr>
          <w:p w14:paraId="236CAE50"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E13:</w:t>
            </w:r>
            <w:r w:rsidRPr="00895D0B">
              <w:rPr>
                <w:rFonts w:cs="Times New Roman"/>
                <w:color w:val="000000" w:themeColor="text1"/>
                <w:szCs w:val="24"/>
              </w:rPr>
              <w:t xml:space="preserve"> Do you ever benefit from the services of Agricultural Extension Services from MoFA or any organization ?</w:t>
            </w:r>
          </w:p>
        </w:tc>
        <w:tc>
          <w:tcPr>
            <w:tcW w:w="3888" w:type="dxa"/>
            <w:gridSpan w:val="2"/>
          </w:tcPr>
          <w:p w14:paraId="1B67F78D" w14:textId="77777777" w:rsidR="001B4ED5" w:rsidRPr="00895D0B" w:rsidRDefault="006B41C0">
            <w:pPr>
              <w:pStyle w:val="ListParagraph"/>
              <w:numPr>
                <w:ilvl w:val="0"/>
                <w:numId w:val="104"/>
              </w:numPr>
              <w:spacing w:line="240" w:lineRule="auto"/>
              <w:jc w:val="left"/>
              <w:rPr>
                <w:rFonts w:cs="Times New Roman"/>
                <w:color w:val="000000" w:themeColor="text1"/>
                <w:szCs w:val="24"/>
              </w:rPr>
            </w:pPr>
            <w:r w:rsidRPr="00895D0B">
              <w:rPr>
                <w:rFonts w:cs="Times New Roman"/>
                <w:color w:val="000000" w:themeColor="text1"/>
                <w:szCs w:val="24"/>
              </w:rPr>
              <w:t>Yes [   ]</w:t>
            </w:r>
          </w:p>
          <w:p w14:paraId="7E909072" w14:textId="77777777" w:rsidR="001B4ED5" w:rsidRPr="00895D0B" w:rsidRDefault="006B41C0">
            <w:pPr>
              <w:pStyle w:val="ListParagraph"/>
              <w:numPr>
                <w:ilvl w:val="0"/>
                <w:numId w:val="104"/>
              </w:numPr>
              <w:spacing w:line="240" w:lineRule="auto"/>
              <w:jc w:val="left"/>
              <w:rPr>
                <w:rFonts w:cs="Times New Roman"/>
                <w:color w:val="000000" w:themeColor="text1"/>
                <w:szCs w:val="24"/>
              </w:rPr>
            </w:pPr>
            <w:r w:rsidRPr="00895D0B">
              <w:rPr>
                <w:rFonts w:cs="Times New Roman"/>
                <w:color w:val="000000" w:themeColor="text1"/>
                <w:szCs w:val="24"/>
              </w:rPr>
              <w:t>No [   ]</w:t>
            </w:r>
          </w:p>
          <w:p w14:paraId="0B025669" w14:textId="77777777" w:rsidR="001B4ED5" w:rsidRPr="00895D0B" w:rsidRDefault="001B4ED5">
            <w:pPr>
              <w:spacing w:line="240" w:lineRule="auto"/>
              <w:ind w:left="360" w:right="51"/>
              <w:rPr>
                <w:rFonts w:cs="Times New Roman"/>
                <w:color w:val="000000" w:themeColor="text1"/>
                <w:szCs w:val="24"/>
              </w:rPr>
            </w:pPr>
          </w:p>
        </w:tc>
        <w:tc>
          <w:tcPr>
            <w:tcW w:w="2693" w:type="dxa"/>
          </w:tcPr>
          <w:p w14:paraId="73B9AA52" w14:textId="77777777" w:rsidR="001B4ED5" w:rsidRPr="00895D0B" w:rsidRDefault="001B4ED5">
            <w:pPr>
              <w:spacing w:line="240" w:lineRule="auto"/>
              <w:rPr>
                <w:rFonts w:cs="Times New Roman"/>
                <w:color w:val="000000" w:themeColor="text1"/>
                <w:szCs w:val="24"/>
              </w:rPr>
            </w:pPr>
          </w:p>
        </w:tc>
      </w:tr>
      <w:tr w:rsidR="00895D0B" w:rsidRPr="00895D0B" w14:paraId="2D96A14C" w14:textId="77777777">
        <w:trPr>
          <w:trHeight w:val="285"/>
        </w:trPr>
        <w:tc>
          <w:tcPr>
            <w:tcW w:w="2486" w:type="dxa"/>
            <w:gridSpan w:val="3"/>
          </w:tcPr>
          <w:p w14:paraId="78530EAC"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E13a:</w:t>
            </w:r>
            <w:r w:rsidRPr="00895D0B">
              <w:rPr>
                <w:rFonts w:cs="Times New Roman"/>
                <w:color w:val="000000" w:themeColor="text1"/>
                <w:szCs w:val="24"/>
              </w:rPr>
              <w:t xml:space="preserve"> If yes to </w:t>
            </w:r>
            <w:r w:rsidRPr="00895D0B">
              <w:rPr>
                <w:rFonts w:cs="Times New Roman"/>
                <w:b/>
                <w:i/>
                <w:color w:val="000000" w:themeColor="text1"/>
                <w:szCs w:val="24"/>
              </w:rPr>
              <w:t>E14</w:t>
            </w:r>
            <w:r w:rsidRPr="00895D0B">
              <w:rPr>
                <w:rFonts w:cs="Times New Roman"/>
                <w:color w:val="000000" w:themeColor="text1"/>
                <w:szCs w:val="24"/>
              </w:rPr>
              <w:t xml:space="preserve"> above, how often? </w:t>
            </w:r>
          </w:p>
        </w:tc>
        <w:tc>
          <w:tcPr>
            <w:tcW w:w="3888" w:type="dxa"/>
            <w:gridSpan w:val="2"/>
          </w:tcPr>
          <w:p w14:paraId="2566CE87" w14:textId="77777777" w:rsidR="001B4ED5" w:rsidRPr="00895D0B" w:rsidRDefault="006B41C0">
            <w:pPr>
              <w:pStyle w:val="ListParagraph"/>
              <w:numPr>
                <w:ilvl w:val="0"/>
                <w:numId w:val="105"/>
              </w:numPr>
              <w:spacing w:line="240" w:lineRule="auto"/>
              <w:jc w:val="left"/>
              <w:rPr>
                <w:rFonts w:cs="Times New Roman"/>
                <w:color w:val="000000" w:themeColor="text1"/>
                <w:szCs w:val="24"/>
              </w:rPr>
            </w:pPr>
            <w:r w:rsidRPr="00895D0B">
              <w:rPr>
                <w:rFonts w:cs="Times New Roman"/>
                <w:color w:val="000000" w:themeColor="text1"/>
                <w:szCs w:val="24"/>
              </w:rPr>
              <w:t>Very often [   ]</w:t>
            </w:r>
          </w:p>
          <w:p w14:paraId="740DD633" w14:textId="77777777" w:rsidR="001B4ED5" w:rsidRPr="00895D0B" w:rsidRDefault="006B41C0">
            <w:pPr>
              <w:pStyle w:val="ListParagraph"/>
              <w:numPr>
                <w:ilvl w:val="0"/>
                <w:numId w:val="106"/>
              </w:numPr>
              <w:spacing w:line="240" w:lineRule="auto"/>
              <w:ind w:right="51"/>
              <w:rPr>
                <w:rFonts w:cs="Times New Roman"/>
                <w:color w:val="000000" w:themeColor="text1"/>
                <w:szCs w:val="24"/>
              </w:rPr>
            </w:pPr>
            <w:r w:rsidRPr="00895D0B">
              <w:rPr>
                <w:rFonts w:cs="Times New Roman"/>
                <w:color w:val="000000" w:themeColor="text1"/>
                <w:szCs w:val="24"/>
              </w:rPr>
              <w:t>Often [   ]</w:t>
            </w:r>
          </w:p>
          <w:p w14:paraId="51DF5577" w14:textId="77777777" w:rsidR="001B4ED5" w:rsidRPr="00895D0B" w:rsidRDefault="006B41C0">
            <w:pPr>
              <w:pStyle w:val="ListParagraph"/>
              <w:numPr>
                <w:ilvl w:val="0"/>
                <w:numId w:val="106"/>
              </w:numPr>
              <w:spacing w:line="240" w:lineRule="auto"/>
              <w:ind w:right="51"/>
              <w:rPr>
                <w:rFonts w:cs="Times New Roman"/>
                <w:color w:val="000000" w:themeColor="text1"/>
                <w:szCs w:val="24"/>
              </w:rPr>
            </w:pPr>
            <w:r w:rsidRPr="00895D0B">
              <w:rPr>
                <w:rFonts w:cs="Times New Roman"/>
                <w:color w:val="000000" w:themeColor="text1"/>
                <w:szCs w:val="24"/>
              </w:rPr>
              <w:t>Sometimes [   ]</w:t>
            </w:r>
          </w:p>
          <w:p w14:paraId="7FDEA8A4" w14:textId="77777777" w:rsidR="001B4ED5" w:rsidRPr="00895D0B" w:rsidRDefault="006B41C0">
            <w:pPr>
              <w:pStyle w:val="ListParagraph"/>
              <w:numPr>
                <w:ilvl w:val="0"/>
                <w:numId w:val="106"/>
              </w:numPr>
              <w:spacing w:line="240" w:lineRule="auto"/>
              <w:ind w:right="51"/>
              <w:rPr>
                <w:rFonts w:cs="Times New Roman"/>
                <w:color w:val="000000" w:themeColor="text1"/>
                <w:szCs w:val="24"/>
              </w:rPr>
            </w:pPr>
            <w:r w:rsidRPr="00895D0B">
              <w:rPr>
                <w:rFonts w:cs="Times New Roman"/>
                <w:color w:val="000000" w:themeColor="text1"/>
                <w:szCs w:val="24"/>
              </w:rPr>
              <w:t>Not all [   ]</w:t>
            </w:r>
          </w:p>
        </w:tc>
        <w:tc>
          <w:tcPr>
            <w:tcW w:w="2693" w:type="dxa"/>
          </w:tcPr>
          <w:p w14:paraId="1BF8A9CB" w14:textId="77777777" w:rsidR="001B4ED5" w:rsidRPr="00895D0B" w:rsidRDefault="001B4ED5">
            <w:pPr>
              <w:spacing w:line="240" w:lineRule="auto"/>
              <w:rPr>
                <w:rFonts w:cs="Times New Roman"/>
                <w:color w:val="000000" w:themeColor="text1"/>
                <w:szCs w:val="24"/>
              </w:rPr>
            </w:pPr>
          </w:p>
        </w:tc>
      </w:tr>
      <w:tr w:rsidR="00895D0B" w:rsidRPr="00895D0B" w14:paraId="79A1FD01" w14:textId="77777777">
        <w:trPr>
          <w:trHeight w:val="285"/>
        </w:trPr>
        <w:tc>
          <w:tcPr>
            <w:tcW w:w="2486" w:type="dxa"/>
            <w:gridSpan w:val="3"/>
          </w:tcPr>
          <w:p w14:paraId="06B69E34"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E14:</w:t>
            </w:r>
            <w:r w:rsidRPr="00895D0B">
              <w:rPr>
                <w:rFonts w:cs="Times New Roman"/>
                <w:color w:val="000000" w:themeColor="text1"/>
                <w:szCs w:val="24"/>
              </w:rPr>
              <w:t xml:space="preserve"> What can you say about the production level of your crops amid weather changes? </w:t>
            </w:r>
          </w:p>
        </w:tc>
        <w:tc>
          <w:tcPr>
            <w:tcW w:w="3888" w:type="dxa"/>
            <w:gridSpan w:val="2"/>
          </w:tcPr>
          <w:p w14:paraId="26DFF035" w14:textId="77777777" w:rsidR="001B4ED5" w:rsidRPr="00895D0B" w:rsidRDefault="006B41C0">
            <w:pPr>
              <w:pStyle w:val="ListParagraph"/>
              <w:numPr>
                <w:ilvl w:val="0"/>
                <w:numId w:val="107"/>
              </w:numPr>
              <w:spacing w:line="240" w:lineRule="auto"/>
              <w:jc w:val="left"/>
              <w:rPr>
                <w:rFonts w:cs="Times New Roman"/>
                <w:color w:val="000000" w:themeColor="text1"/>
                <w:szCs w:val="24"/>
              </w:rPr>
            </w:pPr>
            <w:r w:rsidRPr="00895D0B">
              <w:rPr>
                <w:rFonts w:cs="Times New Roman"/>
                <w:color w:val="000000" w:themeColor="text1"/>
                <w:szCs w:val="24"/>
              </w:rPr>
              <w:t>Good [   ]</w:t>
            </w:r>
          </w:p>
          <w:p w14:paraId="780EE762" w14:textId="77777777" w:rsidR="001B4ED5" w:rsidRPr="00895D0B" w:rsidRDefault="006B41C0">
            <w:pPr>
              <w:pStyle w:val="ListParagraph"/>
              <w:numPr>
                <w:ilvl w:val="0"/>
                <w:numId w:val="107"/>
              </w:numPr>
              <w:spacing w:line="240" w:lineRule="auto"/>
              <w:jc w:val="left"/>
              <w:rPr>
                <w:rFonts w:cs="Times New Roman"/>
                <w:color w:val="000000" w:themeColor="text1"/>
                <w:szCs w:val="24"/>
              </w:rPr>
            </w:pPr>
            <w:r w:rsidRPr="00895D0B">
              <w:rPr>
                <w:rFonts w:cs="Times New Roman"/>
                <w:color w:val="000000" w:themeColor="text1"/>
                <w:szCs w:val="24"/>
              </w:rPr>
              <w:t>Average [   ]</w:t>
            </w:r>
          </w:p>
          <w:p w14:paraId="6ECF9B67" w14:textId="77777777" w:rsidR="001B4ED5" w:rsidRPr="00895D0B" w:rsidRDefault="006B41C0">
            <w:pPr>
              <w:pStyle w:val="ListParagraph"/>
              <w:numPr>
                <w:ilvl w:val="0"/>
                <w:numId w:val="107"/>
              </w:numPr>
              <w:spacing w:line="240" w:lineRule="auto"/>
              <w:jc w:val="left"/>
              <w:rPr>
                <w:rFonts w:cs="Times New Roman"/>
                <w:color w:val="000000" w:themeColor="text1"/>
                <w:szCs w:val="24"/>
              </w:rPr>
            </w:pPr>
            <w:r w:rsidRPr="00895D0B">
              <w:rPr>
                <w:rFonts w:cs="Times New Roman"/>
                <w:color w:val="000000" w:themeColor="text1"/>
                <w:szCs w:val="24"/>
              </w:rPr>
              <w:t>Not good [   ]</w:t>
            </w:r>
          </w:p>
          <w:p w14:paraId="2D89A18D" w14:textId="77777777" w:rsidR="001B4ED5" w:rsidRPr="00895D0B" w:rsidRDefault="001B4ED5">
            <w:pPr>
              <w:spacing w:line="240" w:lineRule="auto"/>
              <w:ind w:left="360"/>
              <w:rPr>
                <w:rFonts w:cs="Times New Roman"/>
                <w:color w:val="000000" w:themeColor="text1"/>
                <w:szCs w:val="24"/>
              </w:rPr>
            </w:pPr>
          </w:p>
        </w:tc>
        <w:tc>
          <w:tcPr>
            <w:tcW w:w="2693" w:type="dxa"/>
          </w:tcPr>
          <w:p w14:paraId="14075DB1" w14:textId="77777777" w:rsidR="001B4ED5" w:rsidRPr="00895D0B" w:rsidRDefault="001B4ED5">
            <w:pPr>
              <w:spacing w:line="240" w:lineRule="auto"/>
              <w:rPr>
                <w:rFonts w:cs="Times New Roman"/>
                <w:color w:val="000000" w:themeColor="text1"/>
                <w:szCs w:val="24"/>
              </w:rPr>
            </w:pPr>
          </w:p>
        </w:tc>
      </w:tr>
      <w:tr w:rsidR="00895D0B" w:rsidRPr="00895D0B" w14:paraId="70FC46A3" w14:textId="77777777">
        <w:trPr>
          <w:trHeight w:val="285"/>
        </w:trPr>
        <w:tc>
          <w:tcPr>
            <w:tcW w:w="2486" w:type="dxa"/>
            <w:gridSpan w:val="3"/>
          </w:tcPr>
          <w:p w14:paraId="567407EC" w14:textId="77777777" w:rsidR="001B4ED5" w:rsidRPr="00895D0B" w:rsidRDefault="006B41C0">
            <w:pPr>
              <w:spacing w:line="240" w:lineRule="auto"/>
              <w:rPr>
                <w:rFonts w:cs="Times New Roman"/>
                <w:b/>
                <w:i/>
                <w:color w:val="000000" w:themeColor="text1"/>
                <w:szCs w:val="24"/>
              </w:rPr>
            </w:pPr>
            <w:r w:rsidRPr="00895D0B">
              <w:rPr>
                <w:rFonts w:cs="Times New Roman"/>
                <w:b/>
                <w:i/>
                <w:color w:val="000000" w:themeColor="text1"/>
                <w:szCs w:val="24"/>
              </w:rPr>
              <w:t xml:space="preserve">ANIMALS </w:t>
            </w:r>
          </w:p>
        </w:tc>
        <w:tc>
          <w:tcPr>
            <w:tcW w:w="3888" w:type="dxa"/>
            <w:gridSpan w:val="2"/>
          </w:tcPr>
          <w:p w14:paraId="3C60CC9D" w14:textId="77777777" w:rsidR="001B4ED5" w:rsidRPr="00895D0B" w:rsidRDefault="001B4ED5">
            <w:pPr>
              <w:spacing w:line="240" w:lineRule="auto"/>
              <w:rPr>
                <w:rFonts w:cs="Times New Roman"/>
                <w:color w:val="000000" w:themeColor="text1"/>
                <w:szCs w:val="24"/>
              </w:rPr>
            </w:pPr>
          </w:p>
        </w:tc>
        <w:tc>
          <w:tcPr>
            <w:tcW w:w="2693" w:type="dxa"/>
          </w:tcPr>
          <w:p w14:paraId="689681BE" w14:textId="77777777" w:rsidR="001B4ED5" w:rsidRPr="00895D0B" w:rsidRDefault="001B4ED5">
            <w:pPr>
              <w:spacing w:line="240" w:lineRule="auto"/>
              <w:rPr>
                <w:rFonts w:cs="Times New Roman"/>
                <w:color w:val="000000" w:themeColor="text1"/>
                <w:szCs w:val="24"/>
              </w:rPr>
            </w:pPr>
          </w:p>
        </w:tc>
      </w:tr>
      <w:tr w:rsidR="00895D0B" w:rsidRPr="00895D0B" w14:paraId="784F2BF8" w14:textId="77777777">
        <w:trPr>
          <w:trHeight w:val="285"/>
        </w:trPr>
        <w:tc>
          <w:tcPr>
            <w:tcW w:w="2486" w:type="dxa"/>
            <w:gridSpan w:val="3"/>
          </w:tcPr>
          <w:p w14:paraId="192EDBA5"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E15:</w:t>
            </w:r>
            <w:r w:rsidRPr="00895D0B">
              <w:rPr>
                <w:rFonts w:cs="Times New Roman"/>
                <w:color w:val="000000" w:themeColor="text1"/>
                <w:szCs w:val="24"/>
              </w:rPr>
              <w:t xml:space="preserve"> What breed of animals do you rear?</w:t>
            </w:r>
          </w:p>
        </w:tc>
        <w:tc>
          <w:tcPr>
            <w:tcW w:w="3888" w:type="dxa"/>
            <w:gridSpan w:val="2"/>
          </w:tcPr>
          <w:p w14:paraId="35AD094E" w14:textId="77777777" w:rsidR="001B4ED5" w:rsidRPr="00895D0B" w:rsidRDefault="006B41C0">
            <w:pPr>
              <w:pStyle w:val="ListParagraph"/>
              <w:numPr>
                <w:ilvl w:val="0"/>
                <w:numId w:val="108"/>
              </w:numPr>
              <w:spacing w:line="240" w:lineRule="auto"/>
              <w:jc w:val="left"/>
              <w:rPr>
                <w:rFonts w:cs="Times New Roman"/>
                <w:color w:val="000000" w:themeColor="text1"/>
                <w:szCs w:val="24"/>
              </w:rPr>
            </w:pPr>
            <w:r w:rsidRPr="00895D0B">
              <w:rPr>
                <w:rFonts w:cs="Times New Roman"/>
                <w:color w:val="000000" w:themeColor="text1"/>
                <w:szCs w:val="24"/>
              </w:rPr>
              <w:t>Indigenous/local [   ]</w:t>
            </w:r>
          </w:p>
          <w:p w14:paraId="4A4AD04C" w14:textId="77777777" w:rsidR="001B4ED5" w:rsidRPr="00895D0B" w:rsidRDefault="006B41C0">
            <w:pPr>
              <w:pStyle w:val="ListParagraph"/>
              <w:numPr>
                <w:ilvl w:val="0"/>
                <w:numId w:val="109"/>
              </w:numPr>
              <w:spacing w:line="240" w:lineRule="auto"/>
              <w:jc w:val="left"/>
              <w:rPr>
                <w:rFonts w:cs="Times New Roman"/>
                <w:color w:val="000000" w:themeColor="text1"/>
                <w:szCs w:val="24"/>
              </w:rPr>
            </w:pPr>
            <w:r w:rsidRPr="00895D0B">
              <w:rPr>
                <w:rFonts w:cs="Times New Roman"/>
                <w:color w:val="000000" w:themeColor="text1"/>
                <w:szCs w:val="24"/>
              </w:rPr>
              <w:t>Exotic/foreign [   ]</w:t>
            </w:r>
          </w:p>
          <w:p w14:paraId="3325E115" w14:textId="77777777" w:rsidR="001B4ED5" w:rsidRPr="00895D0B" w:rsidRDefault="006B41C0">
            <w:pPr>
              <w:pStyle w:val="ListParagraph"/>
              <w:numPr>
                <w:ilvl w:val="0"/>
                <w:numId w:val="109"/>
              </w:numPr>
              <w:spacing w:line="240" w:lineRule="auto"/>
              <w:jc w:val="left"/>
              <w:rPr>
                <w:rFonts w:cs="Times New Roman"/>
                <w:color w:val="000000" w:themeColor="text1"/>
                <w:szCs w:val="24"/>
              </w:rPr>
            </w:pPr>
            <w:r w:rsidRPr="00895D0B">
              <w:rPr>
                <w:rFonts w:cs="Times New Roman"/>
                <w:color w:val="000000" w:themeColor="text1"/>
                <w:szCs w:val="24"/>
              </w:rPr>
              <w:t>Both Indigenous/local and Exotic/foreign [   ]</w:t>
            </w:r>
          </w:p>
          <w:p w14:paraId="4F38A491" w14:textId="77777777" w:rsidR="001B4ED5" w:rsidRPr="00895D0B" w:rsidRDefault="001B4ED5">
            <w:pPr>
              <w:spacing w:line="240" w:lineRule="auto"/>
              <w:rPr>
                <w:rFonts w:cs="Times New Roman"/>
                <w:color w:val="000000" w:themeColor="text1"/>
                <w:szCs w:val="24"/>
              </w:rPr>
            </w:pPr>
          </w:p>
        </w:tc>
        <w:tc>
          <w:tcPr>
            <w:tcW w:w="2693" w:type="dxa"/>
          </w:tcPr>
          <w:p w14:paraId="4B0E2285" w14:textId="77777777" w:rsidR="001B4ED5" w:rsidRPr="00895D0B" w:rsidRDefault="001B4ED5">
            <w:pPr>
              <w:spacing w:line="240" w:lineRule="auto"/>
              <w:rPr>
                <w:rFonts w:cs="Times New Roman"/>
                <w:color w:val="000000" w:themeColor="text1"/>
                <w:szCs w:val="24"/>
              </w:rPr>
            </w:pPr>
          </w:p>
        </w:tc>
      </w:tr>
      <w:tr w:rsidR="00895D0B" w:rsidRPr="00895D0B" w14:paraId="585509C1" w14:textId="77777777">
        <w:trPr>
          <w:trHeight w:val="285"/>
        </w:trPr>
        <w:tc>
          <w:tcPr>
            <w:tcW w:w="2486" w:type="dxa"/>
            <w:gridSpan w:val="3"/>
          </w:tcPr>
          <w:p w14:paraId="1056B944"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E16:</w:t>
            </w:r>
            <w:r w:rsidRPr="00895D0B">
              <w:rPr>
                <w:rFonts w:cs="Times New Roman"/>
                <w:color w:val="000000" w:themeColor="text1"/>
                <w:szCs w:val="24"/>
              </w:rPr>
              <w:t xml:space="preserve"> What is the main sources of feeds to your animals?</w:t>
            </w:r>
          </w:p>
        </w:tc>
        <w:tc>
          <w:tcPr>
            <w:tcW w:w="3888" w:type="dxa"/>
            <w:gridSpan w:val="2"/>
          </w:tcPr>
          <w:p w14:paraId="6A0E1608" w14:textId="77777777" w:rsidR="001B4ED5" w:rsidRPr="00895D0B" w:rsidRDefault="006B41C0">
            <w:pPr>
              <w:pStyle w:val="ListParagraph"/>
              <w:numPr>
                <w:ilvl w:val="0"/>
                <w:numId w:val="110"/>
              </w:numPr>
              <w:spacing w:line="240" w:lineRule="auto"/>
              <w:jc w:val="left"/>
              <w:rPr>
                <w:rFonts w:cs="Times New Roman"/>
                <w:color w:val="000000" w:themeColor="text1"/>
                <w:szCs w:val="24"/>
              </w:rPr>
            </w:pPr>
            <w:r w:rsidRPr="00895D0B">
              <w:rPr>
                <w:rFonts w:cs="Times New Roman"/>
                <w:color w:val="000000" w:themeColor="text1"/>
                <w:szCs w:val="24"/>
              </w:rPr>
              <w:t>Own feed [   ]</w:t>
            </w:r>
          </w:p>
          <w:p w14:paraId="397010D1" w14:textId="77777777" w:rsidR="001B4ED5" w:rsidRPr="00895D0B" w:rsidRDefault="006B41C0">
            <w:pPr>
              <w:pStyle w:val="ListParagraph"/>
              <w:numPr>
                <w:ilvl w:val="0"/>
                <w:numId w:val="111"/>
              </w:numPr>
              <w:spacing w:line="240" w:lineRule="auto"/>
              <w:jc w:val="left"/>
              <w:rPr>
                <w:rFonts w:cs="Times New Roman"/>
                <w:color w:val="000000" w:themeColor="text1"/>
                <w:szCs w:val="24"/>
              </w:rPr>
            </w:pPr>
            <w:r w:rsidRPr="00895D0B">
              <w:rPr>
                <w:rFonts w:cs="Times New Roman"/>
                <w:color w:val="000000" w:themeColor="text1"/>
                <w:szCs w:val="24"/>
              </w:rPr>
              <w:t>Purchase seeds from the market [   ]</w:t>
            </w:r>
          </w:p>
          <w:p w14:paraId="1B41E896" w14:textId="77777777" w:rsidR="001B4ED5" w:rsidRPr="00895D0B" w:rsidRDefault="006B41C0">
            <w:pPr>
              <w:pStyle w:val="ListParagraph"/>
              <w:numPr>
                <w:ilvl w:val="0"/>
                <w:numId w:val="111"/>
              </w:numPr>
              <w:spacing w:line="240" w:lineRule="auto"/>
              <w:jc w:val="left"/>
              <w:rPr>
                <w:rFonts w:cs="Times New Roman"/>
                <w:color w:val="000000" w:themeColor="text1"/>
                <w:szCs w:val="24"/>
              </w:rPr>
            </w:pPr>
            <w:r w:rsidRPr="00895D0B">
              <w:rPr>
                <w:rFonts w:cs="Times New Roman"/>
                <w:color w:val="000000" w:themeColor="text1"/>
                <w:szCs w:val="24"/>
              </w:rPr>
              <w:t>Gift from friend/ relatives [   ]</w:t>
            </w:r>
          </w:p>
        </w:tc>
        <w:tc>
          <w:tcPr>
            <w:tcW w:w="2693" w:type="dxa"/>
          </w:tcPr>
          <w:p w14:paraId="4A8480FB" w14:textId="77777777" w:rsidR="001B4ED5" w:rsidRPr="00895D0B" w:rsidRDefault="001B4ED5">
            <w:pPr>
              <w:spacing w:line="240" w:lineRule="auto"/>
              <w:rPr>
                <w:rFonts w:cs="Times New Roman"/>
                <w:color w:val="000000" w:themeColor="text1"/>
                <w:szCs w:val="24"/>
              </w:rPr>
            </w:pPr>
          </w:p>
        </w:tc>
      </w:tr>
      <w:tr w:rsidR="00895D0B" w:rsidRPr="00895D0B" w14:paraId="2535AE73" w14:textId="77777777">
        <w:trPr>
          <w:trHeight w:val="285"/>
        </w:trPr>
        <w:tc>
          <w:tcPr>
            <w:tcW w:w="2486" w:type="dxa"/>
            <w:gridSpan w:val="3"/>
          </w:tcPr>
          <w:p w14:paraId="51641285"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E16a:</w:t>
            </w:r>
            <w:r w:rsidRPr="00895D0B">
              <w:rPr>
                <w:rFonts w:cs="Times New Roman"/>
                <w:color w:val="000000" w:themeColor="text1"/>
                <w:szCs w:val="24"/>
              </w:rPr>
              <w:t xml:space="preserve"> If option 1 in </w:t>
            </w:r>
            <w:r w:rsidRPr="00895D0B">
              <w:rPr>
                <w:rFonts w:cs="Times New Roman"/>
                <w:b/>
                <w:i/>
                <w:color w:val="000000" w:themeColor="text1"/>
                <w:szCs w:val="24"/>
              </w:rPr>
              <w:t>E16</w:t>
            </w:r>
            <w:r w:rsidRPr="00895D0B">
              <w:rPr>
                <w:rFonts w:cs="Times New Roman"/>
                <w:color w:val="000000" w:themeColor="text1"/>
                <w:szCs w:val="24"/>
              </w:rPr>
              <w:t xml:space="preserve"> above</w:t>
            </w:r>
            <w:r w:rsidRPr="00895D0B">
              <w:rPr>
                <w:rFonts w:cs="Times New Roman"/>
                <w:b/>
                <w:i/>
                <w:color w:val="000000" w:themeColor="text1"/>
                <w:szCs w:val="24"/>
              </w:rPr>
              <w:t>,</w:t>
            </w:r>
            <w:r w:rsidRPr="00895D0B">
              <w:rPr>
                <w:rFonts w:cs="Times New Roman"/>
                <w:color w:val="000000" w:themeColor="text1"/>
                <w:szCs w:val="24"/>
              </w:rPr>
              <w:t xml:space="preserve"> from which source do you buy the feed from? </w:t>
            </w:r>
          </w:p>
        </w:tc>
        <w:tc>
          <w:tcPr>
            <w:tcW w:w="3888" w:type="dxa"/>
            <w:gridSpan w:val="2"/>
          </w:tcPr>
          <w:p w14:paraId="07275741" w14:textId="77777777" w:rsidR="001B4ED5" w:rsidRPr="00895D0B" w:rsidRDefault="006B41C0">
            <w:pPr>
              <w:pStyle w:val="ListParagraph"/>
              <w:numPr>
                <w:ilvl w:val="0"/>
                <w:numId w:val="112"/>
              </w:numPr>
              <w:spacing w:line="240" w:lineRule="auto"/>
              <w:jc w:val="left"/>
              <w:rPr>
                <w:rFonts w:cs="Times New Roman"/>
                <w:color w:val="000000" w:themeColor="text1"/>
                <w:szCs w:val="24"/>
              </w:rPr>
            </w:pPr>
            <w:r w:rsidRPr="00895D0B">
              <w:rPr>
                <w:rFonts w:cs="Times New Roman"/>
                <w:color w:val="000000" w:themeColor="text1"/>
                <w:szCs w:val="24"/>
              </w:rPr>
              <w:t>Certified feed dealers [   ]</w:t>
            </w:r>
          </w:p>
          <w:p w14:paraId="0B4B116A" w14:textId="77777777" w:rsidR="001B4ED5" w:rsidRPr="00895D0B" w:rsidRDefault="006B41C0">
            <w:pPr>
              <w:pStyle w:val="ListParagraph"/>
              <w:numPr>
                <w:ilvl w:val="0"/>
                <w:numId w:val="113"/>
              </w:numPr>
              <w:spacing w:line="240" w:lineRule="auto"/>
              <w:jc w:val="left"/>
              <w:rPr>
                <w:rFonts w:cs="Times New Roman"/>
                <w:color w:val="000000" w:themeColor="text1"/>
                <w:szCs w:val="24"/>
              </w:rPr>
            </w:pPr>
            <w:r w:rsidRPr="00895D0B">
              <w:rPr>
                <w:rFonts w:cs="Times New Roman"/>
                <w:color w:val="000000" w:themeColor="text1"/>
                <w:szCs w:val="24"/>
              </w:rPr>
              <w:t>Open market [   ]</w:t>
            </w:r>
          </w:p>
          <w:p w14:paraId="59E7B6D8" w14:textId="77777777" w:rsidR="001B4ED5" w:rsidRPr="00895D0B" w:rsidRDefault="006B41C0">
            <w:pPr>
              <w:pStyle w:val="ListParagraph"/>
              <w:numPr>
                <w:ilvl w:val="0"/>
                <w:numId w:val="113"/>
              </w:numPr>
              <w:spacing w:line="240" w:lineRule="auto"/>
              <w:jc w:val="left"/>
              <w:rPr>
                <w:rFonts w:cs="Times New Roman"/>
                <w:color w:val="000000" w:themeColor="text1"/>
                <w:szCs w:val="24"/>
              </w:rPr>
            </w:pPr>
            <w:r w:rsidRPr="00895D0B">
              <w:rPr>
                <w:rFonts w:cs="Times New Roman"/>
                <w:color w:val="000000" w:themeColor="text1"/>
                <w:szCs w:val="24"/>
              </w:rPr>
              <w:t>Other sources, specify, ………………………………..</w:t>
            </w:r>
          </w:p>
        </w:tc>
        <w:tc>
          <w:tcPr>
            <w:tcW w:w="2693" w:type="dxa"/>
          </w:tcPr>
          <w:p w14:paraId="295E642C" w14:textId="77777777" w:rsidR="001B4ED5" w:rsidRPr="00895D0B" w:rsidRDefault="001B4ED5">
            <w:pPr>
              <w:spacing w:line="240" w:lineRule="auto"/>
              <w:rPr>
                <w:rFonts w:cs="Times New Roman"/>
                <w:color w:val="000000" w:themeColor="text1"/>
                <w:szCs w:val="24"/>
              </w:rPr>
            </w:pPr>
          </w:p>
        </w:tc>
      </w:tr>
      <w:tr w:rsidR="00895D0B" w:rsidRPr="00895D0B" w14:paraId="477BDF4B" w14:textId="77777777">
        <w:trPr>
          <w:trHeight w:val="285"/>
        </w:trPr>
        <w:tc>
          <w:tcPr>
            <w:tcW w:w="2486" w:type="dxa"/>
            <w:gridSpan w:val="3"/>
          </w:tcPr>
          <w:p w14:paraId="177229AD"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E17:</w:t>
            </w:r>
            <w:r w:rsidRPr="00895D0B">
              <w:rPr>
                <w:rFonts w:cs="Times New Roman"/>
                <w:color w:val="000000" w:themeColor="text1"/>
                <w:szCs w:val="24"/>
              </w:rPr>
              <w:t xml:space="preserve"> How do you house your animals against bad weather?</w:t>
            </w:r>
          </w:p>
        </w:tc>
        <w:tc>
          <w:tcPr>
            <w:tcW w:w="3888" w:type="dxa"/>
            <w:gridSpan w:val="2"/>
          </w:tcPr>
          <w:p w14:paraId="11B598A8" w14:textId="77777777" w:rsidR="001B4ED5" w:rsidRPr="00895D0B" w:rsidRDefault="006B41C0">
            <w:pPr>
              <w:pStyle w:val="ListParagraph"/>
              <w:numPr>
                <w:ilvl w:val="0"/>
                <w:numId w:val="114"/>
              </w:numPr>
              <w:spacing w:line="240" w:lineRule="auto"/>
              <w:jc w:val="left"/>
              <w:rPr>
                <w:rFonts w:cs="Times New Roman"/>
                <w:color w:val="000000" w:themeColor="text1"/>
                <w:szCs w:val="24"/>
              </w:rPr>
            </w:pPr>
            <w:r w:rsidRPr="00895D0B">
              <w:rPr>
                <w:rFonts w:cs="Times New Roman"/>
                <w:color w:val="000000" w:themeColor="text1"/>
                <w:szCs w:val="24"/>
              </w:rPr>
              <w:t>In rooms with light and air [   ]</w:t>
            </w:r>
          </w:p>
          <w:p w14:paraId="7EAE3174" w14:textId="77777777" w:rsidR="001B4ED5" w:rsidRPr="00895D0B" w:rsidRDefault="006B41C0">
            <w:pPr>
              <w:pStyle w:val="ListParagraph"/>
              <w:numPr>
                <w:ilvl w:val="0"/>
                <w:numId w:val="115"/>
              </w:numPr>
              <w:spacing w:line="240" w:lineRule="auto"/>
              <w:jc w:val="left"/>
              <w:rPr>
                <w:rFonts w:cs="Times New Roman"/>
                <w:color w:val="000000" w:themeColor="text1"/>
                <w:szCs w:val="24"/>
              </w:rPr>
            </w:pPr>
            <w:r w:rsidRPr="00895D0B">
              <w:rPr>
                <w:rFonts w:cs="Times New Roman"/>
                <w:color w:val="000000" w:themeColor="text1"/>
                <w:szCs w:val="24"/>
              </w:rPr>
              <w:t>In rooms without light but aerated [   ]</w:t>
            </w:r>
          </w:p>
          <w:p w14:paraId="7BAC39D4" w14:textId="77777777" w:rsidR="001B4ED5" w:rsidRPr="00895D0B" w:rsidRDefault="006B41C0">
            <w:pPr>
              <w:pStyle w:val="ListParagraph"/>
              <w:numPr>
                <w:ilvl w:val="0"/>
                <w:numId w:val="115"/>
              </w:numPr>
              <w:spacing w:line="240" w:lineRule="auto"/>
              <w:jc w:val="left"/>
              <w:rPr>
                <w:rFonts w:cs="Times New Roman"/>
                <w:color w:val="000000" w:themeColor="text1"/>
                <w:szCs w:val="24"/>
              </w:rPr>
            </w:pPr>
            <w:r w:rsidRPr="00895D0B">
              <w:rPr>
                <w:rFonts w:cs="Times New Roman"/>
                <w:color w:val="000000" w:themeColor="text1"/>
                <w:szCs w:val="24"/>
              </w:rPr>
              <w:t>In wooden structure with light and aerated [   ]</w:t>
            </w:r>
          </w:p>
          <w:p w14:paraId="1933829D" w14:textId="77777777" w:rsidR="001B4ED5" w:rsidRPr="00895D0B" w:rsidRDefault="006B41C0">
            <w:pPr>
              <w:pStyle w:val="ListParagraph"/>
              <w:numPr>
                <w:ilvl w:val="0"/>
                <w:numId w:val="115"/>
              </w:numPr>
              <w:spacing w:line="240" w:lineRule="auto"/>
              <w:jc w:val="left"/>
              <w:rPr>
                <w:rFonts w:cs="Times New Roman"/>
                <w:color w:val="000000" w:themeColor="text1"/>
                <w:szCs w:val="24"/>
              </w:rPr>
            </w:pPr>
            <w:r w:rsidRPr="00895D0B">
              <w:rPr>
                <w:rFonts w:cs="Times New Roman"/>
                <w:color w:val="000000" w:themeColor="text1"/>
                <w:szCs w:val="24"/>
              </w:rPr>
              <w:t>In a wooden structure without light but aerated [   ]</w:t>
            </w:r>
          </w:p>
          <w:p w14:paraId="6826799B" w14:textId="77777777" w:rsidR="001B4ED5" w:rsidRPr="00895D0B" w:rsidRDefault="001B4ED5">
            <w:pPr>
              <w:spacing w:line="240" w:lineRule="auto"/>
              <w:rPr>
                <w:rFonts w:cs="Times New Roman"/>
                <w:color w:val="000000" w:themeColor="text1"/>
                <w:szCs w:val="24"/>
              </w:rPr>
            </w:pPr>
          </w:p>
        </w:tc>
        <w:tc>
          <w:tcPr>
            <w:tcW w:w="2693" w:type="dxa"/>
          </w:tcPr>
          <w:p w14:paraId="27140E78" w14:textId="77777777" w:rsidR="001B4ED5" w:rsidRPr="00895D0B" w:rsidRDefault="001B4ED5">
            <w:pPr>
              <w:spacing w:line="240" w:lineRule="auto"/>
              <w:rPr>
                <w:rFonts w:cs="Times New Roman"/>
                <w:color w:val="000000" w:themeColor="text1"/>
                <w:szCs w:val="24"/>
              </w:rPr>
            </w:pPr>
          </w:p>
        </w:tc>
      </w:tr>
      <w:tr w:rsidR="00895D0B" w:rsidRPr="00895D0B" w14:paraId="5DFF61AF" w14:textId="77777777">
        <w:trPr>
          <w:trHeight w:val="285"/>
        </w:trPr>
        <w:tc>
          <w:tcPr>
            <w:tcW w:w="2486" w:type="dxa"/>
            <w:gridSpan w:val="3"/>
          </w:tcPr>
          <w:p w14:paraId="763227F2"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E18:</w:t>
            </w:r>
            <w:r w:rsidRPr="00895D0B">
              <w:rPr>
                <w:rFonts w:cs="Times New Roman"/>
                <w:color w:val="000000" w:themeColor="text1"/>
                <w:szCs w:val="24"/>
              </w:rPr>
              <w:t xml:space="preserve"> Do you treat your animals? </w:t>
            </w:r>
          </w:p>
        </w:tc>
        <w:tc>
          <w:tcPr>
            <w:tcW w:w="3888" w:type="dxa"/>
            <w:gridSpan w:val="2"/>
          </w:tcPr>
          <w:p w14:paraId="7D3357BC" w14:textId="77777777" w:rsidR="001B4ED5" w:rsidRPr="00895D0B" w:rsidRDefault="006B41C0">
            <w:pPr>
              <w:pStyle w:val="ListParagraph"/>
              <w:numPr>
                <w:ilvl w:val="0"/>
                <w:numId w:val="116"/>
              </w:numPr>
              <w:spacing w:line="240" w:lineRule="auto"/>
              <w:jc w:val="left"/>
              <w:rPr>
                <w:rFonts w:cs="Times New Roman"/>
                <w:color w:val="000000" w:themeColor="text1"/>
                <w:szCs w:val="24"/>
              </w:rPr>
            </w:pPr>
            <w:r w:rsidRPr="00895D0B">
              <w:rPr>
                <w:rFonts w:cs="Times New Roman"/>
                <w:color w:val="000000" w:themeColor="text1"/>
                <w:szCs w:val="24"/>
              </w:rPr>
              <w:t>Yes [   ]</w:t>
            </w:r>
          </w:p>
          <w:p w14:paraId="35B9CBFF" w14:textId="77777777" w:rsidR="001B4ED5" w:rsidRPr="00895D0B" w:rsidRDefault="006B41C0">
            <w:pPr>
              <w:pStyle w:val="ListParagraph"/>
              <w:numPr>
                <w:ilvl w:val="0"/>
                <w:numId w:val="117"/>
              </w:numPr>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tcPr>
          <w:p w14:paraId="33D3C37D" w14:textId="77777777" w:rsidR="001B4ED5" w:rsidRPr="00895D0B" w:rsidRDefault="001B4ED5">
            <w:pPr>
              <w:spacing w:line="240" w:lineRule="auto"/>
              <w:rPr>
                <w:rFonts w:cs="Times New Roman"/>
                <w:color w:val="000000" w:themeColor="text1"/>
                <w:szCs w:val="24"/>
              </w:rPr>
            </w:pPr>
          </w:p>
        </w:tc>
      </w:tr>
      <w:tr w:rsidR="00895D0B" w:rsidRPr="00895D0B" w14:paraId="6DF5E0B3" w14:textId="77777777">
        <w:trPr>
          <w:trHeight w:val="285"/>
        </w:trPr>
        <w:tc>
          <w:tcPr>
            <w:tcW w:w="2486" w:type="dxa"/>
            <w:gridSpan w:val="3"/>
          </w:tcPr>
          <w:p w14:paraId="29535729" w14:textId="77777777" w:rsidR="001B4ED5" w:rsidRPr="00895D0B" w:rsidRDefault="006B41C0">
            <w:pPr>
              <w:spacing w:line="240" w:lineRule="auto"/>
              <w:ind w:right="51"/>
              <w:jc w:val="left"/>
              <w:rPr>
                <w:rFonts w:cs="Times New Roman"/>
                <w:b/>
                <w:color w:val="000000" w:themeColor="text1"/>
                <w:szCs w:val="24"/>
              </w:rPr>
            </w:pPr>
            <w:r w:rsidRPr="00895D0B">
              <w:rPr>
                <w:rFonts w:cs="Times New Roman"/>
                <w:b/>
                <w:color w:val="000000" w:themeColor="text1"/>
                <w:szCs w:val="24"/>
              </w:rPr>
              <w:t>E18a:</w:t>
            </w:r>
            <w:r w:rsidRPr="00895D0B">
              <w:rPr>
                <w:rFonts w:cs="Times New Roman"/>
                <w:color w:val="000000" w:themeColor="text1"/>
                <w:szCs w:val="24"/>
              </w:rPr>
              <w:t xml:space="preserve"> If yes to </w:t>
            </w:r>
            <w:r w:rsidRPr="00895D0B">
              <w:rPr>
                <w:rFonts w:cs="Times New Roman"/>
                <w:b/>
                <w:i/>
                <w:color w:val="000000" w:themeColor="text1"/>
                <w:szCs w:val="24"/>
              </w:rPr>
              <w:t>E19</w:t>
            </w:r>
            <w:r w:rsidRPr="00895D0B">
              <w:rPr>
                <w:rFonts w:cs="Times New Roman"/>
                <w:color w:val="000000" w:themeColor="text1"/>
                <w:szCs w:val="24"/>
              </w:rPr>
              <w:t xml:space="preserve"> above, how often? </w:t>
            </w:r>
          </w:p>
        </w:tc>
        <w:tc>
          <w:tcPr>
            <w:tcW w:w="3888" w:type="dxa"/>
            <w:gridSpan w:val="2"/>
          </w:tcPr>
          <w:p w14:paraId="7D437889" w14:textId="77777777" w:rsidR="001B4ED5" w:rsidRPr="00895D0B" w:rsidRDefault="006B41C0">
            <w:pPr>
              <w:pStyle w:val="ListParagraph"/>
              <w:numPr>
                <w:ilvl w:val="0"/>
                <w:numId w:val="118"/>
              </w:numPr>
              <w:spacing w:line="240" w:lineRule="auto"/>
              <w:jc w:val="left"/>
              <w:rPr>
                <w:rFonts w:cs="Times New Roman"/>
                <w:color w:val="000000" w:themeColor="text1"/>
                <w:szCs w:val="24"/>
              </w:rPr>
            </w:pPr>
            <w:r w:rsidRPr="00895D0B">
              <w:rPr>
                <w:rFonts w:cs="Times New Roman"/>
                <w:color w:val="000000" w:themeColor="text1"/>
                <w:szCs w:val="24"/>
              </w:rPr>
              <w:t>Very often [   ]</w:t>
            </w:r>
          </w:p>
          <w:p w14:paraId="20742C43" w14:textId="77777777" w:rsidR="001B4ED5" w:rsidRPr="00895D0B" w:rsidRDefault="006B41C0">
            <w:pPr>
              <w:pStyle w:val="ListParagraph"/>
              <w:numPr>
                <w:ilvl w:val="0"/>
                <w:numId w:val="118"/>
              </w:numPr>
              <w:spacing w:line="240" w:lineRule="auto"/>
              <w:jc w:val="left"/>
              <w:rPr>
                <w:rFonts w:cs="Times New Roman"/>
                <w:color w:val="000000" w:themeColor="text1"/>
                <w:szCs w:val="24"/>
              </w:rPr>
            </w:pPr>
            <w:r w:rsidRPr="00895D0B">
              <w:rPr>
                <w:rFonts w:cs="Times New Roman"/>
                <w:color w:val="000000" w:themeColor="text1"/>
                <w:szCs w:val="24"/>
              </w:rPr>
              <w:t>Often [   ]</w:t>
            </w:r>
          </w:p>
          <w:p w14:paraId="23D2CFFF" w14:textId="77777777" w:rsidR="001B4ED5" w:rsidRPr="00895D0B" w:rsidRDefault="006B41C0">
            <w:pPr>
              <w:pStyle w:val="ListParagraph"/>
              <w:numPr>
                <w:ilvl w:val="0"/>
                <w:numId w:val="118"/>
              </w:numPr>
              <w:spacing w:line="240" w:lineRule="auto"/>
              <w:jc w:val="left"/>
              <w:rPr>
                <w:rFonts w:cs="Times New Roman"/>
                <w:color w:val="000000" w:themeColor="text1"/>
                <w:szCs w:val="24"/>
              </w:rPr>
            </w:pPr>
            <w:r w:rsidRPr="00895D0B">
              <w:rPr>
                <w:rFonts w:cs="Times New Roman"/>
                <w:color w:val="000000" w:themeColor="text1"/>
                <w:szCs w:val="24"/>
              </w:rPr>
              <w:t>Sometimes [   ]</w:t>
            </w:r>
          </w:p>
          <w:p w14:paraId="69823251" w14:textId="77777777" w:rsidR="001B4ED5" w:rsidRPr="00895D0B" w:rsidRDefault="006B41C0">
            <w:pPr>
              <w:pStyle w:val="ListParagraph"/>
              <w:numPr>
                <w:ilvl w:val="0"/>
                <w:numId w:val="118"/>
              </w:numPr>
              <w:spacing w:line="240" w:lineRule="auto"/>
              <w:jc w:val="left"/>
              <w:rPr>
                <w:rFonts w:cs="Times New Roman"/>
                <w:color w:val="000000" w:themeColor="text1"/>
                <w:szCs w:val="24"/>
              </w:rPr>
            </w:pPr>
            <w:r w:rsidRPr="00895D0B">
              <w:rPr>
                <w:rFonts w:cs="Times New Roman"/>
                <w:color w:val="000000" w:themeColor="text1"/>
                <w:szCs w:val="24"/>
              </w:rPr>
              <w:t>Not all [   ]</w:t>
            </w:r>
          </w:p>
        </w:tc>
        <w:tc>
          <w:tcPr>
            <w:tcW w:w="2693" w:type="dxa"/>
          </w:tcPr>
          <w:p w14:paraId="42D12E9C" w14:textId="77777777" w:rsidR="001B4ED5" w:rsidRPr="00895D0B" w:rsidRDefault="001B4ED5">
            <w:pPr>
              <w:spacing w:line="240" w:lineRule="auto"/>
              <w:rPr>
                <w:rFonts w:cs="Times New Roman"/>
                <w:color w:val="000000" w:themeColor="text1"/>
                <w:szCs w:val="24"/>
              </w:rPr>
            </w:pPr>
          </w:p>
        </w:tc>
      </w:tr>
      <w:tr w:rsidR="00895D0B" w:rsidRPr="00895D0B" w14:paraId="6B501148" w14:textId="77777777">
        <w:trPr>
          <w:trHeight w:val="199"/>
        </w:trPr>
        <w:tc>
          <w:tcPr>
            <w:tcW w:w="2486" w:type="dxa"/>
            <w:gridSpan w:val="3"/>
          </w:tcPr>
          <w:p w14:paraId="0CBA1E8E"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lastRenderedPageBreak/>
              <w:t>E18b:</w:t>
            </w:r>
            <w:r w:rsidRPr="00895D0B">
              <w:rPr>
                <w:rFonts w:cs="Times New Roman"/>
                <w:color w:val="000000" w:themeColor="text1"/>
                <w:szCs w:val="24"/>
              </w:rPr>
              <w:t xml:space="preserve"> If yes to </w:t>
            </w:r>
            <w:r w:rsidRPr="00895D0B">
              <w:rPr>
                <w:rFonts w:cs="Times New Roman"/>
                <w:b/>
                <w:i/>
                <w:color w:val="000000" w:themeColor="text1"/>
                <w:szCs w:val="24"/>
              </w:rPr>
              <w:t>E19,</w:t>
            </w:r>
            <w:r w:rsidRPr="00895D0B">
              <w:rPr>
                <w:rFonts w:cs="Times New Roman"/>
                <w:color w:val="000000" w:themeColor="text1"/>
                <w:szCs w:val="24"/>
              </w:rPr>
              <w:t xml:space="preserve"> how often? </w:t>
            </w:r>
          </w:p>
        </w:tc>
        <w:tc>
          <w:tcPr>
            <w:tcW w:w="3888" w:type="dxa"/>
            <w:gridSpan w:val="2"/>
          </w:tcPr>
          <w:p w14:paraId="5B32D3DF" w14:textId="77777777" w:rsidR="001B4ED5" w:rsidRPr="00895D0B" w:rsidRDefault="006B41C0">
            <w:pPr>
              <w:pStyle w:val="ListParagraph"/>
              <w:numPr>
                <w:ilvl w:val="0"/>
                <w:numId w:val="119"/>
              </w:numPr>
              <w:spacing w:line="240" w:lineRule="auto"/>
              <w:jc w:val="left"/>
              <w:rPr>
                <w:rFonts w:cs="Times New Roman"/>
                <w:color w:val="000000" w:themeColor="text1"/>
                <w:szCs w:val="24"/>
              </w:rPr>
            </w:pPr>
            <w:r w:rsidRPr="00895D0B">
              <w:rPr>
                <w:rFonts w:cs="Times New Roman"/>
                <w:color w:val="000000" w:themeColor="text1"/>
                <w:szCs w:val="24"/>
              </w:rPr>
              <w:t>Very often [   ]</w:t>
            </w:r>
          </w:p>
          <w:p w14:paraId="47F70B3F" w14:textId="77777777" w:rsidR="001B4ED5" w:rsidRPr="00895D0B" w:rsidRDefault="006B41C0">
            <w:pPr>
              <w:pStyle w:val="ListParagraph"/>
              <w:numPr>
                <w:ilvl w:val="0"/>
                <w:numId w:val="119"/>
              </w:numPr>
              <w:spacing w:line="240" w:lineRule="auto"/>
              <w:jc w:val="left"/>
              <w:rPr>
                <w:rFonts w:cs="Times New Roman"/>
                <w:color w:val="000000" w:themeColor="text1"/>
                <w:szCs w:val="24"/>
              </w:rPr>
            </w:pPr>
            <w:r w:rsidRPr="00895D0B">
              <w:rPr>
                <w:rFonts w:cs="Times New Roman"/>
                <w:color w:val="000000" w:themeColor="text1"/>
                <w:szCs w:val="24"/>
              </w:rPr>
              <w:t>Often [   ]</w:t>
            </w:r>
          </w:p>
          <w:p w14:paraId="6B7745AD" w14:textId="77777777" w:rsidR="001B4ED5" w:rsidRPr="00895D0B" w:rsidRDefault="006B41C0">
            <w:pPr>
              <w:pStyle w:val="ListParagraph"/>
              <w:numPr>
                <w:ilvl w:val="0"/>
                <w:numId w:val="119"/>
              </w:numPr>
              <w:spacing w:line="240" w:lineRule="auto"/>
              <w:jc w:val="left"/>
              <w:rPr>
                <w:rFonts w:cs="Times New Roman"/>
                <w:color w:val="000000" w:themeColor="text1"/>
                <w:szCs w:val="24"/>
              </w:rPr>
            </w:pPr>
            <w:r w:rsidRPr="00895D0B">
              <w:rPr>
                <w:rFonts w:cs="Times New Roman"/>
                <w:color w:val="000000" w:themeColor="text1"/>
                <w:szCs w:val="24"/>
              </w:rPr>
              <w:t>Sometimes [   ]</w:t>
            </w:r>
          </w:p>
          <w:p w14:paraId="59B8FD39" w14:textId="77777777" w:rsidR="001B4ED5" w:rsidRPr="00895D0B" w:rsidRDefault="006B41C0">
            <w:pPr>
              <w:pStyle w:val="ListParagraph"/>
              <w:numPr>
                <w:ilvl w:val="0"/>
                <w:numId w:val="119"/>
              </w:numPr>
              <w:spacing w:line="240" w:lineRule="auto"/>
              <w:jc w:val="left"/>
              <w:rPr>
                <w:rFonts w:cs="Times New Roman"/>
                <w:color w:val="000000" w:themeColor="text1"/>
                <w:szCs w:val="24"/>
              </w:rPr>
            </w:pPr>
            <w:r w:rsidRPr="00895D0B">
              <w:rPr>
                <w:rFonts w:cs="Times New Roman"/>
                <w:color w:val="000000" w:themeColor="text1"/>
                <w:szCs w:val="24"/>
              </w:rPr>
              <w:t>Not all [   ]</w:t>
            </w:r>
          </w:p>
        </w:tc>
        <w:tc>
          <w:tcPr>
            <w:tcW w:w="2693" w:type="dxa"/>
          </w:tcPr>
          <w:p w14:paraId="28D76BD2" w14:textId="77777777" w:rsidR="001B4ED5" w:rsidRPr="00895D0B" w:rsidRDefault="001B4ED5">
            <w:pPr>
              <w:spacing w:line="240" w:lineRule="auto"/>
              <w:rPr>
                <w:rFonts w:cs="Times New Roman"/>
                <w:color w:val="000000" w:themeColor="text1"/>
                <w:szCs w:val="24"/>
              </w:rPr>
            </w:pPr>
          </w:p>
        </w:tc>
      </w:tr>
      <w:tr w:rsidR="00895D0B" w:rsidRPr="00895D0B" w14:paraId="722E6A11" w14:textId="77777777">
        <w:trPr>
          <w:trHeight w:val="199"/>
        </w:trPr>
        <w:tc>
          <w:tcPr>
            <w:tcW w:w="2486" w:type="dxa"/>
            <w:gridSpan w:val="3"/>
          </w:tcPr>
          <w:p w14:paraId="79B3E79F"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E18c:</w:t>
            </w:r>
            <w:r w:rsidRPr="00895D0B">
              <w:rPr>
                <w:rFonts w:cs="Times New Roman"/>
                <w:color w:val="000000" w:themeColor="text1"/>
                <w:szCs w:val="24"/>
              </w:rPr>
              <w:t xml:space="preserve"> If yes to </w:t>
            </w:r>
            <w:r w:rsidRPr="00895D0B">
              <w:rPr>
                <w:rFonts w:cs="Times New Roman"/>
                <w:b/>
                <w:i/>
                <w:color w:val="000000" w:themeColor="text1"/>
                <w:szCs w:val="24"/>
              </w:rPr>
              <w:t>E19,</w:t>
            </w:r>
            <w:r w:rsidRPr="00895D0B">
              <w:rPr>
                <w:rFonts w:cs="Times New Roman"/>
                <w:color w:val="000000" w:themeColor="text1"/>
                <w:szCs w:val="24"/>
              </w:rPr>
              <w:t xml:space="preserve"> </w:t>
            </w:r>
            <w:r w:rsidRPr="00895D0B">
              <w:rPr>
                <w:rFonts w:cs="Times New Roman"/>
                <w:b/>
                <w:i/>
                <w:color w:val="000000" w:themeColor="text1"/>
                <w:szCs w:val="24"/>
              </w:rPr>
              <w:t xml:space="preserve"> </w:t>
            </w:r>
            <w:r w:rsidRPr="00895D0B">
              <w:rPr>
                <w:rFonts w:cs="Times New Roman"/>
                <w:color w:val="000000" w:themeColor="text1"/>
                <w:szCs w:val="24"/>
              </w:rPr>
              <w:t>which source do you get the treatment from?</w:t>
            </w:r>
          </w:p>
        </w:tc>
        <w:tc>
          <w:tcPr>
            <w:tcW w:w="3888" w:type="dxa"/>
            <w:gridSpan w:val="2"/>
          </w:tcPr>
          <w:p w14:paraId="05C9B155" w14:textId="77777777" w:rsidR="001B4ED5" w:rsidRPr="00895D0B" w:rsidRDefault="006B41C0">
            <w:pPr>
              <w:pStyle w:val="ListParagraph"/>
              <w:numPr>
                <w:ilvl w:val="0"/>
                <w:numId w:val="120"/>
              </w:numPr>
              <w:spacing w:line="240" w:lineRule="auto"/>
              <w:jc w:val="left"/>
              <w:rPr>
                <w:rFonts w:cs="Times New Roman"/>
                <w:color w:val="000000" w:themeColor="text1"/>
                <w:szCs w:val="24"/>
              </w:rPr>
            </w:pPr>
            <w:r w:rsidRPr="00895D0B">
              <w:rPr>
                <w:rFonts w:cs="Times New Roman"/>
                <w:color w:val="000000" w:themeColor="text1"/>
                <w:szCs w:val="24"/>
              </w:rPr>
              <w:t>Veterinary Department of MoFA [   ]</w:t>
            </w:r>
          </w:p>
          <w:p w14:paraId="25A4B304" w14:textId="77777777" w:rsidR="001B4ED5" w:rsidRPr="00895D0B" w:rsidRDefault="006B41C0">
            <w:pPr>
              <w:pStyle w:val="ListParagraph"/>
              <w:numPr>
                <w:ilvl w:val="0"/>
                <w:numId w:val="121"/>
              </w:numPr>
              <w:spacing w:line="240" w:lineRule="auto"/>
              <w:ind w:right="51"/>
              <w:rPr>
                <w:rFonts w:cs="Times New Roman"/>
                <w:color w:val="000000" w:themeColor="text1"/>
                <w:szCs w:val="24"/>
              </w:rPr>
            </w:pPr>
            <w:r w:rsidRPr="00895D0B">
              <w:rPr>
                <w:rFonts w:cs="Times New Roman"/>
                <w:color w:val="000000" w:themeColor="text1"/>
                <w:szCs w:val="24"/>
              </w:rPr>
              <w:t>Self-medication [   ]</w:t>
            </w:r>
          </w:p>
          <w:p w14:paraId="3A746F94" w14:textId="77777777" w:rsidR="001B4ED5" w:rsidRPr="00895D0B" w:rsidRDefault="006B41C0">
            <w:pPr>
              <w:pStyle w:val="ListParagraph"/>
              <w:numPr>
                <w:ilvl w:val="0"/>
                <w:numId w:val="121"/>
              </w:numPr>
              <w:spacing w:line="240" w:lineRule="auto"/>
              <w:ind w:right="51"/>
              <w:rPr>
                <w:rFonts w:cs="Times New Roman"/>
                <w:color w:val="000000" w:themeColor="text1"/>
                <w:szCs w:val="24"/>
              </w:rPr>
            </w:pPr>
            <w:r w:rsidRPr="00895D0B">
              <w:rPr>
                <w:rFonts w:cs="Times New Roman"/>
                <w:color w:val="000000" w:themeColor="text1"/>
                <w:szCs w:val="24"/>
              </w:rPr>
              <w:t>Private Veterinary practitioner [   ]</w:t>
            </w:r>
          </w:p>
          <w:p w14:paraId="1FE9536A" w14:textId="77777777" w:rsidR="001B4ED5" w:rsidRPr="00895D0B" w:rsidRDefault="006B41C0">
            <w:pPr>
              <w:pStyle w:val="ListParagraph"/>
              <w:numPr>
                <w:ilvl w:val="0"/>
                <w:numId w:val="121"/>
              </w:numPr>
              <w:spacing w:line="240" w:lineRule="auto"/>
              <w:ind w:right="51"/>
              <w:rPr>
                <w:rFonts w:cs="Times New Roman"/>
                <w:color w:val="000000" w:themeColor="text1"/>
                <w:szCs w:val="24"/>
              </w:rPr>
            </w:pPr>
            <w:r w:rsidRPr="00895D0B">
              <w:rPr>
                <w:rFonts w:cs="Times New Roman"/>
                <w:color w:val="000000" w:themeColor="text1"/>
                <w:szCs w:val="24"/>
              </w:rPr>
              <w:t>Other, specify, ………………</w:t>
            </w:r>
          </w:p>
        </w:tc>
        <w:tc>
          <w:tcPr>
            <w:tcW w:w="2693" w:type="dxa"/>
          </w:tcPr>
          <w:p w14:paraId="5531CA65" w14:textId="77777777" w:rsidR="001B4ED5" w:rsidRPr="00895D0B" w:rsidRDefault="001B4ED5">
            <w:pPr>
              <w:spacing w:line="240" w:lineRule="auto"/>
              <w:rPr>
                <w:rFonts w:cs="Times New Roman"/>
                <w:color w:val="000000" w:themeColor="text1"/>
                <w:szCs w:val="24"/>
              </w:rPr>
            </w:pPr>
          </w:p>
        </w:tc>
      </w:tr>
      <w:tr w:rsidR="00895D0B" w:rsidRPr="00895D0B" w14:paraId="228777BB" w14:textId="77777777">
        <w:trPr>
          <w:trHeight w:val="285"/>
        </w:trPr>
        <w:tc>
          <w:tcPr>
            <w:tcW w:w="2486" w:type="dxa"/>
            <w:gridSpan w:val="3"/>
          </w:tcPr>
          <w:p w14:paraId="79A80529"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E18d:</w:t>
            </w:r>
            <w:r w:rsidRPr="00895D0B">
              <w:rPr>
                <w:rFonts w:cs="Times New Roman"/>
                <w:color w:val="000000" w:themeColor="text1"/>
                <w:szCs w:val="24"/>
              </w:rPr>
              <w:t xml:space="preserve"> IF yes to </w:t>
            </w:r>
            <w:r w:rsidRPr="00895D0B">
              <w:rPr>
                <w:rFonts w:cs="Times New Roman"/>
                <w:b/>
                <w:i/>
                <w:color w:val="000000" w:themeColor="text1"/>
                <w:szCs w:val="24"/>
              </w:rPr>
              <w:t>E19</w:t>
            </w:r>
            <w:r w:rsidRPr="00895D0B">
              <w:rPr>
                <w:rFonts w:cs="Times New Roman"/>
                <w:color w:val="000000" w:themeColor="text1"/>
                <w:szCs w:val="24"/>
              </w:rPr>
              <w:t>, in which of the following ways?</w:t>
            </w:r>
          </w:p>
        </w:tc>
        <w:tc>
          <w:tcPr>
            <w:tcW w:w="3888" w:type="dxa"/>
            <w:gridSpan w:val="2"/>
          </w:tcPr>
          <w:p w14:paraId="3DDAE0D1" w14:textId="77777777" w:rsidR="001B4ED5" w:rsidRPr="00895D0B" w:rsidRDefault="006B41C0">
            <w:pPr>
              <w:pStyle w:val="ListParagraph"/>
              <w:numPr>
                <w:ilvl w:val="0"/>
                <w:numId w:val="122"/>
              </w:numPr>
              <w:spacing w:line="240" w:lineRule="auto"/>
              <w:ind w:right="51"/>
              <w:rPr>
                <w:rFonts w:cs="Times New Roman"/>
                <w:color w:val="000000" w:themeColor="text1"/>
                <w:szCs w:val="24"/>
              </w:rPr>
            </w:pPr>
            <w:r w:rsidRPr="00895D0B">
              <w:rPr>
                <w:rFonts w:cs="Times New Roman"/>
                <w:color w:val="000000" w:themeColor="text1"/>
                <w:szCs w:val="24"/>
              </w:rPr>
              <w:t>Vaccination</w:t>
            </w:r>
          </w:p>
          <w:p w14:paraId="10EF938F" w14:textId="77777777" w:rsidR="001B4ED5" w:rsidRPr="00895D0B" w:rsidRDefault="006B41C0">
            <w:pPr>
              <w:pStyle w:val="ListParagraph"/>
              <w:numPr>
                <w:ilvl w:val="0"/>
                <w:numId w:val="122"/>
              </w:numPr>
              <w:spacing w:line="240" w:lineRule="auto"/>
              <w:ind w:right="51"/>
              <w:rPr>
                <w:rFonts w:cs="Times New Roman"/>
                <w:color w:val="000000" w:themeColor="text1"/>
                <w:szCs w:val="24"/>
              </w:rPr>
            </w:pPr>
            <w:r w:rsidRPr="00895D0B">
              <w:rPr>
                <w:rFonts w:cs="Times New Roman"/>
                <w:color w:val="000000" w:themeColor="text1"/>
                <w:szCs w:val="24"/>
              </w:rPr>
              <w:t>Giving the animals pills</w:t>
            </w:r>
          </w:p>
          <w:p w14:paraId="51FCA26D" w14:textId="77777777" w:rsidR="001B4ED5" w:rsidRPr="00895D0B" w:rsidRDefault="006B41C0">
            <w:pPr>
              <w:pStyle w:val="ListParagraph"/>
              <w:numPr>
                <w:ilvl w:val="0"/>
                <w:numId w:val="122"/>
              </w:numPr>
              <w:spacing w:line="240" w:lineRule="auto"/>
              <w:ind w:right="51"/>
              <w:rPr>
                <w:rFonts w:cs="Times New Roman"/>
                <w:color w:val="000000" w:themeColor="text1"/>
                <w:szCs w:val="24"/>
              </w:rPr>
            </w:pPr>
            <w:r w:rsidRPr="00895D0B">
              <w:rPr>
                <w:rFonts w:cs="Times New Roman"/>
                <w:color w:val="000000" w:themeColor="text1"/>
                <w:szCs w:val="24"/>
              </w:rPr>
              <w:t xml:space="preserve">Disinfecting pens </w:t>
            </w:r>
          </w:p>
          <w:p w14:paraId="63F00264" w14:textId="77777777" w:rsidR="001B4ED5" w:rsidRPr="00895D0B" w:rsidRDefault="006B41C0">
            <w:pPr>
              <w:pStyle w:val="ListParagraph"/>
              <w:numPr>
                <w:ilvl w:val="0"/>
                <w:numId w:val="122"/>
              </w:numPr>
              <w:spacing w:line="240" w:lineRule="auto"/>
              <w:ind w:right="51"/>
              <w:rPr>
                <w:rFonts w:cs="Times New Roman"/>
                <w:color w:val="000000" w:themeColor="text1"/>
                <w:szCs w:val="24"/>
              </w:rPr>
            </w:pPr>
            <w:r w:rsidRPr="00895D0B">
              <w:rPr>
                <w:rFonts w:cs="Times New Roman"/>
                <w:color w:val="000000" w:themeColor="text1"/>
                <w:szCs w:val="24"/>
              </w:rPr>
              <w:t xml:space="preserve">Spraying animals with some insecticides </w:t>
            </w:r>
          </w:p>
          <w:p w14:paraId="0998AB85" w14:textId="77777777" w:rsidR="001B4ED5" w:rsidRPr="00895D0B" w:rsidRDefault="006B41C0">
            <w:pPr>
              <w:pStyle w:val="ListParagraph"/>
              <w:numPr>
                <w:ilvl w:val="0"/>
                <w:numId w:val="122"/>
              </w:numPr>
              <w:spacing w:line="240" w:lineRule="auto"/>
              <w:ind w:right="51"/>
              <w:rPr>
                <w:rFonts w:cs="Times New Roman"/>
                <w:color w:val="000000" w:themeColor="text1"/>
                <w:szCs w:val="24"/>
              </w:rPr>
            </w:pPr>
            <w:r w:rsidRPr="00895D0B">
              <w:rPr>
                <w:rFonts w:cs="Times New Roman"/>
                <w:color w:val="000000" w:themeColor="text1"/>
                <w:szCs w:val="24"/>
              </w:rPr>
              <w:t>Other, specify, ………………………………………</w:t>
            </w:r>
          </w:p>
        </w:tc>
        <w:tc>
          <w:tcPr>
            <w:tcW w:w="2693" w:type="dxa"/>
          </w:tcPr>
          <w:p w14:paraId="40F8C417" w14:textId="77777777" w:rsidR="001B4ED5" w:rsidRPr="00895D0B" w:rsidRDefault="001B4ED5">
            <w:pPr>
              <w:spacing w:line="240" w:lineRule="auto"/>
              <w:rPr>
                <w:rFonts w:cs="Times New Roman"/>
                <w:color w:val="000000" w:themeColor="text1"/>
                <w:szCs w:val="24"/>
              </w:rPr>
            </w:pPr>
          </w:p>
        </w:tc>
      </w:tr>
      <w:tr w:rsidR="00895D0B" w:rsidRPr="00895D0B" w14:paraId="37C904E6" w14:textId="77777777">
        <w:trPr>
          <w:trHeight w:val="70"/>
        </w:trPr>
        <w:tc>
          <w:tcPr>
            <w:tcW w:w="2486" w:type="dxa"/>
            <w:gridSpan w:val="3"/>
          </w:tcPr>
          <w:p w14:paraId="4208FE73"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E18e:</w:t>
            </w:r>
            <w:r w:rsidRPr="00895D0B">
              <w:rPr>
                <w:rFonts w:cs="Times New Roman"/>
                <w:color w:val="000000" w:themeColor="text1"/>
                <w:szCs w:val="24"/>
              </w:rPr>
              <w:t xml:space="preserve"> if yes to </w:t>
            </w:r>
            <w:r w:rsidRPr="00895D0B">
              <w:rPr>
                <w:rFonts w:cs="Times New Roman"/>
                <w:b/>
                <w:i/>
                <w:color w:val="000000" w:themeColor="text1"/>
                <w:szCs w:val="24"/>
              </w:rPr>
              <w:t>E19,</w:t>
            </w:r>
            <w:r w:rsidRPr="00895D0B">
              <w:rPr>
                <w:rFonts w:cs="Times New Roman"/>
                <w:color w:val="000000" w:themeColor="text1"/>
                <w:szCs w:val="24"/>
              </w:rPr>
              <w:t xml:space="preserve"> how?</w:t>
            </w:r>
          </w:p>
        </w:tc>
        <w:tc>
          <w:tcPr>
            <w:tcW w:w="3888" w:type="dxa"/>
            <w:gridSpan w:val="2"/>
          </w:tcPr>
          <w:p w14:paraId="6E16607C" w14:textId="77777777" w:rsidR="001B4ED5" w:rsidRPr="00895D0B" w:rsidRDefault="006B41C0">
            <w:pPr>
              <w:spacing w:line="240" w:lineRule="auto"/>
              <w:ind w:right="51"/>
              <w:rPr>
                <w:rFonts w:cs="Times New Roman"/>
                <w:color w:val="000000" w:themeColor="text1"/>
                <w:szCs w:val="24"/>
              </w:rPr>
            </w:pPr>
            <w:r w:rsidRPr="00895D0B">
              <w:rPr>
                <w:rFonts w:cs="Times New Roman"/>
                <w:color w:val="000000" w:themeColor="text1"/>
                <w:szCs w:val="24"/>
              </w:rPr>
              <w:softHyphen/>
            </w:r>
            <w:r w:rsidRPr="00895D0B">
              <w:rPr>
                <w:rFonts w:cs="Times New Roman"/>
                <w:color w:val="000000" w:themeColor="text1"/>
                <w:szCs w:val="24"/>
              </w:rPr>
              <w:softHyphen/>
            </w:r>
            <w:r w:rsidRPr="00895D0B">
              <w:rPr>
                <w:rFonts w:cs="Times New Roman"/>
                <w:color w:val="000000" w:themeColor="text1"/>
                <w:szCs w:val="24"/>
              </w:rPr>
              <w:softHyphen/>
            </w:r>
            <w:r w:rsidRPr="00895D0B">
              <w:rPr>
                <w:rFonts w:cs="Times New Roman"/>
                <w:color w:val="000000" w:themeColor="text1"/>
                <w:szCs w:val="24"/>
              </w:rPr>
              <w:softHyphen/>
            </w:r>
            <w:r w:rsidRPr="00895D0B">
              <w:rPr>
                <w:rFonts w:cs="Times New Roman"/>
                <w:color w:val="000000" w:themeColor="text1"/>
                <w:szCs w:val="24"/>
              </w:rPr>
              <w:softHyphen/>
            </w:r>
            <w:r w:rsidRPr="00895D0B">
              <w:rPr>
                <w:rFonts w:cs="Times New Roman"/>
                <w:color w:val="000000" w:themeColor="text1"/>
                <w:szCs w:val="24"/>
              </w:rPr>
              <w:softHyphen/>
            </w:r>
            <w:r w:rsidRPr="00895D0B">
              <w:rPr>
                <w:rFonts w:cs="Times New Roman"/>
                <w:color w:val="000000" w:themeColor="text1"/>
                <w:szCs w:val="24"/>
              </w:rPr>
              <w:softHyphen/>
            </w:r>
            <w:r w:rsidRPr="00895D0B">
              <w:rPr>
                <w:rFonts w:cs="Times New Roman"/>
                <w:color w:val="000000" w:themeColor="text1"/>
                <w:szCs w:val="24"/>
              </w:rPr>
              <w:softHyphen/>
            </w:r>
            <w:r w:rsidRPr="00895D0B">
              <w:rPr>
                <w:rFonts w:cs="Times New Roman"/>
                <w:color w:val="000000" w:themeColor="text1"/>
                <w:szCs w:val="24"/>
              </w:rPr>
              <w:softHyphen/>
            </w:r>
            <w:r w:rsidRPr="00895D0B">
              <w:rPr>
                <w:rFonts w:cs="Times New Roman"/>
                <w:color w:val="000000" w:themeColor="text1"/>
                <w:szCs w:val="24"/>
              </w:rPr>
              <w:softHyphen/>
            </w:r>
            <w:r w:rsidRPr="00895D0B">
              <w:rPr>
                <w:rFonts w:cs="Times New Roman"/>
                <w:color w:val="000000" w:themeColor="text1"/>
                <w:szCs w:val="24"/>
              </w:rPr>
              <w:softHyphen/>
            </w:r>
            <w:r w:rsidRPr="00895D0B">
              <w:rPr>
                <w:rFonts w:cs="Times New Roman"/>
                <w:color w:val="000000" w:themeColor="text1"/>
                <w:szCs w:val="24"/>
              </w:rPr>
              <w:softHyphen/>
            </w:r>
            <w:r w:rsidRPr="00895D0B">
              <w:rPr>
                <w:rFonts w:cs="Times New Roman"/>
                <w:color w:val="000000" w:themeColor="text1"/>
                <w:szCs w:val="24"/>
              </w:rPr>
              <w:softHyphen/>
              <w:t>………………………………………………….</w:t>
            </w:r>
          </w:p>
        </w:tc>
        <w:tc>
          <w:tcPr>
            <w:tcW w:w="2693" w:type="dxa"/>
          </w:tcPr>
          <w:p w14:paraId="6B8065A9" w14:textId="77777777" w:rsidR="001B4ED5" w:rsidRPr="00895D0B" w:rsidRDefault="001B4ED5">
            <w:pPr>
              <w:spacing w:line="240" w:lineRule="auto"/>
              <w:rPr>
                <w:rFonts w:cs="Times New Roman"/>
                <w:color w:val="000000" w:themeColor="text1"/>
                <w:szCs w:val="24"/>
              </w:rPr>
            </w:pPr>
          </w:p>
        </w:tc>
      </w:tr>
      <w:tr w:rsidR="00895D0B" w:rsidRPr="00895D0B" w14:paraId="430D75A5" w14:textId="77777777">
        <w:trPr>
          <w:trHeight w:val="70"/>
        </w:trPr>
        <w:tc>
          <w:tcPr>
            <w:tcW w:w="2486" w:type="dxa"/>
            <w:gridSpan w:val="3"/>
          </w:tcPr>
          <w:p w14:paraId="35CDB2D0"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E18e:</w:t>
            </w:r>
            <w:r w:rsidRPr="00895D0B">
              <w:rPr>
                <w:rFonts w:cs="Times New Roman"/>
                <w:color w:val="000000" w:themeColor="text1"/>
                <w:szCs w:val="24"/>
              </w:rPr>
              <w:t xml:space="preserve"> If no to </w:t>
            </w:r>
            <w:r w:rsidRPr="00895D0B">
              <w:rPr>
                <w:rFonts w:cs="Times New Roman"/>
                <w:b/>
                <w:i/>
                <w:color w:val="000000" w:themeColor="text1"/>
                <w:szCs w:val="24"/>
              </w:rPr>
              <w:t>E19,</w:t>
            </w:r>
            <w:r w:rsidRPr="00895D0B">
              <w:rPr>
                <w:rFonts w:cs="Times New Roman"/>
                <w:color w:val="000000" w:themeColor="text1"/>
                <w:szCs w:val="24"/>
              </w:rPr>
              <w:t xml:space="preserve"> how do you protect your animals from diseases? </w:t>
            </w:r>
          </w:p>
        </w:tc>
        <w:tc>
          <w:tcPr>
            <w:tcW w:w="3888" w:type="dxa"/>
            <w:gridSpan w:val="2"/>
          </w:tcPr>
          <w:p w14:paraId="2F51A570" w14:textId="77777777" w:rsidR="001B4ED5" w:rsidRPr="00895D0B" w:rsidRDefault="001B4ED5">
            <w:pPr>
              <w:spacing w:line="240" w:lineRule="auto"/>
              <w:ind w:right="51"/>
              <w:rPr>
                <w:rFonts w:cs="Times New Roman"/>
                <w:color w:val="000000" w:themeColor="text1"/>
                <w:szCs w:val="24"/>
              </w:rPr>
            </w:pPr>
          </w:p>
          <w:p w14:paraId="6A44854A" w14:textId="77777777" w:rsidR="001B4ED5" w:rsidRPr="00895D0B" w:rsidRDefault="006B41C0">
            <w:pPr>
              <w:spacing w:line="240" w:lineRule="auto"/>
              <w:ind w:right="51"/>
              <w:rPr>
                <w:rFonts w:cs="Times New Roman"/>
                <w:color w:val="000000" w:themeColor="text1"/>
                <w:szCs w:val="24"/>
              </w:rPr>
            </w:pPr>
            <w:r w:rsidRPr="00895D0B">
              <w:rPr>
                <w:rFonts w:cs="Times New Roman"/>
                <w:color w:val="000000" w:themeColor="text1"/>
                <w:szCs w:val="24"/>
              </w:rPr>
              <w:t>…………………………………………………</w:t>
            </w:r>
          </w:p>
        </w:tc>
        <w:tc>
          <w:tcPr>
            <w:tcW w:w="2693" w:type="dxa"/>
          </w:tcPr>
          <w:p w14:paraId="61BA4C49" w14:textId="77777777" w:rsidR="001B4ED5" w:rsidRPr="00895D0B" w:rsidRDefault="001B4ED5">
            <w:pPr>
              <w:spacing w:line="240" w:lineRule="auto"/>
              <w:rPr>
                <w:rFonts w:cs="Times New Roman"/>
                <w:color w:val="000000" w:themeColor="text1"/>
                <w:szCs w:val="24"/>
              </w:rPr>
            </w:pPr>
          </w:p>
        </w:tc>
      </w:tr>
      <w:tr w:rsidR="00895D0B" w:rsidRPr="00895D0B" w14:paraId="159FA0BD" w14:textId="77777777">
        <w:trPr>
          <w:trHeight w:val="70"/>
        </w:trPr>
        <w:tc>
          <w:tcPr>
            <w:tcW w:w="2486" w:type="dxa"/>
            <w:gridSpan w:val="3"/>
          </w:tcPr>
          <w:p w14:paraId="76670EB5"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E19:</w:t>
            </w:r>
            <w:r w:rsidRPr="00895D0B">
              <w:rPr>
                <w:rFonts w:cs="Times New Roman"/>
                <w:color w:val="000000" w:themeColor="text1"/>
                <w:szCs w:val="24"/>
              </w:rPr>
              <w:t xml:space="preserve"> What is the main source of information on weather changes to guide your animals rearing?</w:t>
            </w:r>
          </w:p>
        </w:tc>
        <w:tc>
          <w:tcPr>
            <w:tcW w:w="3888" w:type="dxa"/>
            <w:gridSpan w:val="2"/>
          </w:tcPr>
          <w:p w14:paraId="6AAC38CD" w14:textId="77777777" w:rsidR="001B4ED5" w:rsidRPr="00895D0B" w:rsidRDefault="006B41C0">
            <w:pPr>
              <w:pStyle w:val="ListParagraph"/>
              <w:numPr>
                <w:ilvl w:val="0"/>
                <w:numId w:val="123"/>
              </w:numPr>
              <w:spacing w:line="240" w:lineRule="auto"/>
              <w:jc w:val="left"/>
              <w:rPr>
                <w:rFonts w:cs="Times New Roman"/>
                <w:color w:val="000000" w:themeColor="text1"/>
                <w:szCs w:val="24"/>
              </w:rPr>
            </w:pPr>
            <w:r w:rsidRPr="00895D0B">
              <w:rPr>
                <w:rFonts w:cs="Times New Roman"/>
                <w:color w:val="000000" w:themeColor="text1"/>
                <w:szCs w:val="24"/>
              </w:rPr>
              <w:t>From friends and neighbors [ ]</w:t>
            </w:r>
          </w:p>
          <w:p w14:paraId="6C0C04D5" w14:textId="77777777" w:rsidR="001B4ED5" w:rsidRPr="00895D0B" w:rsidRDefault="006B41C0">
            <w:pPr>
              <w:pStyle w:val="ListParagraph"/>
              <w:numPr>
                <w:ilvl w:val="0"/>
                <w:numId w:val="124"/>
              </w:numPr>
              <w:spacing w:line="240" w:lineRule="auto"/>
              <w:jc w:val="left"/>
              <w:rPr>
                <w:rFonts w:cs="Times New Roman"/>
                <w:color w:val="000000" w:themeColor="text1"/>
                <w:szCs w:val="24"/>
              </w:rPr>
            </w:pPr>
            <w:r w:rsidRPr="00895D0B">
              <w:rPr>
                <w:rFonts w:cs="Times New Roman"/>
                <w:color w:val="000000" w:themeColor="text1"/>
                <w:szCs w:val="24"/>
              </w:rPr>
              <w:t>From agriculture services workers (MoFA/NGOs) [   ]</w:t>
            </w:r>
          </w:p>
          <w:p w14:paraId="242262F4" w14:textId="77777777" w:rsidR="001B4ED5" w:rsidRPr="00895D0B" w:rsidRDefault="006B41C0">
            <w:pPr>
              <w:pStyle w:val="ListParagraph"/>
              <w:numPr>
                <w:ilvl w:val="0"/>
                <w:numId w:val="124"/>
              </w:numPr>
              <w:spacing w:line="240" w:lineRule="auto"/>
              <w:jc w:val="left"/>
              <w:rPr>
                <w:rFonts w:cs="Times New Roman"/>
                <w:color w:val="000000" w:themeColor="text1"/>
                <w:szCs w:val="24"/>
              </w:rPr>
            </w:pPr>
            <w:r w:rsidRPr="00895D0B">
              <w:rPr>
                <w:rFonts w:cs="Times New Roman"/>
                <w:color w:val="000000" w:themeColor="text1"/>
                <w:szCs w:val="24"/>
              </w:rPr>
              <w:t>Television [   ]</w:t>
            </w:r>
          </w:p>
          <w:p w14:paraId="563B02FB" w14:textId="77777777" w:rsidR="001B4ED5" w:rsidRPr="00895D0B" w:rsidRDefault="006B41C0">
            <w:pPr>
              <w:pStyle w:val="ListParagraph"/>
              <w:numPr>
                <w:ilvl w:val="0"/>
                <w:numId w:val="124"/>
              </w:numPr>
              <w:spacing w:line="240" w:lineRule="auto"/>
              <w:jc w:val="left"/>
              <w:rPr>
                <w:rFonts w:cs="Times New Roman"/>
                <w:color w:val="000000" w:themeColor="text1"/>
                <w:szCs w:val="24"/>
              </w:rPr>
            </w:pPr>
            <w:r w:rsidRPr="00895D0B">
              <w:rPr>
                <w:rFonts w:cs="Times New Roman"/>
                <w:color w:val="000000" w:themeColor="text1"/>
                <w:szCs w:val="24"/>
              </w:rPr>
              <w:t>Radio [   ]</w:t>
            </w:r>
          </w:p>
          <w:p w14:paraId="30EE36F1" w14:textId="77777777" w:rsidR="001B4ED5" w:rsidRPr="00895D0B" w:rsidRDefault="006B41C0">
            <w:pPr>
              <w:pStyle w:val="ListParagraph"/>
              <w:numPr>
                <w:ilvl w:val="0"/>
                <w:numId w:val="124"/>
              </w:numPr>
              <w:spacing w:line="240" w:lineRule="auto"/>
              <w:jc w:val="left"/>
              <w:rPr>
                <w:rFonts w:cs="Times New Roman"/>
                <w:color w:val="000000" w:themeColor="text1"/>
                <w:szCs w:val="24"/>
              </w:rPr>
            </w:pPr>
            <w:r w:rsidRPr="00895D0B">
              <w:rPr>
                <w:rFonts w:cs="Times New Roman"/>
                <w:color w:val="000000" w:themeColor="text1"/>
                <w:szCs w:val="24"/>
              </w:rPr>
              <w:t>None [   ]</w:t>
            </w:r>
          </w:p>
          <w:p w14:paraId="3DBE9AA3" w14:textId="77777777" w:rsidR="001B4ED5" w:rsidRPr="00895D0B" w:rsidRDefault="006B41C0">
            <w:pPr>
              <w:pStyle w:val="ListParagraph"/>
              <w:numPr>
                <w:ilvl w:val="0"/>
                <w:numId w:val="124"/>
              </w:numPr>
              <w:spacing w:line="240" w:lineRule="auto"/>
              <w:jc w:val="left"/>
              <w:rPr>
                <w:rFonts w:cs="Times New Roman"/>
                <w:color w:val="000000" w:themeColor="text1"/>
                <w:szCs w:val="24"/>
              </w:rPr>
            </w:pPr>
            <w:r w:rsidRPr="00895D0B">
              <w:rPr>
                <w:rFonts w:cs="Times New Roman"/>
                <w:color w:val="000000" w:themeColor="text1"/>
                <w:szCs w:val="24"/>
              </w:rPr>
              <w:t>Personal observation [   ]</w:t>
            </w:r>
          </w:p>
        </w:tc>
        <w:tc>
          <w:tcPr>
            <w:tcW w:w="2693" w:type="dxa"/>
          </w:tcPr>
          <w:p w14:paraId="543F25F2" w14:textId="77777777" w:rsidR="001B4ED5" w:rsidRPr="00895D0B" w:rsidRDefault="001B4ED5">
            <w:pPr>
              <w:spacing w:line="240" w:lineRule="auto"/>
              <w:rPr>
                <w:rFonts w:cs="Times New Roman"/>
                <w:color w:val="000000" w:themeColor="text1"/>
                <w:szCs w:val="24"/>
              </w:rPr>
            </w:pPr>
          </w:p>
        </w:tc>
      </w:tr>
      <w:tr w:rsidR="00895D0B" w:rsidRPr="00895D0B" w14:paraId="05469B67" w14:textId="77777777">
        <w:trPr>
          <w:trHeight w:val="70"/>
        </w:trPr>
        <w:tc>
          <w:tcPr>
            <w:tcW w:w="2486" w:type="dxa"/>
            <w:gridSpan w:val="3"/>
          </w:tcPr>
          <w:p w14:paraId="27E634C0"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E20:</w:t>
            </w:r>
            <w:r w:rsidRPr="00895D0B">
              <w:rPr>
                <w:rFonts w:cs="Times New Roman"/>
                <w:color w:val="000000" w:themeColor="text1"/>
                <w:szCs w:val="24"/>
              </w:rPr>
              <w:t xml:space="preserve"> What do you have to say about your animals production amid weather changes?</w:t>
            </w:r>
          </w:p>
        </w:tc>
        <w:tc>
          <w:tcPr>
            <w:tcW w:w="3888" w:type="dxa"/>
            <w:gridSpan w:val="2"/>
          </w:tcPr>
          <w:p w14:paraId="4582652B" w14:textId="77777777" w:rsidR="001B4ED5" w:rsidRPr="00895D0B" w:rsidRDefault="006B41C0">
            <w:pPr>
              <w:pStyle w:val="ListParagraph"/>
              <w:numPr>
                <w:ilvl w:val="0"/>
                <w:numId w:val="125"/>
              </w:numPr>
              <w:spacing w:line="240" w:lineRule="auto"/>
              <w:jc w:val="left"/>
              <w:rPr>
                <w:rFonts w:cs="Times New Roman"/>
                <w:color w:val="000000" w:themeColor="text1"/>
                <w:szCs w:val="24"/>
              </w:rPr>
            </w:pPr>
            <w:r w:rsidRPr="00895D0B">
              <w:rPr>
                <w:rFonts w:cs="Times New Roman"/>
                <w:color w:val="000000" w:themeColor="text1"/>
                <w:szCs w:val="24"/>
              </w:rPr>
              <w:t>Good [   ]</w:t>
            </w:r>
          </w:p>
          <w:p w14:paraId="366FFE09" w14:textId="77777777" w:rsidR="001B4ED5" w:rsidRPr="00895D0B" w:rsidRDefault="006B41C0">
            <w:pPr>
              <w:pStyle w:val="ListParagraph"/>
              <w:numPr>
                <w:ilvl w:val="0"/>
                <w:numId w:val="126"/>
              </w:numPr>
              <w:spacing w:line="240" w:lineRule="auto"/>
              <w:jc w:val="left"/>
              <w:rPr>
                <w:rFonts w:cs="Times New Roman"/>
                <w:color w:val="000000" w:themeColor="text1"/>
                <w:szCs w:val="24"/>
              </w:rPr>
            </w:pPr>
            <w:r w:rsidRPr="00895D0B">
              <w:rPr>
                <w:rFonts w:cs="Times New Roman"/>
                <w:color w:val="000000" w:themeColor="text1"/>
                <w:szCs w:val="24"/>
              </w:rPr>
              <w:t>Average [   ]</w:t>
            </w:r>
          </w:p>
          <w:p w14:paraId="017169D4" w14:textId="77777777" w:rsidR="001B4ED5" w:rsidRPr="00895D0B" w:rsidRDefault="006B41C0">
            <w:pPr>
              <w:pStyle w:val="ListParagraph"/>
              <w:numPr>
                <w:ilvl w:val="0"/>
                <w:numId w:val="126"/>
              </w:numPr>
              <w:spacing w:line="240" w:lineRule="auto"/>
              <w:jc w:val="left"/>
              <w:rPr>
                <w:rFonts w:cs="Times New Roman"/>
                <w:color w:val="000000" w:themeColor="text1"/>
                <w:szCs w:val="24"/>
              </w:rPr>
            </w:pPr>
            <w:r w:rsidRPr="00895D0B">
              <w:rPr>
                <w:rFonts w:cs="Times New Roman"/>
                <w:color w:val="000000" w:themeColor="text1"/>
                <w:szCs w:val="24"/>
              </w:rPr>
              <w:t>Not good [   ]</w:t>
            </w:r>
          </w:p>
          <w:p w14:paraId="76F59339" w14:textId="77777777" w:rsidR="001B4ED5" w:rsidRPr="00895D0B" w:rsidRDefault="001B4ED5">
            <w:pPr>
              <w:spacing w:line="240" w:lineRule="auto"/>
              <w:ind w:left="360"/>
              <w:rPr>
                <w:rFonts w:cs="Times New Roman"/>
                <w:color w:val="000000" w:themeColor="text1"/>
                <w:szCs w:val="24"/>
              </w:rPr>
            </w:pPr>
          </w:p>
        </w:tc>
        <w:tc>
          <w:tcPr>
            <w:tcW w:w="2693" w:type="dxa"/>
          </w:tcPr>
          <w:p w14:paraId="461DEE2A" w14:textId="77777777" w:rsidR="001B4ED5" w:rsidRPr="00895D0B" w:rsidRDefault="001B4ED5">
            <w:pPr>
              <w:spacing w:line="240" w:lineRule="auto"/>
              <w:rPr>
                <w:rFonts w:cs="Times New Roman"/>
                <w:color w:val="000000" w:themeColor="text1"/>
                <w:szCs w:val="24"/>
              </w:rPr>
            </w:pPr>
          </w:p>
        </w:tc>
      </w:tr>
      <w:tr w:rsidR="00895D0B" w:rsidRPr="00895D0B" w14:paraId="08867012" w14:textId="77777777">
        <w:trPr>
          <w:trHeight w:val="285"/>
        </w:trPr>
        <w:tc>
          <w:tcPr>
            <w:tcW w:w="9067" w:type="dxa"/>
            <w:gridSpan w:val="6"/>
            <w:shd w:val="clear" w:color="auto" w:fill="95B3D7" w:themeFill="accent1" w:themeFillTint="99"/>
          </w:tcPr>
          <w:p w14:paraId="00C45F3E" w14:textId="77777777" w:rsidR="001B4ED5" w:rsidRPr="00895D0B" w:rsidRDefault="006B41C0">
            <w:pPr>
              <w:spacing w:line="240" w:lineRule="auto"/>
              <w:jc w:val="center"/>
              <w:rPr>
                <w:rFonts w:cs="Times New Roman"/>
                <w:color w:val="000000" w:themeColor="text1"/>
                <w:szCs w:val="24"/>
              </w:rPr>
            </w:pPr>
            <w:r w:rsidRPr="00895D0B">
              <w:rPr>
                <w:rFonts w:eastAsia="Times New Roman" w:cs="Times New Roman"/>
                <w:b/>
                <w:color w:val="000000" w:themeColor="text1"/>
                <w:szCs w:val="24"/>
              </w:rPr>
              <w:t>SECTION F: URBAN AGRICULTURE CONTRIBUTIONS TO HOUSEHOLDS’ FOOD SECURITY</w:t>
            </w:r>
          </w:p>
        </w:tc>
      </w:tr>
      <w:tr w:rsidR="00895D0B" w:rsidRPr="00895D0B" w14:paraId="39836616" w14:textId="77777777">
        <w:trPr>
          <w:trHeight w:val="285"/>
        </w:trPr>
        <w:tc>
          <w:tcPr>
            <w:tcW w:w="9067" w:type="dxa"/>
            <w:gridSpan w:val="6"/>
            <w:shd w:val="clear" w:color="auto" w:fill="E5B8B7" w:themeFill="accent2" w:themeFillTint="66"/>
          </w:tcPr>
          <w:p w14:paraId="28860BE7" w14:textId="77777777" w:rsidR="001B4ED5" w:rsidRPr="00895D0B" w:rsidRDefault="006B41C0">
            <w:pPr>
              <w:spacing w:line="240" w:lineRule="auto"/>
              <w:jc w:val="center"/>
              <w:rPr>
                <w:rFonts w:cs="Times New Roman"/>
                <w:color w:val="000000" w:themeColor="text1"/>
                <w:szCs w:val="24"/>
              </w:rPr>
            </w:pPr>
            <w:r w:rsidRPr="00895D0B">
              <w:rPr>
                <w:rFonts w:cs="Times New Roman"/>
                <w:b/>
                <w:i/>
                <w:color w:val="000000" w:themeColor="text1"/>
                <w:szCs w:val="24"/>
              </w:rPr>
              <w:t>NB: Food security: At this point, I would like to ask you questions relating to food security in your households.</w:t>
            </w:r>
          </w:p>
        </w:tc>
      </w:tr>
      <w:tr w:rsidR="00895D0B" w:rsidRPr="00895D0B" w14:paraId="74554BF8" w14:textId="77777777">
        <w:trPr>
          <w:trHeight w:val="285"/>
        </w:trPr>
        <w:tc>
          <w:tcPr>
            <w:tcW w:w="3042" w:type="dxa"/>
            <w:gridSpan w:val="4"/>
          </w:tcPr>
          <w:p w14:paraId="00F02EED" w14:textId="77777777" w:rsidR="001B4ED5" w:rsidRPr="00895D0B" w:rsidRDefault="006B41C0">
            <w:pPr>
              <w:spacing w:line="240" w:lineRule="auto"/>
              <w:ind w:right="51"/>
              <w:jc w:val="left"/>
              <w:rPr>
                <w:rFonts w:cs="Times New Roman"/>
                <w:color w:val="000000" w:themeColor="text1"/>
                <w:szCs w:val="24"/>
              </w:rPr>
            </w:pPr>
            <w:r w:rsidRPr="00895D0B">
              <w:rPr>
                <w:rFonts w:cs="Times New Roman"/>
                <w:b/>
                <w:color w:val="000000" w:themeColor="text1"/>
                <w:szCs w:val="24"/>
              </w:rPr>
              <w:t>F1:</w:t>
            </w:r>
            <w:r w:rsidRPr="00895D0B">
              <w:rPr>
                <w:rFonts w:cs="Times New Roman"/>
                <w:color w:val="000000" w:themeColor="text1"/>
                <w:szCs w:val="24"/>
              </w:rPr>
              <w:t xml:space="preserve"> Do you think community garden changed your lifestyle?</w:t>
            </w:r>
          </w:p>
        </w:tc>
        <w:tc>
          <w:tcPr>
            <w:tcW w:w="3332" w:type="dxa"/>
          </w:tcPr>
          <w:p w14:paraId="1944FC7D" w14:textId="77777777" w:rsidR="001B4ED5" w:rsidRPr="00895D0B" w:rsidRDefault="006B41C0">
            <w:pPr>
              <w:pStyle w:val="ListParagraph"/>
              <w:numPr>
                <w:ilvl w:val="0"/>
                <w:numId w:val="127"/>
              </w:numPr>
              <w:spacing w:line="240" w:lineRule="auto"/>
              <w:jc w:val="left"/>
              <w:rPr>
                <w:rFonts w:cs="Times New Roman"/>
                <w:color w:val="000000" w:themeColor="text1"/>
                <w:szCs w:val="24"/>
              </w:rPr>
            </w:pPr>
            <w:r w:rsidRPr="00895D0B">
              <w:rPr>
                <w:rFonts w:cs="Times New Roman"/>
                <w:color w:val="000000" w:themeColor="text1"/>
                <w:szCs w:val="24"/>
              </w:rPr>
              <w:t>Yes [   ]</w:t>
            </w:r>
          </w:p>
          <w:p w14:paraId="0696F858" w14:textId="77777777" w:rsidR="001B4ED5" w:rsidRPr="00895D0B" w:rsidRDefault="006B41C0">
            <w:pPr>
              <w:pStyle w:val="ListParagraph"/>
              <w:numPr>
                <w:ilvl w:val="0"/>
                <w:numId w:val="127"/>
              </w:numPr>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shd w:val="clear" w:color="auto" w:fill="00B050"/>
          </w:tcPr>
          <w:p w14:paraId="68C1F808" w14:textId="77777777" w:rsidR="001B4ED5" w:rsidRPr="00895D0B" w:rsidRDefault="006B41C0">
            <w:pPr>
              <w:spacing w:line="240" w:lineRule="auto"/>
              <w:rPr>
                <w:rFonts w:cs="Times New Roman"/>
                <w:b/>
                <w:i/>
                <w:color w:val="000000" w:themeColor="text1"/>
                <w:szCs w:val="24"/>
              </w:rPr>
            </w:pPr>
            <w:r w:rsidRPr="00895D0B">
              <w:rPr>
                <w:rFonts w:cs="Times New Roman"/>
                <w:b/>
                <w:i/>
                <w:color w:val="000000" w:themeColor="text1"/>
                <w:szCs w:val="24"/>
              </w:rPr>
              <w:t xml:space="preserve">NB: For both urban and non-urban farmers </w:t>
            </w:r>
          </w:p>
        </w:tc>
      </w:tr>
      <w:tr w:rsidR="00895D0B" w:rsidRPr="00895D0B" w14:paraId="0D7ECA2C" w14:textId="77777777">
        <w:trPr>
          <w:trHeight w:val="285"/>
        </w:trPr>
        <w:tc>
          <w:tcPr>
            <w:tcW w:w="3042" w:type="dxa"/>
            <w:gridSpan w:val="4"/>
          </w:tcPr>
          <w:p w14:paraId="07505166" w14:textId="77777777" w:rsidR="001B4ED5" w:rsidRPr="00895D0B" w:rsidRDefault="006B41C0">
            <w:pPr>
              <w:spacing w:line="240" w:lineRule="auto"/>
              <w:ind w:right="51"/>
              <w:rPr>
                <w:rFonts w:cs="Times New Roman"/>
                <w:color w:val="000000" w:themeColor="text1"/>
                <w:szCs w:val="24"/>
              </w:rPr>
            </w:pPr>
            <w:r w:rsidRPr="00895D0B">
              <w:rPr>
                <w:rFonts w:cs="Times New Roman"/>
                <w:b/>
                <w:color w:val="000000" w:themeColor="text1"/>
                <w:szCs w:val="24"/>
              </w:rPr>
              <w:t xml:space="preserve">F2: </w:t>
            </w:r>
            <w:r w:rsidRPr="00895D0B">
              <w:rPr>
                <w:rFonts w:cs="Times New Roman"/>
                <w:color w:val="000000" w:themeColor="text1"/>
                <w:szCs w:val="24"/>
              </w:rPr>
              <w:t>If yes, why?</w:t>
            </w:r>
          </w:p>
        </w:tc>
        <w:tc>
          <w:tcPr>
            <w:tcW w:w="3332" w:type="dxa"/>
          </w:tcPr>
          <w:p w14:paraId="2F4F638A" w14:textId="77777777" w:rsidR="001B4ED5" w:rsidRPr="00895D0B" w:rsidRDefault="006B41C0">
            <w:pPr>
              <w:pStyle w:val="ListParagraph"/>
              <w:numPr>
                <w:ilvl w:val="0"/>
                <w:numId w:val="128"/>
              </w:numPr>
              <w:spacing w:line="240" w:lineRule="auto"/>
              <w:jc w:val="left"/>
              <w:rPr>
                <w:rFonts w:cs="Times New Roman"/>
                <w:color w:val="000000" w:themeColor="text1"/>
                <w:szCs w:val="24"/>
              </w:rPr>
            </w:pPr>
            <w:r w:rsidRPr="00895D0B">
              <w:rPr>
                <w:rFonts w:cs="Times New Roman"/>
                <w:color w:val="000000" w:themeColor="text1"/>
                <w:szCs w:val="24"/>
              </w:rPr>
              <w:t>Yes, I feel eating healthier [   ]</w:t>
            </w:r>
          </w:p>
          <w:p w14:paraId="13AA626D" w14:textId="77777777" w:rsidR="001B4ED5" w:rsidRPr="00895D0B" w:rsidRDefault="006B41C0">
            <w:pPr>
              <w:pStyle w:val="ListParagraph"/>
              <w:numPr>
                <w:ilvl w:val="0"/>
                <w:numId w:val="129"/>
              </w:numPr>
              <w:spacing w:line="240" w:lineRule="auto"/>
              <w:ind w:right="51"/>
              <w:rPr>
                <w:rFonts w:cs="Times New Roman"/>
                <w:color w:val="000000" w:themeColor="text1"/>
                <w:szCs w:val="24"/>
              </w:rPr>
            </w:pPr>
            <w:r w:rsidRPr="00895D0B">
              <w:rPr>
                <w:rFonts w:cs="Times New Roman"/>
                <w:color w:val="000000" w:themeColor="text1"/>
                <w:szCs w:val="24"/>
              </w:rPr>
              <w:t>Yes, I save more money [   ]</w:t>
            </w:r>
          </w:p>
          <w:p w14:paraId="0A8EB968" w14:textId="77777777" w:rsidR="001B4ED5" w:rsidRPr="00895D0B" w:rsidRDefault="006B41C0">
            <w:pPr>
              <w:pStyle w:val="ListParagraph"/>
              <w:numPr>
                <w:ilvl w:val="0"/>
                <w:numId w:val="129"/>
              </w:numPr>
              <w:spacing w:line="240" w:lineRule="auto"/>
              <w:ind w:right="51"/>
              <w:rPr>
                <w:rFonts w:cs="Times New Roman"/>
                <w:color w:val="000000" w:themeColor="text1"/>
                <w:szCs w:val="24"/>
              </w:rPr>
            </w:pPr>
            <w:r w:rsidRPr="00895D0B">
              <w:rPr>
                <w:rFonts w:cs="Times New Roman"/>
                <w:color w:val="000000" w:themeColor="text1"/>
                <w:szCs w:val="24"/>
              </w:rPr>
              <w:t>Yes, I feel it is more convenient [   ]</w:t>
            </w:r>
          </w:p>
          <w:p w14:paraId="206B7B0A" w14:textId="77777777" w:rsidR="001B4ED5" w:rsidRPr="00895D0B" w:rsidRDefault="006B41C0">
            <w:pPr>
              <w:pStyle w:val="ListParagraph"/>
              <w:numPr>
                <w:ilvl w:val="0"/>
                <w:numId w:val="129"/>
              </w:numPr>
              <w:spacing w:line="240" w:lineRule="auto"/>
              <w:ind w:right="51"/>
              <w:rPr>
                <w:rFonts w:cs="Times New Roman"/>
                <w:color w:val="000000" w:themeColor="text1"/>
                <w:szCs w:val="24"/>
              </w:rPr>
            </w:pPr>
            <w:r w:rsidRPr="00895D0B">
              <w:rPr>
                <w:rFonts w:cs="Times New Roman"/>
                <w:color w:val="000000" w:themeColor="text1"/>
                <w:szCs w:val="24"/>
              </w:rPr>
              <w:lastRenderedPageBreak/>
              <w:t>Yes, other reasons</w:t>
            </w:r>
          </w:p>
          <w:p w14:paraId="565BE135" w14:textId="77777777" w:rsidR="001B4ED5" w:rsidRPr="00895D0B" w:rsidRDefault="006B41C0">
            <w:pPr>
              <w:spacing w:line="240" w:lineRule="auto"/>
              <w:ind w:left="360" w:right="51"/>
              <w:rPr>
                <w:rFonts w:cs="Times New Roman"/>
                <w:color w:val="000000" w:themeColor="text1"/>
                <w:szCs w:val="24"/>
              </w:rPr>
            </w:pPr>
            <w:r w:rsidRPr="00895D0B">
              <w:rPr>
                <w:rFonts w:cs="Times New Roman"/>
                <w:color w:val="000000" w:themeColor="text1"/>
                <w:szCs w:val="24"/>
              </w:rPr>
              <w:t>………………………………………</w:t>
            </w:r>
          </w:p>
        </w:tc>
        <w:tc>
          <w:tcPr>
            <w:tcW w:w="2693" w:type="dxa"/>
          </w:tcPr>
          <w:p w14:paraId="1DDB9F66" w14:textId="77777777" w:rsidR="001B4ED5" w:rsidRPr="00895D0B" w:rsidRDefault="001B4ED5">
            <w:pPr>
              <w:spacing w:line="240" w:lineRule="auto"/>
              <w:rPr>
                <w:rFonts w:cs="Times New Roman"/>
                <w:color w:val="000000" w:themeColor="text1"/>
                <w:szCs w:val="24"/>
              </w:rPr>
            </w:pPr>
          </w:p>
        </w:tc>
      </w:tr>
      <w:tr w:rsidR="00895D0B" w:rsidRPr="00895D0B" w14:paraId="4122C6A5" w14:textId="77777777">
        <w:trPr>
          <w:trHeight w:val="285"/>
        </w:trPr>
        <w:tc>
          <w:tcPr>
            <w:tcW w:w="3042" w:type="dxa"/>
            <w:gridSpan w:val="4"/>
          </w:tcPr>
          <w:p w14:paraId="541EC3B7" w14:textId="77777777" w:rsidR="001B4ED5" w:rsidRPr="00895D0B" w:rsidRDefault="006B41C0">
            <w:pPr>
              <w:spacing w:line="240" w:lineRule="auto"/>
              <w:ind w:right="51"/>
              <w:rPr>
                <w:rFonts w:cs="Times New Roman"/>
                <w:color w:val="000000" w:themeColor="text1"/>
                <w:szCs w:val="24"/>
              </w:rPr>
            </w:pPr>
            <w:r w:rsidRPr="00895D0B">
              <w:rPr>
                <w:rFonts w:cs="Times New Roman"/>
                <w:b/>
                <w:color w:val="000000" w:themeColor="text1"/>
                <w:szCs w:val="24"/>
              </w:rPr>
              <w:t>F3:</w:t>
            </w:r>
            <w:r w:rsidRPr="00895D0B">
              <w:rPr>
                <w:rFonts w:cs="Times New Roman"/>
                <w:color w:val="000000" w:themeColor="text1"/>
                <w:szCs w:val="24"/>
              </w:rPr>
              <w:t xml:space="preserve"> If no, why?</w:t>
            </w:r>
          </w:p>
        </w:tc>
        <w:tc>
          <w:tcPr>
            <w:tcW w:w="3332" w:type="dxa"/>
          </w:tcPr>
          <w:p w14:paraId="3B471321" w14:textId="77777777" w:rsidR="001B4ED5" w:rsidRPr="00895D0B" w:rsidRDefault="006B41C0">
            <w:pPr>
              <w:pStyle w:val="ListParagraph"/>
              <w:numPr>
                <w:ilvl w:val="0"/>
                <w:numId w:val="130"/>
              </w:numPr>
              <w:spacing w:line="240" w:lineRule="auto"/>
              <w:jc w:val="left"/>
              <w:rPr>
                <w:rFonts w:cs="Times New Roman"/>
                <w:color w:val="000000" w:themeColor="text1"/>
                <w:szCs w:val="24"/>
              </w:rPr>
            </w:pPr>
            <w:r w:rsidRPr="00895D0B">
              <w:rPr>
                <w:rFonts w:cs="Times New Roman"/>
                <w:color w:val="000000" w:themeColor="text1"/>
                <w:szCs w:val="24"/>
              </w:rPr>
              <w:t>No, I always live like this [   ]</w:t>
            </w:r>
          </w:p>
          <w:p w14:paraId="30B5B60D" w14:textId="77777777" w:rsidR="001B4ED5" w:rsidRPr="00895D0B" w:rsidRDefault="006B41C0">
            <w:pPr>
              <w:pStyle w:val="ListParagraph"/>
              <w:numPr>
                <w:ilvl w:val="0"/>
                <w:numId w:val="128"/>
              </w:numPr>
              <w:spacing w:line="240" w:lineRule="auto"/>
              <w:ind w:right="51"/>
              <w:rPr>
                <w:rFonts w:cs="Times New Roman"/>
                <w:color w:val="000000" w:themeColor="text1"/>
                <w:szCs w:val="24"/>
              </w:rPr>
            </w:pPr>
            <w:r w:rsidRPr="00895D0B">
              <w:rPr>
                <w:rFonts w:cs="Times New Roman"/>
                <w:color w:val="000000" w:themeColor="text1"/>
                <w:szCs w:val="24"/>
              </w:rPr>
              <w:t>No, I don’t feel much differences [   ]</w:t>
            </w:r>
          </w:p>
          <w:p w14:paraId="4615DB20" w14:textId="77777777" w:rsidR="001B4ED5" w:rsidRPr="00895D0B" w:rsidRDefault="006B41C0">
            <w:pPr>
              <w:pStyle w:val="ListParagraph"/>
              <w:numPr>
                <w:ilvl w:val="0"/>
                <w:numId w:val="128"/>
              </w:numPr>
              <w:spacing w:line="240" w:lineRule="auto"/>
              <w:ind w:right="51"/>
              <w:rPr>
                <w:rFonts w:cs="Times New Roman"/>
                <w:color w:val="000000" w:themeColor="text1"/>
                <w:szCs w:val="24"/>
              </w:rPr>
            </w:pPr>
            <w:r w:rsidRPr="00895D0B">
              <w:rPr>
                <w:rFonts w:cs="Times New Roman"/>
                <w:color w:val="000000" w:themeColor="text1"/>
                <w:szCs w:val="24"/>
              </w:rPr>
              <w:t>No, other reasons</w:t>
            </w:r>
          </w:p>
          <w:p w14:paraId="4F8442A0" w14:textId="77777777" w:rsidR="001B4ED5" w:rsidRPr="00895D0B" w:rsidRDefault="006B41C0">
            <w:pPr>
              <w:pStyle w:val="ListParagraph"/>
              <w:spacing w:line="240" w:lineRule="auto"/>
              <w:rPr>
                <w:rFonts w:cs="Times New Roman"/>
                <w:color w:val="000000" w:themeColor="text1"/>
                <w:szCs w:val="24"/>
              </w:rPr>
            </w:pPr>
            <w:r w:rsidRPr="00895D0B">
              <w:rPr>
                <w:rFonts w:cs="Times New Roman"/>
                <w:color w:val="000000" w:themeColor="text1"/>
                <w:szCs w:val="24"/>
              </w:rPr>
              <w:t>……………………………………………</w:t>
            </w:r>
          </w:p>
        </w:tc>
        <w:tc>
          <w:tcPr>
            <w:tcW w:w="2693" w:type="dxa"/>
          </w:tcPr>
          <w:p w14:paraId="1FFCD276" w14:textId="77777777" w:rsidR="001B4ED5" w:rsidRPr="00895D0B" w:rsidRDefault="001B4ED5">
            <w:pPr>
              <w:spacing w:line="240" w:lineRule="auto"/>
              <w:rPr>
                <w:rFonts w:cs="Times New Roman"/>
                <w:color w:val="000000" w:themeColor="text1"/>
                <w:szCs w:val="24"/>
              </w:rPr>
            </w:pPr>
          </w:p>
        </w:tc>
      </w:tr>
      <w:tr w:rsidR="00895D0B" w:rsidRPr="00895D0B" w14:paraId="137E0598" w14:textId="77777777">
        <w:trPr>
          <w:trHeight w:val="285"/>
        </w:trPr>
        <w:tc>
          <w:tcPr>
            <w:tcW w:w="9067" w:type="dxa"/>
            <w:gridSpan w:val="6"/>
          </w:tcPr>
          <w:p w14:paraId="6E2B703F" w14:textId="77777777" w:rsidR="001B4ED5" w:rsidRPr="00895D0B" w:rsidRDefault="006B41C0">
            <w:pPr>
              <w:spacing w:line="240" w:lineRule="auto"/>
              <w:rPr>
                <w:rFonts w:cs="Times New Roman"/>
                <w:color w:val="000000" w:themeColor="text1"/>
                <w:szCs w:val="24"/>
              </w:rPr>
            </w:pPr>
            <w:r w:rsidRPr="00895D0B">
              <w:rPr>
                <w:rFonts w:cs="Times New Roman"/>
                <w:b/>
                <w:i/>
                <w:color w:val="000000" w:themeColor="text1"/>
                <w:szCs w:val="24"/>
              </w:rPr>
              <w:t xml:space="preserve">Food availability </w:t>
            </w:r>
          </w:p>
        </w:tc>
      </w:tr>
      <w:tr w:rsidR="00895D0B" w:rsidRPr="00895D0B" w14:paraId="137590A3" w14:textId="77777777">
        <w:trPr>
          <w:trHeight w:val="285"/>
        </w:trPr>
        <w:tc>
          <w:tcPr>
            <w:tcW w:w="3042" w:type="dxa"/>
            <w:gridSpan w:val="4"/>
          </w:tcPr>
          <w:p w14:paraId="64A9507D"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F4:</w:t>
            </w:r>
            <w:r w:rsidRPr="00895D0B">
              <w:rPr>
                <w:rFonts w:cs="Times New Roman"/>
                <w:color w:val="000000" w:themeColor="text1"/>
                <w:szCs w:val="24"/>
              </w:rPr>
              <w:t xml:space="preserve"> Is urban farming the main source of food supply to your household?</w:t>
            </w:r>
          </w:p>
        </w:tc>
        <w:tc>
          <w:tcPr>
            <w:tcW w:w="3332" w:type="dxa"/>
          </w:tcPr>
          <w:p w14:paraId="4E81B50F" w14:textId="77777777" w:rsidR="001B4ED5" w:rsidRPr="00895D0B" w:rsidRDefault="006B41C0">
            <w:pPr>
              <w:pStyle w:val="ListParagraph"/>
              <w:numPr>
                <w:ilvl w:val="0"/>
                <w:numId w:val="131"/>
              </w:numPr>
              <w:spacing w:line="240" w:lineRule="auto"/>
              <w:jc w:val="left"/>
              <w:rPr>
                <w:rFonts w:cs="Times New Roman"/>
                <w:color w:val="000000" w:themeColor="text1"/>
                <w:szCs w:val="24"/>
              </w:rPr>
            </w:pPr>
            <w:r w:rsidRPr="00895D0B">
              <w:rPr>
                <w:rFonts w:cs="Times New Roman"/>
                <w:color w:val="000000" w:themeColor="text1"/>
                <w:szCs w:val="24"/>
              </w:rPr>
              <w:t>Yes [   ]</w:t>
            </w:r>
          </w:p>
          <w:p w14:paraId="610BDEA2" w14:textId="77777777" w:rsidR="001B4ED5" w:rsidRPr="00895D0B" w:rsidRDefault="006B41C0">
            <w:pPr>
              <w:pStyle w:val="ListParagraph"/>
              <w:numPr>
                <w:ilvl w:val="0"/>
                <w:numId w:val="132"/>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tcPr>
          <w:p w14:paraId="1F68D30E" w14:textId="77777777" w:rsidR="001B4ED5" w:rsidRPr="00895D0B" w:rsidRDefault="001B4ED5">
            <w:pPr>
              <w:spacing w:line="240" w:lineRule="auto"/>
              <w:rPr>
                <w:rFonts w:cs="Times New Roman"/>
                <w:color w:val="000000" w:themeColor="text1"/>
                <w:szCs w:val="24"/>
              </w:rPr>
            </w:pPr>
          </w:p>
        </w:tc>
      </w:tr>
      <w:tr w:rsidR="00895D0B" w:rsidRPr="00895D0B" w14:paraId="5A94D599" w14:textId="77777777">
        <w:trPr>
          <w:trHeight w:val="285"/>
        </w:trPr>
        <w:tc>
          <w:tcPr>
            <w:tcW w:w="3042" w:type="dxa"/>
            <w:gridSpan w:val="4"/>
          </w:tcPr>
          <w:p w14:paraId="203A7ACF"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F4a:</w:t>
            </w:r>
            <w:r w:rsidRPr="00895D0B">
              <w:rPr>
                <w:rFonts w:cs="Times New Roman"/>
                <w:color w:val="000000" w:themeColor="text1"/>
                <w:szCs w:val="24"/>
              </w:rPr>
              <w:t xml:space="preserve"> If yes to </w:t>
            </w:r>
            <w:r w:rsidRPr="00895D0B">
              <w:rPr>
                <w:rFonts w:cs="Times New Roman"/>
                <w:b/>
                <w:i/>
                <w:color w:val="000000" w:themeColor="text1"/>
                <w:szCs w:val="24"/>
              </w:rPr>
              <w:t>F4</w:t>
            </w:r>
            <w:r w:rsidRPr="00895D0B">
              <w:rPr>
                <w:rFonts w:cs="Times New Roman"/>
                <w:color w:val="000000" w:themeColor="text1"/>
                <w:szCs w:val="24"/>
              </w:rPr>
              <w:t xml:space="preserve"> did you or other household members ever skip a meal because there was no enough money to buy food over the last 12 months?</w:t>
            </w:r>
          </w:p>
        </w:tc>
        <w:tc>
          <w:tcPr>
            <w:tcW w:w="3332" w:type="dxa"/>
          </w:tcPr>
          <w:p w14:paraId="7E861683" w14:textId="77777777" w:rsidR="001B4ED5" w:rsidRPr="00895D0B" w:rsidRDefault="006B41C0">
            <w:pPr>
              <w:pStyle w:val="ListParagraph"/>
              <w:numPr>
                <w:ilvl w:val="0"/>
                <w:numId w:val="133"/>
              </w:numPr>
              <w:spacing w:line="240" w:lineRule="auto"/>
              <w:jc w:val="left"/>
              <w:rPr>
                <w:rFonts w:cs="Times New Roman"/>
                <w:color w:val="000000" w:themeColor="text1"/>
                <w:szCs w:val="24"/>
              </w:rPr>
            </w:pPr>
            <w:r w:rsidRPr="00895D0B">
              <w:rPr>
                <w:rFonts w:cs="Times New Roman"/>
                <w:color w:val="000000" w:themeColor="text1"/>
                <w:szCs w:val="24"/>
              </w:rPr>
              <w:t>Once a week [   ]</w:t>
            </w:r>
          </w:p>
          <w:p w14:paraId="791A8C15" w14:textId="77777777" w:rsidR="001B4ED5" w:rsidRPr="00895D0B" w:rsidRDefault="006B41C0">
            <w:pPr>
              <w:pStyle w:val="ListParagraph"/>
              <w:numPr>
                <w:ilvl w:val="0"/>
                <w:numId w:val="13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a month [   ]</w:t>
            </w:r>
          </w:p>
          <w:p w14:paraId="0A7D026F" w14:textId="77777777" w:rsidR="001B4ED5" w:rsidRPr="00895D0B" w:rsidRDefault="006B41C0">
            <w:pPr>
              <w:pStyle w:val="ListParagraph"/>
              <w:numPr>
                <w:ilvl w:val="0"/>
                <w:numId w:val="13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3 months [   ]</w:t>
            </w:r>
          </w:p>
          <w:p w14:paraId="78D31917" w14:textId="77777777" w:rsidR="001B4ED5" w:rsidRPr="00895D0B" w:rsidRDefault="006B41C0">
            <w:pPr>
              <w:pStyle w:val="ListParagraph"/>
              <w:numPr>
                <w:ilvl w:val="0"/>
                <w:numId w:val="13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6 months [   ]</w:t>
            </w:r>
          </w:p>
          <w:p w14:paraId="55766D1B" w14:textId="77777777" w:rsidR="001B4ED5" w:rsidRPr="00895D0B" w:rsidRDefault="006B41C0">
            <w:pPr>
              <w:pStyle w:val="ListParagraph"/>
              <w:numPr>
                <w:ilvl w:val="0"/>
                <w:numId w:val="13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Never skipped the meal [   ]</w:t>
            </w:r>
          </w:p>
          <w:p w14:paraId="3B44986C" w14:textId="77777777" w:rsidR="001B4ED5" w:rsidRPr="00895D0B" w:rsidRDefault="006B41C0">
            <w:pPr>
              <w:pStyle w:val="ListParagraph"/>
              <w:numPr>
                <w:ilvl w:val="0"/>
                <w:numId w:val="13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Don’t know [   ]</w:t>
            </w:r>
          </w:p>
        </w:tc>
        <w:tc>
          <w:tcPr>
            <w:tcW w:w="2693" w:type="dxa"/>
          </w:tcPr>
          <w:p w14:paraId="51984B7D" w14:textId="77777777" w:rsidR="001B4ED5" w:rsidRPr="00895D0B" w:rsidRDefault="001B4ED5">
            <w:pPr>
              <w:spacing w:line="240" w:lineRule="auto"/>
              <w:rPr>
                <w:rFonts w:cs="Times New Roman"/>
                <w:color w:val="000000" w:themeColor="text1"/>
                <w:szCs w:val="24"/>
              </w:rPr>
            </w:pPr>
          </w:p>
        </w:tc>
      </w:tr>
      <w:tr w:rsidR="00895D0B" w:rsidRPr="00895D0B" w14:paraId="5D854546" w14:textId="77777777">
        <w:trPr>
          <w:trHeight w:val="285"/>
        </w:trPr>
        <w:tc>
          <w:tcPr>
            <w:tcW w:w="3042" w:type="dxa"/>
            <w:gridSpan w:val="4"/>
          </w:tcPr>
          <w:p w14:paraId="1AD32A99"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F5:</w:t>
            </w:r>
            <w:r w:rsidRPr="00895D0B">
              <w:rPr>
                <w:rFonts w:cs="Times New Roman"/>
                <w:color w:val="000000" w:themeColor="text1"/>
                <w:szCs w:val="24"/>
              </w:rPr>
              <w:t xml:space="preserve"> Is the produce from your urban farming enough for your household throughout the year?</w:t>
            </w:r>
          </w:p>
        </w:tc>
        <w:tc>
          <w:tcPr>
            <w:tcW w:w="3332" w:type="dxa"/>
          </w:tcPr>
          <w:p w14:paraId="3215E528" w14:textId="77777777" w:rsidR="001B4ED5" w:rsidRPr="00895D0B" w:rsidRDefault="006B41C0">
            <w:pPr>
              <w:pStyle w:val="ListParagraph"/>
              <w:numPr>
                <w:ilvl w:val="0"/>
                <w:numId w:val="135"/>
              </w:numPr>
              <w:spacing w:line="240" w:lineRule="auto"/>
              <w:jc w:val="left"/>
              <w:rPr>
                <w:rFonts w:cs="Times New Roman"/>
                <w:color w:val="000000" w:themeColor="text1"/>
                <w:szCs w:val="24"/>
              </w:rPr>
            </w:pPr>
            <w:r w:rsidRPr="00895D0B">
              <w:rPr>
                <w:rFonts w:cs="Times New Roman"/>
                <w:color w:val="000000" w:themeColor="text1"/>
                <w:szCs w:val="24"/>
              </w:rPr>
              <w:t>Yes [   ]</w:t>
            </w:r>
          </w:p>
          <w:p w14:paraId="0D050481" w14:textId="77777777" w:rsidR="001B4ED5" w:rsidRPr="00895D0B" w:rsidRDefault="006B41C0">
            <w:pPr>
              <w:pStyle w:val="ListParagraph"/>
              <w:numPr>
                <w:ilvl w:val="0"/>
                <w:numId w:val="136"/>
              </w:numPr>
              <w:spacing w:line="240" w:lineRule="auto"/>
              <w:jc w:val="left"/>
              <w:rPr>
                <w:rFonts w:cs="Times New Roman"/>
                <w:color w:val="000000" w:themeColor="text1"/>
                <w:szCs w:val="24"/>
              </w:rPr>
            </w:pPr>
            <w:r w:rsidRPr="00895D0B">
              <w:rPr>
                <w:rFonts w:cs="Times New Roman"/>
                <w:color w:val="000000" w:themeColor="text1"/>
                <w:szCs w:val="24"/>
              </w:rPr>
              <w:t>No [   ]</w:t>
            </w:r>
          </w:p>
          <w:p w14:paraId="148A7B98" w14:textId="77777777" w:rsidR="001B4ED5" w:rsidRPr="00895D0B" w:rsidRDefault="006B41C0">
            <w:pPr>
              <w:pStyle w:val="ListParagraph"/>
              <w:numPr>
                <w:ilvl w:val="0"/>
                <w:numId w:val="136"/>
              </w:numPr>
              <w:spacing w:line="240" w:lineRule="auto"/>
              <w:jc w:val="left"/>
              <w:rPr>
                <w:rFonts w:cs="Times New Roman"/>
                <w:color w:val="000000" w:themeColor="text1"/>
                <w:szCs w:val="24"/>
              </w:rPr>
            </w:pPr>
            <w:r w:rsidRPr="00895D0B">
              <w:rPr>
                <w:rFonts w:cs="Times New Roman"/>
                <w:color w:val="000000" w:themeColor="text1"/>
                <w:szCs w:val="24"/>
              </w:rPr>
              <w:t>Sometimes [   ]</w:t>
            </w:r>
          </w:p>
        </w:tc>
        <w:tc>
          <w:tcPr>
            <w:tcW w:w="2693" w:type="dxa"/>
          </w:tcPr>
          <w:p w14:paraId="1FB42893" w14:textId="77777777" w:rsidR="001B4ED5" w:rsidRPr="00895D0B" w:rsidRDefault="001B4ED5">
            <w:pPr>
              <w:spacing w:line="240" w:lineRule="auto"/>
              <w:rPr>
                <w:rFonts w:cs="Times New Roman"/>
                <w:color w:val="000000" w:themeColor="text1"/>
                <w:szCs w:val="24"/>
              </w:rPr>
            </w:pPr>
          </w:p>
        </w:tc>
      </w:tr>
      <w:tr w:rsidR="00895D0B" w:rsidRPr="00895D0B" w14:paraId="01AA652A" w14:textId="77777777">
        <w:trPr>
          <w:trHeight w:val="285"/>
        </w:trPr>
        <w:tc>
          <w:tcPr>
            <w:tcW w:w="3042" w:type="dxa"/>
            <w:gridSpan w:val="4"/>
          </w:tcPr>
          <w:p w14:paraId="5CBF7F45"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F6:</w:t>
            </w:r>
            <w:r w:rsidRPr="00895D0B">
              <w:rPr>
                <w:rFonts w:cs="Times New Roman"/>
                <w:color w:val="000000" w:themeColor="text1"/>
                <w:szCs w:val="24"/>
              </w:rPr>
              <w:t xml:space="preserve"> Has your household been able to feed on produce from urban farming in the past 12 months? </w:t>
            </w:r>
          </w:p>
        </w:tc>
        <w:tc>
          <w:tcPr>
            <w:tcW w:w="3332" w:type="dxa"/>
          </w:tcPr>
          <w:p w14:paraId="39826909" w14:textId="77777777" w:rsidR="001B4ED5" w:rsidRPr="00895D0B" w:rsidRDefault="006B41C0">
            <w:pPr>
              <w:pStyle w:val="ListParagraph"/>
              <w:numPr>
                <w:ilvl w:val="0"/>
                <w:numId w:val="137"/>
              </w:numPr>
              <w:spacing w:line="240" w:lineRule="auto"/>
              <w:jc w:val="left"/>
              <w:rPr>
                <w:rFonts w:cs="Times New Roman"/>
                <w:color w:val="000000" w:themeColor="text1"/>
                <w:szCs w:val="24"/>
              </w:rPr>
            </w:pPr>
            <w:r w:rsidRPr="00895D0B">
              <w:rPr>
                <w:rFonts w:cs="Times New Roman"/>
                <w:color w:val="000000" w:themeColor="text1"/>
                <w:szCs w:val="24"/>
              </w:rPr>
              <w:t>Yes [   ]</w:t>
            </w:r>
          </w:p>
          <w:p w14:paraId="5B04587B" w14:textId="77777777" w:rsidR="001B4ED5" w:rsidRPr="00895D0B" w:rsidRDefault="006B41C0">
            <w:pPr>
              <w:pStyle w:val="ListParagraph"/>
              <w:numPr>
                <w:ilvl w:val="0"/>
                <w:numId w:val="138"/>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No [   ]</w:t>
            </w:r>
          </w:p>
          <w:p w14:paraId="50C35B32" w14:textId="77777777" w:rsidR="001B4ED5" w:rsidRPr="00895D0B" w:rsidRDefault="006B41C0">
            <w:pPr>
              <w:pStyle w:val="ListParagraph"/>
              <w:numPr>
                <w:ilvl w:val="0"/>
                <w:numId w:val="138"/>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Don’t know [   ]</w:t>
            </w:r>
          </w:p>
        </w:tc>
        <w:tc>
          <w:tcPr>
            <w:tcW w:w="2693" w:type="dxa"/>
          </w:tcPr>
          <w:p w14:paraId="718E784F" w14:textId="77777777" w:rsidR="001B4ED5" w:rsidRPr="00895D0B" w:rsidRDefault="001B4ED5">
            <w:pPr>
              <w:spacing w:line="240" w:lineRule="auto"/>
              <w:rPr>
                <w:rFonts w:cs="Times New Roman"/>
                <w:color w:val="000000" w:themeColor="text1"/>
                <w:szCs w:val="24"/>
              </w:rPr>
            </w:pPr>
          </w:p>
        </w:tc>
      </w:tr>
      <w:tr w:rsidR="00895D0B" w:rsidRPr="00895D0B" w14:paraId="3C467569" w14:textId="77777777">
        <w:trPr>
          <w:trHeight w:val="1383"/>
        </w:trPr>
        <w:tc>
          <w:tcPr>
            <w:tcW w:w="3042" w:type="dxa"/>
            <w:gridSpan w:val="4"/>
          </w:tcPr>
          <w:p w14:paraId="00F7B67B"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F7:</w:t>
            </w:r>
            <w:r w:rsidRPr="00895D0B">
              <w:rPr>
                <w:rFonts w:cs="Times New Roman"/>
                <w:color w:val="000000" w:themeColor="text1"/>
                <w:szCs w:val="24"/>
              </w:rPr>
              <w:t xml:space="preserve"> Did you ever cut the size of children’s meals due to no enough food available?</w:t>
            </w:r>
          </w:p>
          <w:p w14:paraId="3A204555" w14:textId="77777777" w:rsidR="001B4ED5" w:rsidRPr="00895D0B" w:rsidRDefault="001B4ED5">
            <w:pPr>
              <w:spacing w:line="240" w:lineRule="auto"/>
              <w:jc w:val="left"/>
              <w:rPr>
                <w:rFonts w:cs="Times New Roman"/>
                <w:color w:val="000000" w:themeColor="text1"/>
                <w:szCs w:val="24"/>
              </w:rPr>
            </w:pPr>
          </w:p>
        </w:tc>
        <w:tc>
          <w:tcPr>
            <w:tcW w:w="3332" w:type="dxa"/>
          </w:tcPr>
          <w:p w14:paraId="0310A4A5" w14:textId="77777777" w:rsidR="001B4ED5" w:rsidRPr="00895D0B" w:rsidRDefault="006B41C0">
            <w:pPr>
              <w:pStyle w:val="ListParagraph"/>
              <w:numPr>
                <w:ilvl w:val="0"/>
                <w:numId w:val="139"/>
              </w:numPr>
              <w:spacing w:line="240" w:lineRule="auto"/>
              <w:jc w:val="left"/>
              <w:rPr>
                <w:rFonts w:cs="Times New Roman"/>
                <w:color w:val="000000" w:themeColor="text1"/>
                <w:szCs w:val="24"/>
              </w:rPr>
            </w:pPr>
            <w:r w:rsidRPr="00895D0B">
              <w:rPr>
                <w:rFonts w:cs="Times New Roman"/>
                <w:color w:val="000000" w:themeColor="text1"/>
                <w:szCs w:val="24"/>
              </w:rPr>
              <w:t>Once a week [   ]</w:t>
            </w:r>
          </w:p>
          <w:p w14:paraId="3088FB59" w14:textId="77777777" w:rsidR="001B4ED5" w:rsidRPr="00895D0B" w:rsidRDefault="006B41C0">
            <w:pPr>
              <w:pStyle w:val="ListParagraph"/>
              <w:numPr>
                <w:ilvl w:val="0"/>
                <w:numId w:val="140"/>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a month [   ]</w:t>
            </w:r>
          </w:p>
          <w:p w14:paraId="121F6206" w14:textId="77777777" w:rsidR="001B4ED5" w:rsidRPr="00895D0B" w:rsidRDefault="006B41C0">
            <w:pPr>
              <w:pStyle w:val="ListParagraph"/>
              <w:numPr>
                <w:ilvl w:val="0"/>
                <w:numId w:val="140"/>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3 months [   ]</w:t>
            </w:r>
          </w:p>
          <w:p w14:paraId="59003EBE" w14:textId="77777777" w:rsidR="001B4ED5" w:rsidRPr="00895D0B" w:rsidRDefault="006B41C0">
            <w:pPr>
              <w:pStyle w:val="ListParagraph"/>
              <w:numPr>
                <w:ilvl w:val="0"/>
                <w:numId w:val="140"/>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6 months [   ]</w:t>
            </w:r>
          </w:p>
          <w:p w14:paraId="7973F28F" w14:textId="77777777" w:rsidR="001B4ED5" w:rsidRPr="00895D0B" w:rsidRDefault="006B41C0">
            <w:pPr>
              <w:pStyle w:val="ListParagraph"/>
              <w:numPr>
                <w:ilvl w:val="0"/>
                <w:numId w:val="140"/>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Never [   ]</w:t>
            </w:r>
          </w:p>
          <w:p w14:paraId="702D5B98" w14:textId="77777777" w:rsidR="001B4ED5" w:rsidRPr="00895D0B" w:rsidRDefault="006B41C0">
            <w:pPr>
              <w:pStyle w:val="ListParagraph"/>
              <w:numPr>
                <w:ilvl w:val="0"/>
                <w:numId w:val="140"/>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Don’t know [   ]</w:t>
            </w:r>
          </w:p>
        </w:tc>
        <w:tc>
          <w:tcPr>
            <w:tcW w:w="2693" w:type="dxa"/>
          </w:tcPr>
          <w:p w14:paraId="171FDBF8" w14:textId="77777777" w:rsidR="001B4ED5" w:rsidRPr="00895D0B" w:rsidRDefault="001B4ED5">
            <w:pPr>
              <w:spacing w:line="240" w:lineRule="auto"/>
              <w:rPr>
                <w:rFonts w:cs="Times New Roman"/>
                <w:color w:val="000000" w:themeColor="text1"/>
                <w:szCs w:val="24"/>
              </w:rPr>
            </w:pPr>
          </w:p>
        </w:tc>
      </w:tr>
      <w:tr w:rsidR="00895D0B" w:rsidRPr="00895D0B" w14:paraId="56AA649B" w14:textId="77777777">
        <w:trPr>
          <w:trHeight w:val="285"/>
        </w:trPr>
        <w:tc>
          <w:tcPr>
            <w:tcW w:w="9067" w:type="dxa"/>
            <w:gridSpan w:val="6"/>
          </w:tcPr>
          <w:p w14:paraId="76131F73" w14:textId="77777777" w:rsidR="001B4ED5" w:rsidRPr="00895D0B" w:rsidRDefault="006B41C0">
            <w:pPr>
              <w:spacing w:line="240" w:lineRule="auto"/>
              <w:rPr>
                <w:rFonts w:cs="Times New Roman"/>
                <w:color w:val="000000" w:themeColor="text1"/>
                <w:szCs w:val="24"/>
              </w:rPr>
            </w:pPr>
            <w:r w:rsidRPr="00895D0B">
              <w:rPr>
                <w:rFonts w:cs="Times New Roman"/>
                <w:b/>
                <w:i/>
                <w:color w:val="000000" w:themeColor="text1"/>
                <w:szCs w:val="24"/>
              </w:rPr>
              <w:t xml:space="preserve">Food accessibility </w:t>
            </w:r>
          </w:p>
        </w:tc>
      </w:tr>
      <w:tr w:rsidR="00895D0B" w:rsidRPr="00895D0B" w14:paraId="31EA6B4C" w14:textId="77777777">
        <w:trPr>
          <w:trHeight w:val="285"/>
        </w:trPr>
        <w:tc>
          <w:tcPr>
            <w:tcW w:w="3042" w:type="dxa"/>
            <w:gridSpan w:val="4"/>
          </w:tcPr>
          <w:p w14:paraId="61E26274"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F8:</w:t>
            </w:r>
            <w:r w:rsidRPr="00895D0B">
              <w:rPr>
                <w:rFonts w:cs="Times New Roman"/>
                <w:color w:val="000000" w:themeColor="text1"/>
                <w:szCs w:val="24"/>
              </w:rPr>
              <w:t xml:space="preserve"> Does your household get food from your urban farming throughout the years?</w:t>
            </w:r>
          </w:p>
        </w:tc>
        <w:tc>
          <w:tcPr>
            <w:tcW w:w="3332" w:type="dxa"/>
          </w:tcPr>
          <w:p w14:paraId="44E7D54E" w14:textId="77777777" w:rsidR="001B4ED5" w:rsidRPr="00895D0B" w:rsidRDefault="006B41C0">
            <w:pPr>
              <w:pStyle w:val="ListParagraph"/>
              <w:numPr>
                <w:ilvl w:val="0"/>
                <w:numId w:val="141"/>
              </w:numPr>
              <w:spacing w:line="240" w:lineRule="auto"/>
              <w:jc w:val="left"/>
              <w:rPr>
                <w:rFonts w:cs="Times New Roman"/>
                <w:color w:val="000000" w:themeColor="text1"/>
                <w:szCs w:val="24"/>
              </w:rPr>
            </w:pPr>
            <w:r w:rsidRPr="00895D0B">
              <w:rPr>
                <w:rFonts w:cs="Times New Roman"/>
                <w:color w:val="000000" w:themeColor="text1"/>
                <w:szCs w:val="24"/>
              </w:rPr>
              <w:t>Yes [   ]</w:t>
            </w:r>
          </w:p>
          <w:p w14:paraId="0CEEF106" w14:textId="77777777" w:rsidR="001B4ED5" w:rsidRPr="00895D0B" w:rsidRDefault="006B41C0">
            <w:pPr>
              <w:pStyle w:val="ListParagraph"/>
              <w:numPr>
                <w:ilvl w:val="0"/>
                <w:numId w:val="142"/>
              </w:numPr>
              <w:spacing w:line="240" w:lineRule="auto"/>
              <w:jc w:val="left"/>
              <w:rPr>
                <w:rFonts w:cs="Times New Roman"/>
                <w:color w:val="000000" w:themeColor="text1"/>
                <w:szCs w:val="24"/>
              </w:rPr>
            </w:pPr>
            <w:r w:rsidRPr="00895D0B">
              <w:rPr>
                <w:rFonts w:cs="Times New Roman"/>
                <w:color w:val="000000" w:themeColor="text1"/>
                <w:szCs w:val="24"/>
              </w:rPr>
              <w:t>No [   ]</w:t>
            </w:r>
          </w:p>
          <w:p w14:paraId="45A124EF" w14:textId="77777777" w:rsidR="001B4ED5" w:rsidRPr="00895D0B" w:rsidRDefault="006B41C0">
            <w:pPr>
              <w:pStyle w:val="ListParagraph"/>
              <w:numPr>
                <w:ilvl w:val="0"/>
                <w:numId w:val="142"/>
              </w:numPr>
              <w:spacing w:line="240" w:lineRule="auto"/>
              <w:jc w:val="left"/>
              <w:rPr>
                <w:rFonts w:cs="Times New Roman"/>
                <w:color w:val="000000" w:themeColor="text1"/>
                <w:szCs w:val="24"/>
              </w:rPr>
            </w:pPr>
            <w:r w:rsidRPr="00895D0B">
              <w:rPr>
                <w:rFonts w:cs="Times New Roman"/>
                <w:color w:val="000000" w:themeColor="text1"/>
                <w:szCs w:val="24"/>
              </w:rPr>
              <w:t>Sometimes [   ]</w:t>
            </w:r>
          </w:p>
        </w:tc>
        <w:tc>
          <w:tcPr>
            <w:tcW w:w="2693" w:type="dxa"/>
          </w:tcPr>
          <w:p w14:paraId="5212AFAD" w14:textId="77777777" w:rsidR="001B4ED5" w:rsidRPr="00895D0B" w:rsidRDefault="001B4ED5">
            <w:pPr>
              <w:spacing w:line="240" w:lineRule="auto"/>
              <w:rPr>
                <w:rFonts w:cs="Times New Roman"/>
                <w:color w:val="000000" w:themeColor="text1"/>
                <w:szCs w:val="24"/>
              </w:rPr>
            </w:pPr>
          </w:p>
        </w:tc>
      </w:tr>
      <w:tr w:rsidR="00895D0B" w:rsidRPr="00895D0B" w14:paraId="6C215355" w14:textId="77777777">
        <w:trPr>
          <w:trHeight w:val="285"/>
        </w:trPr>
        <w:tc>
          <w:tcPr>
            <w:tcW w:w="3042" w:type="dxa"/>
            <w:gridSpan w:val="4"/>
          </w:tcPr>
          <w:p w14:paraId="09230839"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F9:</w:t>
            </w:r>
            <w:r w:rsidRPr="00895D0B">
              <w:rPr>
                <w:rFonts w:cs="Times New Roman"/>
                <w:color w:val="000000" w:themeColor="text1"/>
                <w:szCs w:val="24"/>
              </w:rPr>
              <w:t xml:space="preserve"> How often did you or other household members ever not eat for a whole day because of lack of food in the house?</w:t>
            </w:r>
          </w:p>
        </w:tc>
        <w:tc>
          <w:tcPr>
            <w:tcW w:w="3332" w:type="dxa"/>
          </w:tcPr>
          <w:p w14:paraId="1FFF1C5F" w14:textId="77777777" w:rsidR="001B4ED5" w:rsidRPr="00895D0B" w:rsidRDefault="006B41C0">
            <w:pPr>
              <w:pStyle w:val="ListParagraph"/>
              <w:numPr>
                <w:ilvl w:val="0"/>
                <w:numId w:val="143"/>
              </w:numPr>
              <w:spacing w:line="240" w:lineRule="auto"/>
              <w:jc w:val="left"/>
              <w:rPr>
                <w:rFonts w:cs="Times New Roman"/>
                <w:color w:val="000000" w:themeColor="text1"/>
                <w:szCs w:val="24"/>
              </w:rPr>
            </w:pPr>
            <w:r w:rsidRPr="00895D0B">
              <w:rPr>
                <w:rFonts w:cs="Times New Roman"/>
                <w:color w:val="000000" w:themeColor="text1"/>
                <w:szCs w:val="24"/>
              </w:rPr>
              <w:t>Once a week [   ]</w:t>
            </w:r>
          </w:p>
          <w:p w14:paraId="18F01BB1" w14:textId="77777777" w:rsidR="001B4ED5" w:rsidRPr="00895D0B" w:rsidRDefault="006B41C0">
            <w:pPr>
              <w:pStyle w:val="ListParagraph"/>
              <w:numPr>
                <w:ilvl w:val="0"/>
                <w:numId w:val="14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a month [   ]</w:t>
            </w:r>
          </w:p>
          <w:p w14:paraId="4E630B19" w14:textId="77777777" w:rsidR="001B4ED5" w:rsidRPr="00895D0B" w:rsidRDefault="006B41C0">
            <w:pPr>
              <w:pStyle w:val="ListParagraph"/>
              <w:numPr>
                <w:ilvl w:val="0"/>
                <w:numId w:val="14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3 months [   ]</w:t>
            </w:r>
          </w:p>
          <w:p w14:paraId="48ADA7F5" w14:textId="77777777" w:rsidR="001B4ED5" w:rsidRPr="00895D0B" w:rsidRDefault="006B41C0">
            <w:pPr>
              <w:pStyle w:val="ListParagraph"/>
              <w:numPr>
                <w:ilvl w:val="0"/>
                <w:numId w:val="14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6 months [   ]</w:t>
            </w:r>
          </w:p>
          <w:p w14:paraId="49112EBB" w14:textId="77777777" w:rsidR="001B4ED5" w:rsidRPr="00895D0B" w:rsidRDefault="006B41C0">
            <w:pPr>
              <w:pStyle w:val="ListParagraph"/>
              <w:numPr>
                <w:ilvl w:val="0"/>
                <w:numId w:val="14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Never happened [   ]</w:t>
            </w:r>
          </w:p>
          <w:p w14:paraId="333A95C6" w14:textId="77777777" w:rsidR="001B4ED5" w:rsidRPr="00895D0B" w:rsidRDefault="006B41C0">
            <w:pPr>
              <w:pStyle w:val="ListParagraph"/>
              <w:numPr>
                <w:ilvl w:val="0"/>
                <w:numId w:val="14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Don’t know [   ]</w:t>
            </w:r>
          </w:p>
        </w:tc>
        <w:tc>
          <w:tcPr>
            <w:tcW w:w="2693" w:type="dxa"/>
          </w:tcPr>
          <w:p w14:paraId="69909E99" w14:textId="77777777" w:rsidR="001B4ED5" w:rsidRPr="00895D0B" w:rsidRDefault="001B4ED5">
            <w:pPr>
              <w:spacing w:line="240" w:lineRule="auto"/>
              <w:rPr>
                <w:rFonts w:cs="Times New Roman"/>
                <w:color w:val="000000" w:themeColor="text1"/>
                <w:szCs w:val="24"/>
              </w:rPr>
            </w:pPr>
          </w:p>
        </w:tc>
      </w:tr>
      <w:tr w:rsidR="00895D0B" w:rsidRPr="00895D0B" w14:paraId="1E5FCAF8" w14:textId="77777777">
        <w:trPr>
          <w:trHeight w:val="285"/>
        </w:trPr>
        <w:tc>
          <w:tcPr>
            <w:tcW w:w="3042" w:type="dxa"/>
            <w:gridSpan w:val="4"/>
          </w:tcPr>
          <w:p w14:paraId="5586D877"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F10:</w:t>
            </w:r>
            <w:r w:rsidRPr="00895D0B">
              <w:rPr>
                <w:rFonts w:cs="Times New Roman"/>
                <w:color w:val="000000" w:themeColor="text1"/>
                <w:szCs w:val="24"/>
              </w:rPr>
              <w:t xml:space="preserve"> Did any of the children ever skip a meal due to no enough food in the house?</w:t>
            </w:r>
          </w:p>
        </w:tc>
        <w:tc>
          <w:tcPr>
            <w:tcW w:w="3332" w:type="dxa"/>
          </w:tcPr>
          <w:p w14:paraId="312B3F59" w14:textId="77777777" w:rsidR="001B4ED5" w:rsidRPr="00895D0B" w:rsidRDefault="006B41C0">
            <w:pPr>
              <w:pStyle w:val="ListParagraph"/>
              <w:numPr>
                <w:ilvl w:val="0"/>
                <w:numId w:val="145"/>
              </w:numPr>
              <w:spacing w:line="240" w:lineRule="auto"/>
              <w:jc w:val="left"/>
              <w:rPr>
                <w:rFonts w:cs="Times New Roman"/>
                <w:color w:val="000000" w:themeColor="text1"/>
                <w:szCs w:val="24"/>
              </w:rPr>
            </w:pPr>
            <w:r w:rsidRPr="00895D0B">
              <w:rPr>
                <w:rFonts w:cs="Times New Roman"/>
                <w:color w:val="000000" w:themeColor="text1"/>
                <w:szCs w:val="24"/>
              </w:rPr>
              <w:t>Once a week [   ]</w:t>
            </w:r>
          </w:p>
          <w:p w14:paraId="632A054F" w14:textId="77777777" w:rsidR="001B4ED5" w:rsidRPr="00895D0B" w:rsidRDefault="006B41C0">
            <w:pPr>
              <w:pStyle w:val="ListParagraph"/>
              <w:numPr>
                <w:ilvl w:val="0"/>
                <w:numId w:val="146"/>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a month [   ]</w:t>
            </w:r>
          </w:p>
          <w:p w14:paraId="5E1A8894" w14:textId="77777777" w:rsidR="001B4ED5" w:rsidRPr="00895D0B" w:rsidRDefault="006B41C0">
            <w:pPr>
              <w:pStyle w:val="ListParagraph"/>
              <w:numPr>
                <w:ilvl w:val="0"/>
                <w:numId w:val="146"/>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3 months [   ]</w:t>
            </w:r>
          </w:p>
          <w:p w14:paraId="3AF690A6" w14:textId="77777777" w:rsidR="001B4ED5" w:rsidRPr="00895D0B" w:rsidRDefault="006B41C0">
            <w:pPr>
              <w:pStyle w:val="ListParagraph"/>
              <w:numPr>
                <w:ilvl w:val="0"/>
                <w:numId w:val="146"/>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6 months [   ]</w:t>
            </w:r>
          </w:p>
          <w:p w14:paraId="201805F3" w14:textId="77777777" w:rsidR="001B4ED5" w:rsidRPr="00895D0B" w:rsidRDefault="006B41C0">
            <w:pPr>
              <w:pStyle w:val="ListParagraph"/>
              <w:numPr>
                <w:ilvl w:val="0"/>
                <w:numId w:val="146"/>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lastRenderedPageBreak/>
              <w:t>Never [   ]</w:t>
            </w:r>
          </w:p>
          <w:p w14:paraId="54A9065B" w14:textId="77777777" w:rsidR="001B4ED5" w:rsidRPr="00895D0B" w:rsidRDefault="006B41C0">
            <w:pPr>
              <w:pStyle w:val="ListParagraph"/>
              <w:numPr>
                <w:ilvl w:val="0"/>
                <w:numId w:val="146"/>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Don’t know [   ]</w:t>
            </w:r>
          </w:p>
        </w:tc>
        <w:tc>
          <w:tcPr>
            <w:tcW w:w="2693" w:type="dxa"/>
          </w:tcPr>
          <w:p w14:paraId="7365AB0B" w14:textId="77777777" w:rsidR="001B4ED5" w:rsidRPr="00895D0B" w:rsidRDefault="001B4ED5">
            <w:pPr>
              <w:spacing w:line="240" w:lineRule="auto"/>
              <w:rPr>
                <w:rFonts w:cs="Times New Roman"/>
                <w:color w:val="000000" w:themeColor="text1"/>
                <w:szCs w:val="24"/>
              </w:rPr>
            </w:pPr>
          </w:p>
        </w:tc>
      </w:tr>
      <w:tr w:rsidR="00895D0B" w:rsidRPr="00895D0B" w14:paraId="16753299" w14:textId="77777777">
        <w:trPr>
          <w:trHeight w:val="285"/>
        </w:trPr>
        <w:tc>
          <w:tcPr>
            <w:tcW w:w="3042" w:type="dxa"/>
            <w:gridSpan w:val="4"/>
          </w:tcPr>
          <w:p w14:paraId="5BFA5D3D"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F11:</w:t>
            </w:r>
            <w:r w:rsidRPr="00895D0B">
              <w:rPr>
                <w:rFonts w:cs="Times New Roman"/>
                <w:color w:val="000000" w:themeColor="text1"/>
                <w:szCs w:val="24"/>
              </w:rPr>
              <w:t xml:space="preserve"> Did any of the children ever not eat for a whole day because of lack of money to</w:t>
            </w:r>
          </w:p>
          <w:p w14:paraId="2ED7E280"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buy food?</w:t>
            </w:r>
          </w:p>
        </w:tc>
        <w:tc>
          <w:tcPr>
            <w:tcW w:w="3332" w:type="dxa"/>
          </w:tcPr>
          <w:p w14:paraId="2B190D36" w14:textId="77777777" w:rsidR="001B4ED5" w:rsidRPr="00895D0B" w:rsidRDefault="006B41C0">
            <w:pPr>
              <w:pStyle w:val="ListParagraph"/>
              <w:numPr>
                <w:ilvl w:val="0"/>
                <w:numId w:val="147"/>
              </w:numPr>
              <w:spacing w:line="240" w:lineRule="auto"/>
              <w:jc w:val="left"/>
              <w:rPr>
                <w:rFonts w:cs="Times New Roman"/>
                <w:color w:val="000000" w:themeColor="text1"/>
                <w:szCs w:val="24"/>
              </w:rPr>
            </w:pPr>
            <w:r w:rsidRPr="00895D0B">
              <w:rPr>
                <w:rFonts w:cs="Times New Roman"/>
                <w:color w:val="000000" w:themeColor="text1"/>
                <w:szCs w:val="24"/>
              </w:rPr>
              <w:t>Once a week [   ]</w:t>
            </w:r>
          </w:p>
          <w:p w14:paraId="7B1C99BE" w14:textId="77777777" w:rsidR="001B4ED5" w:rsidRPr="00895D0B" w:rsidRDefault="006B41C0">
            <w:pPr>
              <w:pStyle w:val="ListParagraph"/>
              <w:numPr>
                <w:ilvl w:val="0"/>
                <w:numId w:val="148"/>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a month [   ]</w:t>
            </w:r>
          </w:p>
          <w:p w14:paraId="13431905" w14:textId="77777777" w:rsidR="001B4ED5" w:rsidRPr="00895D0B" w:rsidRDefault="006B41C0">
            <w:pPr>
              <w:pStyle w:val="ListParagraph"/>
              <w:numPr>
                <w:ilvl w:val="0"/>
                <w:numId w:val="148"/>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3 months [   ]</w:t>
            </w:r>
          </w:p>
          <w:p w14:paraId="10238633" w14:textId="77777777" w:rsidR="001B4ED5" w:rsidRPr="00895D0B" w:rsidRDefault="006B41C0">
            <w:pPr>
              <w:pStyle w:val="ListParagraph"/>
              <w:numPr>
                <w:ilvl w:val="0"/>
                <w:numId w:val="148"/>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6 months [   ]</w:t>
            </w:r>
          </w:p>
          <w:p w14:paraId="3DDFFA8A" w14:textId="77777777" w:rsidR="001B4ED5" w:rsidRPr="00895D0B" w:rsidRDefault="006B41C0">
            <w:pPr>
              <w:pStyle w:val="ListParagraph"/>
              <w:numPr>
                <w:ilvl w:val="0"/>
                <w:numId w:val="148"/>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Never [   ]</w:t>
            </w:r>
          </w:p>
          <w:p w14:paraId="549B59D2" w14:textId="77777777" w:rsidR="001B4ED5" w:rsidRPr="00895D0B" w:rsidRDefault="006B41C0">
            <w:pPr>
              <w:pStyle w:val="ListParagraph"/>
              <w:numPr>
                <w:ilvl w:val="0"/>
                <w:numId w:val="148"/>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Don’t know [   ]</w:t>
            </w:r>
          </w:p>
        </w:tc>
        <w:tc>
          <w:tcPr>
            <w:tcW w:w="2693" w:type="dxa"/>
          </w:tcPr>
          <w:p w14:paraId="66D1B763" w14:textId="77777777" w:rsidR="001B4ED5" w:rsidRPr="00895D0B" w:rsidRDefault="001B4ED5">
            <w:pPr>
              <w:spacing w:line="240" w:lineRule="auto"/>
              <w:rPr>
                <w:rFonts w:cs="Times New Roman"/>
                <w:color w:val="000000" w:themeColor="text1"/>
                <w:szCs w:val="24"/>
              </w:rPr>
            </w:pPr>
          </w:p>
        </w:tc>
      </w:tr>
      <w:tr w:rsidR="00895D0B" w:rsidRPr="00895D0B" w14:paraId="3ABA433F" w14:textId="77777777">
        <w:trPr>
          <w:trHeight w:val="285"/>
        </w:trPr>
        <w:tc>
          <w:tcPr>
            <w:tcW w:w="9067" w:type="dxa"/>
            <w:gridSpan w:val="6"/>
          </w:tcPr>
          <w:p w14:paraId="2922E50F" w14:textId="77777777" w:rsidR="001B4ED5" w:rsidRPr="00895D0B" w:rsidRDefault="006B41C0">
            <w:pPr>
              <w:spacing w:line="240" w:lineRule="auto"/>
              <w:rPr>
                <w:rFonts w:cs="Times New Roman"/>
                <w:color w:val="000000" w:themeColor="text1"/>
                <w:szCs w:val="24"/>
              </w:rPr>
            </w:pPr>
            <w:r w:rsidRPr="00895D0B">
              <w:rPr>
                <w:rFonts w:cs="Times New Roman"/>
                <w:b/>
                <w:i/>
                <w:color w:val="000000" w:themeColor="text1"/>
                <w:szCs w:val="24"/>
              </w:rPr>
              <w:t xml:space="preserve">Food affordability </w:t>
            </w:r>
          </w:p>
        </w:tc>
      </w:tr>
      <w:tr w:rsidR="00895D0B" w:rsidRPr="00895D0B" w14:paraId="1AD8F4E0" w14:textId="77777777">
        <w:trPr>
          <w:trHeight w:val="285"/>
        </w:trPr>
        <w:tc>
          <w:tcPr>
            <w:tcW w:w="3042" w:type="dxa"/>
            <w:gridSpan w:val="4"/>
          </w:tcPr>
          <w:p w14:paraId="16B296B7"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F12:</w:t>
            </w:r>
            <w:r w:rsidRPr="00895D0B">
              <w:rPr>
                <w:rFonts w:cs="Times New Roman"/>
                <w:color w:val="000000" w:themeColor="text1"/>
                <w:szCs w:val="24"/>
              </w:rPr>
              <w:t xml:space="preserve"> Apart from your urban farm produced, is your household able to afford other food produced in the urban center?</w:t>
            </w:r>
          </w:p>
        </w:tc>
        <w:tc>
          <w:tcPr>
            <w:tcW w:w="3332" w:type="dxa"/>
          </w:tcPr>
          <w:p w14:paraId="5C4CA140" w14:textId="77777777" w:rsidR="001B4ED5" w:rsidRPr="00895D0B" w:rsidRDefault="006B41C0">
            <w:pPr>
              <w:pStyle w:val="ListParagraph"/>
              <w:numPr>
                <w:ilvl w:val="0"/>
                <w:numId w:val="149"/>
              </w:numPr>
              <w:spacing w:line="240" w:lineRule="auto"/>
              <w:jc w:val="left"/>
              <w:rPr>
                <w:rFonts w:cs="Times New Roman"/>
                <w:color w:val="000000" w:themeColor="text1"/>
                <w:szCs w:val="24"/>
              </w:rPr>
            </w:pPr>
            <w:r w:rsidRPr="00895D0B">
              <w:rPr>
                <w:rFonts w:cs="Times New Roman"/>
                <w:color w:val="000000" w:themeColor="text1"/>
                <w:szCs w:val="24"/>
              </w:rPr>
              <w:t>Yes [   ]</w:t>
            </w:r>
          </w:p>
          <w:p w14:paraId="02D30BFD" w14:textId="77777777" w:rsidR="001B4ED5" w:rsidRPr="00895D0B" w:rsidRDefault="006B41C0">
            <w:pPr>
              <w:pStyle w:val="ListParagraph"/>
              <w:numPr>
                <w:ilvl w:val="0"/>
                <w:numId w:val="150"/>
              </w:numPr>
              <w:spacing w:line="240" w:lineRule="auto"/>
              <w:jc w:val="left"/>
              <w:rPr>
                <w:rFonts w:cs="Times New Roman"/>
                <w:color w:val="000000" w:themeColor="text1"/>
                <w:szCs w:val="24"/>
              </w:rPr>
            </w:pPr>
            <w:r w:rsidRPr="00895D0B">
              <w:rPr>
                <w:rFonts w:cs="Times New Roman"/>
                <w:color w:val="000000" w:themeColor="text1"/>
                <w:szCs w:val="24"/>
              </w:rPr>
              <w:t>No [   ]</w:t>
            </w:r>
          </w:p>
          <w:p w14:paraId="757FA66C" w14:textId="77777777" w:rsidR="001B4ED5" w:rsidRPr="00895D0B" w:rsidRDefault="006B41C0">
            <w:pPr>
              <w:pStyle w:val="ListParagraph"/>
              <w:numPr>
                <w:ilvl w:val="0"/>
                <w:numId w:val="150"/>
              </w:numPr>
              <w:spacing w:line="240" w:lineRule="auto"/>
              <w:jc w:val="left"/>
              <w:rPr>
                <w:rFonts w:cs="Times New Roman"/>
                <w:color w:val="000000" w:themeColor="text1"/>
                <w:szCs w:val="24"/>
              </w:rPr>
            </w:pPr>
            <w:r w:rsidRPr="00895D0B">
              <w:rPr>
                <w:rFonts w:cs="Times New Roman"/>
                <w:color w:val="000000" w:themeColor="text1"/>
                <w:szCs w:val="24"/>
              </w:rPr>
              <w:t>Sometimes [   ]</w:t>
            </w:r>
          </w:p>
          <w:p w14:paraId="3D20824F" w14:textId="77777777" w:rsidR="001B4ED5" w:rsidRPr="00895D0B" w:rsidRDefault="001B4ED5">
            <w:pPr>
              <w:spacing w:line="240" w:lineRule="auto"/>
              <w:rPr>
                <w:rFonts w:cs="Times New Roman"/>
                <w:color w:val="000000" w:themeColor="text1"/>
                <w:szCs w:val="24"/>
              </w:rPr>
            </w:pPr>
          </w:p>
        </w:tc>
        <w:tc>
          <w:tcPr>
            <w:tcW w:w="2693" w:type="dxa"/>
          </w:tcPr>
          <w:p w14:paraId="2333F208" w14:textId="77777777" w:rsidR="001B4ED5" w:rsidRPr="00895D0B" w:rsidRDefault="001B4ED5">
            <w:pPr>
              <w:spacing w:line="240" w:lineRule="auto"/>
              <w:rPr>
                <w:rFonts w:cs="Times New Roman"/>
                <w:color w:val="000000" w:themeColor="text1"/>
                <w:szCs w:val="24"/>
              </w:rPr>
            </w:pPr>
          </w:p>
        </w:tc>
      </w:tr>
      <w:tr w:rsidR="00895D0B" w:rsidRPr="00895D0B" w14:paraId="73B28D09" w14:textId="77777777">
        <w:trPr>
          <w:trHeight w:val="285"/>
        </w:trPr>
        <w:tc>
          <w:tcPr>
            <w:tcW w:w="3042" w:type="dxa"/>
            <w:gridSpan w:val="4"/>
          </w:tcPr>
          <w:p w14:paraId="1036F24C"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F13:</w:t>
            </w:r>
            <w:r w:rsidRPr="00895D0B">
              <w:rPr>
                <w:rFonts w:cs="Times New Roman"/>
                <w:color w:val="000000" w:themeColor="text1"/>
                <w:szCs w:val="24"/>
              </w:rPr>
              <w:t xml:space="preserve"> Are vegetables produced in the urban space expensive? </w:t>
            </w:r>
          </w:p>
        </w:tc>
        <w:tc>
          <w:tcPr>
            <w:tcW w:w="3332" w:type="dxa"/>
          </w:tcPr>
          <w:p w14:paraId="26F9F493" w14:textId="77777777" w:rsidR="001B4ED5" w:rsidRPr="00895D0B" w:rsidRDefault="006B41C0">
            <w:pPr>
              <w:pStyle w:val="ListParagraph"/>
              <w:numPr>
                <w:ilvl w:val="0"/>
                <w:numId w:val="151"/>
              </w:numPr>
              <w:spacing w:line="240" w:lineRule="auto"/>
              <w:jc w:val="left"/>
              <w:rPr>
                <w:rFonts w:cs="Times New Roman"/>
                <w:color w:val="000000" w:themeColor="text1"/>
                <w:szCs w:val="24"/>
              </w:rPr>
            </w:pPr>
            <w:r w:rsidRPr="00895D0B">
              <w:rPr>
                <w:rFonts w:cs="Times New Roman"/>
                <w:color w:val="000000" w:themeColor="text1"/>
                <w:szCs w:val="24"/>
              </w:rPr>
              <w:t>Yes [   ]</w:t>
            </w:r>
          </w:p>
          <w:p w14:paraId="5E287043" w14:textId="77777777" w:rsidR="001B4ED5" w:rsidRPr="00895D0B" w:rsidRDefault="006B41C0">
            <w:pPr>
              <w:pStyle w:val="ListParagraph"/>
              <w:numPr>
                <w:ilvl w:val="0"/>
                <w:numId w:val="152"/>
              </w:numPr>
              <w:spacing w:line="240" w:lineRule="auto"/>
              <w:jc w:val="left"/>
              <w:rPr>
                <w:rFonts w:cs="Times New Roman"/>
                <w:color w:val="000000" w:themeColor="text1"/>
                <w:szCs w:val="24"/>
              </w:rPr>
            </w:pPr>
            <w:r w:rsidRPr="00895D0B">
              <w:rPr>
                <w:rFonts w:cs="Times New Roman"/>
                <w:color w:val="000000" w:themeColor="text1"/>
                <w:szCs w:val="24"/>
              </w:rPr>
              <w:t>No [   ]</w:t>
            </w:r>
          </w:p>
          <w:p w14:paraId="50679168" w14:textId="77777777" w:rsidR="001B4ED5" w:rsidRPr="00895D0B" w:rsidRDefault="006B41C0">
            <w:pPr>
              <w:pStyle w:val="ListParagraph"/>
              <w:numPr>
                <w:ilvl w:val="0"/>
                <w:numId w:val="152"/>
              </w:numPr>
              <w:spacing w:line="240" w:lineRule="auto"/>
              <w:jc w:val="left"/>
              <w:rPr>
                <w:rFonts w:cs="Times New Roman"/>
                <w:color w:val="000000" w:themeColor="text1"/>
                <w:szCs w:val="24"/>
              </w:rPr>
            </w:pPr>
            <w:r w:rsidRPr="00895D0B">
              <w:rPr>
                <w:rFonts w:cs="Times New Roman"/>
                <w:color w:val="000000" w:themeColor="text1"/>
                <w:szCs w:val="24"/>
              </w:rPr>
              <w:t>Sometimes [   ]</w:t>
            </w:r>
          </w:p>
        </w:tc>
        <w:tc>
          <w:tcPr>
            <w:tcW w:w="2693" w:type="dxa"/>
          </w:tcPr>
          <w:p w14:paraId="30421F2B" w14:textId="77777777" w:rsidR="001B4ED5" w:rsidRPr="00895D0B" w:rsidRDefault="001B4ED5">
            <w:pPr>
              <w:spacing w:line="240" w:lineRule="auto"/>
              <w:rPr>
                <w:rFonts w:cs="Times New Roman"/>
                <w:color w:val="000000" w:themeColor="text1"/>
                <w:szCs w:val="24"/>
              </w:rPr>
            </w:pPr>
          </w:p>
        </w:tc>
      </w:tr>
      <w:tr w:rsidR="00895D0B" w:rsidRPr="00895D0B" w14:paraId="7B676633" w14:textId="77777777">
        <w:trPr>
          <w:trHeight w:val="285"/>
        </w:trPr>
        <w:tc>
          <w:tcPr>
            <w:tcW w:w="3042" w:type="dxa"/>
            <w:gridSpan w:val="4"/>
          </w:tcPr>
          <w:p w14:paraId="23D97900"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F14:</w:t>
            </w:r>
            <w:r w:rsidRPr="00895D0B">
              <w:rPr>
                <w:rFonts w:cs="Times New Roman"/>
                <w:color w:val="000000" w:themeColor="text1"/>
                <w:szCs w:val="24"/>
              </w:rPr>
              <w:t xml:space="preserve"> Are animals products like ruminants produced in the urban centers </w:t>
            </w:r>
          </w:p>
        </w:tc>
        <w:tc>
          <w:tcPr>
            <w:tcW w:w="3332" w:type="dxa"/>
          </w:tcPr>
          <w:p w14:paraId="6903A9AC" w14:textId="77777777" w:rsidR="001B4ED5" w:rsidRPr="00895D0B" w:rsidRDefault="006B41C0">
            <w:pPr>
              <w:pStyle w:val="ListParagraph"/>
              <w:numPr>
                <w:ilvl w:val="0"/>
                <w:numId w:val="153"/>
              </w:numPr>
              <w:spacing w:line="240" w:lineRule="auto"/>
              <w:jc w:val="left"/>
              <w:rPr>
                <w:rFonts w:cs="Times New Roman"/>
                <w:color w:val="000000" w:themeColor="text1"/>
                <w:szCs w:val="24"/>
              </w:rPr>
            </w:pPr>
            <w:r w:rsidRPr="00895D0B">
              <w:rPr>
                <w:rFonts w:cs="Times New Roman"/>
                <w:color w:val="000000" w:themeColor="text1"/>
                <w:szCs w:val="24"/>
              </w:rPr>
              <w:t>Yes [   ]</w:t>
            </w:r>
          </w:p>
          <w:p w14:paraId="4C911FEC" w14:textId="77777777" w:rsidR="001B4ED5" w:rsidRPr="00895D0B" w:rsidRDefault="006B41C0">
            <w:pPr>
              <w:pStyle w:val="ListParagraph"/>
              <w:numPr>
                <w:ilvl w:val="0"/>
                <w:numId w:val="154"/>
              </w:numPr>
              <w:spacing w:line="240" w:lineRule="auto"/>
              <w:jc w:val="left"/>
              <w:rPr>
                <w:rFonts w:cs="Times New Roman"/>
                <w:color w:val="000000" w:themeColor="text1"/>
                <w:szCs w:val="24"/>
              </w:rPr>
            </w:pPr>
            <w:r w:rsidRPr="00895D0B">
              <w:rPr>
                <w:rFonts w:cs="Times New Roman"/>
                <w:color w:val="000000" w:themeColor="text1"/>
                <w:szCs w:val="24"/>
              </w:rPr>
              <w:t>No [   ]</w:t>
            </w:r>
          </w:p>
          <w:p w14:paraId="768284E9" w14:textId="77777777" w:rsidR="001B4ED5" w:rsidRPr="00895D0B" w:rsidRDefault="006B41C0">
            <w:pPr>
              <w:pStyle w:val="ListParagraph"/>
              <w:numPr>
                <w:ilvl w:val="0"/>
                <w:numId w:val="154"/>
              </w:numPr>
              <w:spacing w:line="240" w:lineRule="auto"/>
              <w:jc w:val="left"/>
              <w:rPr>
                <w:rFonts w:cs="Times New Roman"/>
                <w:color w:val="000000" w:themeColor="text1"/>
                <w:szCs w:val="24"/>
              </w:rPr>
            </w:pPr>
            <w:r w:rsidRPr="00895D0B">
              <w:rPr>
                <w:rFonts w:cs="Times New Roman"/>
                <w:color w:val="000000" w:themeColor="text1"/>
                <w:szCs w:val="24"/>
              </w:rPr>
              <w:t>Sometimes [   ]</w:t>
            </w:r>
          </w:p>
        </w:tc>
        <w:tc>
          <w:tcPr>
            <w:tcW w:w="2693" w:type="dxa"/>
          </w:tcPr>
          <w:p w14:paraId="0831D93B" w14:textId="77777777" w:rsidR="001B4ED5" w:rsidRPr="00895D0B" w:rsidRDefault="001B4ED5">
            <w:pPr>
              <w:spacing w:line="240" w:lineRule="auto"/>
              <w:rPr>
                <w:rFonts w:cs="Times New Roman"/>
                <w:color w:val="000000" w:themeColor="text1"/>
                <w:szCs w:val="24"/>
              </w:rPr>
            </w:pPr>
          </w:p>
        </w:tc>
      </w:tr>
      <w:tr w:rsidR="00895D0B" w:rsidRPr="00895D0B" w14:paraId="26F671B7" w14:textId="77777777">
        <w:trPr>
          <w:trHeight w:val="285"/>
        </w:trPr>
        <w:tc>
          <w:tcPr>
            <w:tcW w:w="3042" w:type="dxa"/>
            <w:gridSpan w:val="4"/>
          </w:tcPr>
          <w:p w14:paraId="48C8B474"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F15:</w:t>
            </w:r>
            <w:r w:rsidRPr="00895D0B">
              <w:rPr>
                <w:rFonts w:cs="Times New Roman"/>
                <w:color w:val="000000" w:themeColor="text1"/>
                <w:szCs w:val="24"/>
              </w:rPr>
              <w:t xml:space="preserve"> Are you able to buy chicken produced in the urban centers?</w:t>
            </w:r>
          </w:p>
        </w:tc>
        <w:tc>
          <w:tcPr>
            <w:tcW w:w="3332" w:type="dxa"/>
          </w:tcPr>
          <w:p w14:paraId="56BF9EC8" w14:textId="77777777" w:rsidR="001B4ED5" w:rsidRPr="00895D0B" w:rsidRDefault="006B41C0">
            <w:pPr>
              <w:pStyle w:val="ListParagraph"/>
              <w:numPr>
                <w:ilvl w:val="0"/>
                <w:numId w:val="155"/>
              </w:numPr>
              <w:spacing w:line="240" w:lineRule="auto"/>
              <w:jc w:val="left"/>
              <w:rPr>
                <w:rFonts w:cs="Times New Roman"/>
                <w:color w:val="000000" w:themeColor="text1"/>
                <w:szCs w:val="24"/>
              </w:rPr>
            </w:pPr>
            <w:r w:rsidRPr="00895D0B">
              <w:rPr>
                <w:rFonts w:cs="Times New Roman"/>
                <w:color w:val="000000" w:themeColor="text1"/>
                <w:szCs w:val="24"/>
              </w:rPr>
              <w:t>Yes [   ]</w:t>
            </w:r>
          </w:p>
          <w:p w14:paraId="103B33EE" w14:textId="77777777" w:rsidR="001B4ED5" w:rsidRPr="00895D0B" w:rsidRDefault="006B41C0">
            <w:pPr>
              <w:pStyle w:val="ListParagraph"/>
              <w:numPr>
                <w:ilvl w:val="0"/>
                <w:numId w:val="156"/>
              </w:numPr>
              <w:spacing w:line="240" w:lineRule="auto"/>
              <w:jc w:val="left"/>
              <w:rPr>
                <w:rFonts w:cs="Times New Roman"/>
                <w:color w:val="000000" w:themeColor="text1"/>
                <w:szCs w:val="24"/>
              </w:rPr>
            </w:pPr>
            <w:r w:rsidRPr="00895D0B">
              <w:rPr>
                <w:rFonts w:cs="Times New Roman"/>
                <w:color w:val="000000" w:themeColor="text1"/>
                <w:szCs w:val="24"/>
              </w:rPr>
              <w:t>No [   ]</w:t>
            </w:r>
          </w:p>
          <w:p w14:paraId="4A43D9B2" w14:textId="77777777" w:rsidR="001B4ED5" w:rsidRPr="00895D0B" w:rsidRDefault="006B41C0">
            <w:pPr>
              <w:pStyle w:val="ListParagraph"/>
              <w:numPr>
                <w:ilvl w:val="0"/>
                <w:numId w:val="156"/>
              </w:numPr>
              <w:spacing w:line="240" w:lineRule="auto"/>
              <w:jc w:val="left"/>
              <w:rPr>
                <w:rFonts w:cs="Times New Roman"/>
                <w:color w:val="000000" w:themeColor="text1"/>
                <w:szCs w:val="24"/>
              </w:rPr>
            </w:pPr>
            <w:r w:rsidRPr="00895D0B">
              <w:rPr>
                <w:rFonts w:cs="Times New Roman"/>
                <w:color w:val="000000" w:themeColor="text1"/>
                <w:szCs w:val="24"/>
              </w:rPr>
              <w:t>Sometimes [   ]</w:t>
            </w:r>
          </w:p>
        </w:tc>
        <w:tc>
          <w:tcPr>
            <w:tcW w:w="2693" w:type="dxa"/>
          </w:tcPr>
          <w:p w14:paraId="28037043" w14:textId="77777777" w:rsidR="001B4ED5" w:rsidRPr="00895D0B" w:rsidRDefault="001B4ED5">
            <w:pPr>
              <w:spacing w:line="240" w:lineRule="auto"/>
              <w:rPr>
                <w:rFonts w:cs="Times New Roman"/>
                <w:color w:val="000000" w:themeColor="text1"/>
                <w:szCs w:val="24"/>
              </w:rPr>
            </w:pPr>
          </w:p>
        </w:tc>
      </w:tr>
      <w:tr w:rsidR="00895D0B" w:rsidRPr="00895D0B" w14:paraId="4CE999B0" w14:textId="77777777">
        <w:trPr>
          <w:trHeight w:val="285"/>
        </w:trPr>
        <w:tc>
          <w:tcPr>
            <w:tcW w:w="3042" w:type="dxa"/>
            <w:gridSpan w:val="4"/>
          </w:tcPr>
          <w:p w14:paraId="577535DF"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F16:</w:t>
            </w:r>
            <w:r w:rsidRPr="00895D0B">
              <w:rPr>
                <w:rFonts w:cs="Times New Roman"/>
                <w:color w:val="000000" w:themeColor="text1"/>
                <w:szCs w:val="24"/>
              </w:rPr>
              <w:t xml:space="preserve"> In your own view which of these produced in the urban space are costly?</w:t>
            </w:r>
          </w:p>
        </w:tc>
        <w:tc>
          <w:tcPr>
            <w:tcW w:w="3332" w:type="dxa"/>
          </w:tcPr>
          <w:p w14:paraId="46A09549" w14:textId="77777777" w:rsidR="001B4ED5" w:rsidRPr="00895D0B" w:rsidRDefault="006B41C0">
            <w:pPr>
              <w:pStyle w:val="ListParagraph"/>
              <w:numPr>
                <w:ilvl w:val="0"/>
                <w:numId w:val="157"/>
              </w:numPr>
              <w:spacing w:line="240" w:lineRule="auto"/>
              <w:jc w:val="left"/>
              <w:rPr>
                <w:rFonts w:cs="Times New Roman"/>
                <w:color w:val="000000" w:themeColor="text1"/>
                <w:szCs w:val="24"/>
              </w:rPr>
            </w:pPr>
            <w:r w:rsidRPr="00895D0B">
              <w:rPr>
                <w:rFonts w:cs="Times New Roman"/>
                <w:color w:val="000000" w:themeColor="text1"/>
                <w:szCs w:val="24"/>
              </w:rPr>
              <w:t>Chicken and chicken products [   ]</w:t>
            </w:r>
          </w:p>
          <w:p w14:paraId="198BF33B" w14:textId="77777777" w:rsidR="001B4ED5" w:rsidRPr="00895D0B" w:rsidRDefault="006B41C0">
            <w:pPr>
              <w:pStyle w:val="ListParagraph"/>
              <w:numPr>
                <w:ilvl w:val="0"/>
                <w:numId w:val="158"/>
              </w:numPr>
              <w:spacing w:line="240" w:lineRule="auto"/>
              <w:jc w:val="left"/>
              <w:rPr>
                <w:rFonts w:cs="Times New Roman"/>
                <w:color w:val="000000" w:themeColor="text1"/>
                <w:szCs w:val="24"/>
              </w:rPr>
            </w:pPr>
            <w:r w:rsidRPr="00895D0B">
              <w:rPr>
                <w:rFonts w:cs="Times New Roman"/>
                <w:color w:val="000000" w:themeColor="text1"/>
                <w:szCs w:val="24"/>
              </w:rPr>
              <w:t>Small ruminants [   ]</w:t>
            </w:r>
          </w:p>
          <w:p w14:paraId="28FECC84" w14:textId="77777777" w:rsidR="001B4ED5" w:rsidRPr="00895D0B" w:rsidRDefault="006B41C0">
            <w:pPr>
              <w:pStyle w:val="ListParagraph"/>
              <w:numPr>
                <w:ilvl w:val="0"/>
                <w:numId w:val="158"/>
              </w:numPr>
              <w:spacing w:line="240" w:lineRule="auto"/>
              <w:jc w:val="left"/>
              <w:rPr>
                <w:rFonts w:cs="Times New Roman"/>
                <w:color w:val="000000" w:themeColor="text1"/>
                <w:szCs w:val="24"/>
              </w:rPr>
            </w:pPr>
            <w:r w:rsidRPr="00895D0B">
              <w:rPr>
                <w:rFonts w:cs="Times New Roman"/>
                <w:color w:val="000000" w:themeColor="text1"/>
                <w:szCs w:val="24"/>
              </w:rPr>
              <w:t>Vegetables [   ]</w:t>
            </w:r>
          </w:p>
        </w:tc>
        <w:tc>
          <w:tcPr>
            <w:tcW w:w="2693" w:type="dxa"/>
          </w:tcPr>
          <w:p w14:paraId="51F8B2A1" w14:textId="77777777" w:rsidR="001B4ED5" w:rsidRPr="00895D0B" w:rsidRDefault="001B4ED5">
            <w:pPr>
              <w:spacing w:line="240" w:lineRule="auto"/>
              <w:rPr>
                <w:rFonts w:cs="Times New Roman"/>
                <w:color w:val="000000" w:themeColor="text1"/>
                <w:szCs w:val="24"/>
              </w:rPr>
            </w:pPr>
          </w:p>
        </w:tc>
      </w:tr>
      <w:tr w:rsidR="00895D0B" w:rsidRPr="00895D0B" w14:paraId="4B35DA5A" w14:textId="77777777">
        <w:trPr>
          <w:trHeight w:val="285"/>
        </w:trPr>
        <w:tc>
          <w:tcPr>
            <w:tcW w:w="9067" w:type="dxa"/>
            <w:gridSpan w:val="6"/>
          </w:tcPr>
          <w:p w14:paraId="38B9CE8D" w14:textId="77777777" w:rsidR="001B4ED5" w:rsidRPr="00895D0B" w:rsidRDefault="006B41C0">
            <w:pPr>
              <w:spacing w:line="240" w:lineRule="auto"/>
              <w:rPr>
                <w:rFonts w:cs="Times New Roman"/>
                <w:color w:val="000000" w:themeColor="text1"/>
                <w:szCs w:val="24"/>
              </w:rPr>
            </w:pPr>
            <w:r w:rsidRPr="00895D0B">
              <w:rPr>
                <w:rFonts w:cs="Times New Roman"/>
                <w:b/>
                <w:i/>
                <w:color w:val="000000" w:themeColor="text1"/>
                <w:szCs w:val="24"/>
              </w:rPr>
              <w:t xml:space="preserve">Food utilization </w:t>
            </w:r>
          </w:p>
        </w:tc>
      </w:tr>
      <w:tr w:rsidR="00895D0B" w:rsidRPr="00895D0B" w14:paraId="2C65131C" w14:textId="77777777">
        <w:trPr>
          <w:trHeight w:val="285"/>
        </w:trPr>
        <w:tc>
          <w:tcPr>
            <w:tcW w:w="3042" w:type="dxa"/>
            <w:gridSpan w:val="4"/>
          </w:tcPr>
          <w:p w14:paraId="6C069472"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F17:</w:t>
            </w:r>
            <w:r w:rsidRPr="00895D0B">
              <w:rPr>
                <w:rFonts w:cs="Times New Roman"/>
                <w:color w:val="000000" w:themeColor="text1"/>
                <w:szCs w:val="24"/>
              </w:rPr>
              <w:t xml:space="preserve"> Do you think your crop farming in the urban center has improved your household’s daily food intake?</w:t>
            </w:r>
          </w:p>
        </w:tc>
        <w:tc>
          <w:tcPr>
            <w:tcW w:w="3332" w:type="dxa"/>
          </w:tcPr>
          <w:p w14:paraId="5379CCE1" w14:textId="77777777" w:rsidR="001B4ED5" w:rsidRPr="00895D0B" w:rsidRDefault="006B41C0">
            <w:pPr>
              <w:pStyle w:val="ListParagraph"/>
              <w:numPr>
                <w:ilvl w:val="0"/>
                <w:numId w:val="159"/>
              </w:numPr>
              <w:spacing w:line="240" w:lineRule="auto"/>
              <w:jc w:val="left"/>
              <w:rPr>
                <w:rFonts w:cs="Times New Roman"/>
                <w:color w:val="000000" w:themeColor="text1"/>
                <w:szCs w:val="24"/>
              </w:rPr>
            </w:pPr>
            <w:r w:rsidRPr="00895D0B">
              <w:rPr>
                <w:rFonts w:cs="Times New Roman"/>
                <w:color w:val="000000" w:themeColor="text1"/>
                <w:szCs w:val="24"/>
              </w:rPr>
              <w:t>Yes [   ]</w:t>
            </w:r>
          </w:p>
          <w:p w14:paraId="02B5AA22" w14:textId="77777777" w:rsidR="001B4ED5" w:rsidRPr="00895D0B" w:rsidRDefault="006B41C0">
            <w:pPr>
              <w:pStyle w:val="ListParagraph"/>
              <w:numPr>
                <w:ilvl w:val="0"/>
                <w:numId w:val="160"/>
              </w:numPr>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tcPr>
          <w:p w14:paraId="0E4C9E64" w14:textId="77777777" w:rsidR="001B4ED5" w:rsidRPr="00895D0B" w:rsidRDefault="001B4ED5">
            <w:pPr>
              <w:spacing w:line="240" w:lineRule="auto"/>
              <w:rPr>
                <w:rFonts w:cs="Times New Roman"/>
                <w:color w:val="000000" w:themeColor="text1"/>
                <w:szCs w:val="24"/>
              </w:rPr>
            </w:pPr>
          </w:p>
        </w:tc>
      </w:tr>
      <w:tr w:rsidR="00895D0B" w:rsidRPr="00895D0B" w14:paraId="2326C015" w14:textId="77777777">
        <w:trPr>
          <w:trHeight w:val="285"/>
        </w:trPr>
        <w:tc>
          <w:tcPr>
            <w:tcW w:w="3042" w:type="dxa"/>
            <w:gridSpan w:val="4"/>
          </w:tcPr>
          <w:p w14:paraId="3C9AED2B"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F17a:</w:t>
            </w:r>
            <w:r w:rsidRPr="00895D0B">
              <w:rPr>
                <w:rFonts w:cs="Times New Roman"/>
                <w:color w:val="000000" w:themeColor="text1"/>
                <w:szCs w:val="24"/>
              </w:rPr>
              <w:t xml:space="preserve"> If yes, to what extent?</w:t>
            </w:r>
          </w:p>
        </w:tc>
        <w:tc>
          <w:tcPr>
            <w:tcW w:w="3332" w:type="dxa"/>
          </w:tcPr>
          <w:p w14:paraId="1E8955DA" w14:textId="77777777" w:rsidR="001B4ED5" w:rsidRPr="00895D0B" w:rsidRDefault="006B41C0">
            <w:pPr>
              <w:pStyle w:val="ListParagraph"/>
              <w:numPr>
                <w:ilvl w:val="0"/>
                <w:numId w:val="161"/>
              </w:numPr>
              <w:spacing w:line="240" w:lineRule="auto"/>
              <w:jc w:val="left"/>
              <w:rPr>
                <w:rFonts w:cs="Times New Roman"/>
                <w:color w:val="000000" w:themeColor="text1"/>
                <w:szCs w:val="24"/>
              </w:rPr>
            </w:pPr>
            <w:r w:rsidRPr="00895D0B">
              <w:rPr>
                <w:rFonts w:cs="Times New Roman"/>
                <w:color w:val="000000" w:themeColor="text1"/>
                <w:szCs w:val="24"/>
              </w:rPr>
              <w:t>Slightly better [   ]</w:t>
            </w:r>
          </w:p>
          <w:p w14:paraId="15AF4DC3" w14:textId="77777777" w:rsidR="001B4ED5" w:rsidRPr="00895D0B" w:rsidRDefault="006B41C0">
            <w:pPr>
              <w:pStyle w:val="ListParagraph"/>
              <w:numPr>
                <w:ilvl w:val="0"/>
                <w:numId w:val="162"/>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Better [   ]</w:t>
            </w:r>
          </w:p>
          <w:p w14:paraId="0146E2D9" w14:textId="77777777" w:rsidR="001B4ED5" w:rsidRPr="00895D0B" w:rsidRDefault="006B41C0">
            <w:pPr>
              <w:pStyle w:val="ListParagraph"/>
              <w:numPr>
                <w:ilvl w:val="0"/>
                <w:numId w:val="162"/>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Much better [   ]</w:t>
            </w:r>
          </w:p>
        </w:tc>
        <w:tc>
          <w:tcPr>
            <w:tcW w:w="2693" w:type="dxa"/>
          </w:tcPr>
          <w:p w14:paraId="17794A5E" w14:textId="77777777" w:rsidR="001B4ED5" w:rsidRPr="00895D0B" w:rsidRDefault="001B4ED5">
            <w:pPr>
              <w:spacing w:line="240" w:lineRule="auto"/>
              <w:rPr>
                <w:rFonts w:cs="Times New Roman"/>
                <w:color w:val="000000" w:themeColor="text1"/>
                <w:szCs w:val="24"/>
              </w:rPr>
            </w:pPr>
          </w:p>
        </w:tc>
      </w:tr>
      <w:tr w:rsidR="00895D0B" w:rsidRPr="00895D0B" w14:paraId="35644938" w14:textId="77777777">
        <w:trPr>
          <w:trHeight w:val="285"/>
        </w:trPr>
        <w:tc>
          <w:tcPr>
            <w:tcW w:w="3042" w:type="dxa"/>
            <w:gridSpan w:val="4"/>
          </w:tcPr>
          <w:p w14:paraId="20A3B2FF" w14:textId="77777777" w:rsidR="001B4ED5" w:rsidRPr="00895D0B" w:rsidRDefault="006B41C0">
            <w:pPr>
              <w:spacing w:line="240" w:lineRule="auto"/>
              <w:jc w:val="left"/>
              <w:rPr>
                <w:rFonts w:cs="Times New Roman"/>
                <w:color w:val="000000" w:themeColor="text1"/>
                <w:szCs w:val="24"/>
              </w:rPr>
            </w:pPr>
            <w:r w:rsidRPr="00895D0B">
              <w:rPr>
                <w:rFonts w:cs="Times New Roman"/>
                <w:b/>
                <w:color w:val="000000" w:themeColor="text1"/>
                <w:szCs w:val="24"/>
              </w:rPr>
              <w:t>F17b:</w:t>
            </w:r>
            <w:r w:rsidRPr="00895D0B">
              <w:rPr>
                <w:rFonts w:cs="Times New Roman"/>
                <w:color w:val="000000" w:themeColor="text1"/>
                <w:szCs w:val="24"/>
              </w:rPr>
              <w:t xml:space="preserve"> If no, then</w:t>
            </w:r>
          </w:p>
        </w:tc>
        <w:tc>
          <w:tcPr>
            <w:tcW w:w="3332" w:type="dxa"/>
          </w:tcPr>
          <w:p w14:paraId="431695CC" w14:textId="77777777" w:rsidR="001B4ED5" w:rsidRPr="00895D0B" w:rsidRDefault="006B41C0">
            <w:pPr>
              <w:pStyle w:val="ListParagraph"/>
              <w:numPr>
                <w:ilvl w:val="0"/>
                <w:numId w:val="163"/>
              </w:numPr>
              <w:spacing w:line="240" w:lineRule="auto"/>
              <w:jc w:val="left"/>
              <w:rPr>
                <w:rFonts w:cs="Times New Roman"/>
                <w:color w:val="000000" w:themeColor="text1"/>
                <w:szCs w:val="24"/>
              </w:rPr>
            </w:pPr>
            <w:r w:rsidRPr="00895D0B">
              <w:rPr>
                <w:rFonts w:cs="Times New Roman"/>
                <w:color w:val="000000" w:themeColor="text1"/>
                <w:szCs w:val="24"/>
              </w:rPr>
              <w:t>Same [   ]</w:t>
            </w:r>
          </w:p>
          <w:p w14:paraId="547D9B4C" w14:textId="77777777" w:rsidR="001B4ED5" w:rsidRPr="00895D0B" w:rsidRDefault="006B41C0">
            <w:pPr>
              <w:pStyle w:val="ListParagraph"/>
              <w:numPr>
                <w:ilvl w:val="0"/>
                <w:numId w:val="16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Worse [   ]</w:t>
            </w:r>
          </w:p>
          <w:p w14:paraId="71BB8F38" w14:textId="77777777" w:rsidR="001B4ED5" w:rsidRPr="00895D0B" w:rsidRDefault="006B41C0">
            <w:pPr>
              <w:pStyle w:val="ListParagraph"/>
              <w:numPr>
                <w:ilvl w:val="0"/>
                <w:numId w:val="16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Much worse [   ]</w:t>
            </w:r>
          </w:p>
          <w:p w14:paraId="437244AA" w14:textId="77777777" w:rsidR="001B4ED5" w:rsidRPr="00895D0B" w:rsidRDefault="006B41C0">
            <w:pPr>
              <w:pStyle w:val="ListParagraph"/>
              <w:numPr>
                <w:ilvl w:val="0"/>
                <w:numId w:val="164"/>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 xml:space="preserve">Don’t know </w:t>
            </w:r>
          </w:p>
        </w:tc>
        <w:tc>
          <w:tcPr>
            <w:tcW w:w="2693" w:type="dxa"/>
          </w:tcPr>
          <w:p w14:paraId="11C10833" w14:textId="77777777" w:rsidR="001B4ED5" w:rsidRPr="00895D0B" w:rsidRDefault="001B4ED5">
            <w:pPr>
              <w:spacing w:line="240" w:lineRule="auto"/>
              <w:rPr>
                <w:rFonts w:cs="Times New Roman"/>
                <w:color w:val="000000" w:themeColor="text1"/>
                <w:szCs w:val="24"/>
              </w:rPr>
            </w:pPr>
          </w:p>
        </w:tc>
      </w:tr>
      <w:tr w:rsidR="00895D0B" w:rsidRPr="00895D0B" w14:paraId="2C134630" w14:textId="77777777">
        <w:trPr>
          <w:trHeight w:val="285"/>
        </w:trPr>
        <w:tc>
          <w:tcPr>
            <w:tcW w:w="3042" w:type="dxa"/>
            <w:gridSpan w:val="4"/>
          </w:tcPr>
          <w:p w14:paraId="6359C820"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F18:</w:t>
            </w:r>
            <w:r w:rsidRPr="00895D0B">
              <w:rPr>
                <w:rFonts w:cs="Times New Roman"/>
                <w:color w:val="000000" w:themeColor="text1"/>
                <w:szCs w:val="24"/>
              </w:rPr>
              <w:t xml:space="preserve"> How long has your household been able to feed on your own urban food produce?</w:t>
            </w:r>
          </w:p>
        </w:tc>
        <w:tc>
          <w:tcPr>
            <w:tcW w:w="3332" w:type="dxa"/>
          </w:tcPr>
          <w:p w14:paraId="065F6B37" w14:textId="77777777" w:rsidR="001B4ED5" w:rsidRPr="00895D0B" w:rsidRDefault="006B41C0">
            <w:pPr>
              <w:pStyle w:val="ListParagraph"/>
              <w:numPr>
                <w:ilvl w:val="0"/>
                <w:numId w:val="165"/>
              </w:numPr>
              <w:spacing w:line="240" w:lineRule="auto"/>
              <w:jc w:val="left"/>
              <w:rPr>
                <w:rFonts w:cs="Times New Roman"/>
                <w:color w:val="000000" w:themeColor="text1"/>
                <w:szCs w:val="24"/>
              </w:rPr>
            </w:pPr>
            <w:r w:rsidRPr="00895D0B">
              <w:rPr>
                <w:rFonts w:cs="Times New Roman"/>
                <w:color w:val="000000" w:themeColor="text1"/>
                <w:szCs w:val="24"/>
              </w:rPr>
              <w:t>Less than 3 months [   ]</w:t>
            </w:r>
          </w:p>
          <w:p w14:paraId="15A0CC90" w14:textId="77777777" w:rsidR="001B4ED5" w:rsidRPr="00895D0B" w:rsidRDefault="006B41C0">
            <w:pPr>
              <w:pStyle w:val="ListParagraph"/>
              <w:numPr>
                <w:ilvl w:val="0"/>
                <w:numId w:val="166"/>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3 months [   ]</w:t>
            </w:r>
          </w:p>
          <w:p w14:paraId="54D470E6" w14:textId="77777777" w:rsidR="001B4ED5" w:rsidRPr="00895D0B" w:rsidRDefault="006B41C0">
            <w:pPr>
              <w:pStyle w:val="ListParagraph"/>
              <w:numPr>
                <w:ilvl w:val="0"/>
                <w:numId w:val="166"/>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More than 3 months  [   ]</w:t>
            </w:r>
          </w:p>
          <w:p w14:paraId="74FC176B" w14:textId="77777777" w:rsidR="001B4ED5" w:rsidRPr="00895D0B" w:rsidRDefault="006B41C0">
            <w:pPr>
              <w:pStyle w:val="ListParagraph"/>
              <w:numPr>
                <w:ilvl w:val="0"/>
                <w:numId w:val="166"/>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6 months [   ]</w:t>
            </w:r>
          </w:p>
          <w:p w14:paraId="061B6B58" w14:textId="77777777" w:rsidR="001B4ED5" w:rsidRPr="00895D0B" w:rsidRDefault="006B41C0">
            <w:pPr>
              <w:pStyle w:val="ListParagraph"/>
              <w:numPr>
                <w:ilvl w:val="0"/>
                <w:numId w:val="166"/>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The whole year [   ]</w:t>
            </w:r>
          </w:p>
        </w:tc>
        <w:tc>
          <w:tcPr>
            <w:tcW w:w="2693" w:type="dxa"/>
          </w:tcPr>
          <w:p w14:paraId="64F1D207" w14:textId="77777777" w:rsidR="001B4ED5" w:rsidRPr="00895D0B" w:rsidRDefault="001B4ED5">
            <w:pPr>
              <w:spacing w:line="240" w:lineRule="auto"/>
              <w:rPr>
                <w:rFonts w:cs="Times New Roman"/>
                <w:color w:val="000000" w:themeColor="text1"/>
                <w:szCs w:val="24"/>
              </w:rPr>
            </w:pPr>
          </w:p>
        </w:tc>
      </w:tr>
      <w:tr w:rsidR="00895D0B" w:rsidRPr="00895D0B" w14:paraId="3F3AF098" w14:textId="77777777">
        <w:trPr>
          <w:trHeight w:val="285"/>
        </w:trPr>
        <w:tc>
          <w:tcPr>
            <w:tcW w:w="3042" w:type="dxa"/>
            <w:gridSpan w:val="4"/>
          </w:tcPr>
          <w:p w14:paraId="7A786BA3"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F19:</w:t>
            </w:r>
            <w:r w:rsidRPr="00895D0B">
              <w:rPr>
                <w:rFonts w:cs="Times New Roman"/>
                <w:color w:val="000000" w:themeColor="text1"/>
                <w:szCs w:val="24"/>
              </w:rPr>
              <w:t xml:space="preserve"> How many times do your household eat in a day?</w:t>
            </w:r>
          </w:p>
          <w:p w14:paraId="78C64200" w14:textId="77777777" w:rsidR="001B4ED5" w:rsidRPr="00895D0B" w:rsidRDefault="001B4ED5">
            <w:pPr>
              <w:autoSpaceDE w:val="0"/>
              <w:autoSpaceDN w:val="0"/>
              <w:adjustRightInd w:val="0"/>
              <w:spacing w:line="240" w:lineRule="auto"/>
              <w:jc w:val="left"/>
              <w:rPr>
                <w:rFonts w:cs="Times New Roman"/>
                <w:color w:val="000000" w:themeColor="text1"/>
                <w:szCs w:val="24"/>
              </w:rPr>
            </w:pPr>
          </w:p>
        </w:tc>
        <w:tc>
          <w:tcPr>
            <w:tcW w:w="3332" w:type="dxa"/>
          </w:tcPr>
          <w:p w14:paraId="68DEE884" w14:textId="77777777" w:rsidR="001B4ED5" w:rsidRPr="00895D0B" w:rsidRDefault="006B41C0">
            <w:pPr>
              <w:pStyle w:val="ListParagraph"/>
              <w:numPr>
                <w:ilvl w:val="0"/>
                <w:numId w:val="167"/>
              </w:numPr>
              <w:spacing w:line="240" w:lineRule="auto"/>
              <w:jc w:val="left"/>
              <w:rPr>
                <w:rFonts w:cs="Times New Roman"/>
                <w:color w:val="000000" w:themeColor="text1"/>
                <w:szCs w:val="24"/>
              </w:rPr>
            </w:pPr>
            <w:r w:rsidRPr="00895D0B">
              <w:rPr>
                <w:rFonts w:cs="Times New Roman"/>
                <w:color w:val="000000" w:themeColor="text1"/>
                <w:szCs w:val="24"/>
              </w:rPr>
              <w:t>Once [   ]</w:t>
            </w:r>
          </w:p>
          <w:p w14:paraId="4A8B0D28" w14:textId="77777777" w:rsidR="001B4ED5" w:rsidRPr="00895D0B" w:rsidRDefault="006B41C0">
            <w:pPr>
              <w:pStyle w:val="ListParagraph"/>
              <w:numPr>
                <w:ilvl w:val="0"/>
                <w:numId w:val="167"/>
              </w:numPr>
              <w:spacing w:line="240" w:lineRule="auto"/>
              <w:jc w:val="left"/>
              <w:rPr>
                <w:rFonts w:cs="Times New Roman"/>
                <w:color w:val="000000" w:themeColor="text1"/>
                <w:szCs w:val="24"/>
              </w:rPr>
            </w:pPr>
            <w:r w:rsidRPr="00895D0B">
              <w:rPr>
                <w:rFonts w:cs="Times New Roman"/>
                <w:color w:val="000000" w:themeColor="text1"/>
                <w:szCs w:val="24"/>
              </w:rPr>
              <w:t>Twice [   ]</w:t>
            </w:r>
          </w:p>
          <w:p w14:paraId="5384A560" w14:textId="77777777" w:rsidR="001B4ED5" w:rsidRPr="00895D0B" w:rsidRDefault="006B41C0">
            <w:pPr>
              <w:pStyle w:val="ListParagraph"/>
              <w:numPr>
                <w:ilvl w:val="0"/>
                <w:numId w:val="167"/>
              </w:numPr>
              <w:spacing w:line="240" w:lineRule="auto"/>
              <w:jc w:val="left"/>
              <w:rPr>
                <w:rFonts w:cs="Times New Roman"/>
                <w:color w:val="000000" w:themeColor="text1"/>
                <w:szCs w:val="24"/>
              </w:rPr>
            </w:pPr>
            <w:r w:rsidRPr="00895D0B">
              <w:rPr>
                <w:rFonts w:cs="Times New Roman"/>
                <w:color w:val="000000" w:themeColor="text1"/>
                <w:szCs w:val="24"/>
              </w:rPr>
              <w:t>Thrice [   ]</w:t>
            </w:r>
          </w:p>
          <w:p w14:paraId="22C938A8" w14:textId="77777777" w:rsidR="001B4ED5" w:rsidRPr="00895D0B" w:rsidRDefault="006B41C0">
            <w:pPr>
              <w:pStyle w:val="ListParagraph"/>
              <w:numPr>
                <w:ilvl w:val="0"/>
                <w:numId w:val="167"/>
              </w:numPr>
              <w:spacing w:line="240" w:lineRule="auto"/>
              <w:jc w:val="left"/>
              <w:rPr>
                <w:rFonts w:cs="Times New Roman"/>
                <w:color w:val="000000" w:themeColor="text1"/>
                <w:szCs w:val="24"/>
              </w:rPr>
            </w:pPr>
            <w:r w:rsidRPr="00895D0B">
              <w:rPr>
                <w:rFonts w:cs="Times New Roman"/>
                <w:color w:val="000000" w:themeColor="text1"/>
                <w:szCs w:val="24"/>
              </w:rPr>
              <w:lastRenderedPageBreak/>
              <w:t>None [   ]</w:t>
            </w:r>
          </w:p>
        </w:tc>
        <w:tc>
          <w:tcPr>
            <w:tcW w:w="2693" w:type="dxa"/>
          </w:tcPr>
          <w:p w14:paraId="1C8F4446" w14:textId="77777777" w:rsidR="001B4ED5" w:rsidRPr="00895D0B" w:rsidRDefault="001B4ED5">
            <w:pPr>
              <w:spacing w:line="240" w:lineRule="auto"/>
              <w:rPr>
                <w:rFonts w:cs="Times New Roman"/>
                <w:color w:val="000000" w:themeColor="text1"/>
                <w:szCs w:val="24"/>
              </w:rPr>
            </w:pPr>
          </w:p>
        </w:tc>
      </w:tr>
      <w:tr w:rsidR="00895D0B" w:rsidRPr="00895D0B" w14:paraId="42FD0531" w14:textId="77777777">
        <w:trPr>
          <w:trHeight w:val="285"/>
        </w:trPr>
        <w:tc>
          <w:tcPr>
            <w:tcW w:w="3042" w:type="dxa"/>
            <w:gridSpan w:val="4"/>
          </w:tcPr>
          <w:p w14:paraId="532CD5C7"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F20:</w:t>
            </w:r>
            <w:r w:rsidRPr="00895D0B">
              <w:rPr>
                <w:rFonts w:cs="Times New Roman"/>
                <w:color w:val="000000" w:themeColor="text1"/>
                <w:szCs w:val="24"/>
              </w:rPr>
              <w:t xml:space="preserve"> In the past one month has any member of your household skip meal</w:t>
            </w:r>
          </w:p>
        </w:tc>
        <w:tc>
          <w:tcPr>
            <w:tcW w:w="3332" w:type="dxa"/>
          </w:tcPr>
          <w:p w14:paraId="7A1215F8" w14:textId="77777777" w:rsidR="001B4ED5" w:rsidRPr="00895D0B" w:rsidRDefault="006B41C0">
            <w:pPr>
              <w:pStyle w:val="ListParagraph"/>
              <w:numPr>
                <w:ilvl w:val="0"/>
                <w:numId w:val="168"/>
              </w:numPr>
              <w:spacing w:line="240" w:lineRule="auto"/>
              <w:jc w:val="left"/>
              <w:rPr>
                <w:rFonts w:cs="Times New Roman"/>
                <w:color w:val="000000" w:themeColor="text1"/>
                <w:szCs w:val="24"/>
              </w:rPr>
            </w:pPr>
            <w:r w:rsidRPr="00895D0B">
              <w:rPr>
                <w:rFonts w:cs="Times New Roman"/>
                <w:color w:val="000000" w:themeColor="text1"/>
                <w:szCs w:val="24"/>
              </w:rPr>
              <w:t>Yes [   ]</w:t>
            </w:r>
          </w:p>
          <w:p w14:paraId="22E1D3C4" w14:textId="77777777" w:rsidR="001B4ED5" w:rsidRPr="00895D0B" w:rsidRDefault="006B41C0">
            <w:pPr>
              <w:pStyle w:val="ListParagraph"/>
              <w:numPr>
                <w:ilvl w:val="0"/>
                <w:numId w:val="169"/>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tcPr>
          <w:p w14:paraId="4C85C5AB" w14:textId="77777777" w:rsidR="001B4ED5" w:rsidRPr="00895D0B" w:rsidRDefault="001B4ED5">
            <w:pPr>
              <w:spacing w:line="240" w:lineRule="auto"/>
              <w:rPr>
                <w:rFonts w:cs="Times New Roman"/>
                <w:color w:val="000000" w:themeColor="text1"/>
                <w:szCs w:val="24"/>
              </w:rPr>
            </w:pPr>
          </w:p>
        </w:tc>
      </w:tr>
      <w:tr w:rsidR="00895D0B" w:rsidRPr="00895D0B" w14:paraId="04012E61" w14:textId="77777777">
        <w:trPr>
          <w:trHeight w:val="285"/>
        </w:trPr>
        <w:tc>
          <w:tcPr>
            <w:tcW w:w="3042" w:type="dxa"/>
            <w:gridSpan w:val="4"/>
          </w:tcPr>
          <w:p w14:paraId="7FBCFAFE"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F20a:</w:t>
            </w:r>
            <w:r w:rsidRPr="00895D0B">
              <w:rPr>
                <w:rFonts w:cs="Times New Roman"/>
                <w:color w:val="000000" w:themeColor="text1"/>
                <w:szCs w:val="24"/>
              </w:rPr>
              <w:t xml:space="preserve"> If yes, what was the reason?</w:t>
            </w:r>
          </w:p>
        </w:tc>
        <w:tc>
          <w:tcPr>
            <w:tcW w:w="3332" w:type="dxa"/>
          </w:tcPr>
          <w:p w14:paraId="0FF5EC72" w14:textId="77777777" w:rsidR="001B4ED5" w:rsidRPr="00895D0B" w:rsidRDefault="006B41C0">
            <w:pPr>
              <w:pStyle w:val="ListParagraph"/>
              <w:numPr>
                <w:ilvl w:val="0"/>
                <w:numId w:val="170"/>
              </w:numPr>
              <w:spacing w:line="240" w:lineRule="auto"/>
              <w:jc w:val="left"/>
              <w:rPr>
                <w:rFonts w:cs="Times New Roman"/>
                <w:color w:val="000000" w:themeColor="text1"/>
                <w:szCs w:val="24"/>
              </w:rPr>
            </w:pPr>
            <w:r w:rsidRPr="00895D0B">
              <w:rPr>
                <w:rFonts w:cs="Times New Roman"/>
                <w:color w:val="000000" w:themeColor="text1"/>
                <w:szCs w:val="24"/>
              </w:rPr>
              <w:t>Unavailability of food [   ]</w:t>
            </w:r>
          </w:p>
          <w:p w14:paraId="687C82CA" w14:textId="77777777" w:rsidR="001B4ED5" w:rsidRPr="00895D0B" w:rsidRDefault="006B41C0">
            <w:pPr>
              <w:pStyle w:val="ListParagraph"/>
              <w:numPr>
                <w:ilvl w:val="0"/>
                <w:numId w:val="171"/>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Voluntarily [   ]</w:t>
            </w:r>
          </w:p>
          <w:p w14:paraId="0BB27420" w14:textId="77777777" w:rsidR="001B4ED5" w:rsidRPr="00895D0B" w:rsidRDefault="006B41C0">
            <w:pPr>
              <w:pStyle w:val="ListParagraph"/>
              <w:numPr>
                <w:ilvl w:val="0"/>
                <w:numId w:val="171"/>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As a way of managing food [   ]</w:t>
            </w:r>
          </w:p>
        </w:tc>
        <w:tc>
          <w:tcPr>
            <w:tcW w:w="2693" w:type="dxa"/>
          </w:tcPr>
          <w:p w14:paraId="581DA2F3" w14:textId="77777777" w:rsidR="001B4ED5" w:rsidRPr="00895D0B" w:rsidRDefault="001B4ED5">
            <w:pPr>
              <w:spacing w:line="240" w:lineRule="auto"/>
              <w:rPr>
                <w:rFonts w:cs="Times New Roman"/>
                <w:color w:val="000000" w:themeColor="text1"/>
                <w:szCs w:val="24"/>
              </w:rPr>
            </w:pPr>
          </w:p>
        </w:tc>
      </w:tr>
      <w:tr w:rsidR="00895D0B" w:rsidRPr="00895D0B" w14:paraId="59959579" w14:textId="77777777">
        <w:trPr>
          <w:trHeight w:val="285"/>
        </w:trPr>
        <w:tc>
          <w:tcPr>
            <w:tcW w:w="3042" w:type="dxa"/>
            <w:gridSpan w:val="4"/>
          </w:tcPr>
          <w:p w14:paraId="3C5CFA82"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F21:</w:t>
            </w:r>
            <w:r w:rsidRPr="00895D0B">
              <w:rPr>
                <w:rFonts w:cs="Times New Roman"/>
                <w:color w:val="000000" w:themeColor="text1"/>
                <w:szCs w:val="24"/>
              </w:rPr>
              <w:t xml:space="preserve"> In the past one week, has your household face with food challenges? </w:t>
            </w:r>
          </w:p>
        </w:tc>
        <w:tc>
          <w:tcPr>
            <w:tcW w:w="3332" w:type="dxa"/>
          </w:tcPr>
          <w:p w14:paraId="56031AB4" w14:textId="77777777" w:rsidR="001B4ED5" w:rsidRPr="00895D0B" w:rsidRDefault="006B41C0">
            <w:pPr>
              <w:pStyle w:val="ListParagraph"/>
              <w:numPr>
                <w:ilvl w:val="0"/>
                <w:numId w:val="172"/>
              </w:numPr>
              <w:spacing w:line="240" w:lineRule="auto"/>
              <w:jc w:val="left"/>
              <w:rPr>
                <w:rFonts w:cs="Times New Roman"/>
                <w:color w:val="000000" w:themeColor="text1"/>
                <w:szCs w:val="24"/>
              </w:rPr>
            </w:pPr>
            <w:r w:rsidRPr="00895D0B">
              <w:rPr>
                <w:rFonts w:cs="Times New Roman"/>
                <w:color w:val="000000" w:themeColor="text1"/>
                <w:szCs w:val="24"/>
              </w:rPr>
              <w:t>Yes [   ]</w:t>
            </w:r>
          </w:p>
          <w:p w14:paraId="50243E30" w14:textId="77777777" w:rsidR="001B4ED5" w:rsidRPr="00895D0B" w:rsidRDefault="006B41C0">
            <w:pPr>
              <w:pStyle w:val="ListParagraph"/>
              <w:numPr>
                <w:ilvl w:val="0"/>
                <w:numId w:val="173"/>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tcPr>
          <w:p w14:paraId="19728644" w14:textId="77777777" w:rsidR="001B4ED5" w:rsidRPr="00895D0B" w:rsidRDefault="001B4ED5">
            <w:pPr>
              <w:spacing w:line="240" w:lineRule="auto"/>
              <w:rPr>
                <w:rFonts w:cs="Times New Roman"/>
                <w:color w:val="000000" w:themeColor="text1"/>
                <w:szCs w:val="24"/>
              </w:rPr>
            </w:pPr>
          </w:p>
        </w:tc>
      </w:tr>
      <w:tr w:rsidR="00895D0B" w:rsidRPr="00895D0B" w14:paraId="1F05917A" w14:textId="77777777">
        <w:trPr>
          <w:trHeight w:val="285"/>
        </w:trPr>
        <w:tc>
          <w:tcPr>
            <w:tcW w:w="3042" w:type="dxa"/>
            <w:gridSpan w:val="4"/>
          </w:tcPr>
          <w:p w14:paraId="5A943AB1"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F22:</w:t>
            </w:r>
            <w:r w:rsidRPr="00895D0B">
              <w:rPr>
                <w:rFonts w:cs="Times New Roman"/>
                <w:color w:val="000000" w:themeColor="text1"/>
                <w:szCs w:val="24"/>
              </w:rPr>
              <w:t xml:space="preserve"> In the past, 3 months, has your household faced food challenges?</w:t>
            </w:r>
          </w:p>
        </w:tc>
        <w:tc>
          <w:tcPr>
            <w:tcW w:w="3332" w:type="dxa"/>
          </w:tcPr>
          <w:p w14:paraId="039C7C2F" w14:textId="77777777" w:rsidR="001B4ED5" w:rsidRPr="00895D0B" w:rsidRDefault="006B41C0">
            <w:pPr>
              <w:pStyle w:val="ListParagraph"/>
              <w:numPr>
                <w:ilvl w:val="0"/>
                <w:numId w:val="174"/>
              </w:numPr>
              <w:spacing w:line="240" w:lineRule="auto"/>
              <w:jc w:val="left"/>
              <w:rPr>
                <w:rFonts w:cs="Times New Roman"/>
                <w:color w:val="000000" w:themeColor="text1"/>
                <w:szCs w:val="24"/>
              </w:rPr>
            </w:pPr>
            <w:r w:rsidRPr="00895D0B">
              <w:rPr>
                <w:rFonts w:cs="Times New Roman"/>
                <w:color w:val="000000" w:themeColor="text1"/>
                <w:szCs w:val="24"/>
              </w:rPr>
              <w:t>Yes [   ]</w:t>
            </w:r>
          </w:p>
          <w:p w14:paraId="2554CF6C" w14:textId="77777777" w:rsidR="001B4ED5" w:rsidRPr="00895D0B" w:rsidRDefault="006B41C0">
            <w:pPr>
              <w:pStyle w:val="ListParagraph"/>
              <w:numPr>
                <w:ilvl w:val="0"/>
                <w:numId w:val="175"/>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tcPr>
          <w:p w14:paraId="41A62C7D" w14:textId="77777777" w:rsidR="001B4ED5" w:rsidRPr="00895D0B" w:rsidRDefault="001B4ED5">
            <w:pPr>
              <w:spacing w:line="240" w:lineRule="auto"/>
              <w:rPr>
                <w:rFonts w:cs="Times New Roman"/>
                <w:color w:val="000000" w:themeColor="text1"/>
                <w:szCs w:val="24"/>
              </w:rPr>
            </w:pPr>
          </w:p>
        </w:tc>
      </w:tr>
      <w:tr w:rsidR="00895D0B" w:rsidRPr="00895D0B" w14:paraId="7EE135F8" w14:textId="77777777">
        <w:trPr>
          <w:trHeight w:val="285"/>
        </w:trPr>
        <w:tc>
          <w:tcPr>
            <w:tcW w:w="3042" w:type="dxa"/>
            <w:gridSpan w:val="4"/>
          </w:tcPr>
          <w:p w14:paraId="33AAB589"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F23:</w:t>
            </w:r>
            <w:r w:rsidRPr="00895D0B">
              <w:rPr>
                <w:rFonts w:cs="Times New Roman"/>
                <w:color w:val="000000" w:themeColor="text1"/>
                <w:szCs w:val="24"/>
              </w:rPr>
              <w:t xml:space="preserve"> In the past 6 months, has your household faced food challenges?</w:t>
            </w:r>
          </w:p>
        </w:tc>
        <w:tc>
          <w:tcPr>
            <w:tcW w:w="3332" w:type="dxa"/>
          </w:tcPr>
          <w:p w14:paraId="370315CC" w14:textId="77777777" w:rsidR="001B4ED5" w:rsidRPr="00895D0B" w:rsidRDefault="006B41C0">
            <w:pPr>
              <w:pStyle w:val="ListParagraph"/>
              <w:numPr>
                <w:ilvl w:val="0"/>
                <w:numId w:val="176"/>
              </w:numPr>
              <w:spacing w:line="240" w:lineRule="auto"/>
              <w:jc w:val="left"/>
              <w:rPr>
                <w:rFonts w:cs="Times New Roman"/>
                <w:color w:val="000000" w:themeColor="text1"/>
                <w:szCs w:val="24"/>
              </w:rPr>
            </w:pPr>
            <w:r w:rsidRPr="00895D0B">
              <w:rPr>
                <w:rFonts w:cs="Times New Roman"/>
                <w:color w:val="000000" w:themeColor="text1"/>
                <w:szCs w:val="24"/>
              </w:rPr>
              <w:t>Yes [   ]</w:t>
            </w:r>
          </w:p>
          <w:p w14:paraId="0C680276" w14:textId="77777777" w:rsidR="001B4ED5" w:rsidRPr="00895D0B" w:rsidRDefault="006B41C0">
            <w:pPr>
              <w:pStyle w:val="ListParagraph"/>
              <w:numPr>
                <w:ilvl w:val="0"/>
                <w:numId w:val="177"/>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tcPr>
          <w:p w14:paraId="0D332A0F" w14:textId="77777777" w:rsidR="001B4ED5" w:rsidRPr="00895D0B" w:rsidRDefault="001B4ED5">
            <w:pPr>
              <w:spacing w:line="240" w:lineRule="auto"/>
              <w:rPr>
                <w:rFonts w:cs="Times New Roman"/>
                <w:color w:val="000000" w:themeColor="text1"/>
                <w:szCs w:val="24"/>
              </w:rPr>
            </w:pPr>
          </w:p>
        </w:tc>
      </w:tr>
      <w:tr w:rsidR="00895D0B" w:rsidRPr="00895D0B" w14:paraId="5265A91B" w14:textId="77777777">
        <w:trPr>
          <w:trHeight w:val="285"/>
        </w:trPr>
        <w:tc>
          <w:tcPr>
            <w:tcW w:w="3042" w:type="dxa"/>
            <w:gridSpan w:val="4"/>
          </w:tcPr>
          <w:p w14:paraId="20E077F6"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F24:</w:t>
            </w:r>
            <w:r w:rsidRPr="00895D0B">
              <w:rPr>
                <w:rFonts w:cs="Times New Roman"/>
                <w:color w:val="000000" w:themeColor="text1"/>
                <w:szCs w:val="24"/>
              </w:rPr>
              <w:t xml:space="preserve"> In the past one year, has your household faced with food challenges?</w:t>
            </w:r>
          </w:p>
        </w:tc>
        <w:tc>
          <w:tcPr>
            <w:tcW w:w="3332" w:type="dxa"/>
          </w:tcPr>
          <w:p w14:paraId="5E66DE6C" w14:textId="77777777" w:rsidR="001B4ED5" w:rsidRPr="00895D0B" w:rsidRDefault="006B41C0">
            <w:pPr>
              <w:pStyle w:val="ListParagraph"/>
              <w:numPr>
                <w:ilvl w:val="0"/>
                <w:numId w:val="178"/>
              </w:numPr>
              <w:spacing w:line="240" w:lineRule="auto"/>
              <w:jc w:val="left"/>
              <w:rPr>
                <w:rFonts w:cs="Times New Roman"/>
                <w:color w:val="000000" w:themeColor="text1"/>
                <w:szCs w:val="24"/>
              </w:rPr>
            </w:pPr>
            <w:r w:rsidRPr="00895D0B">
              <w:rPr>
                <w:rFonts w:cs="Times New Roman"/>
                <w:color w:val="000000" w:themeColor="text1"/>
                <w:szCs w:val="24"/>
              </w:rPr>
              <w:t>Yes [   ]</w:t>
            </w:r>
          </w:p>
          <w:p w14:paraId="2B6FCF12" w14:textId="77777777" w:rsidR="001B4ED5" w:rsidRPr="00895D0B" w:rsidRDefault="006B41C0">
            <w:pPr>
              <w:pStyle w:val="ListParagraph"/>
              <w:numPr>
                <w:ilvl w:val="0"/>
                <w:numId w:val="179"/>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No [   ]</w:t>
            </w:r>
          </w:p>
        </w:tc>
        <w:tc>
          <w:tcPr>
            <w:tcW w:w="2693" w:type="dxa"/>
          </w:tcPr>
          <w:p w14:paraId="7B67A659" w14:textId="77777777" w:rsidR="001B4ED5" w:rsidRPr="00895D0B" w:rsidRDefault="001B4ED5">
            <w:pPr>
              <w:spacing w:line="240" w:lineRule="auto"/>
              <w:rPr>
                <w:rFonts w:cs="Times New Roman"/>
                <w:color w:val="000000" w:themeColor="text1"/>
                <w:szCs w:val="24"/>
              </w:rPr>
            </w:pPr>
          </w:p>
        </w:tc>
      </w:tr>
      <w:tr w:rsidR="00895D0B" w:rsidRPr="00895D0B" w14:paraId="481A1CC5" w14:textId="77777777">
        <w:trPr>
          <w:trHeight w:val="285"/>
        </w:trPr>
        <w:tc>
          <w:tcPr>
            <w:tcW w:w="9067" w:type="dxa"/>
            <w:gridSpan w:val="6"/>
          </w:tcPr>
          <w:p w14:paraId="2115458E" w14:textId="77777777" w:rsidR="001B4ED5" w:rsidRPr="00895D0B" w:rsidRDefault="006B41C0">
            <w:pPr>
              <w:spacing w:line="240" w:lineRule="auto"/>
              <w:rPr>
                <w:rFonts w:cs="Times New Roman"/>
                <w:color w:val="000000" w:themeColor="text1"/>
                <w:szCs w:val="24"/>
              </w:rPr>
            </w:pPr>
            <w:r w:rsidRPr="00895D0B">
              <w:rPr>
                <w:rFonts w:cs="Times New Roman"/>
                <w:b/>
                <w:i/>
                <w:color w:val="000000" w:themeColor="text1"/>
                <w:szCs w:val="24"/>
              </w:rPr>
              <w:t xml:space="preserve">Coping strategies </w:t>
            </w:r>
          </w:p>
        </w:tc>
      </w:tr>
      <w:tr w:rsidR="00895D0B" w:rsidRPr="00895D0B" w14:paraId="3726D681" w14:textId="77777777">
        <w:trPr>
          <w:trHeight w:val="285"/>
        </w:trPr>
        <w:tc>
          <w:tcPr>
            <w:tcW w:w="3042" w:type="dxa"/>
            <w:gridSpan w:val="4"/>
          </w:tcPr>
          <w:p w14:paraId="2CCE96A5"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F25:</w:t>
            </w:r>
            <w:r w:rsidRPr="00895D0B">
              <w:rPr>
                <w:rFonts w:cs="Times New Roman"/>
                <w:color w:val="000000" w:themeColor="text1"/>
                <w:szCs w:val="24"/>
              </w:rPr>
              <w:t xml:space="preserve"> Did you or other household members ever eat less than you or they would have needed to eat?</w:t>
            </w:r>
          </w:p>
        </w:tc>
        <w:tc>
          <w:tcPr>
            <w:tcW w:w="3332" w:type="dxa"/>
          </w:tcPr>
          <w:p w14:paraId="0C76130F" w14:textId="77777777" w:rsidR="001B4ED5" w:rsidRPr="00895D0B" w:rsidRDefault="006B41C0">
            <w:pPr>
              <w:pStyle w:val="ListParagraph"/>
              <w:numPr>
                <w:ilvl w:val="0"/>
                <w:numId w:val="180"/>
              </w:numPr>
              <w:spacing w:line="240" w:lineRule="auto"/>
              <w:jc w:val="left"/>
              <w:rPr>
                <w:rFonts w:cs="Times New Roman"/>
                <w:color w:val="000000" w:themeColor="text1"/>
                <w:szCs w:val="24"/>
              </w:rPr>
            </w:pPr>
            <w:r w:rsidRPr="00895D0B">
              <w:rPr>
                <w:rFonts w:cs="Times New Roman"/>
                <w:color w:val="000000" w:themeColor="text1"/>
                <w:szCs w:val="24"/>
              </w:rPr>
              <w:t>Once a week [   ]</w:t>
            </w:r>
          </w:p>
          <w:p w14:paraId="28C5D522" w14:textId="77777777" w:rsidR="001B4ED5" w:rsidRPr="00895D0B" w:rsidRDefault="006B41C0">
            <w:pPr>
              <w:pStyle w:val="ListParagraph"/>
              <w:numPr>
                <w:ilvl w:val="0"/>
                <w:numId w:val="181"/>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a month [   ]</w:t>
            </w:r>
          </w:p>
          <w:p w14:paraId="488E330C" w14:textId="77777777" w:rsidR="001B4ED5" w:rsidRPr="00895D0B" w:rsidRDefault="006B41C0">
            <w:pPr>
              <w:pStyle w:val="ListParagraph"/>
              <w:numPr>
                <w:ilvl w:val="0"/>
                <w:numId w:val="181"/>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3 months [   ]</w:t>
            </w:r>
          </w:p>
          <w:p w14:paraId="124927F5" w14:textId="77777777" w:rsidR="001B4ED5" w:rsidRPr="00895D0B" w:rsidRDefault="006B41C0">
            <w:pPr>
              <w:pStyle w:val="ListParagraph"/>
              <w:numPr>
                <w:ilvl w:val="0"/>
                <w:numId w:val="181"/>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Once in 6 months [   ]</w:t>
            </w:r>
          </w:p>
          <w:p w14:paraId="1B8E9841" w14:textId="77777777" w:rsidR="001B4ED5" w:rsidRPr="00895D0B" w:rsidRDefault="006B41C0">
            <w:pPr>
              <w:pStyle w:val="ListParagraph"/>
              <w:numPr>
                <w:ilvl w:val="0"/>
                <w:numId w:val="181"/>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Never [   ]</w:t>
            </w:r>
          </w:p>
          <w:p w14:paraId="4873BC92" w14:textId="77777777" w:rsidR="001B4ED5" w:rsidRPr="00895D0B" w:rsidRDefault="006B41C0">
            <w:pPr>
              <w:pStyle w:val="ListParagraph"/>
              <w:numPr>
                <w:ilvl w:val="0"/>
                <w:numId w:val="181"/>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Don’t know [   ]</w:t>
            </w:r>
          </w:p>
        </w:tc>
        <w:tc>
          <w:tcPr>
            <w:tcW w:w="2693" w:type="dxa"/>
          </w:tcPr>
          <w:p w14:paraId="1B160768" w14:textId="77777777" w:rsidR="001B4ED5" w:rsidRPr="00895D0B" w:rsidRDefault="001B4ED5">
            <w:pPr>
              <w:spacing w:line="240" w:lineRule="auto"/>
              <w:rPr>
                <w:rFonts w:cs="Times New Roman"/>
                <w:color w:val="000000" w:themeColor="text1"/>
                <w:szCs w:val="24"/>
              </w:rPr>
            </w:pPr>
          </w:p>
        </w:tc>
      </w:tr>
      <w:tr w:rsidR="001B4ED5" w:rsidRPr="00895D0B" w14:paraId="278BBE4C" w14:textId="77777777">
        <w:trPr>
          <w:trHeight w:val="285"/>
        </w:trPr>
        <w:tc>
          <w:tcPr>
            <w:tcW w:w="3042" w:type="dxa"/>
            <w:gridSpan w:val="4"/>
          </w:tcPr>
          <w:p w14:paraId="67FFF5C4" w14:textId="77777777" w:rsidR="001B4ED5" w:rsidRPr="00895D0B" w:rsidRDefault="006B41C0">
            <w:pPr>
              <w:autoSpaceDE w:val="0"/>
              <w:autoSpaceDN w:val="0"/>
              <w:adjustRightInd w:val="0"/>
              <w:spacing w:line="240" w:lineRule="auto"/>
              <w:jc w:val="left"/>
              <w:rPr>
                <w:rFonts w:cs="Times New Roman"/>
                <w:color w:val="000000" w:themeColor="text1"/>
                <w:szCs w:val="24"/>
              </w:rPr>
            </w:pPr>
            <w:r w:rsidRPr="00895D0B">
              <w:rPr>
                <w:rFonts w:cs="Times New Roman"/>
                <w:b/>
                <w:color w:val="000000" w:themeColor="text1"/>
                <w:szCs w:val="24"/>
              </w:rPr>
              <w:t>F26:</w:t>
            </w:r>
            <w:r w:rsidRPr="00895D0B">
              <w:rPr>
                <w:rFonts w:cs="Times New Roman"/>
                <w:color w:val="000000" w:themeColor="text1"/>
                <w:szCs w:val="24"/>
              </w:rPr>
              <w:t xml:space="preserve"> In case of food shortage in your household, how do you dealt with it? </w:t>
            </w:r>
            <w:r w:rsidRPr="00895D0B">
              <w:rPr>
                <w:rFonts w:cs="Times New Roman"/>
                <w:b/>
                <w:i/>
                <w:color w:val="000000" w:themeColor="text1"/>
                <w:szCs w:val="24"/>
              </w:rPr>
              <w:t>(tick all apply)</w:t>
            </w:r>
          </w:p>
        </w:tc>
        <w:tc>
          <w:tcPr>
            <w:tcW w:w="3332" w:type="dxa"/>
          </w:tcPr>
          <w:p w14:paraId="6184576A" w14:textId="77777777" w:rsidR="001B4ED5" w:rsidRPr="00895D0B" w:rsidRDefault="006B41C0">
            <w:pPr>
              <w:pStyle w:val="ListParagraph"/>
              <w:numPr>
                <w:ilvl w:val="0"/>
                <w:numId w:val="182"/>
              </w:numPr>
              <w:spacing w:line="240" w:lineRule="auto"/>
              <w:jc w:val="left"/>
              <w:rPr>
                <w:rFonts w:cs="Times New Roman"/>
                <w:color w:val="000000" w:themeColor="text1"/>
                <w:szCs w:val="24"/>
              </w:rPr>
            </w:pPr>
            <w:r w:rsidRPr="00895D0B">
              <w:rPr>
                <w:rFonts w:cs="Times New Roman"/>
                <w:color w:val="000000" w:themeColor="text1"/>
                <w:szCs w:val="24"/>
              </w:rPr>
              <w:t>Borrowing from friends, neighbors, relatives, etc. [   ]</w:t>
            </w:r>
          </w:p>
          <w:p w14:paraId="2D1A56F9" w14:textId="77777777" w:rsidR="001B4ED5" w:rsidRPr="00895D0B" w:rsidRDefault="006B41C0">
            <w:pPr>
              <w:pStyle w:val="ListParagraph"/>
              <w:numPr>
                <w:ilvl w:val="0"/>
                <w:numId w:val="183"/>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Reduce frequency of eating in a day by all household members [   ]</w:t>
            </w:r>
          </w:p>
          <w:p w14:paraId="668763A6" w14:textId="77777777" w:rsidR="001B4ED5" w:rsidRPr="00895D0B" w:rsidRDefault="006B41C0">
            <w:pPr>
              <w:pStyle w:val="ListParagraph"/>
              <w:numPr>
                <w:ilvl w:val="0"/>
                <w:numId w:val="183"/>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Reduce expenditures on health [   ]</w:t>
            </w:r>
          </w:p>
          <w:p w14:paraId="7306C54C" w14:textId="77777777" w:rsidR="001B4ED5" w:rsidRPr="00895D0B" w:rsidRDefault="006B41C0">
            <w:pPr>
              <w:pStyle w:val="ListParagraph"/>
              <w:numPr>
                <w:ilvl w:val="0"/>
                <w:numId w:val="183"/>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Reduce expenditures on education [   ]</w:t>
            </w:r>
          </w:p>
          <w:p w14:paraId="65CBE753" w14:textId="77777777" w:rsidR="001B4ED5" w:rsidRPr="00895D0B" w:rsidRDefault="006B41C0">
            <w:pPr>
              <w:pStyle w:val="ListParagraph"/>
              <w:numPr>
                <w:ilvl w:val="0"/>
                <w:numId w:val="183"/>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Adults skip meals once a day [   ]</w:t>
            </w:r>
          </w:p>
          <w:p w14:paraId="5A763896" w14:textId="77777777" w:rsidR="001B4ED5" w:rsidRPr="00895D0B" w:rsidRDefault="006B41C0">
            <w:pPr>
              <w:pStyle w:val="ListParagraph"/>
              <w:numPr>
                <w:ilvl w:val="0"/>
                <w:numId w:val="183"/>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Selling assets (e.g. bike cycle, motorcycle, bull, farm equipment, etc) [   ]</w:t>
            </w:r>
          </w:p>
          <w:p w14:paraId="0465BFBE" w14:textId="77777777" w:rsidR="001B4ED5" w:rsidRPr="00895D0B" w:rsidRDefault="006B41C0">
            <w:pPr>
              <w:pStyle w:val="ListParagraph"/>
              <w:numPr>
                <w:ilvl w:val="0"/>
                <w:numId w:val="183"/>
              </w:numPr>
              <w:autoSpaceDE w:val="0"/>
              <w:autoSpaceDN w:val="0"/>
              <w:adjustRightInd w:val="0"/>
              <w:spacing w:line="240" w:lineRule="auto"/>
              <w:jc w:val="left"/>
              <w:rPr>
                <w:rFonts w:cs="Times New Roman"/>
                <w:color w:val="000000" w:themeColor="text1"/>
                <w:szCs w:val="24"/>
              </w:rPr>
            </w:pPr>
            <w:r w:rsidRPr="00895D0B">
              <w:rPr>
                <w:rFonts w:cs="Times New Roman"/>
                <w:color w:val="000000" w:themeColor="text1"/>
                <w:szCs w:val="24"/>
              </w:rPr>
              <w:t>Others (Please, specify…………………………</w:t>
            </w:r>
          </w:p>
        </w:tc>
        <w:tc>
          <w:tcPr>
            <w:tcW w:w="2693" w:type="dxa"/>
          </w:tcPr>
          <w:p w14:paraId="4E79890E" w14:textId="77777777" w:rsidR="001B4ED5" w:rsidRPr="00895D0B" w:rsidRDefault="001B4ED5">
            <w:pPr>
              <w:spacing w:line="240" w:lineRule="auto"/>
              <w:rPr>
                <w:rFonts w:cs="Times New Roman"/>
                <w:color w:val="000000" w:themeColor="text1"/>
                <w:szCs w:val="24"/>
              </w:rPr>
            </w:pPr>
          </w:p>
        </w:tc>
      </w:tr>
    </w:tbl>
    <w:p w14:paraId="371025C7" w14:textId="77777777" w:rsidR="001B4ED5" w:rsidRPr="00895D0B" w:rsidRDefault="001B4ED5" w:rsidP="00D0101A">
      <w:pPr>
        <w:pStyle w:val="NoSpacing"/>
      </w:pPr>
    </w:p>
    <w:p w14:paraId="018617AB" w14:textId="77777777" w:rsidR="001B4ED5" w:rsidRPr="00895D0B" w:rsidRDefault="006B41C0">
      <w:pPr>
        <w:spacing w:before="240" w:line="360" w:lineRule="auto"/>
        <w:jc w:val="center"/>
        <w:rPr>
          <w:rFonts w:cs="Times New Roman"/>
          <w:b/>
          <w:i/>
          <w:color w:val="000000" w:themeColor="text1"/>
          <w:szCs w:val="24"/>
        </w:rPr>
      </w:pPr>
      <w:r w:rsidRPr="00895D0B">
        <w:rPr>
          <w:rFonts w:cs="Times New Roman"/>
          <w:b/>
          <w:i/>
          <w:color w:val="000000" w:themeColor="text1"/>
          <w:szCs w:val="24"/>
        </w:rPr>
        <w:t>END OF THE QUESTIONNAIRE!!!!!!!!!!</w:t>
      </w:r>
    </w:p>
    <w:p w14:paraId="7FED548C" w14:textId="77777777" w:rsidR="001B4ED5" w:rsidRPr="00895D0B" w:rsidRDefault="006B41C0" w:rsidP="009864E3">
      <w:pPr>
        <w:pStyle w:val="Heading3"/>
      </w:pPr>
      <w:bookmarkStart w:id="209" w:name="_Toc167379978"/>
      <w:r w:rsidRPr="00895D0B">
        <w:lastRenderedPageBreak/>
        <w:t>Appendix B</w:t>
      </w:r>
      <w:bookmarkEnd w:id="209"/>
    </w:p>
    <w:p w14:paraId="4ED189F7" w14:textId="77777777" w:rsidR="001B4ED5" w:rsidRPr="00895D0B" w:rsidRDefault="001B4ED5" w:rsidP="009745EC">
      <w:pPr>
        <w:pStyle w:val="NoSpacing"/>
      </w:pPr>
    </w:p>
    <w:p w14:paraId="57A697C7" w14:textId="77777777" w:rsidR="001B4ED5" w:rsidRPr="00895D0B" w:rsidRDefault="006B41C0">
      <w:pPr>
        <w:pStyle w:val="ListParagraph"/>
        <w:spacing w:line="360" w:lineRule="auto"/>
        <w:ind w:left="503"/>
        <w:jc w:val="center"/>
        <w:rPr>
          <w:rFonts w:cs="Times New Roman"/>
          <w:b/>
          <w:color w:val="000000" w:themeColor="text1"/>
          <w:szCs w:val="24"/>
        </w:rPr>
      </w:pPr>
      <w:r w:rsidRPr="00895D0B">
        <w:rPr>
          <w:rFonts w:cs="Times New Roman"/>
          <w:b/>
          <w:color w:val="000000" w:themeColor="text1"/>
          <w:szCs w:val="24"/>
        </w:rPr>
        <w:t>SIMON DIEDONG DOMBO UNIVERSITY OF BUSINESS AND INTEGRATED DEVELOPMENT STUDIES</w:t>
      </w:r>
    </w:p>
    <w:p w14:paraId="2D199F56" w14:textId="77777777" w:rsidR="001B4ED5" w:rsidRPr="00895D0B" w:rsidRDefault="006B41C0">
      <w:pPr>
        <w:pStyle w:val="ListParagraph"/>
        <w:spacing w:line="360" w:lineRule="auto"/>
        <w:ind w:left="503"/>
        <w:jc w:val="center"/>
        <w:rPr>
          <w:rFonts w:cs="Times New Roman"/>
          <w:b/>
          <w:color w:val="000000" w:themeColor="text1"/>
          <w:szCs w:val="24"/>
        </w:rPr>
      </w:pPr>
      <w:r w:rsidRPr="00895D0B">
        <w:rPr>
          <w:rFonts w:cs="Times New Roman"/>
          <w:b/>
          <w:color w:val="000000" w:themeColor="text1"/>
          <w:szCs w:val="24"/>
        </w:rPr>
        <w:t>FACUTY OF INTEGRATED DEVELOPMENT STUDIES</w:t>
      </w:r>
    </w:p>
    <w:p w14:paraId="4B026B40" w14:textId="77777777" w:rsidR="001B4ED5" w:rsidRPr="00895D0B" w:rsidRDefault="006B41C0">
      <w:pPr>
        <w:pStyle w:val="ListParagraph"/>
        <w:spacing w:line="360" w:lineRule="auto"/>
        <w:ind w:left="503"/>
        <w:jc w:val="center"/>
        <w:rPr>
          <w:rFonts w:cs="Times New Roman"/>
          <w:b/>
          <w:color w:val="000000" w:themeColor="text1"/>
          <w:szCs w:val="24"/>
        </w:rPr>
      </w:pPr>
      <w:r w:rsidRPr="00895D0B">
        <w:rPr>
          <w:rFonts w:cs="Times New Roman"/>
          <w:b/>
          <w:color w:val="000000" w:themeColor="text1"/>
          <w:szCs w:val="24"/>
        </w:rPr>
        <w:t>DEPARTMENT OF ENVIRONMENT AND RESOURCE MANAGEMENT</w:t>
      </w:r>
    </w:p>
    <w:p w14:paraId="36D95B41" w14:textId="77777777" w:rsidR="001B4ED5" w:rsidRPr="00895D0B" w:rsidRDefault="006B41C0">
      <w:pPr>
        <w:pStyle w:val="ListParagraph"/>
        <w:pBdr>
          <w:top w:val="single" w:sz="12" w:space="3" w:color="auto"/>
          <w:bottom w:val="single" w:sz="12" w:space="1" w:color="auto"/>
        </w:pBdr>
        <w:spacing w:line="360" w:lineRule="auto"/>
        <w:ind w:left="503"/>
        <w:jc w:val="center"/>
        <w:rPr>
          <w:rFonts w:cs="Times New Roman"/>
          <w:b/>
          <w:color w:val="000000" w:themeColor="text1"/>
          <w:szCs w:val="24"/>
        </w:rPr>
      </w:pPr>
      <w:r w:rsidRPr="00895D0B">
        <w:rPr>
          <w:rFonts w:cs="Times New Roman"/>
          <w:b/>
          <w:color w:val="000000" w:themeColor="text1"/>
          <w:szCs w:val="24"/>
        </w:rPr>
        <w:t>POST OFFICE BOX WA64, WA, UPPER WEST REGION – GHANA.</w:t>
      </w:r>
    </w:p>
    <w:p w14:paraId="4B8EA0C2" w14:textId="77777777" w:rsidR="001B4ED5" w:rsidRPr="00895D0B" w:rsidRDefault="001B4ED5">
      <w:pPr>
        <w:pStyle w:val="ListParagraph"/>
        <w:spacing w:line="360" w:lineRule="auto"/>
        <w:ind w:left="503"/>
        <w:jc w:val="center"/>
        <w:rPr>
          <w:rFonts w:cs="Times New Roman"/>
          <w:b/>
          <w:color w:val="000000" w:themeColor="text1"/>
          <w:szCs w:val="24"/>
        </w:rPr>
      </w:pPr>
    </w:p>
    <w:p w14:paraId="39BA0BA4" w14:textId="77777777" w:rsidR="001B4ED5" w:rsidRPr="00895D0B" w:rsidRDefault="006B41C0">
      <w:pPr>
        <w:pStyle w:val="ListParagraph"/>
        <w:spacing w:line="360" w:lineRule="auto"/>
        <w:ind w:left="503"/>
        <w:jc w:val="center"/>
        <w:rPr>
          <w:rFonts w:cs="Times New Roman"/>
          <w:b/>
          <w:color w:val="000000" w:themeColor="text1"/>
          <w:szCs w:val="24"/>
        </w:rPr>
      </w:pPr>
      <w:r w:rsidRPr="00895D0B">
        <w:rPr>
          <w:rFonts w:cs="Times New Roman"/>
          <w:b/>
          <w:color w:val="000000" w:themeColor="text1"/>
          <w:szCs w:val="24"/>
        </w:rPr>
        <w:t>DOCTOR OF PHILOSOPHY (PHD) IN ENVIRONMENT AND RESOURCE MANAGEMENT</w:t>
      </w:r>
    </w:p>
    <w:p w14:paraId="315D7243" w14:textId="77777777" w:rsidR="001B4ED5" w:rsidRPr="00895D0B" w:rsidRDefault="001B4ED5">
      <w:pPr>
        <w:pStyle w:val="ListParagraph"/>
        <w:spacing w:line="360" w:lineRule="auto"/>
        <w:ind w:left="503"/>
        <w:rPr>
          <w:rFonts w:cs="Times New Roman"/>
          <w:b/>
          <w:color w:val="000000" w:themeColor="text1"/>
          <w:szCs w:val="24"/>
          <w:u w:val="single"/>
        </w:rPr>
      </w:pPr>
    </w:p>
    <w:p w14:paraId="68F54C74" w14:textId="77777777" w:rsidR="001B4ED5" w:rsidRPr="00895D0B" w:rsidRDefault="006B41C0">
      <w:pPr>
        <w:pStyle w:val="ListParagraph"/>
        <w:spacing w:after="187" w:line="360" w:lineRule="auto"/>
        <w:ind w:left="503" w:right="51"/>
        <w:rPr>
          <w:rFonts w:cs="Times New Roman"/>
          <w:b/>
          <w:color w:val="000000" w:themeColor="text1"/>
          <w:szCs w:val="24"/>
          <w:u w:val="single"/>
        </w:rPr>
      </w:pPr>
      <w:r w:rsidRPr="00895D0B">
        <w:rPr>
          <w:rFonts w:cs="Times New Roman"/>
          <w:b/>
          <w:color w:val="000000" w:themeColor="text1"/>
          <w:szCs w:val="24"/>
          <w:u w:val="single"/>
        </w:rPr>
        <w:t xml:space="preserve">INTERVIEW GUIDE </w:t>
      </w:r>
    </w:p>
    <w:p w14:paraId="2582EF5C" w14:textId="77777777" w:rsidR="001B4ED5" w:rsidRPr="00895D0B" w:rsidRDefault="001B4ED5">
      <w:pPr>
        <w:pStyle w:val="ListParagraph"/>
        <w:spacing w:after="187" w:line="360" w:lineRule="auto"/>
        <w:ind w:left="503" w:right="51"/>
        <w:rPr>
          <w:rFonts w:cs="Times New Roman"/>
          <w:b/>
          <w:color w:val="000000" w:themeColor="text1"/>
          <w:szCs w:val="24"/>
          <w:u w:val="single"/>
        </w:rPr>
      </w:pPr>
    </w:p>
    <w:tbl>
      <w:tblPr>
        <w:tblW w:w="0" w:type="auto"/>
        <w:tblInd w:w="503" w:type="dxa"/>
        <w:tblLook w:val="04A0" w:firstRow="1" w:lastRow="0" w:firstColumn="1" w:lastColumn="0" w:noHBand="0" w:noVBand="1"/>
      </w:tblPr>
      <w:tblGrid>
        <w:gridCol w:w="7803"/>
      </w:tblGrid>
      <w:tr w:rsidR="001B4ED5" w:rsidRPr="00895D0B" w14:paraId="541A7DD6" w14:textId="77777777">
        <w:trPr>
          <w:trHeight w:val="416"/>
        </w:trPr>
        <w:tc>
          <w:tcPr>
            <w:tcW w:w="9350" w:type="dxa"/>
          </w:tcPr>
          <w:p w14:paraId="2B256182" w14:textId="77777777" w:rsidR="001B4ED5" w:rsidRPr="00895D0B" w:rsidRDefault="006B41C0">
            <w:pPr>
              <w:spacing w:line="360" w:lineRule="auto"/>
              <w:ind w:right="51"/>
              <w:rPr>
                <w:rFonts w:cs="Times New Roman"/>
                <w:b/>
                <w:color w:val="000000" w:themeColor="text1"/>
                <w:szCs w:val="24"/>
                <w:u w:val="single"/>
              </w:rPr>
            </w:pPr>
            <w:r w:rsidRPr="00895D0B">
              <w:rPr>
                <w:rFonts w:cs="Times New Roman"/>
                <w:color w:val="000000" w:themeColor="text1"/>
                <w:szCs w:val="24"/>
              </w:rPr>
              <w:t xml:space="preserve">My name is Godwin Kumpong Naazie. I am a Doctor of Philosophy (PhD) students of the </w:t>
            </w:r>
            <w:r w:rsidRPr="00895D0B">
              <w:rPr>
                <w:rFonts w:cs="Times New Roman"/>
                <w:b/>
                <w:color w:val="000000" w:themeColor="text1"/>
                <w:szCs w:val="24"/>
              </w:rPr>
              <w:t>Simon Diedong Dombo University of Business and Integrated Development Studies (SDD-UBIDS)</w:t>
            </w:r>
            <w:r w:rsidRPr="00895D0B">
              <w:rPr>
                <w:rFonts w:cs="Times New Roman"/>
                <w:color w:val="000000" w:themeColor="text1"/>
                <w:szCs w:val="24"/>
              </w:rPr>
              <w:t>, Faculties of Integrated Development Studies, Department of Environment and Resource Studies. I am conducting my study on the topic,</w:t>
            </w:r>
            <w:r w:rsidRPr="00895D0B">
              <w:rPr>
                <w:rFonts w:cs="Times New Roman"/>
                <w:b/>
                <w:i/>
                <w:color w:val="000000" w:themeColor="text1"/>
                <w:szCs w:val="24"/>
              </w:rPr>
              <w:t xml:space="preserve"> “Adaptation of Urban Agriculture to Climate Change and Variability Stressors in the Upper West Region, Ghana”.</w:t>
            </w:r>
            <w:r w:rsidRPr="00895D0B">
              <w:rPr>
                <w:rFonts w:cs="Times New Roman"/>
                <w:b/>
                <w:color w:val="000000" w:themeColor="text1"/>
                <w:szCs w:val="24"/>
              </w:rPr>
              <w:t xml:space="preserve"> </w:t>
            </w:r>
            <w:r w:rsidRPr="00895D0B">
              <w:rPr>
                <w:rFonts w:cs="Times New Roman"/>
                <w:color w:val="000000" w:themeColor="text1"/>
                <w:szCs w:val="24"/>
              </w:rPr>
              <w:t xml:space="preserve">I would like to take about 45 minutes of your time to ask you few questions to assist me write my reports. Participating in this exercise is voluntary and anything that would be said would be treated with high level of confidentiality. Can I have about 20 Minutes of your time? </w:t>
            </w:r>
          </w:p>
        </w:tc>
      </w:tr>
    </w:tbl>
    <w:p w14:paraId="175A4AC5" w14:textId="77777777" w:rsidR="001B4ED5" w:rsidRPr="00895D0B" w:rsidRDefault="001B4ED5">
      <w:pPr>
        <w:spacing w:line="360" w:lineRule="auto"/>
        <w:ind w:right="51"/>
        <w:rPr>
          <w:rFonts w:cs="Times New Roman"/>
          <w:b/>
          <w:color w:val="000000" w:themeColor="text1"/>
          <w:szCs w:val="24"/>
          <w:u w:val="single"/>
        </w:rPr>
      </w:pPr>
    </w:p>
    <w:p w14:paraId="7DF31ABD" w14:textId="77777777" w:rsidR="001B4ED5" w:rsidRPr="00895D0B" w:rsidRDefault="006B41C0">
      <w:pPr>
        <w:pStyle w:val="ListParagraph"/>
        <w:spacing w:after="187" w:line="360" w:lineRule="auto"/>
        <w:ind w:left="503" w:right="51"/>
        <w:rPr>
          <w:rFonts w:cs="Times New Roman"/>
          <w:b/>
          <w:color w:val="000000" w:themeColor="text1"/>
          <w:szCs w:val="24"/>
          <w:u w:val="single"/>
        </w:rPr>
      </w:pPr>
      <w:r w:rsidRPr="00895D0B">
        <w:rPr>
          <w:rFonts w:cs="Times New Roman"/>
          <w:b/>
          <w:color w:val="000000" w:themeColor="text1"/>
          <w:szCs w:val="24"/>
          <w:u w:val="single"/>
        </w:rPr>
        <w:t>Target Respondents:</w:t>
      </w:r>
    </w:p>
    <w:p w14:paraId="7255C72F" w14:textId="77777777" w:rsidR="001B4ED5" w:rsidRPr="00895D0B" w:rsidRDefault="001B4ED5">
      <w:pPr>
        <w:pStyle w:val="ListParagraph"/>
        <w:spacing w:after="187" w:line="360" w:lineRule="auto"/>
        <w:ind w:left="503" w:right="51"/>
        <w:rPr>
          <w:rFonts w:cs="Times New Roman"/>
          <w:b/>
          <w:color w:val="000000" w:themeColor="text1"/>
          <w:szCs w:val="24"/>
        </w:rPr>
      </w:pPr>
    </w:p>
    <w:p w14:paraId="5FC74019" w14:textId="77777777" w:rsidR="001B4ED5" w:rsidRPr="00895D0B" w:rsidRDefault="006B41C0">
      <w:pPr>
        <w:pStyle w:val="ListParagraph"/>
        <w:numPr>
          <w:ilvl w:val="0"/>
          <w:numId w:val="184"/>
        </w:numPr>
        <w:spacing w:after="160" w:line="360" w:lineRule="auto"/>
        <w:rPr>
          <w:rFonts w:cs="Times New Roman"/>
          <w:b/>
          <w:color w:val="000000" w:themeColor="text1"/>
          <w:szCs w:val="24"/>
        </w:rPr>
      </w:pPr>
      <w:r w:rsidRPr="00895D0B">
        <w:rPr>
          <w:rFonts w:cs="Times New Roman"/>
          <w:b/>
          <w:color w:val="000000" w:themeColor="text1"/>
          <w:szCs w:val="24"/>
        </w:rPr>
        <w:t xml:space="preserve">Key informants’ interviews </w:t>
      </w:r>
      <w:r w:rsidRPr="00895D0B">
        <w:rPr>
          <w:rFonts w:cs="Times New Roman"/>
          <w:color w:val="000000" w:themeColor="text1"/>
          <w:szCs w:val="24"/>
        </w:rPr>
        <w:t>(16) key informants would be interviewed. They include Chiefs (4), Tindaabas (4), Assembly members (4), Agriculture Extension Officers (4) and Veterinary Officers (4)</w:t>
      </w:r>
    </w:p>
    <w:p w14:paraId="79F2D9D1" w14:textId="77777777" w:rsidR="001B4ED5" w:rsidRPr="00895D0B" w:rsidRDefault="006B41C0">
      <w:pPr>
        <w:pStyle w:val="ListParagraph"/>
        <w:numPr>
          <w:ilvl w:val="0"/>
          <w:numId w:val="184"/>
        </w:numPr>
        <w:spacing w:after="187" w:line="360" w:lineRule="auto"/>
        <w:ind w:right="51"/>
        <w:rPr>
          <w:rFonts w:cs="Times New Roman"/>
          <w:b/>
          <w:color w:val="000000" w:themeColor="text1"/>
          <w:szCs w:val="24"/>
        </w:rPr>
      </w:pPr>
      <w:r w:rsidRPr="00895D0B">
        <w:rPr>
          <w:rFonts w:cs="Times New Roman"/>
          <w:b/>
          <w:color w:val="000000" w:themeColor="text1"/>
          <w:szCs w:val="24"/>
        </w:rPr>
        <w:t xml:space="preserve">Institutional interviews: </w:t>
      </w:r>
      <w:r w:rsidRPr="00895D0B">
        <w:rPr>
          <w:rFonts w:cs="Times New Roman"/>
          <w:color w:val="000000" w:themeColor="text1"/>
          <w:szCs w:val="24"/>
        </w:rPr>
        <w:t xml:space="preserve">Municipal Town and Country Planning Department, Ghana Metrological Agency and Environmental Health and Sanitation </w:t>
      </w:r>
    </w:p>
    <w:p w14:paraId="749B25DA" w14:textId="77777777" w:rsidR="001B4ED5" w:rsidRPr="00895D0B" w:rsidRDefault="001B4ED5">
      <w:pPr>
        <w:pStyle w:val="ListParagraph"/>
        <w:spacing w:after="187" w:line="360" w:lineRule="auto"/>
        <w:ind w:left="1440" w:right="51"/>
        <w:rPr>
          <w:rFonts w:cs="Times New Roman"/>
          <w:b/>
          <w:color w:val="000000" w:themeColor="text1"/>
          <w:szCs w:val="24"/>
        </w:rPr>
      </w:pPr>
    </w:p>
    <w:p w14:paraId="7F081101" w14:textId="77777777" w:rsidR="001B4ED5" w:rsidRPr="00895D0B" w:rsidRDefault="006B41C0">
      <w:pPr>
        <w:pStyle w:val="ListParagraph"/>
        <w:spacing w:after="187" w:line="360" w:lineRule="auto"/>
        <w:ind w:right="51"/>
        <w:rPr>
          <w:rFonts w:cs="Times New Roman"/>
          <w:b/>
          <w:color w:val="000000" w:themeColor="text1"/>
          <w:szCs w:val="24"/>
          <w:u w:val="single"/>
        </w:rPr>
      </w:pPr>
      <w:r w:rsidRPr="00895D0B">
        <w:rPr>
          <w:rFonts w:cs="Times New Roman"/>
          <w:b/>
          <w:color w:val="000000" w:themeColor="text1"/>
          <w:szCs w:val="24"/>
          <w:u w:val="single"/>
        </w:rPr>
        <w:lastRenderedPageBreak/>
        <w:t>NB: For all participants</w:t>
      </w:r>
    </w:p>
    <w:p w14:paraId="73815A75" w14:textId="77777777" w:rsidR="001B4ED5" w:rsidRPr="00D0101A" w:rsidRDefault="001B4ED5" w:rsidP="00D0101A">
      <w:pPr>
        <w:pStyle w:val="NoSpacing"/>
        <w:rPr>
          <w:sz w:val="8"/>
          <w:szCs w:val="8"/>
        </w:rPr>
      </w:pPr>
    </w:p>
    <w:p w14:paraId="44782786" w14:textId="77777777" w:rsidR="001B4ED5" w:rsidRPr="00895D0B" w:rsidRDefault="006B41C0">
      <w:pPr>
        <w:pStyle w:val="ListParagraph"/>
        <w:numPr>
          <w:ilvl w:val="0"/>
          <w:numId w:val="1"/>
        </w:numPr>
        <w:spacing w:after="187" w:line="360" w:lineRule="auto"/>
        <w:ind w:right="51"/>
        <w:rPr>
          <w:rFonts w:cs="Times New Roman"/>
          <w:color w:val="000000" w:themeColor="text1"/>
          <w:szCs w:val="24"/>
        </w:rPr>
      </w:pPr>
      <w:r w:rsidRPr="00895D0B">
        <w:rPr>
          <w:rFonts w:cs="Times New Roman"/>
          <w:color w:val="000000" w:themeColor="text1"/>
          <w:szCs w:val="24"/>
        </w:rPr>
        <w:t xml:space="preserve">What are the stakeholders in urban farming? </w:t>
      </w:r>
      <w:r w:rsidRPr="00895D0B">
        <w:rPr>
          <w:rFonts w:cs="Times New Roman"/>
          <w:b/>
          <w:i/>
          <w:color w:val="000000" w:themeColor="text1"/>
          <w:szCs w:val="24"/>
        </w:rPr>
        <w:t xml:space="preserve">probe for </w:t>
      </w:r>
    </w:p>
    <w:p w14:paraId="5091249B"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The list of all individuals and institutions/organizations or groups that have interest in urban farming</w:t>
      </w:r>
    </w:p>
    <w:p w14:paraId="6B3641D9"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List their functions in promoting urban crops and animal’s production</w:t>
      </w:r>
    </w:p>
    <w:p w14:paraId="1B88FF1F" w14:textId="77777777" w:rsidR="001B4ED5" w:rsidRPr="00D0101A" w:rsidRDefault="001B4ED5" w:rsidP="00D0101A">
      <w:pPr>
        <w:pStyle w:val="NoSpacing"/>
        <w:rPr>
          <w:sz w:val="6"/>
          <w:szCs w:val="6"/>
        </w:rPr>
      </w:pPr>
    </w:p>
    <w:p w14:paraId="71B00148" w14:textId="77777777" w:rsidR="001B4ED5" w:rsidRPr="00895D0B" w:rsidRDefault="006B41C0">
      <w:pPr>
        <w:pStyle w:val="ListParagraph"/>
        <w:numPr>
          <w:ilvl w:val="0"/>
          <w:numId w:val="1"/>
        </w:numPr>
        <w:spacing w:after="187" w:line="360" w:lineRule="auto"/>
        <w:ind w:right="51"/>
        <w:rPr>
          <w:rFonts w:cs="Times New Roman"/>
          <w:color w:val="000000" w:themeColor="text1"/>
          <w:szCs w:val="24"/>
        </w:rPr>
      </w:pPr>
      <w:r w:rsidRPr="00895D0B">
        <w:rPr>
          <w:rFonts w:cs="Times New Roman"/>
          <w:color w:val="000000" w:themeColor="text1"/>
          <w:szCs w:val="24"/>
        </w:rPr>
        <w:t xml:space="preserve">What is the level of collaboration between these stakeholders? </w:t>
      </w:r>
      <w:r w:rsidRPr="00895D0B">
        <w:rPr>
          <w:rFonts w:cs="Times New Roman"/>
          <w:b/>
          <w:i/>
          <w:color w:val="000000" w:themeColor="text1"/>
          <w:szCs w:val="24"/>
        </w:rPr>
        <w:t xml:space="preserve">probe for </w:t>
      </w:r>
    </w:p>
    <w:p w14:paraId="082E09C4"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The weak or strong collaborations</w:t>
      </w:r>
    </w:p>
    <w:p w14:paraId="6939592D"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 xml:space="preserve">If there are weak collaborations, how could it be strengthening and </w:t>
      </w:r>
    </w:p>
    <w:p w14:paraId="581EFD4C"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If strong, how could it be maintaining</w:t>
      </w:r>
    </w:p>
    <w:p w14:paraId="37E8204E" w14:textId="77777777" w:rsidR="001B4ED5" w:rsidRPr="00895D0B" w:rsidRDefault="001B4ED5">
      <w:pPr>
        <w:pStyle w:val="ListParagraph"/>
        <w:spacing w:after="187" w:line="360" w:lineRule="auto"/>
        <w:ind w:right="51"/>
        <w:rPr>
          <w:rFonts w:cs="Times New Roman"/>
          <w:color w:val="000000" w:themeColor="text1"/>
          <w:szCs w:val="24"/>
        </w:rPr>
      </w:pPr>
    </w:p>
    <w:p w14:paraId="5F2C260D" w14:textId="77777777" w:rsidR="001B4ED5" w:rsidRPr="00895D0B" w:rsidRDefault="006B41C0">
      <w:pPr>
        <w:pStyle w:val="ListParagraph"/>
        <w:spacing w:after="187" w:line="360" w:lineRule="auto"/>
        <w:ind w:right="51"/>
        <w:rPr>
          <w:rFonts w:cs="Times New Roman"/>
          <w:b/>
          <w:color w:val="000000" w:themeColor="text1"/>
          <w:szCs w:val="24"/>
          <w:u w:val="single"/>
        </w:rPr>
      </w:pPr>
      <w:r w:rsidRPr="00895D0B">
        <w:rPr>
          <w:rFonts w:cs="Times New Roman"/>
          <w:b/>
          <w:color w:val="000000" w:themeColor="text1"/>
          <w:szCs w:val="24"/>
          <w:u w:val="single"/>
        </w:rPr>
        <w:t xml:space="preserve">NB: For Town and Country Planning Department, Landlords and Chiefs </w:t>
      </w:r>
    </w:p>
    <w:p w14:paraId="3BBCB922" w14:textId="77777777" w:rsidR="001B4ED5" w:rsidRPr="00D0101A" w:rsidRDefault="001B4ED5" w:rsidP="00D0101A">
      <w:pPr>
        <w:pStyle w:val="NoSpacing"/>
        <w:rPr>
          <w:sz w:val="2"/>
          <w:szCs w:val="2"/>
        </w:rPr>
      </w:pPr>
    </w:p>
    <w:p w14:paraId="52172338" w14:textId="77777777" w:rsidR="001B4ED5" w:rsidRPr="00895D0B" w:rsidRDefault="006B41C0">
      <w:pPr>
        <w:pStyle w:val="ListParagraph"/>
        <w:numPr>
          <w:ilvl w:val="0"/>
          <w:numId w:val="1"/>
        </w:numPr>
        <w:spacing w:after="187" w:line="360" w:lineRule="auto"/>
        <w:ind w:right="51"/>
        <w:rPr>
          <w:rFonts w:cs="Times New Roman"/>
          <w:color w:val="000000" w:themeColor="text1"/>
          <w:szCs w:val="24"/>
        </w:rPr>
      </w:pPr>
      <w:r w:rsidRPr="00895D0B">
        <w:rPr>
          <w:rFonts w:cs="Times New Roman"/>
          <w:color w:val="000000" w:themeColor="text1"/>
          <w:szCs w:val="24"/>
        </w:rPr>
        <w:t>What are the legal framework(s) in line with urban agriculture? (</w:t>
      </w:r>
      <w:r w:rsidRPr="00895D0B">
        <w:rPr>
          <w:rFonts w:cs="Times New Roman"/>
          <w:b/>
          <w:i/>
          <w:color w:val="000000" w:themeColor="text1"/>
          <w:szCs w:val="24"/>
        </w:rPr>
        <w:t>probe for</w:t>
      </w:r>
    </w:p>
    <w:p w14:paraId="5CAEFB53"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Zoning and agriculture production</w:t>
      </w:r>
    </w:p>
    <w:p w14:paraId="3FEC9324"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Land acquisitions procedures and arrangement</w:t>
      </w:r>
    </w:p>
    <w:p w14:paraId="71D5ACCF"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Effectiveness and challenges of the laws, how could this be improved.</w:t>
      </w:r>
    </w:p>
    <w:p w14:paraId="2D536E25" w14:textId="77777777" w:rsidR="001B4ED5" w:rsidRPr="00895D0B" w:rsidRDefault="001B4ED5">
      <w:pPr>
        <w:pStyle w:val="ListParagraph"/>
        <w:spacing w:after="187" w:line="360" w:lineRule="auto"/>
        <w:ind w:right="51"/>
        <w:rPr>
          <w:rFonts w:cs="Times New Roman"/>
          <w:color w:val="000000" w:themeColor="text1"/>
          <w:szCs w:val="24"/>
        </w:rPr>
      </w:pPr>
    </w:p>
    <w:p w14:paraId="74B55F79" w14:textId="77777777" w:rsidR="001B4ED5" w:rsidRPr="00895D0B" w:rsidRDefault="006B41C0">
      <w:pPr>
        <w:pStyle w:val="ListParagraph"/>
        <w:spacing w:after="187" w:line="360" w:lineRule="auto"/>
        <w:ind w:right="51"/>
        <w:rPr>
          <w:rFonts w:cs="Times New Roman"/>
          <w:b/>
          <w:color w:val="000000" w:themeColor="text1"/>
          <w:szCs w:val="24"/>
          <w:u w:val="single"/>
        </w:rPr>
      </w:pPr>
      <w:r w:rsidRPr="00895D0B">
        <w:rPr>
          <w:rFonts w:cs="Times New Roman"/>
          <w:b/>
          <w:color w:val="000000" w:themeColor="text1"/>
          <w:szCs w:val="24"/>
          <w:u w:val="single"/>
        </w:rPr>
        <w:t xml:space="preserve">NB: For Environmental Health and Sanitation Department </w:t>
      </w:r>
    </w:p>
    <w:p w14:paraId="6D1CA395" w14:textId="77777777" w:rsidR="001B4ED5" w:rsidRPr="00D0101A" w:rsidRDefault="001B4ED5">
      <w:pPr>
        <w:pStyle w:val="ListParagraph"/>
        <w:spacing w:after="187" w:line="360" w:lineRule="auto"/>
        <w:ind w:right="51"/>
        <w:rPr>
          <w:rFonts w:cs="Times New Roman"/>
          <w:b/>
          <w:color w:val="000000" w:themeColor="text1"/>
          <w:sz w:val="10"/>
          <w:szCs w:val="10"/>
        </w:rPr>
      </w:pPr>
    </w:p>
    <w:p w14:paraId="7EBC8A6E" w14:textId="77777777" w:rsidR="001B4ED5" w:rsidRPr="00895D0B" w:rsidRDefault="006B41C0">
      <w:pPr>
        <w:pStyle w:val="ListParagraph"/>
        <w:numPr>
          <w:ilvl w:val="0"/>
          <w:numId w:val="1"/>
        </w:numPr>
        <w:spacing w:after="187" w:line="360" w:lineRule="auto"/>
        <w:ind w:right="51"/>
        <w:rPr>
          <w:rFonts w:cs="Times New Roman"/>
          <w:b/>
          <w:i/>
          <w:color w:val="000000" w:themeColor="text1"/>
          <w:szCs w:val="24"/>
        </w:rPr>
      </w:pPr>
      <w:r w:rsidRPr="00895D0B">
        <w:rPr>
          <w:rFonts w:cs="Times New Roman"/>
          <w:color w:val="000000" w:themeColor="text1"/>
          <w:szCs w:val="24"/>
        </w:rPr>
        <w:t xml:space="preserve">What are the legal framework(s) in line with urban agriculture? </w:t>
      </w:r>
      <w:r w:rsidRPr="00895D0B">
        <w:rPr>
          <w:rFonts w:cs="Times New Roman"/>
          <w:b/>
          <w:i/>
          <w:color w:val="000000" w:themeColor="text1"/>
          <w:szCs w:val="24"/>
        </w:rPr>
        <w:t xml:space="preserve">probe for </w:t>
      </w:r>
    </w:p>
    <w:p w14:paraId="22178F2E"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sanitation laws in relations to crops and animals’ production</w:t>
      </w:r>
    </w:p>
    <w:p w14:paraId="7CDC9CDE"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The laws effectiveness and applicability</w:t>
      </w:r>
    </w:p>
    <w:p w14:paraId="367AE397"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The challenges possible solutions to those challenges.</w:t>
      </w:r>
    </w:p>
    <w:p w14:paraId="2379E3E9" w14:textId="77777777" w:rsidR="001B4ED5" w:rsidRPr="00D0101A" w:rsidRDefault="001B4ED5">
      <w:pPr>
        <w:pStyle w:val="ListParagraph"/>
        <w:spacing w:after="187" w:line="360" w:lineRule="auto"/>
        <w:ind w:right="51"/>
        <w:rPr>
          <w:rFonts w:cs="Times New Roman"/>
          <w:color w:val="000000" w:themeColor="text1"/>
          <w:sz w:val="12"/>
          <w:szCs w:val="12"/>
        </w:rPr>
      </w:pPr>
    </w:p>
    <w:p w14:paraId="16292322" w14:textId="77777777" w:rsidR="001B4ED5" w:rsidRPr="00895D0B" w:rsidRDefault="006B41C0">
      <w:pPr>
        <w:pStyle w:val="ListParagraph"/>
        <w:spacing w:after="187" w:line="360" w:lineRule="auto"/>
        <w:ind w:right="51"/>
        <w:rPr>
          <w:rFonts w:cs="Times New Roman"/>
          <w:b/>
          <w:color w:val="000000" w:themeColor="text1"/>
          <w:szCs w:val="24"/>
          <w:u w:val="single"/>
        </w:rPr>
      </w:pPr>
      <w:r w:rsidRPr="00895D0B">
        <w:rPr>
          <w:rFonts w:cs="Times New Roman"/>
          <w:b/>
          <w:color w:val="000000" w:themeColor="text1"/>
          <w:szCs w:val="24"/>
          <w:u w:val="single"/>
        </w:rPr>
        <w:t xml:space="preserve">NB: For MoFA (Crop and Animals’ Department </w:t>
      </w:r>
    </w:p>
    <w:p w14:paraId="43359FC0" w14:textId="77777777" w:rsidR="001B4ED5" w:rsidRPr="00D0101A" w:rsidRDefault="001B4ED5">
      <w:pPr>
        <w:pStyle w:val="ListParagraph"/>
        <w:spacing w:after="187" w:line="360" w:lineRule="auto"/>
        <w:ind w:right="51"/>
        <w:rPr>
          <w:rFonts w:cs="Times New Roman"/>
          <w:b/>
          <w:color w:val="000000" w:themeColor="text1"/>
          <w:sz w:val="6"/>
          <w:szCs w:val="6"/>
        </w:rPr>
      </w:pPr>
    </w:p>
    <w:p w14:paraId="7B3E5EC4" w14:textId="77777777" w:rsidR="001B4ED5" w:rsidRPr="00895D0B" w:rsidRDefault="006B41C0">
      <w:pPr>
        <w:pStyle w:val="ListParagraph"/>
        <w:numPr>
          <w:ilvl w:val="0"/>
          <w:numId w:val="1"/>
        </w:numPr>
        <w:spacing w:after="187" w:line="360" w:lineRule="auto"/>
        <w:ind w:right="51"/>
        <w:rPr>
          <w:rFonts w:cs="Times New Roman"/>
          <w:b/>
          <w:color w:val="000000" w:themeColor="text1"/>
          <w:szCs w:val="24"/>
        </w:rPr>
      </w:pPr>
      <w:r w:rsidRPr="00895D0B">
        <w:rPr>
          <w:rFonts w:cs="Times New Roman"/>
          <w:color w:val="000000" w:themeColor="text1"/>
          <w:szCs w:val="24"/>
        </w:rPr>
        <w:t xml:space="preserve">What are the functions of MoFA in urban agriculture activities? </w:t>
      </w:r>
      <w:r w:rsidRPr="00895D0B">
        <w:rPr>
          <w:rFonts w:cs="Times New Roman"/>
          <w:b/>
          <w:color w:val="000000" w:themeColor="text1"/>
          <w:szCs w:val="24"/>
        </w:rPr>
        <w:t>probe for</w:t>
      </w:r>
    </w:p>
    <w:p w14:paraId="22C67320"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The basic roles MoFA Departments playing in promoting urban agriculture</w:t>
      </w:r>
    </w:p>
    <w:p w14:paraId="323B5816"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 xml:space="preserve">How climate change affects crops and animals’ production </w:t>
      </w:r>
    </w:p>
    <w:p w14:paraId="29AF0615"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Farmers’ adaptation measures to crops and animals’ production</w:t>
      </w:r>
    </w:p>
    <w:p w14:paraId="3A890F0C"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 xml:space="preserve">The nature of extension services to crop producers and veterinary services to animals’ producers </w:t>
      </w:r>
    </w:p>
    <w:p w14:paraId="37131AC6"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Channels of communicating good agricultural practices to farmer</w:t>
      </w:r>
    </w:p>
    <w:p w14:paraId="72F6E87B" w14:textId="77777777" w:rsidR="001B4ED5" w:rsidRPr="00895D0B" w:rsidRDefault="006B41C0">
      <w:pPr>
        <w:pStyle w:val="ListParagraph"/>
        <w:numPr>
          <w:ilvl w:val="1"/>
          <w:numId w:val="1"/>
        </w:numPr>
        <w:spacing w:after="187" w:line="360" w:lineRule="auto"/>
        <w:ind w:left="1080" w:right="51"/>
        <w:rPr>
          <w:rFonts w:cs="Times New Roman"/>
          <w:color w:val="000000" w:themeColor="text1"/>
          <w:szCs w:val="24"/>
        </w:rPr>
      </w:pPr>
      <w:r w:rsidRPr="00895D0B">
        <w:rPr>
          <w:rFonts w:cs="Times New Roman"/>
          <w:color w:val="000000" w:themeColor="text1"/>
          <w:szCs w:val="24"/>
        </w:rPr>
        <w:t>Challenges urban crops and animals’ producers face, how to mitigate these challenges, etc.</w:t>
      </w:r>
    </w:p>
    <w:p w14:paraId="43882601" w14:textId="77777777" w:rsidR="001B4ED5" w:rsidRPr="00895D0B" w:rsidRDefault="006B41C0" w:rsidP="009864E3">
      <w:pPr>
        <w:pStyle w:val="Heading3"/>
      </w:pPr>
      <w:bookmarkStart w:id="210" w:name="_Toc167379979"/>
      <w:r w:rsidRPr="00895D0B">
        <w:lastRenderedPageBreak/>
        <w:t>Appendix C: Average Nearest Neighbour Ratio Graphs</w:t>
      </w:r>
      <w:bookmarkEnd w:id="210"/>
    </w:p>
    <w:p w14:paraId="5926D0D3" w14:textId="77777777" w:rsidR="001B4ED5" w:rsidRPr="00895D0B" w:rsidRDefault="006B41C0">
      <w:pPr>
        <w:spacing w:line="360" w:lineRule="auto"/>
        <w:rPr>
          <w:rFonts w:cs="Times New Roman"/>
          <w:color w:val="000000" w:themeColor="text1"/>
          <w:szCs w:val="24"/>
          <w:lang w:val="en-US"/>
        </w:rPr>
      </w:pPr>
      <w:r w:rsidRPr="00895D0B">
        <w:rPr>
          <w:rFonts w:cs="Times New Roman"/>
          <w:color w:val="000000" w:themeColor="text1"/>
          <w:szCs w:val="24"/>
          <w:lang w:val="en-US"/>
        </w:rPr>
        <w:t xml:space="preserve">This part shows the graphs used in the average neighour ratio analysis. Appendix C1 represents animals, C2 is for type of animals housing structures and C3 is for urban farm sizes </w:t>
      </w:r>
    </w:p>
    <w:p w14:paraId="41260E09" w14:textId="77777777" w:rsidR="001B4ED5" w:rsidRPr="00895D0B" w:rsidRDefault="001B4ED5">
      <w:pPr>
        <w:spacing w:line="360" w:lineRule="auto"/>
        <w:rPr>
          <w:rFonts w:cs="Times New Roman"/>
          <w:color w:val="000000" w:themeColor="text1"/>
          <w:szCs w:val="24"/>
          <w:lang w:val="en-US"/>
        </w:rPr>
      </w:pPr>
    </w:p>
    <w:p w14:paraId="6BF551DF" w14:textId="77777777" w:rsidR="001B4ED5" w:rsidRPr="00895D0B" w:rsidRDefault="006B41C0">
      <w:pPr>
        <w:spacing w:line="360" w:lineRule="auto"/>
        <w:rPr>
          <w:rFonts w:cs="Times New Roman"/>
          <w:b/>
          <w:color w:val="000000" w:themeColor="text1"/>
          <w:szCs w:val="24"/>
        </w:rPr>
      </w:pPr>
      <w:r w:rsidRPr="00895D0B">
        <w:rPr>
          <w:rFonts w:cs="Times New Roman"/>
          <w:b/>
          <w:color w:val="000000" w:themeColor="text1"/>
          <w:szCs w:val="24"/>
        </w:rPr>
        <w:t xml:space="preserve">Appendix C1: Average Nearest Neighbour Ratio Graphs for type of animals </w:t>
      </w:r>
    </w:p>
    <w:p w14:paraId="3D52D9B7" w14:textId="77777777" w:rsidR="001B4ED5" w:rsidRPr="00895D0B" w:rsidRDefault="001B4ED5">
      <w:pPr>
        <w:spacing w:line="360" w:lineRule="auto"/>
        <w:rPr>
          <w:rFonts w:cs="Times New Roman"/>
          <w:b/>
          <w:color w:val="000000" w:themeColor="text1"/>
          <w:szCs w:val="24"/>
        </w:rPr>
      </w:pPr>
    </w:p>
    <w:p w14:paraId="2E770524"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drawing>
          <wp:inline distT="0" distB="0" distL="0" distR="0" wp14:anchorId="102C33EE" wp14:editId="227E8053">
            <wp:extent cx="5676900" cy="5695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5718732" cy="5737922"/>
                    </a:xfrm>
                    <a:prstGeom prst="rect">
                      <a:avLst/>
                    </a:prstGeom>
                  </pic:spPr>
                </pic:pic>
              </a:graphicData>
            </a:graphic>
          </wp:inline>
        </w:drawing>
      </w:r>
    </w:p>
    <w:p w14:paraId="270D10BE" w14:textId="36575F5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 xml:space="preserve">Appendix C1a: Cattle Average Nearest Neighbourhood Graph </w:t>
      </w:r>
    </w:p>
    <w:p w14:paraId="3B481A9F"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lastRenderedPageBreak/>
        <w:drawing>
          <wp:inline distT="0" distB="0" distL="0" distR="0" wp14:anchorId="094ACF9E" wp14:editId="183FD591">
            <wp:extent cx="5638800" cy="627629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5658840" cy="6298602"/>
                    </a:xfrm>
                    <a:prstGeom prst="rect">
                      <a:avLst/>
                    </a:prstGeom>
                  </pic:spPr>
                </pic:pic>
              </a:graphicData>
            </a:graphic>
          </wp:inline>
        </w:drawing>
      </w:r>
    </w:p>
    <w:p w14:paraId="5832182F" w14:textId="77777777" w:rsidR="001B4ED5" w:rsidRPr="00895D0B" w:rsidRDefault="006B41C0">
      <w:pPr>
        <w:spacing w:line="360" w:lineRule="auto"/>
        <w:rPr>
          <w:rFonts w:cs="Times New Roman"/>
          <w:b/>
          <w:i/>
          <w:color w:val="000000" w:themeColor="text1"/>
          <w:szCs w:val="24"/>
        </w:rPr>
      </w:pPr>
      <w:r w:rsidRPr="00895D0B">
        <w:rPr>
          <w:rFonts w:cs="Times New Roman"/>
          <w:color w:val="000000" w:themeColor="text1"/>
          <w:szCs w:val="24"/>
        </w:rPr>
        <w:t xml:space="preserve">    </w:t>
      </w:r>
      <w:r w:rsidRPr="00895D0B">
        <w:rPr>
          <w:rFonts w:cs="Times New Roman"/>
          <w:b/>
          <w:i/>
          <w:color w:val="000000" w:themeColor="text1"/>
          <w:szCs w:val="24"/>
        </w:rPr>
        <w:t xml:space="preserve">Appendix C1b: Goat Average Nearest Neighbourhood Graph </w:t>
      </w:r>
    </w:p>
    <w:p w14:paraId="14D6956C"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lastRenderedPageBreak/>
        <w:drawing>
          <wp:inline distT="0" distB="0" distL="0" distR="0" wp14:anchorId="52B3C6E3" wp14:editId="5B18A329">
            <wp:extent cx="5591175" cy="61055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5594691" cy="6109364"/>
                    </a:xfrm>
                    <a:prstGeom prst="rect">
                      <a:avLst/>
                    </a:prstGeom>
                  </pic:spPr>
                </pic:pic>
              </a:graphicData>
            </a:graphic>
          </wp:inline>
        </w:drawing>
      </w:r>
    </w:p>
    <w:p w14:paraId="072F1B9E" w14:textId="7777777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 xml:space="preserve">Appendix C1c: Poultry Average Nearest Neighbourhood Graph </w:t>
      </w:r>
    </w:p>
    <w:p w14:paraId="35432589"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lastRenderedPageBreak/>
        <w:drawing>
          <wp:inline distT="0" distB="0" distL="0" distR="0" wp14:anchorId="521441C2" wp14:editId="743F6407">
            <wp:extent cx="5582285" cy="55435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5582434" cy="5543698"/>
                    </a:xfrm>
                    <a:prstGeom prst="rect">
                      <a:avLst/>
                    </a:prstGeom>
                  </pic:spPr>
                </pic:pic>
              </a:graphicData>
            </a:graphic>
          </wp:inline>
        </w:drawing>
      </w:r>
    </w:p>
    <w:p w14:paraId="6C03C7E4" w14:textId="7777777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 xml:space="preserve">Appendix C1d: Sheep Average Nearest Neighbourhood Graph </w:t>
      </w:r>
    </w:p>
    <w:p w14:paraId="68186ED6" w14:textId="003AA8E9" w:rsidR="001B4ED5" w:rsidRPr="00895D0B" w:rsidRDefault="001B4ED5">
      <w:pPr>
        <w:spacing w:line="360" w:lineRule="auto"/>
        <w:rPr>
          <w:rFonts w:cs="Times New Roman"/>
          <w:color w:val="000000" w:themeColor="text1"/>
          <w:szCs w:val="24"/>
        </w:rPr>
      </w:pPr>
    </w:p>
    <w:p w14:paraId="656EB062" w14:textId="2FCB957C" w:rsidR="00D65E83" w:rsidRPr="00895D0B" w:rsidRDefault="00D65E83">
      <w:pPr>
        <w:spacing w:line="360" w:lineRule="auto"/>
        <w:rPr>
          <w:rFonts w:cs="Times New Roman"/>
          <w:color w:val="000000" w:themeColor="text1"/>
          <w:szCs w:val="24"/>
        </w:rPr>
      </w:pPr>
    </w:p>
    <w:p w14:paraId="30327A28" w14:textId="2C61196A" w:rsidR="00D65E83" w:rsidRPr="00895D0B" w:rsidRDefault="00D65E83">
      <w:pPr>
        <w:spacing w:line="360" w:lineRule="auto"/>
        <w:rPr>
          <w:rFonts w:cs="Times New Roman"/>
          <w:color w:val="000000" w:themeColor="text1"/>
          <w:szCs w:val="24"/>
        </w:rPr>
      </w:pPr>
    </w:p>
    <w:p w14:paraId="2418C775" w14:textId="3D18489A" w:rsidR="00D65E83" w:rsidRPr="00895D0B" w:rsidRDefault="00D65E83">
      <w:pPr>
        <w:spacing w:line="360" w:lineRule="auto"/>
        <w:rPr>
          <w:rFonts w:cs="Times New Roman"/>
          <w:color w:val="000000" w:themeColor="text1"/>
          <w:szCs w:val="24"/>
        </w:rPr>
      </w:pPr>
    </w:p>
    <w:p w14:paraId="67A603A6" w14:textId="31107CBB" w:rsidR="00D65E83" w:rsidRPr="00895D0B" w:rsidRDefault="00D65E83">
      <w:pPr>
        <w:spacing w:line="360" w:lineRule="auto"/>
        <w:rPr>
          <w:rFonts w:cs="Times New Roman"/>
          <w:color w:val="000000" w:themeColor="text1"/>
          <w:szCs w:val="24"/>
        </w:rPr>
      </w:pPr>
    </w:p>
    <w:p w14:paraId="608DD37F" w14:textId="5F0BF59F" w:rsidR="00D65E83" w:rsidRPr="00895D0B" w:rsidRDefault="00D65E83">
      <w:pPr>
        <w:spacing w:line="360" w:lineRule="auto"/>
        <w:rPr>
          <w:rFonts w:cs="Times New Roman"/>
          <w:color w:val="000000" w:themeColor="text1"/>
          <w:szCs w:val="24"/>
        </w:rPr>
      </w:pPr>
    </w:p>
    <w:p w14:paraId="68DABC89" w14:textId="7746BC72" w:rsidR="00D65E83" w:rsidRDefault="00D65E83">
      <w:pPr>
        <w:spacing w:line="360" w:lineRule="auto"/>
        <w:rPr>
          <w:rFonts w:cs="Times New Roman"/>
          <w:color w:val="000000" w:themeColor="text1"/>
          <w:szCs w:val="24"/>
        </w:rPr>
      </w:pPr>
    </w:p>
    <w:p w14:paraId="1856C00F" w14:textId="77777777" w:rsidR="00731E67" w:rsidRDefault="00731E67">
      <w:pPr>
        <w:spacing w:line="360" w:lineRule="auto"/>
        <w:rPr>
          <w:rFonts w:cs="Times New Roman"/>
          <w:color w:val="000000" w:themeColor="text1"/>
          <w:szCs w:val="24"/>
        </w:rPr>
      </w:pPr>
    </w:p>
    <w:p w14:paraId="135DB21F" w14:textId="77777777" w:rsidR="00731E67" w:rsidRPr="00895D0B" w:rsidRDefault="00731E67">
      <w:pPr>
        <w:spacing w:line="360" w:lineRule="auto"/>
        <w:rPr>
          <w:rFonts w:cs="Times New Roman"/>
          <w:color w:val="000000" w:themeColor="text1"/>
          <w:szCs w:val="24"/>
        </w:rPr>
      </w:pPr>
    </w:p>
    <w:p w14:paraId="6FB8674F" w14:textId="77777777" w:rsidR="00D65E83" w:rsidRPr="00895D0B" w:rsidRDefault="00D65E83">
      <w:pPr>
        <w:spacing w:line="360" w:lineRule="auto"/>
        <w:rPr>
          <w:rFonts w:cs="Times New Roman"/>
          <w:color w:val="000000" w:themeColor="text1"/>
          <w:szCs w:val="24"/>
        </w:rPr>
      </w:pPr>
    </w:p>
    <w:p w14:paraId="0C60EF12" w14:textId="77777777" w:rsidR="001B4ED5" w:rsidRPr="00895D0B" w:rsidRDefault="006B41C0">
      <w:pPr>
        <w:spacing w:line="360" w:lineRule="auto"/>
        <w:rPr>
          <w:rFonts w:cs="Times New Roman"/>
          <w:b/>
          <w:color w:val="000000" w:themeColor="text1"/>
          <w:szCs w:val="24"/>
        </w:rPr>
      </w:pPr>
      <w:r w:rsidRPr="00895D0B">
        <w:rPr>
          <w:rFonts w:cs="Times New Roman"/>
          <w:b/>
          <w:color w:val="000000" w:themeColor="text1"/>
          <w:szCs w:val="24"/>
        </w:rPr>
        <w:lastRenderedPageBreak/>
        <w:t xml:space="preserve">Appendix C2: Average Nearest Neighbour Ratio Graphs for type Animal Housing Unit  </w:t>
      </w:r>
    </w:p>
    <w:p w14:paraId="7DC04B85"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drawing>
          <wp:inline distT="0" distB="0" distL="0" distR="0" wp14:anchorId="17D8133F" wp14:editId="369D414E">
            <wp:extent cx="5638800" cy="5295466"/>
            <wp:effectExtent l="0" t="0" r="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0" y="0"/>
                      <a:ext cx="5652524" cy="5308354"/>
                    </a:xfrm>
                    <a:prstGeom prst="rect">
                      <a:avLst/>
                    </a:prstGeom>
                  </pic:spPr>
                </pic:pic>
              </a:graphicData>
            </a:graphic>
          </wp:inline>
        </w:drawing>
      </w:r>
    </w:p>
    <w:p w14:paraId="551E202E" w14:textId="7777777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 xml:space="preserve">Appendix C2a: Open space Average Nearest Neighbourhood Graph </w:t>
      </w:r>
    </w:p>
    <w:p w14:paraId="7FC57014"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lastRenderedPageBreak/>
        <w:drawing>
          <wp:inline distT="0" distB="0" distL="0" distR="0" wp14:anchorId="28E0ACCD" wp14:editId="24B0C2F6">
            <wp:extent cx="5724525" cy="58578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31">
                      <a:extLst>
                        <a:ext uri="{28A0092B-C50C-407E-A947-70E740481C1C}">
                          <a14:useLocalDpi xmlns:a14="http://schemas.microsoft.com/office/drawing/2010/main" val="0"/>
                        </a:ext>
                      </a:extLst>
                    </a:blip>
                    <a:stretch>
                      <a:fillRect/>
                    </a:stretch>
                  </pic:blipFill>
                  <pic:spPr>
                    <a:xfrm>
                      <a:off x="0" y="0"/>
                      <a:ext cx="5724672" cy="5858025"/>
                    </a:xfrm>
                    <a:prstGeom prst="rect">
                      <a:avLst/>
                    </a:prstGeom>
                  </pic:spPr>
                </pic:pic>
              </a:graphicData>
            </a:graphic>
          </wp:inline>
        </w:drawing>
      </w:r>
    </w:p>
    <w:p w14:paraId="5469BAA2" w14:textId="7777777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 xml:space="preserve">Appendix C2b: Walls roofed with zinc Average Nearest Neighbourhood Graph </w:t>
      </w:r>
    </w:p>
    <w:p w14:paraId="7729ACFE"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lastRenderedPageBreak/>
        <w:drawing>
          <wp:inline distT="0" distB="0" distL="0" distR="0" wp14:anchorId="3B07BB3D" wp14:editId="70097782">
            <wp:extent cx="5743575" cy="522922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5746405" cy="5231802"/>
                    </a:xfrm>
                    <a:prstGeom prst="rect">
                      <a:avLst/>
                    </a:prstGeom>
                  </pic:spPr>
                </pic:pic>
              </a:graphicData>
            </a:graphic>
          </wp:inline>
        </w:drawing>
      </w:r>
    </w:p>
    <w:p w14:paraId="14DE8BCE" w14:textId="77777777" w:rsidR="001B4ED5" w:rsidRPr="00895D0B" w:rsidRDefault="006B41C0">
      <w:pPr>
        <w:spacing w:line="360" w:lineRule="auto"/>
        <w:rPr>
          <w:rFonts w:cs="Times New Roman"/>
          <w:color w:val="000000" w:themeColor="text1"/>
          <w:szCs w:val="24"/>
        </w:rPr>
      </w:pPr>
      <w:r w:rsidRPr="00895D0B">
        <w:rPr>
          <w:rFonts w:cs="Times New Roman"/>
          <w:color w:val="000000" w:themeColor="text1"/>
          <w:szCs w:val="24"/>
        </w:rPr>
        <w:t xml:space="preserve">Appendix C2c: Wooden Structure Roofed with Zinc Average Nearest Neighbourhood Graph </w:t>
      </w:r>
    </w:p>
    <w:p w14:paraId="38A6174F" w14:textId="7E9CE5CC" w:rsidR="001B4ED5" w:rsidRPr="00895D0B" w:rsidRDefault="001B4ED5">
      <w:pPr>
        <w:spacing w:line="360" w:lineRule="auto"/>
        <w:rPr>
          <w:rFonts w:cs="Times New Roman"/>
          <w:color w:val="000000" w:themeColor="text1"/>
          <w:szCs w:val="24"/>
        </w:rPr>
      </w:pPr>
    </w:p>
    <w:p w14:paraId="6428B3A6" w14:textId="4BEE1638" w:rsidR="00D65E83" w:rsidRPr="00895D0B" w:rsidRDefault="00D65E83">
      <w:pPr>
        <w:spacing w:line="360" w:lineRule="auto"/>
        <w:rPr>
          <w:rFonts w:cs="Times New Roman"/>
          <w:color w:val="000000" w:themeColor="text1"/>
          <w:szCs w:val="24"/>
        </w:rPr>
      </w:pPr>
    </w:p>
    <w:p w14:paraId="07D741BB" w14:textId="74528797" w:rsidR="00D65E83" w:rsidRPr="00895D0B" w:rsidRDefault="00D65E83">
      <w:pPr>
        <w:spacing w:line="360" w:lineRule="auto"/>
        <w:rPr>
          <w:rFonts w:cs="Times New Roman"/>
          <w:color w:val="000000" w:themeColor="text1"/>
          <w:szCs w:val="24"/>
        </w:rPr>
      </w:pPr>
    </w:p>
    <w:p w14:paraId="1D28A445" w14:textId="18A5EBFE" w:rsidR="00D65E83" w:rsidRPr="00895D0B" w:rsidRDefault="00D65E83">
      <w:pPr>
        <w:spacing w:line="360" w:lineRule="auto"/>
        <w:rPr>
          <w:rFonts w:cs="Times New Roman"/>
          <w:color w:val="000000" w:themeColor="text1"/>
          <w:szCs w:val="24"/>
        </w:rPr>
      </w:pPr>
    </w:p>
    <w:p w14:paraId="305B388E" w14:textId="39FE2E88" w:rsidR="00D65E83" w:rsidRDefault="00D65E83">
      <w:pPr>
        <w:spacing w:line="360" w:lineRule="auto"/>
        <w:rPr>
          <w:rFonts w:cs="Times New Roman"/>
          <w:color w:val="000000" w:themeColor="text1"/>
          <w:szCs w:val="24"/>
        </w:rPr>
      </w:pPr>
    </w:p>
    <w:p w14:paraId="32E579CF" w14:textId="77777777" w:rsidR="00731E67" w:rsidRPr="00895D0B" w:rsidRDefault="00731E67">
      <w:pPr>
        <w:spacing w:line="360" w:lineRule="auto"/>
        <w:rPr>
          <w:rFonts w:cs="Times New Roman"/>
          <w:color w:val="000000" w:themeColor="text1"/>
          <w:szCs w:val="24"/>
        </w:rPr>
      </w:pPr>
    </w:p>
    <w:p w14:paraId="674BD9F1" w14:textId="4912557D" w:rsidR="00D65E83" w:rsidRPr="00895D0B" w:rsidRDefault="00D65E83">
      <w:pPr>
        <w:spacing w:line="360" w:lineRule="auto"/>
        <w:rPr>
          <w:rFonts w:cs="Times New Roman"/>
          <w:color w:val="000000" w:themeColor="text1"/>
          <w:szCs w:val="24"/>
        </w:rPr>
      </w:pPr>
    </w:p>
    <w:p w14:paraId="5F6679FE" w14:textId="1FCDE978" w:rsidR="00D65E83" w:rsidRPr="00895D0B" w:rsidRDefault="00D65E83">
      <w:pPr>
        <w:spacing w:line="360" w:lineRule="auto"/>
        <w:rPr>
          <w:rFonts w:cs="Times New Roman"/>
          <w:color w:val="000000" w:themeColor="text1"/>
          <w:szCs w:val="24"/>
        </w:rPr>
      </w:pPr>
    </w:p>
    <w:p w14:paraId="39826C7F" w14:textId="7ADE3430" w:rsidR="00D65E83" w:rsidRPr="00895D0B" w:rsidRDefault="00D65E83">
      <w:pPr>
        <w:spacing w:line="360" w:lineRule="auto"/>
        <w:rPr>
          <w:rFonts w:cs="Times New Roman"/>
          <w:color w:val="000000" w:themeColor="text1"/>
          <w:szCs w:val="24"/>
        </w:rPr>
      </w:pPr>
    </w:p>
    <w:p w14:paraId="39850827" w14:textId="77777777" w:rsidR="00D65E83" w:rsidRPr="00895D0B" w:rsidRDefault="00D65E83">
      <w:pPr>
        <w:spacing w:line="360" w:lineRule="auto"/>
        <w:rPr>
          <w:rFonts w:cs="Times New Roman"/>
          <w:color w:val="000000" w:themeColor="text1"/>
          <w:szCs w:val="24"/>
        </w:rPr>
      </w:pPr>
    </w:p>
    <w:p w14:paraId="56D8F163" w14:textId="77777777" w:rsidR="001B4ED5" w:rsidRPr="00895D0B" w:rsidRDefault="006B41C0">
      <w:pPr>
        <w:spacing w:line="360" w:lineRule="auto"/>
        <w:rPr>
          <w:rFonts w:cs="Times New Roman"/>
          <w:b/>
          <w:color w:val="000000" w:themeColor="text1"/>
          <w:szCs w:val="24"/>
        </w:rPr>
      </w:pPr>
      <w:r w:rsidRPr="00895D0B">
        <w:rPr>
          <w:rFonts w:cs="Times New Roman"/>
          <w:b/>
          <w:color w:val="000000" w:themeColor="text1"/>
          <w:szCs w:val="24"/>
        </w:rPr>
        <w:lastRenderedPageBreak/>
        <w:t xml:space="preserve">Appendix C3: Average Nearest Neighbour Ratio Graphs for urban crop farm sizes </w:t>
      </w:r>
    </w:p>
    <w:p w14:paraId="5BB14BF0"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drawing>
          <wp:inline distT="0" distB="0" distL="0" distR="0" wp14:anchorId="47077FE2" wp14:editId="5899E1DC">
            <wp:extent cx="5848350" cy="705730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0" y="0"/>
                      <a:ext cx="5872251" cy="7086145"/>
                    </a:xfrm>
                    <a:prstGeom prst="rect">
                      <a:avLst/>
                    </a:prstGeom>
                  </pic:spPr>
                </pic:pic>
              </a:graphicData>
            </a:graphic>
          </wp:inline>
        </w:drawing>
      </w:r>
    </w:p>
    <w:p w14:paraId="3BBB2262" w14:textId="7777777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 xml:space="preserve">Appendix C3a: Farm size up to an Acre Average Nearest Neighbourhood Graph </w:t>
      </w:r>
    </w:p>
    <w:p w14:paraId="1522EE88"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lastRenderedPageBreak/>
        <w:drawing>
          <wp:inline distT="0" distB="0" distL="0" distR="0" wp14:anchorId="76B47B58" wp14:editId="09A28928">
            <wp:extent cx="5876925" cy="518160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pic:cNvPicPr>
                  </pic:nvPicPr>
                  <pic:blipFill>
                    <a:blip r:embed="rId34">
                      <a:extLst>
                        <a:ext uri="{28A0092B-C50C-407E-A947-70E740481C1C}">
                          <a14:useLocalDpi xmlns:a14="http://schemas.microsoft.com/office/drawing/2010/main" val="0"/>
                        </a:ext>
                      </a:extLst>
                    </a:blip>
                    <a:stretch>
                      <a:fillRect/>
                    </a:stretch>
                  </pic:blipFill>
                  <pic:spPr>
                    <a:xfrm>
                      <a:off x="0" y="0"/>
                      <a:ext cx="5877051" cy="5181711"/>
                    </a:xfrm>
                    <a:prstGeom prst="rect">
                      <a:avLst/>
                    </a:prstGeom>
                  </pic:spPr>
                </pic:pic>
              </a:graphicData>
            </a:graphic>
          </wp:inline>
        </w:drawing>
      </w:r>
    </w:p>
    <w:p w14:paraId="7825A494" w14:textId="7777777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 xml:space="preserve">Appendix C3b: Farm size up to Half an Acre Average Nearest Neighbourhood Graph </w:t>
      </w:r>
    </w:p>
    <w:p w14:paraId="5727C56A"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lastRenderedPageBreak/>
        <w:drawing>
          <wp:inline distT="0" distB="0" distL="0" distR="0" wp14:anchorId="0C6E816D" wp14:editId="382A70A4">
            <wp:extent cx="5876925" cy="644842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0"/>
                      <a:ext cx="5877100" cy="6448617"/>
                    </a:xfrm>
                    <a:prstGeom prst="rect">
                      <a:avLst/>
                    </a:prstGeom>
                  </pic:spPr>
                </pic:pic>
              </a:graphicData>
            </a:graphic>
          </wp:inline>
        </w:drawing>
      </w:r>
    </w:p>
    <w:p w14:paraId="2BCD52E5" w14:textId="7777777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 xml:space="preserve">Appendix C3c: Farm size up 0.3 an Acre Average Nearest Neighbourhood Graph </w:t>
      </w:r>
    </w:p>
    <w:p w14:paraId="7EF1D76E" w14:textId="77777777" w:rsidR="001B4ED5" w:rsidRPr="00895D0B" w:rsidRDefault="001B4ED5">
      <w:pPr>
        <w:spacing w:line="360" w:lineRule="auto"/>
        <w:rPr>
          <w:rFonts w:cs="Times New Roman"/>
          <w:b/>
          <w:i/>
          <w:color w:val="000000" w:themeColor="text1"/>
          <w:szCs w:val="24"/>
        </w:rPr>
      </w:pPr>
    </w:p>
    <w:p w14:paraId="1EE298AA" w14:textId="77777777" w:rsidR="001B4ED5" w:rsidRPr="00895D0B" w:rsidRDefault="006B41C0">
      <w:pPr>
        <w:spacing w:line="360" w:lineRule="auto"/>
        <w:rPr>
          <w:rFonts w:cs="Times New Roman"/>
          <w:color w:val="000000" w:themeColor="text1"/>
          <w:szCs w:val="24"/>
        </w:rPr>
      </w:pPr>
      <w:r w:rsidRPr="00895D0B">
        <w:rPr>
          <w:rFonts w:cs="Times New Roman"/>
          <w:noProof/>
          <w:color w:val="000000" w:themeColor="text1"/>
          <w:szCs w:val="24"/>
          <w:lang w:eastAsia="en-GB"/>
        </w:rPr>
        <w:lastRenderedPageBreak/>
        <w:drawing>
          <wp:inline distT="0" distB="0" distL="0" distR="0" wp14:anchorId="5D0040E8" wp14:editId="5B4F35CF">
            <wp:extent cx="5829300" cy="62484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36">
                      <a:extLst>
                        <a:ext uri="{28A0092B-C50C-407E-A947-70E740481C1C}">
                          <a14:useLocalDpi xmlns:a14="http://schemas.microsoft.com/office/drawing/2010/main" val="0"/>
                        </a:ext>
                      </a:extLst>
                    </a:blip>
                    <a:stretch>
                      <a:fillRect/>
                    </a:stretch>
                  </pic:blipFill>
                  <pic:spPr>
                    <a:xfrm>
                      <a:off x="0" y="0"/>
                      <a:ext cx="5829441" cy="6248551"/>
                    </a:xfrm>
                    <a:prstGeom prst="rect">
                      <a:avLst/>
                    </a:prstGeom>
                  </pic:spPr>
                </pic:pic>
              </a:graphicData>
            </a:graphic>
          </wp:inline>
        </w:drawing>
      </w:r>
    </w:p>
    <w:p w14:paraId="7607756A" w14:textId="77777777" w:rsidR="001B4ED5" w:rsidRPr="00895D0B" w:rsidRDefault="006B41C0">
      <w:pPr>
        <w:spacing w:line="360" w:lineRule="auto"/>
        <w:rPr>
          <w:rFonts w:cs="Times New Roman"/>
          <w:b/>
          <w:i/>
          <w:color w:val="000000" w:themeColor="text1"/>
          <w:szCs w:val="24"/>
        </w:rPr>
      </w:pPr>
      <w:r w:rsidRPr="00895D0B">
        <w:rPr>
          <w:rFonts w:cs="Times New Roman"/>
          <w:b/>
          <w:i/>
          <w:color w:val="000000" w:themeColor="text1"/>
          <w:szCs w:val="24"/>
        </w:rPr>
        <w:t xml:space="preserve">Appendix C3a: Farm size Less than 0.3 an Acre Average Nearest Neighbourhood Graph </w:t>
      </w:r>
    </w:p>
    <w:p w14:paraId="1730648A" w14:textId="77777777" w:rsidR="001B4ED5" w:rsidRPr="00895D0B" w:rsidRDefault="001B4ED5">
      <w:pPr>
        <w:spacing w:line="360" w:lineRule="auto"/>
        <w:rPr>
          <w:rFonts w:cs="Times New Roman"/>
          <w:color w:val="000000" w:themeColor="text1"/>
          <w:szCs w:val="24"/>
        </w:rPr>
      </w:pPr>
    </w:p>
    <w:p w14:paraId="368DAD84" w14:textId="77777777" w:rsidR="001B4ED5" w:rsidRPr="00895D0B" w:rsidRDefault="001B4ED5">
      <w:pPr>
        <w:spacing w:line="360" w:lineRule="auto"/>
        <w:rPr>
          <w:rFonts w:cs="Times New Roman"/>
          <w:color w:val="000000" w:themeColor="text1"/>
          <w:szCs w:val="24"/>
        </w:rPr>
      </w:pPr>
    </w:p>
    <w:p w14:paraId="7446814F" w14:textId="77777777" w:rsidR="001B4ED5" w:rsidRPr="00895D0B" w:rsidRDefault="001B4ED5">
      <w:pPr>
        <w:spacing w:line="360" w:lineRule="auto"/>
        <w:rPr>
          <w:rFonts w:cs="Times New Roman"/>
          <w:color w:val="000000" w:themeColor="text1"/>
          <w:szCs w:val="24"/>
          <w:lang w:val="en-US"/>
        </w:rPr>
      </w:pPr>
    </w:p>
    <w:sectPr w:rsidR="001B4ED5" w:rsidRPr="00895D0B" w:rsidSect="0062634D">
      <w:footerReference w:type="default" r:id="rId37"/>
      <w:pgSz w:w="11906" w:h="16838"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79F908" w14:textId="77777777" w:rsidR="001A59C5" w:rsidRDefault="001A59C5">
      <w:pPr>
        <w:spacing w:line="240" w:lineRule="auto"/>
      </w:pPr>
      <w:r>
        <w:separator/>
      </w:r>
    </w:p>
  </w:endnote>
  <w:endnote w:type="continuationSeparator" w:id="0">
    <w:p w14:paraId="1C0ADA16" w14:textId="77777777" w:rsidR="001A59C5" w:rsidRDefault="001A59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56967880"/>
      <w:docPartObj>
        <w:docPartGallery w:val="Page Numbers (Bottom of Page)"/>
        <w:docPartUnique/>
      </w:docPartObj>
    </w:sdtPr>
    <w:sdtEndPr>
      <w:rPr>
        <w:noProof/>
      </w:rPr>
    </w:sdtEndPr>
    <w:sdtContent>
      <w:p w14:paraId="2D45706B" w14:textId="69C97066" w:rsidR="00895D0B" w:rsidRDefault="00895D0B">
        <w:pPr>
          <w:pStyle w:val="Footer"/>
          <w:jc w:val="center"/>
        </w:pPr>
        <w:r>
          <w:fldChar w:fldCharType="begin"/>
        </w:r>
        <w:r>
          <w:instrText xml:space="preserve"> PAGE   \* MERGEFORMAT </w:instrText>
        </w:r>
        <w:r>
          <w:fldChar w:fldCharType="separate"/>
        </w:r>
        <w:r w:rsidR="00985B8E">
          <w:rPr>
            <w:noProof/>
          </w:rPr>
          <w:t>iii</w:t>
        </w:r>
        <w:r>
          <w:rPr>
            <w:noProof/>
          </w:rPr>
          <w:fldChar w:fldCharType="end"/>
        </w:r>
      </w:p>
    </w:sdtContent>
  </w:sdt>
  <w:p w14:paraId="399FE766" w14:textId="77777777" w:rsidR="00895D0B" w:rsidRDefault="00895D0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69599517"/>
      <w:docPartObj>
        <w:docPartGallery w:val="AutoText"/>
      </w:docPartObj>
    </w:sdtPr>
    <w:sdtContent>
      <w:p w14:paraId="00C839EC" w14:textId="62F4A9DD" w:rsidR="00895D0B" w:rsidRDefault="00895D0B">
        <w:pPr>
          <w:pStyle w:val="Footer"/>
          <w:jc w:val="center"/>
        </w:pPr>
        <w:r>
          <w:fldChar w:fldCharType="begin"/>
        </w:r>
        <w:r>
          <w:instrText xml:space="preserve"> PAGE   \* MERGEFORMAT </w:instrText>
        </w:r>
        <w:r>
          <w:fldChar w:fldCharType="separate"/>
        </w:r>
        <w:r w:rsidR="00985B8E">
          <w:rPr>
            <w:noProof/>
          </w:rPr>
          <w:t>154</w:t>
        </w:r>
        <w:r>
          <w:fldChar w:fldCharType="end"/>
        </w:r>
      </w:p>
    </w:sdtContent>
  </w:sdt>
  <w:p w14:paraId="1C62D5DF" w14:textId="77777777" w:rsidR="00895D0B" w:rsidRDefault="00895D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D5E2C8" w14:textId="77777777" w:rsidR="001A59C5" w:rsidRDefault="001A59C5">
      <w:r>
        <w:separator/>
      </w:r>
    </w:p>
  </w:footnote>
  <w:footnote w:type="continuationSeparator" w:id="0">
    <w:p w14:paraId="54BA174E" w14:textId="77777777" w:rsidR="001A59C5" w:rsidRDefault="001A59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7374C4"/>
    <w:multiLevelType w:val="multilevel"/>
    <w:tmpl w:val="007374C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1350227"/>
    <w:multiLevelType w:val="multilevel"/>
    <w:tmpl w:val="0135022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17478E3"/>
    <w:multiLevelType w:val="multilevel"/>
    <w:tmpl w:val="017478E3"/>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1FF36E7"/>
    <w:multiLevelType w:val="multilevel"/>
    <w:tmpl w:val="01FF36E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02122035"/>
    <w:multiLevelType w:val="multilevel"/>
    <w:tmpl w:val="02122035"/>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23C6622"/>
    <w:multiLevelType w:val="multilevel"/>
    <w:tmpl w:val="023C6622"/>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2BD2F4F"/>
    <w:multiLevelType w:val="multilevel"/>
    <w:tmpl w:val="02BD2F4F"/>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2D12A40"/>
    <w:multiLevelType w:val="multilevel"/>
    <w:tmpl w:val="02D12A40"/>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02EA708B"/>
    <w:multiLevelType w:val="multilevel"/>
    <w:tmpl w:val="02EA708B"/>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33125AC"/>
    <w:multiLevelType w:val="multilevel"/>
    <w:tmpl w:val="033125AC"/>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03BE3C75"/>
    <w:multiLevelType w:val="multilevel"/>
    <w:tmpl w:val="03BE3C7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044906C7"/>
    <w:multiLevelType w:val="multilevel"/>
    <w:tmpl w:val="044906C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048E70F8"/>
    <w:multiLevelType w:val="multilevel"/>
    <w:tmpl w:val="048E70F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4C22FB6"/>
    <w:multiLevelType w:val="multilevel"/>
    <w:tmpl w:val="04C22FB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04E91AED"/>
    <w:multiLevelType w:val="multilevel"/>
    <w:tmpl w:val="04E91AED"/>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04F610E7"/>
    <w:multiLevelType w:val="multilevel"/>
    <w:tmpl w:val="04F610E7"/>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05CD4607"/>
    <w:multiLevelType w:val="multilevel"/>
    <w:tmpl w:val="05CD4607"/>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06105428"/>
    <w:multiLevelType w:val="multilevel"/>
    <w:tmpl w:val="06105428"/>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06616611"/>
    <w:multiLevelType w:val="multilevel"/>
    <w:tmpl w:val="06616611"/>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6AE7DFA"/>
    <w:multiLevelType w:val="multilevel"/>
    <w:tmpl w:val="06AE7DF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71F4DA8"/>
    <w:multiLevelType w:val="multilevel"/>
    <w:tmpl w:val="071F4DA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9314986"/>
    <w:multiLevelType w:val="multilevel"/>
    <w:tmpl w:val="09314986"/>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9C62969"/>
    <w:multiLevelType w:val="multilevel"/>
    <w:tmpl w:val="09C62969"/>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09FB0901"/>
    <w:multiLevelType w:val="multilevel"/>
    <w:tmpl w:val="09FB090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0A4D5492"/>
    <w:multiLevelType w:val="multilevel"/>
    <w:tmpl w:val="0A4D5492"/>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0ABE51F4"/>
    <w:multiLevelType w:val="multilevel"/>
    <w:tmpl w:val="0ABE51F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0ACB3B3C"/>
    <w:multiLevelType w:val="multilevel"/>
    <w:tmpl w:val="0ACB3B3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0B0F0100"/>
    <w:multiLevelType w:val="multilevel"/>
    <w:tmpl w:val="0B0F0100"/>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0BAA2E12"/>
    <w:multiLevelType w:val="multilevel"/>
    <w:tmpl w:val="0BAA2E12"/>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0BC65036"/>
    <w:multiLevelType w:val="multilevel"/>
    <w:tmpl w:val="0BC6503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0C1E10E1"/>
    <w:multiLevelType w:val="multilevel"/>
    <w:tmpl w:val="0C1E10E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0C682779"/>
    <w:multiLevelType w:val="multilevel"/>
    <w:tmpl w:val="0C68277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0CE4394C"/>
    <w:multiLevelType w:val="multilevel"/>
    <w:tmpl w:val="776072F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0E0E6B64"/>
    <w:multiLevelType w:val="multilevel"/>
    <w:tmpl w:val="0E0E6B64"/>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0E2C653B"/>
    <w:multiLevelType w:val="multilevel"/>
    <w:tmpl w:val="0E2C653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0E394B05"/>
    <w:multiLevelType w:val="multilevel"/>
    <w:tmpl w:val="0E394B05"/>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0E9403BA"/>
    <w:multiLevelType w:val="multilevel"/>
    <w:tmpl w:val="0E9403BA"/>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0F5852CB"/>
    <w:multiLevelType w:val="multilevel"/>
    <w:tmpl w:val="0F5852CB"/>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0F8E6070"/>
    <w:multiLevelType w:val="multilevel"/>
    <w:tmpl w:val="0F8E6070"/>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11174149"/>
    <w:multiLevelType w:val="multilevel"/>
    <w:tmpl w:val="1117414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11354F56"/>
    <w:multiLevelType w:val="multilevel"/>
    <w:tmpl w:val="11354F56"/>
    <w:lvl w:ilvl="0">
      <w:start w:val="1"/>
      <w:numFmt w:val="bullet"/>
      <w:lvlText w:val=""/>
      <w:lvlJc w:val="left"/>
      <w:pPr>
        <w:ind w:left="1674" w:hanging="360"/>
      </w:pPr>
      <w:rPr>
        <w:rFonts w:ascii="Symbol" w:hAnsi="Symbol" w:hint="default"/>
      </w:rPr>
    </w:lvl>
    <w:lvl w:ilvl="1">
      <w:start w:val="1"/>
      <w:numFmt w:val="bullet"/>
      <w:lvlText w:val="o"/>
      <w:lvlJc w:val="left"/>
      <w:pPr>
        <w:ind w:left="2394" w:hanging="360"/>
      </w:pPr>
      <w:rPr>
        <w:rFonts w:ascii="Courier New" w:hAnsi="Courier New" w:cs="Courier New" w:hint="default"/>
      </w:rPr>
    </w:lvl>
    <w:lvl w:ilvl="2">
      <w:start w:val="1"/>
      <w:numFmt w:val="bullet"/>
      <w:lvlText w:val=""/>
      <w:lvlJc w:val="left"/>
      <w:pPr>
        <w:ind w:left="3114" w:hanging="360"/>
      </w:pPr>
      <w:rPr>
        <w:rFonts w:ascii="Wingdings" w:hAnsi="Wingdings" w:hint="default"/>
      </w:rPr>
    </w:lvl>
    <w:lvl w:ilvl="3">
      <w:start w:val="1"/>
      <w:numFmt w:val="bullet"/>
      <w:lvlText w:val=""/>
      <w:lvlJc w:val="left"/>
      <w:pPr>
        <w:ind w:left="3834" w:hanging="360"/>
      </w:pPr>
      <w:rPr>
        <w:rFonts w:ascii="Symbol" w:hAnsi="Symbol" w:hint="default"/>
      </w:rPr>
    </w:lvl>
    <w:lvl w:ilvl="4">
      <w:start w:val="1"/>
      <w:numFmt w:val="bullet"/>
      <w:lvlText w:val="o"/>
      <w:lvlJc w:val="left"/>
      <w:pPr>
        <w:ind w:left="4554" w:hanging="360"/>
      </w:pPr>
      <w:rPr>
        <w:rFonts w:ascii="Courier New" w:hAnsi="Courier New" w:cs="Courier New" w:hint="default"/>
      </w:rPr>
    </w:lvl>
    <w:lvl w:ilvl="5">
      <w:start w:val="1"/>
      <w:numFmt w:val="bullet"/>
      <w:lvlText w:val=""/>
      <w:lvlJc w:val="left"/>
      <w:pPr>
        <w:ind w:left="5274" w:hanging="360"/>
      </w:pPr>
      <w:rPr>
        <w:rFonts w:ascii="Wingdings" w:hAnsi="Wingdings" w:hint="default"/>
      </w:rPr>
    </w:lvl>
    <w:lvl w:ilvl="6">
      <w:start w:val="1"/>
      <w:numFmt w:val="bullet"/>
      <w:lvlText w:val=""/>
      <w:lvlJc w:val="left"/>
      <w:pPr>
        <w:ind w:left="5994" w:hanging="360"/>
      </w:pPr>
      <w:rPr>
        <w:rFonts w:ascii="Symbol" w:hAnsi="Symbol" w:hint="default"/>
      </w:rPr>
    </w:lvl>
    <w:lvl w:ilvl="7">
      <w:start w:val="1"/>
      <w:numFmt w:val="bullet"/>
      <w:lvlText w:val="o"/>
      <w:lvlJc w:val="left"/>
      <w:pPr>
        <w:ind w:left="6714" w:hanging="360"/>
      </w:pPr>
      <w:rPr>
        <w:rFonts w:ascii="Courier New" w:hAnsi="Courier New" w:cs="Courier New" w:hint="default"/>
      </w:rPr>
    </w:lvl>
    <w:lvl w:ilvl="8">
      <w:start w:val="1"/>
      <w:numFmt w:val="bullet"/>
      <w:lvlText w:val=""/>
      <w:lvlJc w:val="left"/>
      <w:pPr>
        <w:ind w:left="7434" w:hanging="360"/>
      </w:pPr>
      <w:rPr>
        <w:rFonts w:ascii="Wingdings" w:hAnsi="Wingdings" w:hint="default"/>
      </w:rPr>
    </w:lvl>
  </w:abstractNum>
  <w:abstractNum w:abstractNumId="41" w15:restartNumberingAfterBreak="0">
    <w:nsid w:val="13683370"/>
    <w:multiLevelType w:val="multilevel"/>
    <w:tmpl w:val="13683370"/>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13F547AC"/>
    <w:multiLevelType w:val="multilevel"/>
    <w:tmpl w:val="13F547A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140F2B40"/>
    <w:multiLevelType w:val="multilevel"/>
    <w:tmpl w:val="140F2B4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14B47FBD"/>
    <w:multiLevelType w:val="multilevel"/>
    <w:tmpl w:val="776072F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15593039"/>
    <w:multiLevelType w:val="multilevel"/>
    <w:tmpl w:val="1559303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15632D89"/>
    <w:multiLevelType w:val="multilevel"/>
    <w:tmpl w:val="15632D89"/>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15A47126"/>
    <w:multiLevelType w:val="multilevel"/>
    <w:tmpl w:val="15A4712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16027F66"/>
    <w:multiLevelType w:val="multilevel"/>
    <w:tmpl w:val="16027F66"/>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18970D26"/>
    <w:multiLevelType w:val="multilevel"/>
    <w:tmpl w:val="18970D2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19865346"/>
    <w:multiLevelType w:val="multilevel"/>
    <w:tmpl w:val="19865346"/>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1B96724A"/>
    <w:multiLevelType w:val="multilevel"/>
    <w:tmpl w:val="1B96724A"/>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1BF94E76"/>
    <w:multiLevelType w:val="multilevel"/>
    <w:tmpl w:val="1BF94E76"/>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1C4D72C2"/>
    <w:multiLevelType w:val="multilevel"/>
    <w:tmpl w:val="1C4D72C2"/>
    <w:lvl w:ilvl="0">
      <w:start w:val="1"/>
      <w:numFmt w:val="decimal"/>
      <w:lvlText w:val="%1."/>
      <w:lvlJc w:val="left"/>
      <w:pPr>
        <w:ind w:left="390" w:hanging="360"/>
      </w:pPr>
      <w:rPr>
        <w:rFonts w:hint="default"/>
        <w:b/>
      </w:rPr>
    </w:lvl>
    <w:lvl w:ilvl="1">
      <w:start w:val="1"/>
      <w:numFmt w:val="lowerLetter"/>
      <w:lvlText w:val="%2."/>
      <w:lvlJc w:val="left"/>
      <w:pPr>
        <w:ind w:left="1110" w:hanging="360"/>
      </w:pPr>
    </w:lvl>
    <w:lvl w:ilvl="2">
      <w:start w:val="1"/>
      <w:numFmt w:val="lowerRoman"/>
      <w:lvlText w:val="%3."/>
      <w:lvlJc w:val="right"/>
      <w:pPr>
        <w:ind w:left="1830" w:hanging="180"/>
      </w:pPr>
    </w:lvl>
    <w:lvl w:ilvl="3">
      <w:start w:val="1"/>
      <w:numFmt w:val="decimal"/>
      <w:lvlText w:val="%4."/>
      <w:lvlJc w:val="left"/>
      <w:pPr>
        <w:ind w:left="2550" w:hanging="360"/>
      </w:pPr>
    </w:lvl>
    <w:lvl w:ilvl="4">
      <w:start w:val="1"/>
      <w:numFmt w:val="lowerLetter"/>
      <w:lvlText w:val="%5."/>
      <w:lvlJc w:val="left"/>
      <w:pPr>
        <w:ind w:left="3270" w:hanging="360"/>
      </w:pPr>
    </w:lvl>
    <w:lvl w:ilvl="5">
      <w:start w:val="1"/>
      <w:numFmt w:val="lowerRoman"/>
      <w:lvlText w:val="%6."/>
      <w:lvlJc w:val="right"/>
      <w:pPr>
        <w:ind w:left="3990" w:hanging="180"/>
      </w:pPr>
    </w:lvl>
    <w:lvl w:ilvl="6">
      <w:start w:val="1"/>
      <w:numFmt w:val="decimal"/>
      <w:lvlText w:val="%7."/>
      <w:lvlJc w:val="left"/>
      <w:pPr>
        <w:ind w:left="4710" w:hanging="360"/>
      </w:pPr>
    </w:lvl>
    <w:lvl w:ilvl="7">
      <w:start w:val="1"/>
      <w:numFmt w:val="lowerLetter"/>
      <w:lvlText w:val="%8."/>
      <w:lvlJc w:val="left"/>
      <w:pPr>
        <w:ind w:left="5430" w:hanging="360"/>
      </w:pPr>
    </w:lvl>
    <w:lvl w:ilvl="8">
      <w:start w:val="1"/>
      <w:numFmt w:val="lowerRoman"/>
      <w:lvlText w:val="%9."/>
      <w:lvlJc w:val="right"/>
      <w:pPr>
        <w:ind w:left="6150" w:hanging="180"/>
      </w:pPr>
    </w:lvl>
  </w:abstractNum>
  <w:abstractNum w:abstractNumId="54" w15:restartNumberingAfterBreak="0">
    <w:nsid w:val="1DA03917"/>
    <w:multiLevelType w:val="multilevel"/>
    <w:tmpl w:val="1DA03917"/>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1DA57D94"/>
    <w:multiLevelType w:val="multilevel"/>
    <w:tmpl w:val="1DA57D9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6" w15:restartNumberingAfterBreak="0">
    <w:nsid w:val="1DE76947"/>
    <w:multiLevelType w:val="multilevel"/>
    <w:tmpl w:val="1DE76947"/>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20982300"/>
    <w:multiLevelType w:val="multilevel"/>
    <w:tmpl w:val="20982300"/>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221D68B4"/>
    <w:multiLevelType w:val="multilevel"/>
    <w:tmpl w:val="221D68B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233134B9"/>
    <w:multiLevelType w:val="multilevel"/>
    <w:tmpl w:val="233134B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256C689B"/>
    <w:multiLevelType w:val="multilevel"/>
    <w:tmpl w:val="256C689B"/>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268D2EB0"/>
    <w:multiLevelType w:val="multilevel"/>
    <w:tmpl w:val="268D2EB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27C02593"/>
    <w:multiLevelType w:val="multilevel"/>
    <w:tmpl w:val="27C0259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3" w15:restartNumberingAfterBreak="0">
    <w:nsid w:val="29B36FC7"/>
    <w:multiLevelType w:val="multilevel"/>
    <w:tmpl w:val="29B36FC7"/>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29C9495D"/>
    <w:multiLevelType w:val="multilevel"/>
    <w:tmpl w:val="29C9495D"/>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2A1C4087"/>
    <w:multiLevelType w:val="multilevel"/>
    <w:tmpl w:val="2A1C4087"/>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2A2059D7"/>
    <w:multiLevelType w:val="multilevel"/>
    <w:tmpl w:val="2A2059D7"/>
    <w:lvl w:ilvl="0">
      <w:start w:val="1"/>
      <w:numFmt w:val="decimal"/>
      <w:lvlText w:val="%1."/>
      <w:lvlJc w:val="left"/>
      <w:pPr>
        <w:ind w:left="720" w:hanging="360"/>
      </w:pPr>
      <w:rPr>
        <w:rFonts w:ascii="Times New Roman" w:eastAsiaTheme="minorHAnsi"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2B2F66D5"/>
    <w:multiLevelType w:val="multilevel"/>
    <w:tmpl w:val="2B2F66D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8" w15:restartNumberingAfterBreak="0">
    <w:nsid w:val="2B701E75"/>
    <w:multiLevelType w:val="multilevel"/>
    <w:tmpl w:val="2B701E75"/>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2C2F33A9"/>
    <w:multiLevelType w:val="multilevel"/>
    <w:tmpl w:val="2C2F33A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2C5C03C9"/>
    <w:multiLevelType w:val="multilevel"/>
    <w:tmpl w:val="2C5C03C9"/>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2CA313CF"/>
    <w:multiLevelType w:val="multilevel"/>
    <w:tmpl w:val="2CA313C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2D206954"/>
    <w:multiLevelType w:val="multilevel"/>
    <w:tmpl w:val="2D20695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2D734AC5"/>
    <w:multiLevelType w:val="multilevel"/>
    <w:tmpl w:val="2D734AC5"/>
    <w:lvl w:ilvl="0">
      <w:start w:val="1"/>
      <w:numFmt w:val="decimal"/>
      <w:lvlText w:val="%1."/>
      <w:lvlJc w:val="left"/>
      <w:pPr>
        <w:ind w:left="720" w:hanging="360"/>
      </w:pPr>
      <w:rPr>
        <w:rFonts w:ascii="Times New Roman" w:eastAsiaTheme="minorHAnsi"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2E396CC4"/>
    <w:multiLevelType w:val="multilevel"/>
    <w:tmpl w:val="2E396CC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5" w15:restartNumberingAfterBreak="0">
    <w:nsid w:val="2F7E369E"/>
    <w:multiLevelType w:val="multilevel"/>
    <w:tmpl w:val="2F7E369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2F993E50"/>
    <w:multiLevelType w:val="multilevel"/>
    <w:tmpl w:val="2F993E5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2FE05342"/>
    <w:multiLevelType w:val="multilevel"/>
    <w:tmpl w:val="2FE05342"/>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309447C8"/>
    <w:multiLevelType w:val="multilevel"/>
    <w:tmpl w:val="309447C8"/>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311F1C5D"/>
    <w:multiLevelType w:val="multilevel"/>
    <w:tmpl w:val="311F1C5D"/>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31235142"/>
    <w:multiLevelType w:val="multilevel"/>
    <w:tmpl w:val="3123514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317809D3"/>
    <w:multiLevelType w:val="multilevel"/>
    <w:tmpl w:val="317809D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2" w15:restartNumberingAfterBreak="0">
    <w:nsid w:val="32EF401C"/>
    <w:multiLevelType w:val="multilevel"/>
    <w:tmpl w:val="32EF401C"/>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3" w15:restartNumberingAfterBreak="0">
    <w:nsid w:val="3316225E"/>
    <w:multiLevelType w:val="multilevel"/>
    <w:tmpl w:val="3316225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342F1D2E"/>
    <w:multiLevelType w:val="multilevel"/>
    <w:tmpl w:val="342F1D2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34513768"/>
    <w:multiLevelType w:val="multilevel"/>
    <w:tmpl w:val="34513768"/>
    <w:lvl w:ilvl="0">
      <w:start w:val="1"/>
      <w:numFmt w:val="bullet"/>
      <w:lvlText w:val=""/>
      <w:lvlJc w:val="left"/>
      <w:pPr>
        <w:tabs>
          <w:tab w:val="left" w:pos="720"/>
        </w:tabs>
        <w:ind w:left="720" w:hanging="360"/>
      </w:pPr>
      <w:rPr>
        <w:rFonts w:ascii="Symbol" w:hAnsi="Symbol"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6" w15:restartNumberingAfterBreak="0">
    <w:nsid w:val="34584D34"/>
    <w:multiLevelType w:val="multilevel"/>
    <w:tmpl w:val="34584D3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34C36228"/>
    <w:multiLevelType w:val="multilevel"/>
    <w:tmpl w:val="E1E011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35066B8F"/>
    <w:multiLevelType w:val="hybridMultilevel"/>
    <w:tmpl w:val="3C4EE3FE"/>
    <w:lvl w:ilvl="0" w:tplc="15A49BB2">
      <w:start w:val="1"/>
      <w:numFmt w:val="decimal"/>
      <w:lvlText w:val="%1."/>
      <w:lvlJc w:val="left"/>
      <w:pPr>
        <w:tabs>
          <w:tab w:val="num" w:pos="720"/>
        </w:tabs>
        <w:ind w:left="720" w:hanging="360"/>
      </w:pPr>
    </w:lvl>
    <w:lvl w:ilvl="1" w:tplc="7242BEF2" w:tentative="1">
      <w:start w:val="1"/>
      <w:numFmt w:val="decimal"/>
      <w:lvlText w:val="%2."/>
      <w:lvlJc w:val="left"/>
      <w:pPr>
        <w:tabs>
          <w:tab w:val="num" w:pos="1440"/>
        </w:tabs>
        <w:ind w:left="1440" w:hanging="360"/>
      </w:pPr>
    </w:lvl>
    <w:lvl w:ilvl="2" w:tplc="E572D90E" w:tentative="1">
      <w:start w:val="1"/>
      <w:numFmt w:val="decimal"/>
      <w:lvlText w:val="%3."/>
      <w:lvlJc w:val="left"/>
      <w:pPr>
        <w:tabs>
          <w:tab w:val="num" w:pos="2160"/>
        </w:tabs>
        <w:ind w:left="2160" w:hanging="360"/>
      </w:pPr>
    </w:lvl>
    <w:lvl w:ilvl="3" w:tplc="AEF44F5C" w:tentative="1">
      <w:start w:val="1"/>
      <w:numFmt w:val="decimal"/>
      <w:lvlText w:val="%4."/>
      <w:lvlJc w:val="left"/>
      <w:pPr>
        <w:tabs>
          <w:tab w:val="num" w:pos="2880"/>
        </w:tabs>
        <w:ind w:left="2880" w:hanging="360"/>
      </w:pPr>
    </w:lvl>
    <w:lvl w:ilvl="4" w:tplc="08E45D9A" w:tentative="1">
      <w:start w:val="1"/>
      <w:numFmt w:val="decimal"/>
      <w:lvlText w:val="%5."/>
      <w:lvlJc w:val="left"/>
      <w:pPr>
        <w:tabs>
          <w:tab w:val="num" w:pos="3600"/>
        </w:tabs>
        <w:ind w:left="3600" w:hanging="360"/>
      </w:pPr>
    </w:lvl>
    <w:lvl w:ilvl="5" w:tplc="57ACD7AC" w:tentative="1">
      <w:start w:val="1"/>
      <w:numFmt w:val="decimal"/>
      <w:lvlText w:val="%6."/>
      <w:lvlJc w:val="left"/>
      <w:pPr>
        <w:tabs>
          <w:tab w:val="num" w:pos="4320"/>
        </w:tabs>
        <w:ind w:left="4320" w:hanging="360"/>
      </w:pPr>
    </w:lvl>
    <w:lvl w:ilvl="6" w:tplc="833C3296" w:tentative="1">
      <w:start w:val="1"/>
      <w:numFmt w:val="decimal"/>
      <w:lvlText w:val="%7."/>
      <w:lvlJc w:val="left"/>
      <w:pPr>
        <w:tabs>
          <w:tab w:val="num" w:pos="5040"/>
        </w:tabs>
        <w:ind w:left="5040" w:hanging="360"/>
      </w:pPr>
    </w:lvl>
    <w:lvl w:ilvl="7" w:tplc="20E67D54" w:tentative="1">
      <w:start w:val="1"/>
      <w:numFmt w:val="decimal"/>
      <w:lvlText w:val="%8."/>
      <w:lvlJc w:val="left"/>
      <w:pPr>
        <w:tabs>
          <w:tab w:val="num" w:pos="5760"/>
        </w:tabs>
        <w:ind w:left="5760" w:hanging="360"/>
      </w:pPr>
    </w:lvl>
    <w:lvl w:ilvl="8" w:tplc="7D3CD4C4" w:tentative="1">
      <w:start w:val="1"/>
      <w:numFmt w:val="decimal"/>
      <w:lvlText w:val="%9."/>
      <w:lvlJc w:val="left"/>
      <w:pPr>
        <w:tabs>
          <w:tab w:val="num" w:pos="6480"/>
        </w:tabs>
        <w:ind w:left="6480" w:hanging="360"/>
      </w:pPr>
    </w:lvl>
  </w:abstractNum>
  <w:abstractNum w:abstractNumId="89" w15:restartNumberingAfterBreak="0">
    <w:nsid w:val="35F113A7"/>
    <w:multiLevelType w:val="multilevel"/>
    <w:tmpl w:val="35F113A7"/>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15:restartNumberingAfterBreak="0">
    <w:nsid w:val="36576994"/>
    <w:multiLevelType w:val="multilevel"/>
    <w:tmpl w:val="36576994"/>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1" w15:restartNumberingAfterBreak="0">
    <w:nsid w:val="36966658"/>
    <w:multiLevelType w:val="multilevel"/>
    <w:tmpl w:val="36966658"/>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2" w15:restartNumberingAfterBreak="0">
    <w:nsid w:val="37586269"/>
    <w:multiLevelType w:val="multilevel"/>
    <w:tmpl w:val="3758626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3" w15:restartNumberingAfterBreak="0">
    <w:nsid w:val="37AA3143"/>
    <w:multiLevelType w:val="multilevel"/>
    <w:tmpl w:val="37AA3143"/>
    <w:lvl w:ilvl="0">
      <w:start w:val="1"/>
      <w:numFmt w:val="decimal"/>
      <w:lvlText w:val="%1."/>
      <w:lvlJc w:val="left"/>
      <w:pPr>
        <w:ind w:left="720" w:hanging="360"/>
      </w:pPr>
      <w:rPr>
        <w:rFonts w:asciiTheme="minorHAnsi" w:eastAsiaTheme="minorHAnsi" w:hAnsiTheme="minorHAnsi" w:cstheme="minorHAnsi"/>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4" w15:restartNumberingAfterBreak="0">
    <w:nsid w:val="3844494B"/>
    <w:multiLevelType w:val="multilevel"/>
    <w:tmpl w:val="3844494B"/>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3B8F26A9"/>
    <w:multiLevelType w:val="multilevel"/>
    <w:tmpl w:val="776072F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3BA02E7C"/>
    <w:multiLevelType w:val="multilevel"/>
    <w:tmpl w:val="3BA02E7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15:restartNumberingAfterBreak="0">
    <w:nsid w:val="3C216CF7"/>
    <w:multiLevelType w:val="multilevel"/>
    <w:tmpl w:val="3C216CF7"/>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15:restartNumberingAfterBreak="0">
    <w:nsid w:val="3CC873C8"/>
    <w:multiLevelType w:val="multilevel"/>
    <w:tmpl w:val="3CC873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9" w15:restartNumberingAfterBreak="0">
    <w:nsid w:val="3E481D93"/>
    <w:multiLevelType w:val="multilevel"/>
    <w:tmpl w:val="3E481D93"/>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0" w15:restartNumberingAfterBreak="0">
    <w:nsid w:val="3F9A346A"/>
    <w:multiLevelType w:val="multilevel"/>
    <w:tmpl w:val="3F9A346A"/>
    <w:lvl w:ilvl="0">
      <w:start w:val="1"/>
      <w:numFmt w:val="bullet"/>
      <w:lvlText w:val=""/>
      <w:lvlJc w:val="left"/>
      <w:pPr>
        <w:ind w:left="720" w:hanging="360"/>
      </w:pPr>
      <w:rPr>
        <w:rFonts w:ascii="Symbol" w:hAnsi="Symbol" w:hint="default"/>
      </w:rPr>
    </w:lvl>
    <w:lvl w:ilvl="1">
      <w:start w:val="1"/>
      <w:numFmt w:val="bullet"/>
      <w:lvlText w:val=""/>
      <w:lvlJc w:val="left"/>
      <w:pPr>
        <w:ind w:left="502"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1" w15:restartNumberingAfterBreak="0">
    <w:nsid w:val="406A74F0"/>
    <w:multiLevelType w:val="multilevel"/>
    <w:tmpl w:val="406A74F0"/>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15:restartNumberingAfterBreak="0">
    <w:nsid w:val="42847AE8"/>
    <w:multiLevelType w:val="multilevel"/>
    <w:tmpl w:val="42847AE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15:restartNumberingAfterBreak="0">
    <w:nsid w:val="45866E6C"/>
    <w:multiLevelType w:val="multilevel"/>
    <w:tmpl w:val="45866E6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45BD33E0"/>
    <w:multiLevelType w:val="multilevel"/>
    <w:tmpl w:val="45BD33E0"/>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5" w15:restartNumberingAfterBreak="0">
    <w:nsid w:val="45F46A34"/>
    <w:multiLevelType w:val="multilevel"/>
    <w:tmpl w:val="45F46A34"/>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15:restartNumberingAfterBreak="0">
    <w:nsid w:val="46526EBF"/>
    <w:multiLevelType w:val="multilevel"/>
    <w:tmpl w:val="46526EBF"/>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468065FF"/>
    <w:multiLevelType w:val="multilevel"/>
    <w:tmpl w:val="468065FF"/>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15:restartNumberingAfterBreak="0">
    <w:nsid w:val="46CF4156"/>
    <w:multiLevelType w:val="multilevel"/>
    <w:tmpl w:val="46CF4156"/>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9" w15:restartNumberingAfterBreak="0">
    <w:nsid w:val="47C80570"/>
    <w:multiLevelType w:val="multilevel"/>
    <w:tmpl w:val="47C805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0" w15:restartNumberingAfterBreak="0">
    <w:nsid w:val="488C7870"/>
    <w:multiLevelType w:val="multilevel"/>
    <w:tmpl w:val="488C7870"/>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1" w15:restartNumberingAfterBreak="0">
    <w:nsid w:val="48CB6AC6"/>
    <w:multiLevelType w:val="multilevel"/>
    <w:tmpl w:val="48CB6AC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2" w15:restartNumberingAfterBreak="0">
    <w:nsid w:val="48DC6A87"/>
    <w:multiLevelType w:val="multilevel"/>
    <w:tmpl w:val="48DC6A87"/>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3" w15:restartNumberingAfterBreak="0">
    <w:nsid w:val="491E36C0"/>
    <w:multiLevelType w:val="multilevel"/>
    <w:tmpl w:val="491E36C0"/>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4" w15:restartNumberingAfterBreak="0">
    <w:nsid w:val="4950548B"/>
    <w:multiLevelType w:val="multilevel"/>
    <w:tmpl w:val="4950548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5" w15:restartNumberingAfterBreak="0">
    <w:nsid w:val="49D47D5F"/>
    <w:multiLevelType w:val="multilevel"/>
    <w:tmpl w:val="49D47D5F"/>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6" w15:restartNumberingAfterBreak="0">
    <w:nsid w:val="4AD169C4"/>
    <w:multiLevelType w:val="multilevel"/>
    <w:tmpl w:val="4AD169C4"/>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7" w15:restartNumberingAfterBreak="0">
    <w:nsid w:val="4ADE73F3"/>
    <w:multiLevelType w:val="multilevel"/>
    <w:tmpl w:val="4ADE73F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8" w15:restartNumberingAfterBreak="0">
    <w:nsid w:val="4B15389D"/>
    <w:multiLevelType w:val="multilevel"/>
    <w:tmpl w:val="4B15389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15:restartNumberingAfterBreak="0">
    <w:nsid w:val="4BDA2E06"/>
    <w:multiLevelType w:val="multilevel"/>
    <w:tmpl w:val="4BDA2E06"/>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0" w15:restartNumberingAfterBreak="0">
    <w:nsid w:val="4D9043A9"/>
    <w:multiLevelType w:val="multilevel"/>
    <w:tmpl w:val="4D9043A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1" w15:restartNumberingAfterBreak="0">
    <w:nsid w:val="4E5545DE"/>
    <w:multiLevelType w:val="multilevel"/>
    <w:tmpl w:val="4E5545D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15:restartNumberingAfterBreak="0">
    <w:nsid w:val="4EF26F8D"/>
    <w:multiLevelType w:val="multilevel"/>
    <w:tmpl w:val="4EF26F8D"/>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3" w15:restartNumberingAfterBreak="0">
    <w:nsid w:val="4F5A6F0E"/>
    <w:multiLevelType w:val="multilevel"/>
    <w:tmpl w:val="4F5A6F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4" w15:restartNumberingAfterBreak="0">
    <w:nsid w:val="51C12774"/>
    <w:multiLevelType w:val="multilevel"/>
    <w:tmpl w:val="51C12774"/>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5" w15:restartNumberingAfterBreak="0">
    <w:nsid w:val="52170D9F"/>
    <w:multiLevelType w:val="multilevel"/>
    <w:tmpl w:val="52170D9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6" w15:restartNumberingAfterBreak="0">
    <w:nsid w:val="529315C0"/>
    <w:multiLevelType w:val="multilevel"/>
    <w:tmpl w:val="529315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7" w15:restartNumberingAfterBreak="0">
    <w:nsid w:val="53B166A9"/>
    <w:multiLevelType w:val="multilevel"/>
    <w:tmpl w:val="53B166A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8" w15:restartNumberingAfterBreak="0">
    <w:nsid w:val="544D42DD"/>
    <w:multiLevelType w:val="multilevel"/>
    <w:tmpl w:val="544D42DD"/>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9" w15:restartNumberingAfterBreak="0">
    <w:nsid w:val="55001955"/>
    <w:multiLevelType w:val="multilevel"/>
    <w:tmpl w:val="55001955"/>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0" w15:restartNumberingAfterBreak="0">
    <w:nsid w:val="55266C1A"/>
    <w:multiLevelType w:val="multilevel"/>
    <w:tmpl w:val="55266C1A"/>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1" w15:restartNumberingAfterBreak="0">
    <w:nsid w:val="5552677C"/>
    <w:multiLevelType w:val="multilevel"/>
    <w:tmpl w:val="5552677C"/>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2" w15:restartNumberingAfterBreak="0">
    <w:nsid w:val="558A446B"/>
    <w:multiLevelType w:val="multilevel"/>
    <w:tmpl w:val="558A446B"/>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3" w15:restartNumberingAfterBreak="0">
    <w:nsid w:val="56B4049B"/>
    <w:multiLevelType w:val="multilevel"/>
    <w:tmpl w:val="56B4049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4" w15:restartNumberingAfterBreak="0">
    <w:nsid w:val="571C05F6"/>
    <w:multiLevelType w:val="multilevel"/>
    <w:tmpl w:val="571C05F6"/>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5" w15:restartNumberingAfterBreak="0">
    <w:nsid w:val="576B5BB2"/>
    <w:multiLevelType w:val="multilevel"/>
    <w:tmpl w:val="576B5BB2"/>
    <w:lvl w:ilvl="0">
      <w:numFmt w:val="decimal"/>
      <w:lvlText w:val="%1."/>
      <w:lvlJc w:val="left"/>
      <w:pPr>
        <w:ind w:left="720" w:hanging="360"/>
      </w:pPr>
      <w:rPr>
        <w:rFonts w:ascii="Times New Roman" w:eastAsiaTheme="minorHAnsi"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6" w15:restartNumberingAfterBreak="0">
    <w:nsid w:val="579C3427"/>
    <w:multiLevelType w:val="multilevel"/>
    <w:tmpl w:val="579C3427"/>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7" w15:restartNumberingAfterBreak="0">
    <w:nsid w:val="58964329"/>
    <w:multiLevelType w:val="multilevel"/>
    <w:tmpl w:val="58964329"/>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8" w15:restartNumberingAfterBreak="0">
    <w:nsid w:val="58C13174"/>
    <w:multiLevelType w:val="multilevel"/>
    <w:tmpl w:val="58C13174"/>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9" w15:restartNumberingAfterBreak="0">
    <w:nsid w:val="597A57E3"/>
    <w:multiLevelType w:val="multilevel"/>
    <w:tmpl w:val="597A57E3"/>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0" w15:restartNumberingAfterBreak="0">
    <w:nsid w:val="5A164CF4"/>
    <w:multiLevelType w:val="hybridMultilevel"/>
    <w:tmpl w:val="C652B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1" w15:restartNumberingAfterBreak="0">
    <w:nsid w:val="5B8263F9"/>
    <w:multiLevelType w:val="multilevel"/>
    <w:tmpl w:val="5B8263F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2" w15:restartNumberingAfterBreak="0">
    <w:nsid w:val="5C6254AD"/>
    <w:multiLevelType w:val="multilevel"/>
    <w:tmpl w:val="5C6254AD"/>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3" w15:restartNumberingAfterBreak="0">
    <w:nsid w:val="5CBD1735"/>
    <w:multiLevelType w:val="multilevel"/>
    <w:tmpl w:val="5CBD1735"/>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4" w15:restartNumberingAfterBreak="0">
    <w:nsid w:val="5CD40BDD"/>
    <w:multiLevelType w:val="multilevel"/>
    <w:tmpl w:val="5CD40BDD"/>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5" w15:restartNumberingAfterBreak="0">
    <w:nsid w:val="5D3B6B08"/>
    <w:multiLevelType w:val="multilevel"/>
    <w:tmpl w:val="5D3B6B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6" w15:restartNumberingAfterBreak="0">
    <w:nsid w:val="5D444616"/>
    <w:multiLevelType w:val="multilevel"/>
    <w:tmpl w:val="5D444616"/>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7" w15:restartNumberingAfterBreak="0">
    <w:nsid w:val="5D485A6E"/>
    <w:multiLevelType w:val="multilevel"/>
    <w:tmpl w:val="5D485A6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8" w15:restartNumberingAfterBreak="0">
    <w:nsid w:val="5E5E042D"/>
    <w:multiLevelType w:val="multilevel"/>
    <w:tmpl w:val="5E5E042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9" w15:restartNumberingAfterBreak="0">
    <w:nsid w:val="5EF63CA5"/>
    <w:multiLevelType w:val="multilevel"/>
    <w:tmpl w:val="5EF63CA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0" w15:restartNumberingAfterBreak="0">
    <w:nsid w:val="5F161F2F"/>
    <w:multiLevelType w:val="multilevel"/>
    <w:tmpl w:val="5F161F2F"/>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1" w15:restartNumberingAfterBreak="0">
    <w:nsid w:val="601664F6"/>
    <w:multiLevelType w:val="multilevel"/>
    <w:tmpl w:val="601664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2" w15:restartNumberingAfterBreak="0">
    <w:nsid w:val="60CE0BE8"/>
    <w:multiLevelType w:val="multilevel"/>
    <w:tmpl w:val="60CE0BE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3" w15:restartNumberingAfterBreak="0">
    <w:nsid w:val="60E32E41"/>
    <w:multiLevelType w:val="multilevel"/>
    <w:tmpl w:val="60E32E41"/>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4" w15:restartNumberingAfterBreak="0">
    <w:nsid w:val="6140238E"/>
    <w:multiLevelType w:val="multilevel"/>
    <w:tmpl w:val="6140238E"/>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5" w15:restartNumberingAfterBreak="0">
    <w:nsid w:val="61F957D8"/>
    <w:multiLevelType w:val="hybridMultilevel"/>
    <w:tmpl w:val="6E82DC2A"/>
    <w:lvl w:ilvl="0" w:tplc="F384C696">
      <w:start w:val="1"/>
      <w:numFmt w:val="bullet"/>
      <w:lvlText w:val=""/>
      <w:lvlJc w:val="left"/>
      <w:pPr>
        <w:tabs>
          <w:tab w:val="num" w:pos="720"/>
        </w:tabs>
        <w:ind w:left="720" w:hanging="360"/>
      </w:pPr>
      <w:rPr>
        <w:rFonts w:ascii="Wingdings" w:hAnsi="Wingdings" w:hint="default"/>
      </w:rPr>
    </w:lvl>
    <w:lvl w:ilvl="1" w:tplc="14321BF6" w:tentative="1">
      <w:start w:val="1"/>
      <w:numFmt w:val="bullet"/>
      <w:lvlText w:val=""/>
      <w:lvlJc w:val="left"/>
      <w:pPr>
        <w:tabs>
          <w:tab w:val="num" w:pos="1440"/>
        </w:tabs>
        <w:ind w:left="1440" w:hanging="360"/>
      </w:pPr>
      <w:rPr>
        <w:rFonts w:ascii="Wingdings" w:hAnsi="Wingdings" w:hint="default"/>
      </w:rPr>
    </w:lvl>
    <w:lvl w:ilvl="2" w:tplc="01569A76" w:tentative="1">
      <w:start w:val="1"/>
      <w:numFmt w:val="bullet"/>
      <w:lvlText w:val=""/>
      <w:lvlJc w:val="left"/>
      <w:pPr>
        <w:tabs>
          <w:tab w:val="num" w:pos="2160"/>
        </w:tabs>
        <w:ind w:left="2160" w:hanging="360"/>
      </w:pPr>
      <w:rPr>
        <w:rFonts w:ascii="Wingdings" w:hAnsi="Wingdings" w:hint="default"/>
      </w:rPr>
    </w:lvl>
    <w:lvl w:ilvl="3" w:tplc="2EA4B864" w:tentative="1">
      <w:start w:val="1"/>
      <w:numFmt w:val="bullet"/>
      <w:lvlText w:val=""/>
      <w:lvlJc w:val="left"/>
      <w:pPr>
        <w:tabs>
          <w:tab w:val="num" w:pos="2880"/>
        </w:tabs>
        <w:ind w:left="2880" w:hanging="360"/>
      </w:pPr>
      <w:rPr>
        <w:rFonts w:ascii="Wingdings" w:hAnsi="Wingdings" w:hint="default"/>
      </w:rPr>
    </w:lvl>
    <w:lvl w:ilvl="4" w:tplc="44EC5E9E" w:tentative="1">
      <w:start w:val="1"/>
      <w:numFmt w:val="bullet"/>
      <w:lvlText w:val=""/>
      <w:lvlJc w:val="left"/>
      <w:pPr>
        <w:tabs>
          <w:tab w:val="num" w:pos="3600"/>
        </w:tabs>
        <w:ind w:left="3600" w:hanging="360"/>
      </w:pPr>
      <w:rPr>
        <w:rFonts w:ascii="Wingdings" w:hAnsi="Wingdings" w:hint="default"/>
      </w:rPr>
    </w:lvl>
    <w:lvl w:ilvl="5" w:tplc="656EC636" w:tentative="1">
      <w:start w:val="1"/>
      <w:numFmt w:val="bullet"/>
      <w:lvlText w:val=""/>
      <w:lvlJc w:val="left"/>
      <w:pPr>
        <w:tabs>
          <w:tab w:val="num" w:pos="4320"/>
        </w:tabs>
        <w:ind w:left="4320" w:hanging="360"/>
      </w:pPr>
      <w:rPr>
        <w:rFonts w:ascii="Wingdings" w:hAnsi="Wingdings" w:hint="default"/>
      </w:rPr>
    </w:lvl>
    <w:lvl w:ilvl="6" w:tplc="862CBBDC" w:tentative="1">
      <w:start w:val="1"/>
      <w:numFmt w:val="bullet"/>
      <w:lvlText w:val=""/>
      <w:lvlJc w:val="left"/>
      <w:pPr>
        <w:tabs>
          <w:tab w:val="num" w:pos="5040"/>
        </w:tabs>
        <w:ind w:left="5040" w:hanging="360"/>
      </w:pPr>
      <w:rPr>
        <w:rFonts w:ascii="Wingdings" w:hAnsi="Wingdings" w:hint="default"/>
      </w:rPr>
    </w:lvl>
    <w:lvl w:ilvl="7" w:tplc="954CFC7C" w:tentative="1">
      <w:start w:val="1"/>
      <w:numFmt w:val="bullet"/>
      <w:lvlText w:val=""/>
      <w:lvlJc w:val="left"/>
      <w:pPr>
        <w:tabs>
          <w:tab w:val="num" w:pos="5760"/>
        </w:tabs>
        <w:ind w:left="5760" w:hanging="360"/>
      </w:pPr>
      <w:rPr>
        <w:rFonts w:ascii="Wingdings" w:hAnsi="Wingdings" w:hint="default"/>
      </w:rPr>
    </w:lvl>
    <w:lvl w:ilvl="8" w:tplc="BBAAFAB0" w:tentative="1">
      <w:start w:val="1"/>
      <w:numFmt w:val="bullet"/>
      <w:lvlText w:val=""/>
      <w:lvlJc w:val="left"/>
      <w:pPr>
        <w:tabs>
          <w:tab w:val="num" w:pos="6480"/>
        </w:tabs>
        <w:ind w:left="6480" w:hanging="360"/>
      </w:pPr>
      <w:rPr>
        <w:rFonts w:ascii="Wingdings" w:hAnsi="Wingdings" w:hint="default"/>
      </w:rPr>
    </w:lvl>
  </w:abstractNum>
  <w:abstractNum w:abstractNumId="156" w15:restartNumberingAfterBreak="0">
    <w:nsid w:val="65233F2E"/>
    <w:multiLevelType w:val="multilevel"/>
    <w:tmpl w:val="65233F2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7" w15:restartNumberingAfterBreak="0">
    <w:nsid w:val="6642412A"/>
    <w:multiLevelType w:val="multilevel"/>
    <w:tmpl w:val="6642412A"/>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8" w15:restartNumberingAfterBreak="0">
    <w:nsid w:val="67A61651"/>
    <w:multiLevelType w:val="multilevel"/>
    <w:tmpl w:val="67A61651"/>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9" w15:restartNumberingAfterBreak="0">
    <w:nsid w:val="67C07C53"/>
    <w:multiLevelType w:val="multilevel"/>
    <w:tmpl w:val="67C07C5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0" w15:restartNumberingAfterBreak="0">
    <w:nsid w:val="68F666AD"/>
    <w:multiLevelType w:val="multilevel"/>
    <w:tmpl w:val="68F666A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1" w15:restartNumberingAfterBreak="0">
    <w:nsid w:val="695A603B"/>
    <w:multiLevelType w:val="multilevel"/>
    <w:tmpl w:val="695A603B"/>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2" w15:restartNumberingAfterBreak="0">
    <w:nsid w:val="6A3B1BF1"/>
    <w:multiLevelType w:val="multilevel"/>
    <w:tmpl w:val="6A3B1BF1"/>
    <w:lvl w:ilvl="0">
      <w:start w:val="1"/>
      <w:numFmt w:val="decimal"/>
      <w:lvlText w:val="%1."/>
      <w:lvlJc w:val="left"/>
      <w:pPr>
        <w:ind w:left="720" w:hanging="360"/>
      </w:pPr>
      <w:rPr>
        <w:rFonts w:ascii="Times New Roman" w:hAnsi="Times New Roman" w:hint="default"/>
        <w:b/>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3" w15:restartNumberingAfterBreak="0">
    <w:nsid w:val="6A4C3C46"/>
    <w:multiLevelType w:val="multilevel"/>
    <w:tmpl w:val="6A4C3C46"/>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4" w15:restartNumberingAfterBreak="0">
    <w:nsid w:val="6A935D97"/>
    <w:multiLevelType w:val="multilevel"/>
    <w:tmpl w:val="6A935D97"/>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5" w15:restartNumberingAfterBreak="0">
    <w:nsid w:val="6AB747B7"/>
    <w:multiLevelType w:val="multilevel"/>
    <w:tmpl w:val="6AB747B7"/>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6" w15:restartNumberingAfterBreak="0">
    <w:nsid w:val="6ADC4BDB"/>
    <w:multiLevelType w:val="multilevel"/>
    <w:tmpl w:val="6ADC4BDB"/>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7" w15:restartNumberingAfterBreak="0">
    <w:nsid w:val="6B8B7AB0"/>
    <w:multiLevelType w:val="multilevel"/>
    <w:tmpl w:val="6B8B7AB0"/>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8" w15:restartNumberingAfterBreak="0">
    <w:nsid w:val="6CC34A48"/>
    <w:multiLevelType w:val="hybridMultilevel"/>
    <w:tmpl w:val="D5A6040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9" w15:restartNumberingAfterBreak="0">
    <w:nsid w:val="6D0227EA"/>
    <w:multiLevelType w:val="multilevel"/>
    <w:tmpl w:val="6D0227EA"/>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0" w15:restartNumberingAfterBreak="0">
    <w:nsid w:val="6D791ADC"/>
    <w:multiLevelType w:val="multilevel"/>
    <w:tmpl w:val="6D791AD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1" w15:restartNumberingAfterBreak="0">
    <w:nsid w:val="6E8662AF"/>
    <w:multiLevelType w:val="multilevel"/>
    <w:tmpl w:val="6E8662A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2" w15:restartNumberingAfterBreak="0">
    <w:nsid w:val="70733CDD"/>
    <w:multiLevelType w:val="multilevel"/>
    <w:tmpl w:val="70733CDD"/>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3" w15:restartNumberingAfterBreak="0">
    <w:nsid w:val="70C2195B"/>
    <w:multiLevelType w:val="multilevel"/>
    <w:tmpl w:val="70C2195B"/>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4" w15:restartNumberingAfterBreak="0">
    <w:nsid w:val="712E476D"/>
    <w:multiLevelType w:val="multilevel"/>
    <w:tmpl w:val="712E476D"/>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5" w15:restartNumberingAfterBreak="0">
    <w:nsid w:val="719C4D51"/>
    <w:multiLevelType w:val="multilevel"/>
    <w:tmpl w:val="719C4D51"/>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6" w15:restartNumberingAfterBreak="0">
    <w:nsid w:val="742B6EDE"/>
    <w:multiLevelType w:val="multilevel"/>
    <w:tmpl w:val="742B6ED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7" w15:restartNumberingAfterBreak="0">
    <w:nsid w:val="75760698"/>
    <w:multiLevelType w:val="multilevel"/>
    <w:tmpl w:val="7576069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8" w15:restartNumberingAfterBreak="0">
    <w:nsid w:val="76D477D2"/>
    <w:multiLevelType w:val="multilevel"/>
    <w:tmpl w:val="76D477D2"/>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9" w15:restartNumberingAfterBreak="0">
    <w:nsid w:val="76E2084D"/>
    <w:multiLevelType w:val="multilevel"/>
    <w:tmpl w:val="76E2084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0" w15:restartNumberingAfterBreak="0">
    <w:nsid w:val="776072F9"/>
    <w:multiLevelType w:val="multilevel"/>
    <w:tmpl w:val="776072F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1" w15:restartNumberingAfterBreak="0">
    <w:nsid w:val="77752304"/>
    <w:multiLevelType w:val="multilevel"/>
    <w:tmpl w:val="7775230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2" w15:restartNumberingAfterBreak="0">
    <w:nsid w:val="785526A6"/>
    <w:multiLevelType w:val="multilevel"/>
    <w:tmpl w:val="785526A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3" w15:restartNumberingAfterBreak="0">
    <w:nsid w:val="790342EE"/>
    <w:multiLevelType w:val="multilevel"/>
    <w:tmpl w:val="790342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4" w15:restartNumberingAfterBreak="0">
    <w:nsid w:val="7B3B62CA"/>
    <w:multiLevelType w:val="multilevel"/>
    <w:tmpl w:val="7B3B62CA"/>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5" w15:restartNumberingAfterBreak="0">
    <w:nsid w:val="7B3F0156"/>
    <w:multiLevelType w:val="multilevel"/>
    <w:tmpl w:val="7B3F015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6" w15:restartNumberingAfterBreak="0">
    <w:nsid w:val="7B762489"/>
    <w:multiLevelType w:val="multilevel"/>
    <w:tmpl w:val="7B76248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7" w15:restartNumberingAfterBreak="0">
    <w:nsid w:val="7C017807"/>
    <w:multiLevelType w:val="multilevel"/>
    <w:tmpl w:val="7C01780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8" w15:restartNumberingAfterBreak="0">
    <w:nsid w:val="7C7A1B2A"/>
    <w:multiLevelType w:val="hybridMultilevel"/>
    <w:tmpl w:val="B97679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9" w15:restartNumberingAfterBreak="0">
    <w:nsid w:val="7D420E47"/>
    <w:multiLevelType w:val="multilevel"/>
    <w:tmpl w:val="7D420E47"/>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0" w15:restartNumberingAfterBreak="0">
    <w:nsid w:val="7E1F5116"/>
    <w:multiLevelType w:val="multilevel"/>
    <w:tmpl w:val="7E1F511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1" w15:restartNumberingAfterBreak="0">
    <w:nsid w:val="7E432074"/>
    <w:multiLevelType w:val="multilevel"/>
    <w:tmpl w:val="7E432074"/>
    <w:lvl w:ilvl="0">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2" w15:restartNumberingAfterBreak="0">
    <w:nsid w:val="7F570DD6"/>
    <w:multiLevelType w:val="multilevel"/>
    <w:tmpl w:val="7F570DD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367413501">
    <w:abstractNumId w:val="45"/>
  </w:num>
  <w:num w:numId="2" w16cid:durableId="80614307">
    <w:abstractNumId w:val="180"/>
  </w:num>
  <w:num w:numId="3" w16cid:durableId="1235507756">
    <w:abstractNumId w:val="11"/>
  </w:num>
  <w:num w:numId="4" w16cid:durableId="128594337">
    <w:abstractNumId w:val="40"/>
  </w:num>
  <w:num w:numId="5" w16cid:durableId="904490327">
    <w:abstractNumId w:val="100"/>
  </w:num>
  <w:num w:numId="6" w16cid:durableId="2141800572">
    <w:abstractNumId w:val="74"/>
  </w:num>
  <w:num w:numId="7" w16cid:durableId="2008092019">
    <w:abstractNumId w:val="120"/>
  </w:num>
  <w:num w:numId="8" w16cid:durableId="1377193911">
    <w:abstractNumId w:val="55"/>
  </w:num>
  <w:num w:numId="9" w16cid:durableId="480273151">
    <w:abstractNumId w:val="85"/>
  </w:num>
  <w:num w:numId="10" w16cid:durableId="678656180">
    <w:abstractNumId w:val="67"/>
  </w:num>
  <w:num w:numId="11" w16cid:durableId="762190509">
    <w:abstractNumId w:val="176"/>
  </w:num>
  <w:num w:numId="12" w16cid:durableId="1959336813">
    <w:abstractNumId w:val="179"/>
  </w:num>
  <w:num w:numId="13" w16cid:durableId="797377538">
    <w:abstractNumId w:val="62"/>
  </w:num>
  <w:num w:numId="14" w16cid:durableId="1801535470">
    <w:abstractNumId w:val="1"/>
  </w:num>
  <w:num w:numId="15" w16cid:durableId="1095007725">
    <w:abstractNumId w:val="10"/>
  </w:num>
  <w:num w:numId="16" w16cid:durableId="1607154829">
    <w:abstractNumId w:val="187"/>
  </w:num>
  <w:num w:numId="17" w16cid:durableId="48654525">
    <w:abstractNumId w:val="114"/>
  </w:num>
  <w:num w:numId="18" w16cid:durableId="1051226089">
    <w:abstractNumId w:val="149"/>
  </w:num>
  <w:num w:numId="19" w16cid:durableId="808281361">
    <w:abstractNumId w:val="3"/>
  </w:num>
  <w:num w:numId="20" w16cid:durableId="413939277">
    <w:abstractNumId w:val="81"/>
  </w:num>
  <w:num w:numId="21" w16cid:durableId="1086149487">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2413613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59354916">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49114689">
    <w:abstractNumId w:val="135"/>
  </w:num>
  <w:num w:numId="25" w16cid:durableId="942538850">
    <w:abstractNumId w:val="18"/>
  </w:num>
  <w:num w:numId="26" w16cid:durableId="2098284269">
    <w:abstractNumId w:val="164"/>
  </w:num>
  <w:num w:numId="27" w16cid:durableId="1945267689">
    <w:abstractNumId w:val="132"/>
  </w:num>
  <w:num w:numId="28" w16cid:durableId="519006529">
    <w:abstractNumId w:val="65"/>
  </w:num>
  <w:num w:numId="29" w16cid:durableId="1575318670">
    <w:abstractNumId w:val="90"/>
  </w:num>
  <w:num w:numId="30" w16cid:durableId="1366757800">
    <w:abstractNumId w:val="89"/>
  </w:num>
  <w:num w:numId="31" w16cid:durableId="1151141737">
    <w:abstractNumId w:val="60"/>
  </w:num>
  <w:num w:numId="32" w16cid:durableId="404105196">
    <w:abstractNumId w:val="130"/>
  </w:num>
  <w:num w:numId="33" w16cid:durableId="1981613363">
    <w:abstractNumId w:val="153"/>
  </w:num>
  <w:num w:numId="34" w16cid:durableId="713844885">
    <w:abstractNumId w:val="99"/>
  </w:num>
  <w:num w:numId="35" w16cid:durableId="1695038065">
    <w:abstractNumId w:val="92"/>
  </w:num>
  <w:num w:numId="36" w16cid:durableId="482046126">
    <w:abstractNumId w:val="104"/>
  </w:num>
  <w:num w:numId="37" w16cid:durableId="137380149">
    <w:abstractNumId w:val="127"/>
  </w:num>
  <w:num w:numId="38" w16cid:durableId="588856079">
    <w:abstractNumId w:val="163"/>
  </w:num>
  <w:num w:numId="39" w16cid:durableId="868958901">
    <w:abstractNumId w:val="61"/>
  </w:num>
  <w:num w:numId="40" w16cid:durableId="672100153">
    <w:abstractNumId w:val="16"/>
  </w:num>
  <w:num w:numId="41" w16cid:durableId="1645236266">
    <w:abstractNumId w:val="4"/>
  </w:num>
  <w:num w:numId="42" w16cid:durableId="337465972">
    <w:abstractNumId w:val="173"/>
  </w:num>
  <w:num w:numId="43" w16cid:durableId="1613122970">
    <w:abstractNumId w:val="117"/>
  </w:num>
  <w:num w:numId="44" w16cid:durableId="962076154">
    <w:abstractNumId w:val="138"/>
  </w:num>
  <w:num w:numId="45" w16cid:durableId="90470095">
    <w:abstractNumId w:val="66"/>
  </w:num>
  <w:num w:numId="46" w16cid:durableId="1298998903">
    <w:abstractNumId w:val="8"/>
  </w:num>
  <w:num w:numId="47" w16cid:durableId="1312053662">
    <w:abstractNumId w:val="48"/>
  </w:num>
  <w:num w:numId="48" w16cid:durableId="918749895">
    <w:abstractNumId w:val="84"/>
  </w:num>
  <w:num w:numId="49" w16cid:durableId="600258429">
    <w:abstractNumId w:val="38"/>
  </w:num>
  <w:num w:numId="50" w16cid:durableId="77991952">
    <w:abstractNumId w:val="103"/>
  </w:num>
  <w:num w:numId="51" w16cid:durableId="2015062414">
    <w:abstractNumId w:val="146"/>
  </w:num>
  <w:num w:numId="52" w16cid:durableId="1900557004">
    <w:abstractNumId w:val="111"/>
  </w:num>
  <w:num w:numId="53" w16cid:durableId="855656780">
    <w:abstractNumId w:val="172"/>
  </w:num>
  <w:num w:numId="54" w16cid:durableId="245382334">
    <w:abstractNumId w:val="20"/>
  </w:num>
  <w:num w:numId="55" w16cid:durableId="1934513197">
    <w:abstractNumId w:val="35"/>
  </w:num>
  <w:num w:numId="56" w16cid:durableId="2032105297">
    <w:abstractNumId w:val="177"/>
  </w:num>
  <w:num w:numId="57" w16cid:durableId="103160096">
    <w:abstractNumId w:val="2"/>
  </w:num>
  <w:num w:numId="58" w16cid:durableId="1782601582">
    <w:abstractNumId w:val="147"/>
  </w:num>
  <w:num w:numId="59" w16cid:durableId="1063216012">
    <w:abstractNumId w:val="191"/>
  </w:num>
  <w:num w:numId="60" w16cid:durableId="499807334">
    <w:abstractNumId w:val="56"/>
  </w:num>
  <w:num w:numId="61" w16cid:durableId="1811022635">
    <w:abstractNumId w:val="63"/>
  </w:num>
  <w:num w:numId="62" w16cid:durableId="1215310873">
    <w:abstractNumId w:val="30"/>
  </w:num>
  <w:num w:numId="63" w16cid:durableId="220291561">
    <w:abstractNumId w:val="21"/>
  </w:num>
  <w:num w:numId="64" w16cid:durableId="1065182519">
    <w:abstractNumId w:val="86"/>
  </w:num>
  <w:num w:numId="65" w16cid:durableId="1008099808">
    <w:abstractNumId w:val="128"/>
  </w:num>
  <w:num w:numId="66" w16cid:durableId="2097050688">
    <w:abstractNumId w:val="102"/>
  </w:num>
  <w:num w:numId="67" w16cid:durableId="1231303773">
    <w:abstractNumId w:val="144"/>
  </w:num>
  <w:num w:numId="68" w16cid:durableId="923953568">
    <w:abstractNumId w:val="192"/>
  </w:num>
  <w:num w:numId="69" w16cid:durableId="1619681320">
    <w:abstractNumId w:val="24"/>
  </w:num>
  <w:num w:numId="70" w16cid:durableId="858202874">
    <w:abstractNumId w:val="73"/>
  </w:num>
  <w:num w:numId="71" w16cid:durableId="20858998">
    <w:abstractNumId w:val="106"/>
  </w:num>
  <w:num w:numId="72" w16cid:durableId="495146701">
    <w:abstractNumId w:val="83"/>
  </w:num>
  <w:num w:numId="73" w16cid:durableId="1051877602">
    <w:abstractNumId w:val="178"/>
  </w:num>
  <w:num w:numId="74" w16cid:durableId="1715421862">
    <w:abstractNumId w:val="190"/>
  </w:num>
  <w:num w:numId="75" w16cid:durableId="1035501453">
    <w:abstractNumId w:val="36"/>
  </w:num>
  <w:num w:numId="76" w16cid:durableId="1426461826">
    <w:abstractNumId w:val="29"/>
  </w:num>
  <w:num w:numId="77" w16cid:durableId="1170565382">
    <w:abstractNumId w:val="52"/>
  </w:num>
  <w:num w:numId="78" w16cid:durableId="1862350601">
    <w:abstractNumId w:val="159"/>
  </w:num>
  <w:num w:numId="79" w16cid:durableId="934290932">
    <w:abstractNumId w:val="143"/>
  </w:num>
  <w:num w:numId="80" w16cid:durableId="311754802">
    <w:abstractNumId w:val="175"/>
  </w:num>
  <w:num w:numId="81" w16cid:durableId="1357806640">
    <w:abstractNumId w:val="185"/>
  </w:num>
  <w:num w:numId="82" w16cid:durableId="1474324758">
    <w:abstractNumId w:val="9"/>
  </w:num>
  <w:num w:numId="83" w16cid:durableId="2145344491">
    <w:abstractNumId w:val="97"/>
  </w:num>
  <w:num w:numId="84" w16cid:durableId="224067741">
    <w:abstractNumId w:val="115"/>
  </w:num>
  <w:num w:numId="85" w16cid:durableId="382216043">
    <w:abstractNumId w:val="54"/>
  </w:num>
  <w:num w:numId="86" w16cid:durableId="2061516613">
    <w:abstractNumId w:val="110"/>
  </w:num>
  <w:num w:numId="87" w16cid:durableId="1490248362">
    <w:abstractNumId w:val="93"/>
  </w:num>
  <w:num w:numId="88" w16cid:durableId="1250315213">
    <w:abstractNumId w:val="6"/>
  </w:num>
  <w:num w:numId="89" w16cid:durableId="1422679383">
    <w:abstractNumId w:val="42"/>
  </w:num>
  <w:num w:numId="90" w16cid:durableId="954795238">
    <w:abstractNumId w:val="50"/>
  </w:num>
  <w:num w:numId="91" w16cid:durableId="2113894278">
    <w:abstractNumId w:val="186"/>
  </w:num>
  <w:num w:numId="92" w16cid:durableId="351956172">
    <w:abstractNumId w:val="7"/>
  </w:num>
  <w:num w:numId="93" w16cid:durableId="305160538">
    <w:abstractNumId w:val="58"/>
  </w:num>
  <w:num w:numId="94" w16cid:durableId="876309864">
    <w:abstractNumId w:val="94"/>
  </w:num>
  <w:num w:numId="95" w16cid:durableId="535655551">
    <w:abstractNumId w:val="160"/>
  </w:num>
  <w:num w:numId="96" w16cid:durableId="1086269709">
    <w:abstractNumId w:val="51"/>
  </w:num>
  <w:num w:numId="97" w16cid:durableId="1768883174">
    <w:abstractNumId w:val="15"/>
  </w:num>
  <w:num w:numId="98" w16cid:durableId="106196702">
    <w:abstractNumId w:val="112"/>
  </w:num>
  <w:num w:numId="99" w16cid:durableId="1135952762">
    <w:abstractNumId w:val="139"/>
  </w:num>
  <w:num w:numId="100" w16cid:durableId="1400060964">
    <w:abstractNumId w:val="27"/>
  </w:num>
  <w:num w:numId="101" w16cid:durableId="1541700478">
    <w:abstractNumId w:val="72"/>
  </w:num>
  <w:num w:numId="102" w16cid:durableId="838889214">
    <w:abstractNumId w:val="169"/>
  </w:num>
  <w:num w:numId="103" w16cid:durableId="190843065">
    <w:abstractNumId w:val="181"/>
  </w:num>
  <w:num w:numId="104" w16cid:durableId="743916847">
    <w:abstractNumId w:val="5"/>
  </w:num>
  <w:num w:numId="105" w16cid:durableId="1788887473">
    <w:abstractNumId w:val="165"/>
  </w:num>
  <w:num w:numId="106" w16cid:durableId="2090492453">
    <w:abstractNumId w:val="76"/>
  </w:num>
  <w:num w:numId="107" w16cid:durableId="1330910454">
    <w:abstractNumId w:val="122"/>
  </w:num>
  <w:num w:numId="108" w16cid:durableId="195968034">
    <w:abstractNumId w:val="46"/>
  </w:num>
  <w:num w:numId="109" w16cid:durableId="203178805">
    <w:abstractNumId w:val="69"/>
  </w:num>
  <w:num w:numId="110" w16cid:durableId="1606110625">
    <w:abstractNumId w:val="41"/>
  </w:num>
  <w:num w:numId="111" w16cid:durableId="1476068540">
    <w:abstractNumId w:val="39"/>
  </w:num>
  <w:num w:numId="112" w16cid:durableId="1399746482">
    <w:abstractNumId w:val="167"/>
  </w:num>
  <w:num w:numId="113" w16cid:durableId="92215482">
    <w:abstractNumId w:val="59"/>
  </w:num>
  <w:num w:numId="114" w16cid:durableId="620066658">
    <w:abstractNumId w:val="14"/>
  </w:num>
  <w:num w:numId="115" w16cid:durableId="191649599">
    <w:abstractNumId w:val="141"/>
  </w:num>
  <w:num w:numId="116" w16cid:durableId="628979664">
    <w:abstractNumId w:val="33"/>
  </w:num>
  <w:num w:numId="117" w16cid:durableId="2025671685">
    <w:abstractNumId w:val="26"/>
  </w:num>
  <w:num w:numId="118" w16cid:durableId="69354477">
    <w:abstractNumId w:val="37"/>
  </w:num>
  <w:num w:numId="119" w16cid:durableId="991174837">
    <w:abstractNumId w:val="174"/>
  </w:num>
  <w:num w:numId="120" w16cid:durableId="1244611508">
    <w:abstractNumId w:val="116"/>
  </w:num>
  <w:num w:numId="121" w16cid:durableId="915211755">
    <w:abstractNumId w:val="125"/>
  </w:num>
  <w:num w:numId="122" w16cid:durableId="1438940738">
    <w:abstractNumId w:val="107"/>
  </w:num>
  <w:num w:numId="123" w16cid:durableId="1214002002">
    <w:abstractNumId w:val="64"/>
  </w:num>
  <w:num w:numId="124" w16cid:durableId="61292501">
    <w:abstractNumId w:val="182"/>
  </w:num>
  <w:num w:numId="125" w16cid:durableId="1408259380">
    <w:abstractNumId w:val="17"/>
  </w:num>
  <w:num w:numId="126" w16cid:durableId="390428871">
    <w:abstractNumId w:val="75"/>
  </w:num>
  <w:num w:numId="127" w16cid:durableId="926116813">
    <w:abstractNumId w:val="131"/>
  </w:num>
  <w:num w:numId="128" w16cid:durableId="422647982">
    <w:abstractNumId w:val="82"/>
  </w:num>
  <w:num w:numId="129" w16cid:durableId="1220366288">
    <w:abstractNumId w:val="49"/>
  </w:num>
  <w:num w:numId="130" w16cid:durableId="1378164283">
    <w:abstractNumId w:val="78"/>
  </w:num>
  <w:num w:numId="131" w16cid:durableId="423914671">
    <w:abstractNumId w:val="189"/>
  </w:num>
  <w:num w:numId="132" w16cid:durableId="300231384">
    <w:abstractNumId w:val="43"/>
  </w:num>
  <w:num w:numId="133" w16cid:durableId="1885747216">
    <w:abstractNumId w:val="101"/>
  </w:num>
  <w:num w:numId="134" w16cid:durableId="2021271813">
    <w:abstractNumId w:val="183"/>
  </w:num>
  <w:num w:numId="135" w16cid:durableId="2034115872">
    <w:abstractNumId w:val="108"/>
  </w:num>
  <w:num w:numId="136" w16cid:durableId="1899197670">
    <w:abstractNumId w:val="118"/>
  </w:num>
  <w:num w:numId="137" w16cid:durableId="1954971539">
    <w:abstractNumId w:val="150"/>
  </w:num>
  <w:num w:numId="138" w16cid:durableId="469251315">
    <w:abstractNumId w:val="98"/>
  </w:num>
  <w:num w:numId="139" w16cid:durableId="1855996997">
    <w:abstractNumId w:val="166"/>
  </w:num>
  <w:num w:numId="140" w16cid:durableId="105272394">
    <w:abstractNumId w:val="123"/>
  </w:num>
  <w:num w:numId="141" w16cid:durableId="1774088995">
    <w:abstractNumId w:val="124"/>
  </w:num>
  <w:num w:numId="142" w16cid:durableId="1895189116">
    <w:abstractNumId w:val="148"/>
  </w:num>
  <w:num w:numId="143" w16cid:durableId="518471148">
    <w:abstractNumId w:val="184"/>
  </w:num>
  <w:num w:numId="144" w16cid:durableId="1493915367">
    <w:abstractNumId w:val="145"/>
  </w:num>
  <w:num w:numId="145" w16cid:durableId="25297115">
    <w:abstractNumId w:val="142"/>
  </w:num>
  <w:num w:numId="146" w16cid:durableId="1719668553">
    <w:abstractNumId w:val="0"/>
  </w:num>
  <w:num w:numId="147" w16cid:durableId="1764761653">
    <w:abstractNumId w:val="70"/>
  </w:num>
  <w:num w:numId="148" w16cid:durableId="1714580512">
    <w:abstractNumId w:val="133"/>
  </w:num>
  <w:num w:numId="149" w16cid:durableId="1029990993">
    <w:abstractNumId w:val="22"/>
  </w:num>
  <w:num w:numId="150" w16cid:durableId="2100831569">
    <w:abstractNumId w:val="13"/>
  </w:num>
  <w:num w:numId="151" w16cid:durableId="1235042558">
    <w:abstractNumId w:val="79"/>
  </w:num>
  <w:num w:numId="152" w16cid:durableId="1987129051">
    <w:abstractNumId w:val="109"/>
  </w:num>
  <w:num w:numId="153" w16cid:durableId="1602570219">
    <w:abstractNumId w:val="28"/>
  </w:num>
  <w:num w:numId="154" w16cid:durableId="269122269">
    <w:abstractNumId w:val="47"/>
  </w:num>
  <w:num w:numId="155" w16cid:durableId="821196766">
    <w:abstractNumId w:val="158"/>
  </w:num>
  <w:num w:numId="156" w16cid:durableId="1912160073">
    <w:abstractNumId w:val="23"/>
  </w:num>
  <w:num w:numId="157" w16cid:durableId="358357295">
    <w:abstractNumId w:val="119"/>
  </w:num>
  <w:num w:numId="158" w16cid:durableId="690035719">
    <w:abstractNumId w:val="96"/>
  </w:num>
  <w:num w:numId="159" w16cid:durableId="336931348">
    <w:abstractNumId w:val="91"/>
  </w:num>
  <w:num w:numId="160" w16cid:durableId="849679326">
    <w:abstractNumId w:val="34"/>
  </w:num>
  <w:num w:numId="161" w16cid:durableId="200942632">
    <w:abstractNumId w:val="157"/>
  </w:num>
  <w:num w:numId="162" w16cid:durableId="501624729">
    <w:abstractNumId w:val="71"/>
  </w:num>
  <w:num w:numId="163" w16cid:durableId="808283805">
    <w:abstractNumId w:val="129"/>
  </w:num>
  <w:num w:numId="164" w16cid:durableId="1546334226">
    <w:abstractNumId w:val="80"/>
  </w:num>
  <w:num w:numId="165" w16cid:durableId="671952302">
    <w:abstractNumId w:val="137"/>
  </w:num>
  <w:num w:numId="166" w16cid:durableId="1013070880">
    <w:abstractNumId w:val="171"/>
  </w:num>
  <w:num w:numId="167" w16cid:durableId="2142797324">
    <w:abstractNumId w:val="68"/>
  </w:num>
  <w:num w:numId="168" w16cid:durableId="1065179694">
    <w:abstractNumId w:val="77"/>
  </w:num>
  <w:num w:numId="169" w16cid:durableId="56439412">
    <w:abstractNumId w:val="126"/>
  </w:num>
  <w:num w:numId="170" w16cid:durableId="1608193494">
    <w:abstractNumId w:val="105"/>
  </w:num>
  <w:num w:numId="171" w16cid:durableId="1976107635">
    <w:abstractNumId w:val="25"/>
  </w:num>
  <w:num w:numId="172" w16cid:durableId="1129401138">
    <w:abstractNumId w:val="57"/>
  </w:num>
  <w:num w:numId="173" w16cid:durableId="1425416904">
    <w:abstractNumId w:val="156"/>
  </w:num>
  <w:num w:numId="174" w16cid:durableId="1630160917">
    <w:abstractNumId w:val="154"/>
  </w:num>
  <w:num w:numId="175" w16cid:durableId="1344167483">
    <w:abstractNumId w:val="19"/>
  </w:num>
  <w:num w:numId="176" w16cid:durableId="1916865193">
    <w:abstractNumId w:val="136"/>
  </w:num>
  <w:num w:numId="177" w16cid:durableId="867329685">
    <w:abstractNumId w:val="12"/>
  </w:num>
  <w:num w:numId="178" w16cid:durableId="1731030996">
    <w:abstractNumId w:val="134"/>
  </w:num>
  <w:num w:numId="179" w16cid:durableId="1376195014">
    <w:abstractNumId w:val="121"/>
  </w:num>
  <w:num w:numId="180" w16cid:durableId="1588423384">
    <w:abstractNumId w:val="113"/>
  </w:num>
  <w:num w:numId="181" w16cid:durableId="1473255756">
    <w:abstractNumId w:val="31"/>
  </w:num>
  <w:num w:numId="182" w16cid:durableId="1549031421">
    <w:abstractNumId w:val="161"/>
  </w:num>
  <w:num w:numId="183" w16cid:durableId="1283071967">
    <w:abstractNumId w:val="152"/>
  </w:num>
  <w:num w:numId="184" w16cid:durableId="2146728203">
    <w:abstractNumId w:val="162"/>
  </w:num>
  <w:num w:numId="185" w16cid:durableId="1100566228">
    <w:abstractNumId w:val="168"/>
  </w:num>
  <w:num w:numId="186" w16cid:durableId="199363390">
    <w:abstractNumId w:val="95"/>
  </w:num>
  <w:num w:numId="187" w16cid:durableId="840900478">
    <w:abstractNumId w:val="88"/>
  </w:num>
  <w:num w:numId="188" w16cid:durableId="440875605">
    <w:abstractNumId w:val="188"/>
  </w:num>
  <w:num w:numId="189" w16cid:durableId="1900707402">
    <w:abstractNumId w:val="140"/>
  </w:num>
  <w:num w:numId="190" w16cid:durableId="630211893">
    <w:abstractNumId w:val="44"/>
  </w:num>
  <w:num w:numId="191" w16cid:durableId="1844392404">
    <w:abstractNumId w:val="32"/>
  </w:num>
  <w:num w:numId="192" w16cid:durableId="2008051530">
    <w:abstractNumId w:val="155"/>
  </w:num>
  <w:num w:numId="193" w16cid:durableId="1037314104">
    <w:abstractNumId w:val="87"/>
  </w:num>
  <w:numIdMacAtCleanup w:val="1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defaultTabStop w:val="720"/>
  <w:characterSpacingControl w:val="doNotCompress"/>
  <w:hdrShapeDefaults>
    <o:shapedefaults v:ext="edit" spidmax="2050"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jSyMDE2szSxsDQ2M7VQ0lEKTi0uzszPAymwqAUAHs+IrywAAAA="/>
  </w:docVars>
  <w:rsids>
    <w:rsidRoot w:val="00381445"/>
    <w:rsid w:val="00000DC0"/>
    <w:rsid w:val="00001316"/>
    <w:rsid w:val="000030D7"/>
    <w:rsid w:val="00004DAA"/>
    <w:rsid w:val="00005D2E"/>
    <w:rsid w:val="00006026"/>
    <w:rsid w:val="00006AD3"/>
    <w:rsid w:val="000116CA"/>
    <w:rsid w:val="00015029"/>
    <w:rsid w:val="000311B6"/>
    <w:rsid w:val="000313A4"/>
    <w:rsid w:val="00034875"/>
    <w:rsid w:val="00036E65"/>
    <w:rsid w:val="00041585"/>
    <w:rsid w:val="00041E4E"/>
    <w:rsid w:val="000442E3"/>
    <w:rsid w:val="000446FB"/>
    <w:rsid w:val="000449DD"/>
    <w:rsid w:val="00046509"/>
    <w:rsid w:val="00046FE4"/>
    <w:rsid w:val="000470BF"/>
    <w:rsid w:val="00051283"/>
    <w:rsid w:val="00056052"/>
    <w:rsid w:val="0005628F"/>
    <w:rsid w:val="00056D43"/>
    <w:rsid w:val="0006184A"/>
    <w:rsid w:val="00061B2B"/>
    <w:rsid w:val="00065903"/>
    <w:rsid w:val="00071636"/>
    <w:rsid w:val="00072B7C"/>
    <w:rsid w:val="000744DF"/>
    <w:rsid w:val="00075E11"/>
    <w:rsid w:val="0007650B"/>
    <w:rsid w:val="00077071"/>
    <w:rsid w:val="000778C3"/>
    <w:rsid w:val="00080062"/>
    <w:rsid w:val="00081A4D"/>
    <w:rsid w:val="00081CB1"/>
    <w:rsid w:val="00081EF1"/>
    <w:rsid w:val="00082D85"/>
    <w:rsid w:val="000832F0"/>
    <w:rsid w:val="00083A31"/>
    <w:rsid w:val="00091A27"/>
    <w:rsid w:val="00092121"/>
    <w:rsid w:val="00093D1B"/>
    <w:rsid w:val="00097479"/>
    <w:rsid w:val="000A22B8"/>
    <w:rsid w:val="000A61EC"/>
    <w:rsid w:val="000B10F3"/>
    <w:rsid w:val="000B171E"/>
    <w:rsid w:val="000B4272"/>
    <w:rsid w:val="000B7E18"/>
    <w:rsid w:val="000C31B1"/>
    <w:rsid w:val="000C40D8"/>
    <w:rsid w:val="000C567B"/>
    <w:rsid w:val="000C5EC2"/>
    <w:rsid w:val="000C7F2C"/>
    <w:rsid w:val="000D2121"/>
    <w:rsid w:val="000D3587"/>
    <w:rsid w:val="000D4BD5"/>
    <w:rsid w:val="000D4FF4"/>
    <w:rsid w:val="000D549A"/>
    <w:rsid w:val="000D786F"/>
    <w:rsid w:val="000E176F"/>
    <w:rsid w:val="000E1DFD"/>
    <w:rsid w:val="000E48DA"/>
    <w:rsid w:val="000F15B8"/>
    <w:rsid w:val="000F2436"/>
    <w:rsid w:val="000F27FA"/>
    <w:rsid w:val="000F60EF"/>
    <w:rsid w:val="000F6301"/>
    <w:rsid w:val="000F7539"/>
    <w:rsid w:val="001008BF"/>
    <w:rsid w:val="001014B3"/>
    <w:rsid w:val="001050B8"/>
    <w:rsid w:val="0010797E"/>
    <w:rsid w:val="00107CC8"/>
    <w:rsid w:val="00111374"/>
    <w:rsid w:val="0011259E"/>
    <w:rsid w:val="00116B05"/>
    <w:rsid w:val="00117C49"/>
    <w:rsid w:val="00121A04"/>
    <w:rsid w:val="00124002"/>
    <w:rsid w:val="001240A5"/>
    <w:rsid w:val="00130560"/>
    <w:rsid w:val="001317B9"/>
    <w:rsid w:val="00131EA5"/>
    <w:rsid w:val="0013231F"/>
    <w:rsid w:val="00132389"/>
    <w:rsid w:val="00135FE2"/>
    <w:rsid w:val="0014098D"/>
    <w:rsid w:val="00140AC5"/>
    <w:rsid w:val="00140ADF"/>
    <w:rsid w:val="00142FAA"/>
    <w:rsid w:val="0014594C"/>
    <w:rsid w:val="00146590"/>
    <w:rsid w:val="00146C8F"/>
    <w:rsid w:val="0014762D"/>
    <w:rsid w:val="00147CF4"/>
    <w:rsid w:val="00151071"/>
    <w:rsid w:val="001515FB"/>
    <w:rsid w:val="001524F5"/>
    <w:rsid w:val="001545CD"/>
    <w:rsid w:val="0015741F"/>
    <w:rsid w:val="001579AF"/>
    <w:rsid w:val="00164974"/>
    <w:rsid w:val="00166F50"/>
    <w:rsid w:val="00171A74"/>
    <w:rsid w:val="0017206C"/>
    <w:rsid w:val="0017239E"/>
    <w:rsid w:val="00174C53"/>
    <w:rsid w:val="0018061A"/>
    <w:rsid w:val="00180B1C"/>
    <w:rsid w:val="001816AE"/>
    <w:rsid w:val="00181BA3"/>
    <w:rsid w:val="0018283D"/>
    <w:rsid w:val="00184706"/>
    <w:rsid w:val="0019161E"/>
    <w:rsid w:val="001930BD"/>
    <w:rsid w:val="001949B5"/>
    <w:rsid w:val="00195FAE"/>
    <w:rsid w:val="001A15E3"/>
    <w:rsid w:val="001A1D2A"/>
    <w:rsid w:val="001A3B11"/>
    <w:rsid w:val="001A59C5"/>
    <w:rsid w:val="001A69B7"/>
    <w:rsid w:val="001A734D"/>
    <w:rsid w:val="001B0581"/>
    <w:rsid w:val="001B0D5B"/>
    <w:rsid w:val="001B4ED5"/>
    <w:rsid w:val="001B6681"/>
    <w:rsid w:val="001B6B41"/>
    <w:rsid w:val="001C1D7E"/>
    <w:rsid w:val="001C3441"/>
    <w:rsid w:val="001C3943"/>
    <w:rsid w:val="001C46DB"/>
    <w:rsid w:val="001C5F93"/>
    <w:rsid w:val="001C693B"/>
    <w:rsid w:val="001D03B3"/>
    <w:rsid w:val="001D0902"/>
    <w:rsid w:val="001D3AF5"/>
    <w:rsid w:val="001D63AF"/>
    <w:rsid w:val="001E1F13"/>
    <w:rsid w:val="001E599C"/>
    <w:rsid w:val="001E6315"/>
    <w:rsid w:val="001E7EA6"/>
    <w:rsid w:val="001F4550"/>
    <w:rsid w:val="001F5ED2"/>
    <w:rsid w:val="001F6658"/>
    <w:rsid w:val="001F6E72"/>
    <w:rsid w:val="001F7341"/>
    <w:rsid w:val="002021D2"/>
    <w:rsid w:val="002024AD"/>
    <w:rsid w:val="00203ABF"/>
    <w:rsid w:val="002043BE"/>
    <w:rsid w:val="0020490D"/>
    <w:rsid w:val="00205497"/>
    <w:rsid w:val="00205571"/>
    <w:rsid w:val="0020784E"/>
    <w:rsid w:val="00207DE1"/>
    <w:rsid w:val="00210E33"/>
    <w:rsid w:val="00212B9E"/>
    <w:rsid w:val="00212D13"/>
    <w:rsid w:val="0021684E"/>
    <w:rsid w:val="0022122B"/>
    <w:rsid w:val="00227CA8"/>
    <w:rsid w:val="00230C6E"/>
    <w:rsid w:val="002314F7"/>
    <w:rsid w:val="002315B4"/>
    <w:rsid w:val="002325C2"/>
    <w:rsid w:val="0023300D"/>
    <w:rsid w:val="00233C18"/>
    <w:rsid w:val="00235550"/>
    <w:rsid w:val="00235EBD"/>
    <w:rsid w:val="00240296"/>
    <w:rsid w:val="002408E0"/>
    <w:rsid w:val="00245DDB"/>
    <w:rsid w:val="00246507"/>
    <w:rsid w:val="00246C3F"/>
    <w:rsid w:val="002513D3"/>
    <w:rsid w:val="0025328F"/>
    <w:rsid w:val="00255596"/>
    <w:rsid w:val="00255605"/>
    <w:rsid w:val="00255FD8"/>
    <w:rsid w:val="00257D41"/>
    <w:rsid w:val="0026193F"/>
    <w:rsid w:val="00261ECF"/>
    <w:rsid w:val="00262079"/>
    <w:rsid w:val="002620D9"/>
    <w:rsid w:val="0026489B"/>
    <w:rsid w:val="0026663E"/>
    <w:rsid w:val="00266713"/>
    <w:rsid w:val="00266D59"/>
    <w:rsid w:val="00267C50"/>
    <w:rsid w:val="002700FC"/>
    <w:rsid w:val="0027067D"/>
    <w:rsid w:val="00271205"/>
    <w:rsid w:val="002718E4"/>
    <w:rsid w:val="00273013"/>
    <w:rsid w:val="002730AB"/>
    <w:rsid w:val="00276448"/>
    <w:rsid w:val="00283128"/>
    <w:rsid w:val="00283166"/>
    <w:rsid w:val="0028759B"/>
    <w:rsid w:val="002909BB"/>
    <w:rsid w:val="002950FC"/>
    <w:rsid w:val="002956E7"/>
    <w:rsid w:val="00296583"/>
    <w:rsid w:val="002A02DF"/>
    <w:rsid w:val="002A1003"/>
    <w:rsid w:val="002A305C"/>
    <w:rsid w:val="002A680A"/>
    <w:rsid w:val="002A6E97"/>
    <w:rsid w:val="002A706A"/>
    <w:rsid w:val="002A7245"/>
    <w:rsid w:val="002A727E"/>
    <w:rsid w:val="002C0504"/>
    <w:rsid w:val="002C1EA6"/>
    <w:rsid w:val="002C4FB6"/>
    <w:rsid w:val="002C6658"/>
    <w:rsid w:val="002C77A8"/>
    <w:rsid w:val="002D54F1"/>
    <w:rsid w:val="002D605B"/>
    <w:rsid w:val="002D7F3D"/>
    <w:rsid w:val="002E0FC8"/>
    <w:rsid w:val="002E282C"/>
    <w:rsid w:val="002E3A19"/>
    <w:rsid w:val="002E3CD6"/>
    <w:rsid w:val="002E4A2F"/>
    <w:rsid w:val="002E77BA"/>
    <w:rsid w:val="002F28AF"/>
    <w:rsid w:val="00301F61"/>
    <w:rsid w:val="00303130"/>
    <w:rsid w:val="0030417A"/>
    <w:rsid w:val="00304AB5"/>
    <w:rsid w:val="00305F01"/>
    <w:rsid w:val="0031020B"/>
    <w:rsid w:val="0031094C"/>
    <w:rsid w:val="00310995"/>
    <w:rsid w:val="00310F19"/>
    <w:rsid w:val="00311162"/>
    <w:rsid w:val="0031617E"/>
    <w:rsid w:val="0032066F"/>
    <w:rsid w:val="00322BBC"/>
    <w:rsid w:val="00325449"/>
    <w:rsid w:val="0032631B"/>
    <w:rsid w:val="003311DF"/>
    <w:rsid w:val="00332246"/>
    <w:rsid w:val="0033269E"/>
    <w:rsid w:val="0033449F"/>
    <w:rsid w:val="003372A6"/>
    <w:rsid w:val="0033790F"/>
    <w:rsid w:val="00341F23"/>
    <w:rsid w:val="00342F63"/>
    <w:rsid w:val="0034396B"/>
    <w:rsid w:val="0034610D"/>
    <w:rsid w:val="0034724C"/>
    <w:rsid w:val="00351B05"/>
    <w:rsid w:val="0035308C"/>
    <w:rsid w:val="00353D80"/>
    <w:rsid w:val="00360960"/>
    <w:rsid w:val="00360C3C"/>
    <w:rsid w:val="003614C6"/>
    <w:rsid w:val="0037040A"/>
    <w:rsid w:val="003723B8"/>
    <w:rsid w:val="00372B4D"/>
    <w:rsid w:val="00373DE2"/>
    <w:rsid w:val="00375F28"/>
    <w:rsid w:val="00381016"/>
    <w:rsid w:val="00381445"/>
    <w:rsid w:val="00382FC1"/>
    <w:rsid w:val="003846F9"/>
    <w:rsid w:val="00390BF1"/>
    <w:rsid w:val="00396AC3"/>
    <w:rsid w:val="003A0C94"/>
    <w:rsid w:val="003A2F2A"/>
    <w:rsid w:val="003A4BCC"/>
    <w:rsid w:val="003A6579"/>
    <w:rsid w:val="003A7E31"/>
    <w:rsid w:val="003B2EAE"/>
    <w:rsid w:val="003B37D4"/>
    <w:rsid w:val="003B5E8A"/>
    <w:rsid w:val="003B613B"/>
    <w:rsid w:val="003B76A4"/>
    <w:rsid w:val="003C2830"/>
    <w:rsid w:val="003C470C"/>
    <w:rsid w:val="003C70D3"/>
    <w:rsid w:val="003D0790"/>
    <w:rsid w:val="003D1392"/>
    <w:rsid w:val="003D1420"/>
    <w:rsid w:val="003D655B"/>
    <w:rsid w:val="003E014D"/>
    <w:rsid w:val="003F29C5"/>
    <w:rsid w:val="003F2E25"/>
    <w:rsid w:val="003F3CEF"/>
    <w:rsid w:val="003F4750"/>
    <w:rsid w:val="003F567B"/>
    <w:rsid w:val="003F69F0"/>
    <w:rsid w:val="003F6FE8"/>
    <w:rsid w:val="00400768"/>
    <w:rsid w:val="00403790"/>
    <w:rsid w:val="0040532F"/>
    <w:rsid w:val="00412588"/>
    <w:rsid w:val="004173CB"/>
    <w:rsid w:val="00420FAC"/>
    <w:rsid w:val="00424E73"/>
    <w:rsid w:val="00431026"/>
    <w:rsid w:val="004329B7"/>
    <w:rsid w:val="0043592D"/>
    <w:rsid w:val="00443388"/>
    <w:rsid w:val="0045230F"/>
    <w:rsid w:val="004536B9"/>
    <w:rsid w:val="00456082"/>
    <w:rsid w:val="00457B1B"/>
    <w:rsid w:val="0046399E"/>
    <w:rsid w:val="00464CA9"/>
    <w:rsid w:val="00466B14"/>
    <w:rsid w:val="00466FC0"/>
    <w:rsid w:val="00470492"/>
    <w:rsid w:val="00470BB8"/>
    <w:rsid w:val="004803FF"/>
    <w:rsid w:val="00481AC9"/>
    <w:rsid w:val="004849F0"/>
    <w:rsid w:val="00485BE3"/>
    <w:rsid w:val="00487C87"/>
    <w:rsid w:val="00487FF9"/>
    <w:rsid w:val="00492426"/>
    <w:rsid w:val="00494144"/>
    <w:rsid w:val="00494181"/>
    <w:rsid w:val="00494DD8"/>
    <w:rsid w:val="00495924"/>
    <w:rsid w:val="0049774F"/>
    <w:rsid w:val="004A5C2D"/>
    <w:rsid w:val="004A658A"/>
    <w:rsid w:val="004A6974"/>
    <w:rsid w:val="004A69DF"/>
    <w:rsid w:val="004A73AD"/>
    <w:rsid w:val="004A7ECD"/>
    <w:rsid w:val="004B0D6B"/>
    <w:rsid w:val="004B1ED2"/>
    <w:rsid w:val="004B2BFC"/>
    <w:rsid w:val="004B317E"/>
    <w:rsid w:val="004B4C64"/>
    <w:rsid w:val="004B5C04"/>
    <w:rsid w:val="004C0AED"/>
    <w:rsid w:val="004C0CBE"/>
    <w:rsid w:val="004C3505"/>
    <w:rsid w:val="004C5D38"/>
    <w:rsid w:val="004C726F"/>
    <w:rsid w:val="004D3C96"/>
    <w:rsid w:val="004D4128"/>
    <w:rsid w:val="004D6CE6"/>
    <w:rsid w:val="004E07C6"/>
    <w:rsid w:val="004E0C0A"/>
    <w:rsid w:val="004E16D0"/>
    <w:rsid w:val="004E4784"/>
    <w:rsid w:val="004E6896"/>
    <w:rsid w:val="004F0FCB"/>
    <w:rsid w:val="004F4DC2"/>
    <w:rsid w:val="004F4EBA"/>
    <w:rsid w:val="004F51EB"/>
    <w:rsid w:val="004F6915"/>
    <w:rsid w:val="004F7A80"/>
    <w:rsid w:val="004F7FB7"/>
    <w:rsid w:val="00500290"/>
    <w:rsid w:val="0050174D"/>
    <w:rsid w:val="00503D6C"/>
    <w:rsid w:val="00504519"/>
    <w:rsid w:val="00505FC0"/>
    <w:rsid w:val="00506C55"/>
    <w:rsid w:val="00513040"/>
    <w:rsid w:val="00514616"/>
    <w:rsid w:val="00515D0E"/>
    <w:rsid w:val="00517C77"/>
    <w:rsid w:val="00521EB9"/>
    <w:rsid w:val="00524E2D"/>
    <w:rsid w:val="00524F92"/>
    <w:rsid w:val="00530E82"/>
    <w:rsid w:val="00533B8C"/>
    <w:rsid w:val="0053705E"/>
    <w:rsid w:val="005425D5"/>
    <w:rsid w:val="00544B0B"/>
    <w:rsid w:val="0054579B"/>
    <w:rsid w:val="00547322"/>
    <w:rsid w:val="00555016"/>
    <w:rsid w:val="00556A7A"/>
    <w:rsid w:val="005573B9"/>
    <w:rsid w:val="0056118F"/>
    <w:rsid w:val="00566042"/>
    <w:rsid w:val="005728A9"/>
    <w:rsid w:val="00573AAE"/>
    <w:rsid w:val="00575EE4"/>
    <w:rsid w:val="00576FB3"/>
    <w:rsid w:val="005811F0"/>
    <w:rsid w:val="00583B07"/>
    <w:rsid w:val="00583B39"/>
    <w:rsid w:val="0058514F"/>
    <w:rsid w:val="005852B7"/>
    <w:rsid w:val="005902B0"/>
    <w:rsid w:val="00590BE9"/>
    <w:rsid w:val="00591B2E"/>
    <w:rsid w:val="00592A2E"/>
    <w:rsid w:val="00593183"/>
    <w:rsid w:val="00596101"/>
    <w:rsid w:val="005A2E3C"/>
    <w:rsid w:val="005A47F6"/>
    <w:rsid w:val="005B19AE"/>
    <w:rsid w:val="005B3BEC"/>
    <w:rsid w:val="005B3E8C"/>
    <w:rsid w:val="005B5E0D"/>
    <w:rsid w:val="005B683B"/>
    <w:rsid w:val="005B686B"/>
    <w:rsid w:val="005C12E8"/>
    <w:rsid w:val="005C2217"/>
    <w:rsid w:val="005C35A3"/>
    <w:rsid w:val="005C47C7"/>
    <w:rsid w:val="005C5F2F"/>
    <w:rsid w:val="005C6E37"/>
    <w:rsid w:val="005D0988"/>
    <w:rsid w:val="005D1491"/>
    <w:rsid w:val="005D1ECB"/>
    <w:rsid w:val="005D5C87"/>
    <w:rsid w:val="005E482C"/>
    <w:rsid w:val="005E4E69"/>
    <w:rsid w:val="005E69CC"/>
    <w:rsid w:val="005E7BE2"/>
    <w:rsid w:val="005F1111"/>
    <w:rsid w:val="005F2F9E"/>
    <w:rsid w:val="00600E98"/>
    <w:rsid w:val="00601A2A"/>
    <w:rsid w:val="00603AF6"/>
    <w:rsid w:val="0060402E"/>
    <w:rsid w:val="0060493B"/>
    <w:rsid w:val="0060552A"/>
    <w:rsid w:val="00605A60"/>
    <w:rsid w:val="00605AF1"/>
    <w:rsid w:val="00605DD4"/>
    <w:rsid w:val="006073BE"/>
    <w:rsid w:val="00610E41"/>
    <w:rsid w:val="00611687"/>
    <w:rsid w:val="006116B9"/>
    <w:rsid w:val="00615847"/>
    <w:rsid w:val="00617925"/>
    <w:rsid w:val="00622D3B"/>
    <w:rsid w:val="0062634D"/>
    <w:rsid w:val="006269F2"/>
    <w:rsid w:val="00630345"/>
    <w:rsid w:val="00631684"/>
    <w:rsid w:val="0063302D"/>
    <w:rsid w:val="00637091"/>
    <w:rsid w:val="00641909"/>
    <w:rsid w:val="00642FFA"/>
    <w:rsid w:val="006450A2"/>
    <w:rsid w:val="00646F38"/>
    <w:rsid w:val="0064758D"/>
    <w:rsid w:val="0065122F"/>
    <w:rsid w:val="0065142A"/>
    <w:rsid w:val="0065349E"/>
    <w:rsid w:val="00654CC9"/>
    <w:rsid w:val="00655140"/>
    <w:rsid w:val="006553AB"/>
    <w:rsid w:val="0065768E"/>
    <w:rsid w:val="00660BF6"/>
    <w:rsid w:val="00661BF9"/>
    <w:rsid w:val="00661C6D"/>
    <w:rsid w:val="00663444"/>
    <w:rsid w:val="0066442C"/>
    <w:rsid w:val="00665A93"/>
    <w:rsid w:val="00667C9E"/>
    <w:rsid w:val="00667F40"/>
    <w:rsid w:val="0067106D"/>
    <w:rsid w:val="00674A1A"/>
    <w:rsid w:val="00675728"/>
    <w:rsid w:val="00680EEA"/>
    <w:rsid w:val="00684546"/>
    <w:rsid w:val="00684DBB"/>
    <w:rsid w:val="00690F4E"/>
    <w:rsid w:val="006918F7"/>
    <w:rsid w:val="00693993"/>
    <w:rsid w:val="006940CA"/>
    <w:rsid w:val="00695C9A"/>
    <w:rsid w:val="006971A1"/>
    <w:rsid w:val="006A0416"/>
    <w:rsid w:val="006A12F0"/>
    <w:rsid w:val="006A19FC"/>
    <w:rsid w:val="006A65CC"/>
    <w:rsid w:val="006B1FBA"/>
    <w:rsid w:val="006B41C0"/>
    <w:rsid w:val="006B52B6"/>
    <w:rsid w:val="006B68B5"/>
    <w:rsid w:val="006B7D21"/>
    <w:rsid w:val="006C0528"/>
    <w:rsid w:val="006C4360"/>
    <w:rsid w:val="006C7099"/>
    <w:rsid w:val="006D11B0"/>
    <w:rsid w:val="006D25FB"/>
    <w:rsid w:val="006D2F51"/>
    <w:rsid w:val="006D566B"/>
    <w:rsid w:val="006D59CF"/>
    <w:rsid w:val="006E031E"/>
    <w:rsid w:val="006E6AF5"/>
    <w:rsid w:val="006E75CC"/>
    <w:rsid w:val="006E78D0"/>
    <w:rsid w:val="006F05D2"/>
    <w:rsid w:val="006F3F4B"/>
    <w:rsid w:val="006F490D"/>
    <w:rsid w:val="00704FD5"/>
    <w:rsid w:val="007075DB"/>
    <w:rsid w:val="0071020C"/>
    <w:rsid w:val="007149B0"/>
    <w:rsid w:val="0071544F"/>
    <w:rsid w:val="00715CDE"/>
    <w:rsid w:val="00717432"/>
    <w:rsid w:val="0072169E"/>
    <w:rsid w:val="00721CB2"/>
    <w:rsid w:val="00722853"/>
    <w:rsid w:val="00725862"/>
    <w:rsid w:val="00725E5D"/>
    <w:rsid w:val="00731E67"/>
    <w:rsid w:val="007327EC"/>
    <w:rsid w:val="00735826"/>
    <w:rsid w:val="007368B8"/>
    <w:rsid w:val="007378E8"/>
    <w:rsid w:val="00740F84"/>
    <w:rsid w:val="00742DC3"/>
    <w:rsid w:val="00744EDF"/>
    <w:rsid w:val="00751377"/>
    <w:rsid w:val="00763DC9"/>
    <w:rsid w:val="007640B5"/>
    <w:rsid w:val="0076454A"/>
    <w:rsid w:val="00764966"/>
    <w:rsid w:val="00766609"/>
    <w:rsid w:val="0076694D"/>
    <w:rsid w:val="00770905"/>
    <w:rsid w:val="00773103"/>
    <w:rsid w:val="00775F4A"/>
    <w:rsid w:val="00776D43"/>
    <w:rsid w:val="00777044"/>
    <w:rsid w:val="00777302"/>
    <w:rsid w:val="00777A1A"/>
    <w:rsid w:val="00777F1B"/>
    <w:rsid w:val="00782297"/>
    <w:rsid w:val="00782FDD"/>
    <w:rsid w:val="00783081"/>
    <w:rsid w:val="00783499"/>
    <w:rsid w:val="00783D83"/>
    <w:rsid w:val="007846F0"/>
    <w:rsid w:val="00784AE8"/>
    <w:rsid w:val="007A13B3"/>
    <w:rsid w:val="007A44C7"/>
    <w:rsid w:val="007A59F2"/>
    <w:rsid w:val="007A7DBD"/>
    <w:rsid w:val="007B3EB1"/>
    <w:rsid w:val="007B5285"/>
    <w:rsid w:val="007B5BE6"/>
    <w:rsid w:val="007B796B"/>
    <w:rsid w:val="007C3733"/>
    <w:rsid w:val="007C7EB3"/>
    <w:rsid w:val="007D2D45"/>
    <w:rsid w:val="007D58FF"/>
    <w:rsid w:val="007E1C14"/>
    <w:rsid w:val="007E27EB"/>
    <w:rsid w:val="007E2C25"/>
    <w:rsid w:val="007E734B"/>
    <w:rsid w:val="007F034F"/>
    <w:rsid w:val="007F2AC6"/>
    <w:rsid w:val="007F49EE"/>
    <w:rsid w:val="007F58A9"/>
    <w:rsid w:val="007F6C0C"/>
    <w:rsid w:val="007F7118"/>
    <w:rsid w:val="00800D05"/>
    <w:rsid w:val="0080114D"/>
    <w:rsid w:val="008025CE"/>
    <w:rsid w:val="008035FD"/>
    <w:rsid w:val="00803B0E"/>
    <w:rsid w:val="00803BA1"/>
    <w:rsid w:val="00803FAC"/>
    <w:rsid w:val="0080438A"/>
    <w:rsid w:val="00804DD1"/>
    <w:rsid w:val="00810F1F"/>
    <w:rsid w:val="00813658"/>
    <w:rsid w:val="00814628"/>
    <w:rsid w:val="00816671"/>
    <w:rsid w:val="00817BC3"/>
    <w:rsid w:val="00817C6E"/>
    <w:rsid w:val="00822D97"/>
    <w:rsid w:val="008231DC"/>
    <w:rsid w:val="00823546"/>
    <w:rsid w:val="00823688"/>
    <w:rsid w:val="00823F01"/>
    <w:rsid w:val="00831189"/>
    <w:rsid w:val="00833571"/>
    <w:rsid w:val="0083399E"/>
    <w:rsid w:val="00834D46"/>
    <w:rsid w:val="00837671"/>
    <w:rsid w:val="0083794D"/>
    <w:rsid w:val="00840C49"/>
    <w:rsid w:val="00842482"/>
    <w:rsid w:val="008449F2"/>
    <w:rsid w:val="00854AB7"/>
    <w:rsid w:val="00855FA9"/>
    <w:rsid w:val="008579F5"/>
    <w:rsid w:val="0086026D"/>
    <w:rsid w:val="008618D4"/>
    <w:rsid w:val="0086372C"/>
    <w:rsid w:val="00863915"/>
    <w:rsid w:val="008641EF"/>
    <w:rsid w:val="00866A86"/>
    <w:rsid w:val="00877794"/>
    <w:rsid w:val="0088129E"/>
    <w:rsid w:val="00881738"/>
    <w:rsid w:val="008846D9"/>
    <w:rsid w:val="008852EC"/>
    <w:rsid w:val="0088683F"/>
    <w:rsid w:val="00887CD5"/>
    <w:rsid w:val="008919B0"/>
    <w:rsid w:val="0089211A"/>
    <w:rsid w:val="00894BA2"/>
    <w:rsid w:val="00895D0B"/>
    <w:rsid w:val="008A0596"/>
    <w:rsid w:val="008A48F9"/>
    <w:rsid w:val="008B1FD7"/>
    <w:rsid w:val="008B3F1F"/>
    <w:rsid w:val="008B6700"/>
    <w:rsid w:val="008B79EE"/>
    <w:rsid w:val="008C1AA9"/>
    <w:rsid w:val="008C3926"/>
    <w:rsid w:val="008C3AC9"/>
    <w:rsid w:val="008C4068"/>
    <w:rsid w:val="008C40FD"/>
    <w:rsid w:val="008C6A83"/>
    <w:rsid w:val="008D104E"/>
    <w:rsid w:val="008D135D"/>
    <w:rsid w:val="008D1BFE"/>
    <w:rsid w:val="008D2964"/>
    <w:rsid w:val="008D7A98"/>
    <w:rsid w:val="008E0F22"/>
    <w:rsid w:val="008E37A8"/>
    <w:rsid w:val="008E3E15"/>
    <w:rsid w:val="008F04F0"/>
    <w:rsid w:val="008F0697"/>
    <w:rsid w:val="008F08B7"/>
    <w:rsid w:val="008F1E13"/>
    <w:rsid w:val="008F6023"/>
    <w:rsid w:val="008F73EA"/>
    <w:rsid w:val="008F7590"/>
    <w:rsid w:val="009006C4"/>
    <w:rsid w:val="0090180E"/>
    <w:rsid w:val="00901CA7"/>
    <w:rsid w:val="0090413C"/>
    <w:rsid w:val="009043A9"/>
    <w:rsid w:val="00905D71"/>
    <w:rsid w:val="00910484"/>
    <w:rsid w:val="00912B85"/>
    <w:rsid w:val="00924E16"/>
    <w:rsid w:val="00925012"/>
    <w:rsid w:val="009311EA"/>
    <w:rsid w:val="00933845"/>
    <w:rsid w:val="00935A30"/>
    <w:rsid w:val="00936FFB"/>
    <w:rsid w:val="00937EA1"/>
    <w:rsid w:val="00943936"/>
    <w:rsid w:val="009458FE"/>
    <w:rsid w:val="009472A4"/>
    <w:rsid w:val="009475F2"/>
    <w:rsid w:val="009616DE"/>
    <w:rsid w:val="009621AC"/>
    <w:rsid w:val="00962550"/>
    <w:rsid w:val="00964195"/>
    <w:rsid w:val="00971216"/>
    <w:rsid w:val="00971EC1"/>
    <w:rsid w:val="009745EC"/>
    <w:rsid w:val="00982217"/>
    <w:rsid w:val="009842D8"/>
    <w:rsid w:val="00985A94"/>
    <w:rsid w:val="00985B8E"/>
    <w:rsid w:val="009864E3"/>
    <w:rsid w:val="009936FF"/>
    <w:rsid w:val="00996AFB"/>
    <w:rsid w:val="00996C74"/>
    <w:rsid w:val="009A0EE6"/>
    <w:rsid w:val="009A67BD"/>
    <w:rsid w:val="009B1B20"/>
    <w:rsid w:val="009B394A"/>
    <w:rsid w:val="009B395C"/>
    <w:rsid w:val="009B6DE6"/>
    <w:rsid w:val="009B7353"/>
    <w:rsid w:val="009B7419"/>
    <w:rsid w:val="009B7449"/>
    <w:rsid w:val="009C02E8"/>
    <w:rsid w:val="009C590A"/>
    <w:rsid w:val="009C627B"/>
    <w:rsid w:val="009C6B0C"/>
    <w:rsid w:val="009D19BD"/>
    <w:rsid w:val="009E5038"/>
    <w:rsid w:val="009E5384"/>
    <w:rsid w:val="009E66E5"/>
    <w:rsid w:val="009E7244"/>
    <w:rsid w:val="009E7D2D"/>
    <w:rsid w:val="009F0736"/>
    <w:rsid w:val="009F2DCC"/>
    <w:rsid w:val="009F5B93"/>
    <w:rsid w:val="009F660B"/>
    <w:rsid w:val="00A004C8"/>
    <w:rsid w:val="00A01211"/>
    <w:rsid w:val="00A04CFC"/>
    <w:rsid w:val="00A1464A"/>
    <w:rsid w:val="00A213F7"/>
    <w:rsid w:val="00A22D8B"/>
    <w:rsid w:val="00A24172"/>
    <w:rsid w:val="00A25AC0"/>
    <w:rsid w:val="00A31D09"/>
    <w:rsid w:val="00A3424C"/>
    <w:rsid w:val="00A4248D"/>
    <w:rsid w:val="00A43080"/>
    <w:rsid w:val="00A433A5"/>
    <w:rsid w:val="00A44302"/>
    <w:rsid w:val="00A525BE"/>
    <w:rsid w:val="00A602DC"/>
    <w:rsid w:val="00A622D1"/>
    <w:rsid w:val="00A66623"/>
    <w:rsid w:val="00A678F2"/>
    <w:rsid w:val="00A74215"/>
    <w:rsid w:val="00A758C1"/>
    <w:rsid w:val="00A77CFC"/>
    <w:rsid w:val="00A80FC8"/>
    <w:rsid w:val="00A8111B"/>
    <w:rsid w:val="00A828F4"/>
    <w:rsid w:val="00A90C4A"/>
    <w:rsid w:val="00A934D8"/>
    <w:rsid w:val="00A94857"/>
    <w:rsid w:val="00A96D23"/>
    <w:rsid w:val="00AA6141"/>
    <w:rsid w:val="00AA62D6"/>
    <w:rsid w:val="00AA6EA3"/>
    <w:rsid w:val="00AA78BF"/>
    <w:rsid w:val="00AB2D3F"/>
    <w:rsid w:val="00AB686C"/>
    <w:rsid w:val="00AC5914"/>
    <w:rsid w:val="00AC764C"/>
    <w:rsid w:val="00AD435C"/>
    <w:rsid w:val="00AD4DBE"/>
    <w:rsid w:val="00AD5CA4"/>
    <w:rsid w:val="00AD7FC2"/>
    <w:rsid w:val="00AE0F29"/>
    <w:rsid w:val="00AE25B7"/>
    <w:rsid w:val="00AE6E8E"/>
    <w:rsid w:val="00AE786A"/>
    <w:rsid w:val="00AF2402"/>
    <w:rsid w:val="00AF2BB7"/>
    <w:rsid w:val="00AF2E12"/>
    <w:rsid w:val="00AF581A"/>
    <w:rsid w:val="00AF67E5"/>
    <w:rsid w:val="00AF68FC"/>
    <w:rsid w:val="00AF71CD"/>
    <w:rsid w:val="00AF7D89"/>
    <w:rsid w:val="00B00E91"/>
    <w:rsid w:val="00B0100F"/>
    <w:rsid w:val="00B02368"/>
    <w:rsid w:val="00B06CB6"/>
    <w:rsid w:val="00B10997"/>
    <w:rsid w:val="00B10CCF"/>
    <w:rsid w:val="00B1155A"/>
    <w:rsid w:val="00B13F9B"/>
    <w:rsid w:val="00B202CF"/>
    <w:rsid w:val="00B32198"/>
    <w:rsid w:val="00B33A84"/>
    <w:rsid w:val="00B34D8B"/>
    <w:rsid w:val="00B35378"/>
    <w:rsid w:val="00B36714"/>
    <w:rsid w:val="00B403AF"/>
    <w:rsid w:val="00B420CD"/>
    <w:rsid w:val="00B44549"/>
    <w:rsid w:val="00B45EF9"/>
    <w:rsid w:val="00B47975"/>
    <w:rsid w:val="00B50B0B"/>
    <w:rsid w:val="00B514A4"/>
    <w:rsid w:val="00B533E8"/>
    <w:rsid w:val="00B55594"/>
    <w:rsid w:val="00B60F38"/>
    <w:rsid w:val="00B636CB"/>
    <w:rsid w:val="00B647BA"/>
    <w:rsid w:val="00B64ADC"/>
    <w:rsid w:val="00B64C4D"/>
    <w:rsid w:val="00B66A13"/>
    <w:rsid w:val="00B7041D"/>
    <w:rsid w:val="00B73D88"/>
    <w:rsid w:val="00B74946"/>
    <w:rsid w:val="00B75900"/>
    <w:rsid w:val="00B765A2"/>
    <w:rsid w:val="00B76D1C"/>
    <w:rsid w:val="00B81B3B"/>
    <w:rsid w:val="00B85AFB"/>
    <w:rsid w:val="00B86552"/>
    <w:rsid w:val="00B914B9"/>
    <w:rsid w:val="00B929F3"/>
    <w:rsid w:val="00B92BFF"/>
    <w:rsid w:val="00BA3121"/>
    <w:rsid w:val="00BA315F"/>
    <w:rsid w:val="00BA4722"/>
    <w:rsid w:val="00BA4874"/>
    <w:rsid w:val="00BA4B5D"/>
    <w:rsid w:val="00BA57F5"/>
    <w:rsid w:val="00BB4F27"/>
    <w:rsid w:val="00BB7AC6"/>
    <w:rsid w:val="00BC0D60"/>
    <w:rsid w:val="00BC223B"/>
    <w:rsid w:val="00BC415D"/>
    <w:rsid w:val="00BC6945"/>
    <w:rsid w:val="00BD043C"/>
    <w:rsid w:val="00BD1C0D"/>
    <w:rsid w:val="00BD1EB4"/>
    <w:rsid w:val="00BD4919"/>
    <w:rsid w:val="00BD5C5C"/>
    <w:rsid w:val="00BE0B2C"/>
    <w:rsid w:val="00BE19E7"/>
    <w:rsid w:val="00BE365F"/>
    <w:rsid w:val="00BE4DDF"/>
    <w:rsid w:val="00BF1846"/>
    <w:rsid w:val="00C00EB9"/>
    <w:rsid w:val="00C070BD"/>
    <w:rsid w:val="00C10674"/>
    <w:rsid w:val="00C11E1B"/>
    <w:rsid w:val="00C12F72"/>
    <w:rsid w:val="00C16143"/>
    <w:rsid w:val="00C225CE"/>
    <w:rsid w:val="00C25C6F"/>
    <w:rsid w:val="00C3036A"/>
    <w:rsid w:val="00C34781"/>
    <w:rsid w:val="00C35675"/>
    <w:rsid w:val="00C4051A"/>
    <w:rsid w:val="00C41153"/>
    <w:rsid w:val="00C41399"/>
    <w:rsid w:val="00C427AD"/>
    <w:rsid w:val="00C42E84"/>
    <w:rsid w:val="00C433CA"/>
    <w:rsid w:val="00C43C1C"/>
    <w:rsid w:val="00C453FB"/>
    <w:rsid w:val="00C4570D"/>
    <w:rsid w:val="00C52D36"/>
    <w:rsid w:val="00C63F5A"/>
    <w:rsid w:val="00C72EAC"/>
    <w:rsid w:val="00C7411B"/>
    <w:rsid w:val="00C7479B"/>
    <w:rsid w:val="00C75763"/>
    <w:rsid w:val="00C76960"/>
    <w:rsid w:val="00C76FF6"/>
    <w:rsid w:val="00C80247"/>
    <w:rsid w:val="00C80313"/>
    <w:rsid w:val="00C81BEF"/>
    <w:rsid w:val="00C81D86"/>
    <w:rsid w:val="00C82822"/>
    <w:rsid w:val="00C84DF9"/>
    <w:rsid w:val="00C851E3"/>
    <w:rsid w:val="00C85245"/>
    <w:rsid w:val="00C85DE2"/>
    <w:rsid w:val="00C90147"/>
    <w:rsid w:val="00C90ADF"/>
    <w:rsid w:val="00C9322F"/>
    <w:rsid w:val="00C9416B"/>
    <w:rsid w:val="00C94A1A"/>
    <w:rsid w:val="00C96AF7"/>
    <w:rsid w:val="00CA0F40"/>
    <w:rsid w:val="00CA17AE"/>
    <w:rsid w:val="00CA2B32"/>
    <w:rsid w:val="00CA382F"/>
    <w:rsid w:val="00CA60E8"/>
    <w:rsid w:val="00CA6339"/>
    <w:rsid w:val="00CB0B79"/>
    <w:rsid w:val="00CB0DD0"/>
    <w:rsid w:val="00CB2B7E"/>
    <w:rsid w:val="00CB7296"/>
    <w:rsid w:val="00CB7D33"/>
    <w:rsid w:val="00CD2E92"/>
    <w:rsid w:val="00CD32C2"/>
    <w:rsid w:val="00CD3DCC"/>
    <w:rsid w:val="00CD5E1A"/>
    <w:rsid w:val="00CD67A2"/>
    <w:rsid w:val="00CD7FF5"/>
    <w:rsid w:val="00CE1889"/>
    <w:rsid w:val="00CE2F54"/>
    <w:rsid w:val="00CE71E5"/>
    <w:rsid w:val="00CF3C06"/>
    <w:rsid w:val="00CF7828"/>
    <w:rsid w:val="00D0101A"/>
    <w:rsid w:val="00D055DC"/>
    <w:rsid w:val="00D07A88"/>
    <w:rsid w:val="00D10C06"/>
    <w:rsid w:val="00D1592E"/>
    <w:rsid w:val="00D16CA8"/>
    <w:rsid w:val="00D16E1E"/>
    <w:rsid w:val="00D17757"/>
    <w:rsid w:val="00D20380"/>
    <w:rsid w:val="00D22C5C"/>
    <w:rsid w:val="00D2325E"/>
    <w:rsid w:val="00D238A7"/>
    <w:rsid w:val="00D239DD"/>
    <w:rsid w:val="00D25AB1"/>
    <w:rsid w:val="00D2609E"/>
    <w:rsid w:val="00D26B85"/>
    <w:rsid w:val="00D321F5"/>
    <w:rsid w:val="00D322A6"/>
    <w:rsid w:val="00D3436E"/>
    <w:rsid w:val="00D52E19"/>
    <w:rsid w:val="00D6443D"/>
    <w:rsid w:val="00D65E83"/>
    <w:rsid w:val="00D661A4"/>
    <w:rsid w:val="00D70266"/>
    <w:rsid w:val="00D7311C"/>
    <w:rsid w:val="00D74B0E"/>
    <w:rsid w:val="00D82A41"/>
    <w:rsid w:val="00D865B8"/>
    <w:rsid w:val="00D8685C"/>
    <w:rsid w:val="00D86893"/>
    <w:rsid w:val="00D87892"/>
    <w:rsid w:val="00D92216"/>
    <w:rsid w:val="00D922F0"/>
    <w:rsid w:val="00D92929"/>
    <w:rsid w:val="00D97A73"/>
    <w:rsid w:val="00DA1C9D"/>
    <w:rsid w:val="00DA4419"/>
    <w:rsid w:val="00DA515D"/>
    <w:rsid w:val="00DA57D2"/>
    <w:rsid w:val="00DB3AC5"/>
    <w:rsid w:val="00DC0F54"/>
    <w:rsid w:val="00DC333F"/>
    <w:rsid w:val="00DC6C8D"/>
    <w:rsid w:val="00DC785A"/>
    <w:rsid w:val="00DD2E7C"/>
    <w:rsid w:val="00DD7EB7"/>
    <w:rsid w:val="00DE04CB"/>
    <w:rsid w:val="00DE1BEC"/>
    <w:rsid w:val="00DE500A"/>
    <w:rsid w:val="00DF0EDA"/>
    <w:rsid w:val="00DF2168"/>
    <w:rsid w:val="00DF3611"/>
    <w:rsid w:val="00DF6FA0"/>
    <w:rsid w:val="00DF78A9"/>
    <w:rsid w:val="00E0189C"/>
    <w:rsid w:val="00E01EBC"/>
    <w:rsid w:val="00E03162"/>
    <w:rsid w:val="00E04F3C"/>
    <w:rsid w:val="00E07373"/>
    <w:rsid w:val="00E107AD"/>
    <w:rsid w:val="00E117BD"/>
    <w:rsid w:val="00E14DA0"/>
    <w:rsid w:val="00E15566"/>
    <w:rsid w:val="00E2308E"/>
    <w:rsid w:val="00E24FF1"/>
    <w:rsid w:val="00E268D0"/>
    <w:rsid w:val="00E3272F"/>
    <w:rsid w:val="00E35A88"/>
    <w:rsid w:val="00E37001"/>
    <w:rsid w:val="00E4362D"/>
    <w:rsid w:val="00E4501F"/>
    <w:rsid w:val="00E45095"/>
    <w:rsid w:val="00E46568"/>
    <w:rsid w:val="00E5020D"/>
    <w:rsid w:val="00E504B4"/>
    <w:rsid w:val="00E5413B"/>
    <w:rsid w:val="00E54BE5"/>
    <w:rsid w:val="00E55E76"/>
    <w:rsid w:val="00E64E76"/>
    <w:rsid w:val="00E669F0"/>
    <w:rsid w:val="00E66AC5"/>
    <w:rsid w:val="00E673A7"/>
    <w:rsid w:val="00E67445"/>
    <w:rsid w:val="00E67470"/>
    <w:rsid w:val="00E67C90"/>
    <w:rsid w:val="00E71F10"/>
    <w:rsid w:val="00E722F7"/>
    <w:rsid w:val="00E805E4"/>
    <w:rsid w:val="00E810BE"/>
    <w:rsid w:val="00E82C5F"/>
    <w:rsid w:val="00E845C6"/>
    <w:rsid w:val="00E84A36"/>
    <w:rsid w:val="00E8577C"/>
    <w:rsid w:val="00E914F2"/>
    <w:rsid w:val="00E92942"/>
    <w:rsid w:val="00E9329C"/>
    <w:rsid w:val="00E9383C"/>
    <w:rsid w:val="00E93ABF"/>
    <w:rsid w:val="00E94514"/>
    <w:rsid w:val="00EA0DF7"/>
    <w:rsid w:val="00EA37BF"/>
    <w:rsid w:val="00EA480A"/>
    <w:rsid w:val="00EA5A66"/>
    <w:rsid w:val="00EA5B66"/>
    <w:rsid w:val="00EB0BE0"/>
    <w:rsid w:val="00EB39AA"/>
    <w:rsid w:val="00EB6E61"/>
    <w:rsid w:val="00EB7B48"/>
    <w:rsid w:val="00EC2021"/>
    <w:rsid w:val="00EC20CA"/>
    <w:rsid w:val="00EC3E94"/>
    <w:rsid w:val="00ED104C"/>
    <w:rsid w:val="00ED2A9C"/>
    <w:rsid w:val="00ED3585"/>
    <w:rsid w:val="00ED65B6"/>
    <w:rsid w:val="00ED6ADD"/>
    <w:rsid w:val="00ED77A7"/>
    <w:rsid w:val="00EE08CB"/>
    <w:rsid w:val="00EE3F58"/>
    <w:rsid w:val="00EE4BFE"/>
    <w:rsid w:val="00EE653F"/>
    <w:rsid w:val="00EF2298"/>
    <w:rsid w:val="00EF3EB3"/>
    <w:rsid w:val="00EF5640"/>
    <w:rsid w:val="00EF6775"/>
    <w:rsid w:val="00EF7650"/>
    <w:rsid w:val="00F024CB"/>
    <w:rsid w:val="00F04051"/>
    <w:rsid w:val="00F06562"/>
    <w:rsid w:val="00F1205F"/>
    <w:rsid w:val="00F1511F"/>
    <w:rsid w:val="00F16CFD"/>
    <w:rsid w:val="00F23753"/>
    <w:rsid w:val="00F2421A"/>
    <w:rsid w:val="00F255CC"/>
    <w:rsid w:val="00F26471"/>
    <w:rsid w:val="00F30446"/>
    <w:rsid w:val="00F30902"/>
    <w:rsid w:val="00F3127A"/>
    <w:rsid w:val="00F32021"/>
    <w:rsid w:val="00F32A2B"/>
    <w:rsid w:val="00F33435"/>
    <w:rsid w:val="00F34532"/>
    <w:rsid w:val="00F34B03"/>
    <w:rsid w:val="00F356E4"/>
    <w:rsid w:val="00F377B4"/>
    <w:rsid w:val="00F40755"/>
    <w:rsid w:val="00F42757"/>
    <w:rsid w:val="00F4432C"/>
    <w:rsid w:val="00F469E2"/>
    <w:rsid w:val="00F4799E"/>
    <w:rsid w:val="00F50D61"/>
    <w:rsid w:val="00F523D9"/>
    <w:rsid w:val="00F57E37"/>
    <w:rsid w:val="00F6059F"/>
    <w:rsid w:val="00F643F4"/>
    <w:rsid w:val="00F65EAD"/>
    <w:rsid w:val="00F6611D"/>
    <w:rsid w:val="00F661E2"/>
    <w:rsid w:val="00F67654"/>
    <w:rsid w:val="00F7079C"/>
    <w:rsid w:val="00F71117"/>
    <w:rsid w:val="00F7129A"/>
    <w:rsid w:val="00F76517"/>
    <w:rsid w:val="00F83117"/>
    <w:rsid w:val="00F90D7C"/>
    <w:rsid w:val="00F90E96"/>
    <w:rsid w:val="00F94393"/>
    <w:rsid w:val="00F9544C"/>
    <w:rsid w:val="00F955D1"/>
    <w:rsid w:val="00F95A45"/>
    <w:rsid w:val="00F974B1"/>
    <w:rsid w:val="00FA17EB"/>
    <w:rsid w:val="00FA7DED"/>
    <w:rsid w:val="00FB2A74"/>
    <w:rsid w:val="00FB2C6A"/>
    <w:rsid w:val="00FB347F"/>
    <w:rsid w:val="00FB3E6E"/>
    <w:rsid w:val="00FB4151"/>
    <w:rsid w:val="00FB7AB8"/>
    <w:rsid w:val="00FC4D6B"/>
    <w:rsid w:val="00FD31DE"/>
    <w:rsid w:val="00FE2A36"/>
    <w:rsid w:val="00FE2E18"/>
    <w:rsid w:val="00FE66BF"/>
    <w:rsid w:val="00FF5DEB"/>
    <w:rsid w:val="4B6F65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058A34BE"/>
  <w15:docId w15:val="{0D9723FE-619F-4AC5-A882-915F7DCBB3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nhideWhenUsed="1"/>
    <w:lsdException w:name="footer" w:unhideWhenUsed="1"/>
    <w:lsdException w:name="index heading" w:semiHidden="1" w:unhideWhenUsed="1"/>
    <w:lsdException w:name="caption" w:uiPriority="35" w:unhideWhenUsed="1" w:qFormat="1"/>
    <w:lsdException w:name="table of figures"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480" w:lineRule="auto"/>
      <w:jc w:val="both"/>
    </w:pPr>
    <w:rPr>
      <w:rFonts w:ascii="Times New Roman" w:hAnsi="Times New Roman"/>
      <w:sz w:val="24"/>
      <w:szCs w:val="22"/>
      <w:lang w:val="en-GB"/>
    </w:rPr>
  </w:style>
  <w:style w:type="paragraph" w:styleId="Heading1">
    <w:name w:val="heading 1"/>
    <w:basedOn w:val="Normal"/>
    <w:next w:val="Normal"/>
    <w:link w:val="Heading1Char"/>
    <w:autoRedefine/>
    <w:uiPriority w:val="9"/>
    <w:qFormat/>
    <w:rsid w:val="009745EC"/>
    <w:pPr>
      <w:keepNext/>
      <w:keepLines/>
      <w:jc w:val="center"/>
      <w:outlineLvl w:val="0"/>
    </w:pPr>
    <w:rPr>
      <w:rFonts w:eastAsia="SimSun" w:cs="Times New Roman"/>
      <w:b/>
      <w:color w:val="000000" w:themeColor="text1"/>
      <w:szCs w:val="24"/>
      <w:lang w:val="en-US"/>
    </w:rPr>
  </w:style>
  <w:style w:type="paragraph" w:styleId="Heading2">
    <w:name w:val="heading 2"/>
    <w:basedOn w:val="Normal"/>
    <w:next w:val="Normal"/>
    <w:link w:val="Heading2Char"/>
    <w:autoRedefine/>
    <w:uiPriority w:val="99"/>
    <w:unhideWhenUsed/>
    <w:qFormat/>
    <w:rsid w:val="002D7F3D"/>
    <w:pPr>
      <w:keepNext/>
      <w:keepLines/>
      <w:ind w:left="360" w:hanging="360"/>
      <w:outlineLvl w:val="1"/>
    </w:pPr>
    <w:rPr>
      <w:rFonts w:eastAsiaTheme="majorEastAsia" w:cs="Times New Roman"/>
      <w:b/>
      <w:color w:val="000000" w:themeColor="text1"/>
      <w:szCs w:val="24"/>
      <w:lang w:val="en-US"/>
    </w:rPr>
  </w:style>
  <w:style w:type="paragraph" w:styleId="Heading3">
    <w:name w:val="heading 3"/>
    <w:basedOn w:val="Normal"/>
    <w:next w:val="Normal"/>
    <w:link w:val="Heading3Char"/>
    <w:autoRedefine/>
    <w:uiPriority w:val="9"/>
    <w:unhideWhenUsed/>
    <w:qFormat/>
    <w:rsid w:val="009864E3"/>
    <w:pPr>
      <w:keepNext/>
      <w:keepLines/>
      <w:spacing w:line="360" w:lineRule="auto"/>
      <w:outlineLvl w:val="2"/>
    </w:pPr>
    <w:rPr>
      <w:rFonts w:eastAsiaTheme="majorEastAsia" w:cstheme="majorBidi"/>
      <w:b/>
      <w:color w:val="000000" w:themeColor="text1"/>
      <w:szCs w:val="24"/>
      <w:lang w:val="en-US"/>
    </w:rPr>
  </w:style>
  <w:style w:type="paragraph" w:styleId="Heading4">
    <w:name w:val="heading 4"/>
    <w:basedOn w:val="Normal"/>
    <w:next w:val="Normal"/>
    <w:link w:val="Heading4Char"/>
    <w:uiPriority w:val="9"/>
    <w:unhideWhenUsed/>
    <w:qFormat/>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unhideWhenUsed/>
    <w:qFormat/>
    <w:rsid w:val="00F4799E"/>
    <w:pPr>
      <w:keepNext/>
      <w:keepLines/>
      <w:spacing w:before="40"/>
      <w:outlineLvl w:val="4"/>
    </w:pPr>
    <w:rPr>
      <w:rFonts w:eastAsiaTheme="majorEastAsia" w:cstheme="majorBidi"/>
      <w:b/>
      <w:color w:val="000000" w:themeColor="text1"/>
    </w:rPr>
  </w:style>
  <w:style w:type="paragraph" w:styleId="Heading6">
    <w:name w:val="heading 6"/>
    <w:basedOn w:val="Normal"/>
    <w:next w:val="Normal"/>
    <w:link w:val="Heading6Char"/>
    <w:uiPriority w:val="9"/>
    <w:unhideWhenUsed/>
    <w:qFormat/>
    <w:rsid w:val="003D0790"/>
    <w:pPr>
      <w:keepNext/>
      <w:keepLines/>
      <w:spacing w:before="40"/>
      <w:outlineLvl w:val="5"/>
    </w:pPr>
    <w:rPr>
      <w:rFonts w:eastAsiaTheme="majorEastAsia" w:cstheme="majorBidi"/>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45EC"/>
    <w:rPr>
      <w:rFonts w:ascii="Times New Roman" w:eastAsia="SimSun" w:hAnsi="Times New Roman" w:cs="Times New Roman"/>
      <w:b/>
      <w:color w:val="000000" w:themeColor="text1"/>
      <w:sz w:val="24"/>
      <w:szCs w:val="24"/>
    </w:rPr>
  </w:style>
  <w:style w:type="character" w:customStyle="1" w:styleId="Heading2Char">
    <w:name w:val="Heading 2 Char"/>
    <w:basedOn w:val="DefaultParagraphFont"/>
    <w:link w:val="Heading2"/>
    <w:uiPriority w:val="99"/>
    <w:rsid w:val="002D7F3D"/>
    <w:rPr>
      <w:rFonts w:ascii="Times New Roman" w:eastAsiaTheme="majorEastAsia" w:hAnsi="Times New Roman" w:cs="Times New Roman"/>
      <w:b/>
      <w:color w:val="000000" w:themeColor="text1"/>
      <w:sz w:val="24"/>
      <w:szCs w:val="24"/>
    </w:rPr>
  </w:style>
  <w:style w:type="character" w:customStyle="1" w:styleId="Heading3Char">
    <w:name w:val="Heading 3 Char"/>
    <w:basedOn w:val="DefaultParagraphFont"/>
    <w:link w:val="Heading3"/>
    <w:uiPriority w:val="9"/>
    <w:rsid w:val="009864E3"/>
    <w:rPr>
      <w:rFonts w:ascii="Times New Roman" w:eastAsiaTheme="majorEastAsia" w:hAnsi="Times New Roman" w:cstheme="majorBidi"/>
      <w:b/>
      <w:color w:val="000000" w:themeColor="text1"/>
      <w:sz w:val="24"/>
      <w:szCs w:val="24"/>
    </w:rPr>
  </w:style>
  <w:style w:type="character" w:customStyle="1" w:styleId="Heading4Char">
    <w:name w:val="Heading 4 Char"/>
    <w:basedOn w:val="DefaultParagraphFont"/>
    <w:link w:val="Heading4"/>
    <w:uiPriority w:val="9"/>
    <w:rPr>
      <w:rFonts w:asciiTheme="majorHAnsi" w:eastAsiaTheme="majorEastAsia" w:hAnsiTheme="majorHAnsi" w:cstheme="majorBidi"/>
      <w:i/>
      <w:iCs/>
      <w:color w:val="365F91" w:themeColor="accent1" w:themeShade="BF"/>
      <w:sz w:val="24"/>
      <w:lang w:val="en-GB"/>
    </w:rPr>
  </w:style>
  <w:style w:type="paragraph" w:styleId="BalloonText">
    <w:name w:val="Balloon Text"/>
    <w:basedOn w:val="Normal"/>
    <w:link w:val="BalloonTextChar"/>
    <w:uiPriority w:val="99"/>
    <w:semiHidden/>
    <w:unhideWhenUse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lang w:val="en-GB"/>
    </w:rPr>
  </w:style>
  <w:style w:type="paragraph" w:styleId="Caption">
    <w:name w:val="caption"/>
    <w:basedOn w:val="Normal"/>
    <w:next w:val="Normal"/>
    <w:uiPriority w:val="35"/>
    <w:unhideWhenUsed/>
    <w:qFormat/>
    <w:pPr>
      <w:spacing w:after="200" w:line="240" w:lineRule="auto"/>
      <w:jc w:val="left"/>
    </w:pPr>
    <w:rPr>
      <w:rFonts w:eastAsia="Times New Roman" w:cs="Times New Roman"/>
      <w:b/>
      <w:iCs/>
      <w:color w:val="000000" w:themeColor="text1"/>
      <w:szCs w:val="24"/>
      <w:lang w:val="en-US"/>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rFonts w:ascii="Times New Roman" w:hAnsi="Times New Roman"/>
      <w:sz w:val="20"/>
      <w:szCs w:val="20"/>
      <w:lang w:val="en-GB"/>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rFonts w:ascii="Times New Roman" w:hAnsi="Times New Roman"/>
      <w:b/>
      <w:bCs/>
      <w:sz w:val="20"/>
      <w:szCs w:val="20"/>
      <w:lang w:val="en-GB"/>
    </w:rPr>
  </w:style>
  <w:style w:type="character" w:styleId="FollowedHyperlink">
    <w:name w:val="FollowedHyperlink"/>
    <w:basedOn w:val="DefaultParagraphFont"/>
    <w:uiPriority w:val="99"/>
    <w:semiHidden/>
    <w:unhideWhenUsed/>
    <w:rPr>
      <w:color w:val="800080" w:themeColor="followedHyperlink"/>
      <w:u w:val="single"/>
    </w:rPr>
  </w:style>
  <w:style w:type="paragraph" w:styleId="Footer">
    <w:name w:val="footer"/>
    <w:basedOn w:val="Normal"/>
    <w:link w:val="FooterChar"/>
    <w:uiPriority w:val="99"/>
    <w:unhideWhenUsed/>
    <w:pPr>
      <w:tabs>
        <w:tab w:val="center" w:pos="4680"/>
        <w:tab w:val="right" w:pos="9360"/>
      </w:tabs>
      <w:spacing w:line="240" w:lineRule="auto"/>
    </w:pPr>
  </w:style>
  <w:style w:type="character" w:customStyle="1" w:styleId="FooterChar">
    <w:name w:val="Footer Char"/>
    <w:basedOn w:val="DefaultParagraphFont"/>
    <w:link w:val="Footer"/>
    <w:uiPriority w:val="99"/>
    <w:rPr>
      <w:rFonts w:ascii="Times New Roman" w:hAnsi="Times New Roman"/>
      <w:sz w:val="24"/>
      <w:lang w:val="en-GB"/>
    </w:rPr>
  </w:style>
  <w:style w:type="character" w:styleId="FootnoteReference">
    <w:name w:val="footnote reference"/>
    <w:basedOn w:val="DefaultParagraphFont"/>
    <w:uiPriority w:val="99"/>
    <w:semiHidden/>
    <w:unhideWhenUsed/>
    <w:rPr>
      <w:vertAlign w:val="superscript"/>
    </w:rPr>
  </w:style>
  <w:style w:type="paragraph" w:styleId="Header">
    <w:name w:val="header"/>
    <w:basedOn w:val="Normal"/>
    <w:link w:val="HeaderChar"/>
    <w:uiPriority w:val="99"/>
    <w:unhideWhenUsed/>
    <w:pPr>
      <w:tabs>
        <w:tab w:val="center" w:pos="4680"/>
        <w:tab w:val="right" w:pos="9360"/>
      </w:tabs>
      <w:spacing w:line="240" w:lineRule="auto"/>
    </w:pPr>
  </w:style>
  <w:style w:type="character" w:customStyle="1" w:styleId="HeaderChar">
    <w:name w:val="Header Char"/>
    <w:basedOn w:val="DefaultParagraphFont"/>
    <w:link w:val="Header"/>
    <w:uiPriority w:val="99"/>
    <w:rPr>
      <w:rFonts w:ascii="Times New Roman" w:hAnsi="Times New Roman"/>
      <w:sz w:val="24"/>
      <w:lang w:val="en-GB"/>
    </w:rPr>
  </w:style>
  <w:style w:type="character" w:styleId="Hyperlink">
    <w:name w:val="Hyperlink"/>
    <w:basedOn w:val="DefaultParagraphFont"/>
    <w:uiPriority w:val="99"/>
    <w:unhideWhenUsed/>
    <w:rPr>
      <w:color w:val="0000FF"/>
      <w:u w:val="single"/>
    </w:rPr>
  </w:style>
  <w:style w:type="paragraph" w:styleId="NormalWeb">
    <w:name w:val="Normal (Web)"/>
    <w:basedOn w:val="Normal"/>
    <w:uiPriority w:val="99"/>
    <w:unhideWhenUsed/>
    <w:pPr>
      <w:spacing w:before="100" w:beforeAutospacing="1" w:after="100" w:afterAutospacing="1" w:line="240" w:lineRule="auto"/>
      <w:jc w:val="left"/>
    </w:pPr>
    <w:rPr>
      <w:rFonts w:eastAsia="Times New Roman" w:cs="Times New Roman"/>
      <w:szCs w:val="24"/>
      <w:lang w:eastAsia="en-GB"/>
    </w:rPr>
  </w:style>
  <w:style w:type="paragraph" w:styleId="Subtitle">
    <w:name w:val="Subtitle"/>
    <w:basedOn w:val="Normal"/>
    <w:next w:val="Normal"/>
    <w:link w:val="SubtitleChar"/>
    <w:uiPriority w:val="11"/>
    <w:qFormat/>
    <w:pPr>
      <w:spacing w:after="160" w:line="259" w:lineRule="auto"/>
      <w:jc w:val="left"/>
    </w:pPr>
    <w:rPr>
      <w:rFonts w:asciiTheme="minorHAnsi" w:eastAsiaTheme="minorEastAsia" w:hAnsiTheme="minorHAnsi" w:cs="Times New Roman"/>
      <w:color w:val="000000" w:themeColor="text1"/>
      <w:spacing w:val="15"/>
      <w:sz w:val="22"/>
      <w:lang w:val="en-US"/>
    </w:rPr>
  </w:style>
  <w:style w:type="character" w:customStyle="1" w:styleId="SubtitleChar">
    <w:name w:val="Subtitle Char"/>
    <w:basedOn w:val="DefaultParagraphFont"/>
    <w:link w:val="Subtitle"/>
    <w:uiPriority w:val="11"/>
    <w:rPr>
      <w:rFonts w:eastAsiaTheme="minorEastAsia" w:cs="Times New Roman"/>
      <w:color w:val="000000" w:themeColor="text1"/>
      <w:spacing w:val="15"/>
    </w:rP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style>
  <w:style w:type="paragraph" w:styleId="Title">
    <w:name w:val="Title"/>
    <w:basedOn w:val="Normal"/>
    <w:next w:val="Normal"/>
    <w:link w:val="TitleChar"/>
    <w:uiPriority w:val="10"/>
    <w:qFormat/>
    <w:pPr>
      <w:spacing w:line="216" w:lineRule="auto"/>
      <w:contextualSpacing/>
      <w:jc w:val="left"/>
    </w:pPr>
    <w:rPr>
      <w:rFonts w:asciiTheme="majorHAnsi" w:eastAsiaTheme="majorEastAsia" w:hAnsiTheme="majorHAnsi" w:cstheme="majorBidi"/>
      <w:color w:val="000000" w:themeColor="text1"/>
      <w:spacing w:val="-10"/>
      <w:kern w:val="28"/>
      <w:sz w:val="56"/>
      <w:szCs w:val="56"/>
      <w:lang w:val="en-U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themeColor="text1"/>
      <w:spacing w:val="-10"/>
      <w:kern w:val="28"/>
      <w:sz w:val="56"/>
      <w:szCs w:val="56"/>
    </w:rPr>
  </w:style>
  <w:style w:type="paragraph" w:styleId="TOC1">
    <w:name w:val="toc 1"/>
    <w:basedOn w:val="Normal"/>
    <w:next w:val="Normal"/>
    <w:uiPriority w:val="39"/>
    <w:unhideWhenUsed/>
    <w:rsid w:val="00731E67"/>
    <w:pPr>
      <w:spacing w:after="100" w:line="259" w:lineRule="auto"/>
      <w:jc w:val="left"/>
    </w:pPr>
    <w:rPr>
      <w:rFonts w:eastAsiaTheme="minorEastAsia" w:cs="Times New Roman"/>
      <w:b/>
      <w:lang w:val="en-US"/>
    </w:rPr>
  </w:style>
  <w:style w:type="paragraph" w:styleId="TOC2">
    <w:name w:val="toc 2"/>
    <w:basedOn w:val="Normal"/>
    <w:next w:val="Normal"/>
    <w:uiPriority w:val="39"/>
    <w:unhideWhenUsed/>
    <w:rsid w:val="00731E67"/>
    <w:pPr>
      <w:spacing w:after="100" w:line="259" w:lineRule="auto"/>
      <w:ind w:left="220"/>
      <w:jc w:val="left"/>
    </w:pPr>
    <w:rPr>
      <w:rFonts w:eastAsiaTheme="minorEastAsia" w:cs="Times New Roman"/>
      <w:lang w:val="en-US"/>
    </w:rPr>
  </w:style>
  <w:style w:type="paragraph" w:styleId="TOC3">
    <w:name w:val="toc 3"/>
    <w:basedOn w:val="Normal"/>
    <w:next w:val="Normal"/>
    <w:uiPriority w:val="39"/>
    <w:unhideWhenUsed/>
    <w:rsid w:val="00731E67"/>
    <w:pPr>
      <w:spacing w:after="100" w:line="259" w:lineRule="auto"/>
      <w:ind w:left="440"/>
      <w:jc w:val="left"/>
    </w:pPr>
    <w:rPr>
      <w:rFonts w:eastAsiaTheme="minorEastAsia" w:cs="Times New Roman"/>
      <w:lang w:val="en-US"/>
    </w:rPr>
  </w:style>
  <w:style w:type="paragraph" w:styleId="ListParagraph">
    <w:name w:val="List Paragraph"/>
    <w:basedOn w:val="Normal"/>
    <w:link w:val="ListParagraphChar"/>
    <w:uiPriority w:val="34"/>
    <w:qFormat/>
    <w:pPr>
      <w:ind w:left="720"/>
      <w:contextualSpacing/>
    </w:pPr>
  </w:style>
  <w:style w:type="character" w:customStyle="1" w:styleId="ListParagraphChar">
    <w:name w:val="List Paragraph Char"/>
    <w:link w:val="ListParagraph"/>
    <w:uiPriority w:val="34"/>
    <w:qFormat/>
    <w:locked/>
    <w:rPr>
      <w:rFonts w:ascii="Times New Roman" w:hAnsi="Times New Roman"/>
      <w:sz w:val="24"/>
      <w:lang w:val="en-GB"/>
    </w:rPr>
  </w:style>
  <w:style w:type="paragraph" w:customStyle="1" w:styleId="Default">
    <w:name w:val="Default"/>
    <w:uiPriority w:val="99"/>
    <w:pPr>
      <w:autoSpaceDE w:val="0"/>
      <w:autoSpaceDN w:val="0"/>
      <w:adjustRightInd w:val="0"/>
    </w:pPr>
    <w:rPr>
      <w:rFonts w:ascii="Times New Roman" w:hAnsi="Times New Roman" w:cs="Times New Roman"/>
      <w:color w:val="000000"/>
      <w:sz w:val="24"/>
      <w:szCs w:val="24"/>
    </w:rPr>
  </w:style>
  <w:style w:type="character" w:styleId="PlaceholderText">
    <w:name w:val="Placeholder Text"/>
    <w:basedOn w:val="DefaultParagraphFont"/>
    <w:uiPriority w:val="99"/>
    <w:semiHidden/>
    <w:rPr>
      <w:color w:val="808080"/>
    </w:rPr>
  </w:style>
  <w:style w:type="paragraph" w:customStyle="1" w:styleId="Revision1">
    <w:name w:val="Revision1"/>
    <w:hidden/>
    <w:uiPriority w:val="99"/>
    <w:semiHidden/>
    <w:rPr>
      <w:rFonts w:ascii="Times New Roman" w:hAnsi="Times New Roman"/>
      <w:sz w:val="24"/>
      <w:szCs w:val="22"/>
      <w:lang w:val="en-GB"/>
    </w:rPr>
  </w:style>
  <w:style w:type="character" w:customStyle="1" w:styleId="familyname">
    <w:name w:val="familyname"/>
    <w:basedOn w:val="DefaultParagraphFont"/>
  </w:style>
  <w:style w:type="paragraph" w:styleId="NoSpacing">
    <w:name w:val="No Spacing"/>
    <w:link w:val="NoSpacingChar"/>
    <w:uiPriority w:val="1"/>
    <w:qFormat/>
    <w:rPr>
      <w:sz w:val="22"/>
      <w:szCs w:val="22"/>
      <w:lang w:val="en-GB"/>
    </w:rPr>
  </w:style>
  <w:style w:type="character" w:customStyle="1" w:styleId="NoSpacingChar">
    <w:name w:val="No Spacing Char"/>
    <w:basedOn w:val="DefaultParagraphFont"/>
    <w:link w:val="NoSpacing"/>
    <w:uiPriority w:val="1"/>
    <w:rPr>
      <w:lang w:val="en-GB"/>
    </w:rPr>
  </w:style>
  <w:style w:type="character" w:customStyle="1" w:styleId="jpfdse">
    <w:name w:val="jpfdse"/>
    <w:basedOn w:val="DefaultParagraphFont"/>
  </w:style>
  <w:style w:type="paragraph" w:customStyle="1" w:styleId="msonormal0">
    <w:name w:val="msonormal"/>
    <w:basedOn w:val="Normal"/>
    <w:pPr>
      <w:spacing w:before="100" w:beforeAutospacing="1" w:after="100" w:afterAutospacing="1" w:line="240" w:lineRule="auto"/>
      <w:jc w:val="left"/>
    </w:pPr>
    <w:rPr>
      <w:rFonts w:eastAsia="Times New Roman" w:cs="Times New Roman"/>
      <w:szCs w:val="24"/>
      <w:lang w:eastAsia="en-GB"/>
    </w:rPr>
  </w:style>
  <w:style w:type="table" w:customStyle="1" w:styleId="TableGrid0">
    <w:name w:val="TableGrid"/>
    <w:rPr>
      <w:rFonts w:eastAsiaTheme="minorEastAsia"/>
      <w:lang w:val="en-GB"/>
    </w:rPr>
    <w:tblPr>
      <w:tblCellMar>
        <w:top w:w="0" w:type="dxa"/>
        <w:left w:w="0" w:type="dxa"/>
        <w:bottom w:w="0" w:type="dxa"/>
        <w:right w:w="0" w:type="dxa"/>
      </w:tblCellMar>
    </w:tblPr>
  </w:style>
  <w:style w:type="character" w:customStyle="1" w:styleId="IntenseReference1">
    <w:name w:val="Intense Reference1"/>
    <w:basedOn w:val="DefaultParagraphFont"/>
    <w:uiPriority w:val="32"/>
    <w:qFormat/>
    <w:rPr>
      <w:b/>
      <w:bCs/>
      <w:smallCaps/>
      <w:color w:val="4F81BD" w:themeColor="accent1"/>
      <w:spacing w:val="5"/>
    </w:rPr>
  </w:style>
  <w:style w:type="paragraph" w:customStyle="1" w:styleId="TOCHeading1">
    <w:name w:val="TOC Heading1"/>
    <w:basedOn w:val="Heading1"/>
    <w:next w:val="Normal"/>
    <w:uiPriority w:val="39"/>
    <w:unhideWhenUsed/>
    <w:qFormat/>
    <w:pPr>
      <w:spacing w:before="240" w:line="259" w:lineRule="auto"/>
      <w:jc w:val="left"/>
      <w:outlineLvl w:val="9"/>
    </w:pPr>
    <w:rPr>
      <w:rFonts w:asciiTheme="majorHAnsi" w:eastAsiaTheme="majorEastAsia" w:hAnsiTheme="majorHAnsi" w:cstheme="majorBidi"/>
      <w:b w:val="0"/>
      <w:color w:val="365F91" w:themeColor="accent1" w:themeShade="BF"/>
      <w:sz w:val="32"/>
      <w:szCs w:val="32"/>
    </w:rPr>
  </w:style>
  <w:style w:type="character" w:customStyle="1" w:styleId="BookTitle1">
    <w:name w:val="Book Title1"/>
    <w:basedOn w:val="DefaultParagraphFont"/>
    <w:uiPriority w:val="33"/>
    <w:qFormat/>
    <w:rPr>
      <w:b/>
      <w:bCs/>
      <w:i/>
      <w:iCs/>
      <w:spacing w:val="5"/>
    </w:rPr>
  </w:style>
  <w:style w:type="paragraph" w:styleId="Revision">
    <w:name w:val="Revision"/>
    <w:hidden/>
    <w:uiPriority w:val="99"/>
    <w:unhideWhenUsed/>
    <w:rsid w:val="00617925"/>
    <w:rPr>
      <w:rFonts w:ascii="Times New Roman" w:hAnsi="Times New Roman"/>
      <w:sz w:val="24"/>
      <w:szCs w:val="22"/>
      <w:lang w:val="en-GB"/>
    </w:rPr>
  </w:style>
  <w:style w:type="paragraph" w:styleId="TOCHeading">
    <w:name w:val="TOC Heading"/>
    <w:basedOn w:val="Heading1"/>
    <w:next w:val="Normal"/>
    <w:uiPriority w:val="39"/>
    <w:unhideWhenUsed/>
    <w:qFormat/>
    <w:rsid w:val="00596101"/>
    <w:pPr>
      <w:spacing w:before="240" w:line="259" w:lineRule="auto"/>
      <w:jc w:val="left"/>
      <w:outlineLvl w:val="9"/>
    </w:pPr>
    <w:rPr>
      <w:rFonts w:asciiTheme="majorHAnsi" w:eastAsiaTheme="majorEastAsia" w:hAnsiTheme="majorHAnsi" w:cstheme="majorBidi"/>
      <w:b w:val="0"/>
      <w:color w:val="365F91" w:themeColor="accent1" w:themeShade="BF"/>
      <w:sz w:val="32"/>
      <w:szCs w:val="32"/>
    </w:rPr>
  </w:style>
  <w:style w:type="character" w:styleId="Emphasis">
    <w:name w:val="Emphasis"/>
    <w:basedOn w:val="DefaultParagraphFont"/>
    <w:uiPriority w:val="20"/>
    <w:qFormat/>
    <w:rsid w:val="00283166"/>
    <w:rPr>
      <w:i/>
      <w:iCs/>
    </w:rPr>
  </w:style>
  <w:style w:type="paragraph" w:styleId="TOC4">
    <w:name w:val="toc 4"/>
    <w:basedOn w:val="Normal"/>
    <w:next w:val="Normal"/>
    <w:autoRedefine/>
    <w:uiPriority w:val="39"/>
    <w:unhideWhenUsed/>
    <w:rsid w:val="00731E67"/>
    <w:pPr>
      <w:spacing w:after="100" w:line="259" w:lineRule="auto"/>
      <w:ind w:left="660"/>
      <w:jc w:val="left"/>
    </w:pPr>
    <w:rPr>
      <w:rFonts w:eastAsiaTheme="minorEastAsia"/>
      <w:lang w:eastAsia="en-GB"/>
    </w:rPr>
  </w:style>
  <w:style w:type="paragraph" w:styleId="TOC5">
    <w:name w:val="toc 5"/>
    <w:basedOn w:val="Normal"/>
    <w:next w:val="Normal"/>
    <w:autoRedefine/>
    <w:uiPriority w:val="39"/>
    <w:unhideWhenUsed/>
    <w:rsid w:val="00731E67"/>
    <w:pPr>
      <w:spacing w:after="100" w:line="259" w:lineRule="auto"/>
      <w:ind w:left="880"/>
      <w:jc w:val="left"/>
    </w:pPr>
    <w:rPr>
      <w:rFonts w:eastAsiaTheme="minorEastAsia"/>
      <w:lang w:eastAsia="en-GB"/>
    </w:rPr>
  </w:style>
  <w:style w:type="paragraph" w:styleId="TOC6">
    <w:name w:val="toc 6"/>
    <w:basedOn w:val="Normal"/>
    <w:next w:val="Normal"/>
    <w:autoRedefine/>
    <w:uiPriority w:val="39"/>
    <w:unhideWhenUsed/>
    <w:rsid w:val="0050174D"/>
    <w:pPr>
      <w:spacing w:after="100" w:line="259" w:lineRule="auto"/>
      <w:ind w:left="1100"/>
      <w:jc w:val="left"/>
    </w:pPr>
    <w:rPr>
      <w:rFonts w:asciiTheme="minorHAnsi" w:eastAsiaTheme="minorEastAsia" w:hAnsiTheme="minorHAnsi"/>
      <w:sz w:val="22"/>
      <w:lang w:eastAsia="en-GB"/>
    </w:rPr>
  </w:style>
  <w:style w:type="paragraph" w:styleId="TOC7">
    <w:name w:val="toc 7"/>
    <w:basedOn w:val="Normal"/>
    <w:next w:val="Normal"/>
    <w:autoRedefine/>
    <w:uiPriority w:val="39"/>
    <w:unhideWhenUsed/>
    <w:rsid w:val="0050174D"/>
    <w:pPr>
      <w:spacing w:after="100" w:line="259" w:lineRule="auto"/>
      <w:ind w:left="1320"/>
      <w:jc w:val="left"/>
    </w:pPr>
    <w:rPr>
      <w:rFonts w:asciiTheme="minorHAnsi" w:eastAsiaTheme="minorEastAsia" w:hAnsiTheme="minorHAnsi"/>
      <w:sz w:val="22"/>
      <w:lang w:eastAsia="en-GB"/>
    </w:rPr>
  </w:style>
  <w:style w:type="paragraph" w:styleId="TOC8">
    <w:name w:val="toc 8"/>
    <w:basedOn w:val="Normal"/>
    <w:next w:val="Normal"/>
    <w:autoRedefine/>
    <w:uiPriority w:val="39"/>
    <w:unhideWhenUsed/>
    <w:rsid w:val="0050174D"/>
    <w:pPr>
      <w:spacing w:after="100" w:line="259" w:lineRule="auto"/>
      <w:ind w:left="1540"/>
      <w:jc w:val="left"/>
    </w:pPr>
    <w:rPr>
      <w:rFonts w:asciiTheme="minorHAnsi" w:eastAsiaTheme="minorEastAsia" w:hAnsiTheme="minorHAnsi"/>
      <w:sz w:val="22"/>
      <w:lang w:eastAsia="en-GB"/>
    </w:rPr>
  </w:style>
  <w:style w:type="paragraph" w:styleId="TOC9">
    <w:name w:val="toc 9"/>
    <w:basedOn w:val="Normal"/>
    <w:next w:val="Normal"/>
    <w:autoRedefine/>
    <w:uiPriority w:val="39"/>
    <w:unhideWhenUsed/>
    <w:rsid w:val="0050174D"/>
    <w:pPr>
      <w:spacing w:after="100" w:line="259" w:lineRule="auto"/>
      <w:ind w:left="1760"/>
      <w:jc w:val="left"/>
    </w:pPr>
    <w:rPr>
      <w:rFonts w:asciiTheme="minorHAnsi" w:eastAsiaTheme="minorEastAsia" w:hAnsiTheme="minorHAnsi"/>
      <w:sz w:val="22"/>
      <w:lang w:eastAsia="en-GB"/>
    </w:rPr>
  </w:style>
  <w:style w:type="character" w:customStyle="1" w:styleId="Heading5Char">
    <w:name w:val="Heading 5 Char"/>
    <w:basedOn w:val="DefaultParagraphFont"/>
    <w:link w:val="Heading5"/>
    <w:uiPriority w:val="9"/>
    <w:rsid w:val="00F4799E"/>
    <w:rPr>
      <w:rFonts w:ascii="Times New Roman" w:eastAsiaTheme="majorEastAsia" w:hAnsi="Times New Roman" w:cstheme="majorBidi"/>
      <w:b/>
      <w:color w:val="000000" w:themeColor="text1"/>
      <w:sz w:val="24"/>
      <w:szCs w:val="22"/>
      <w:lang w:val="en-GB"/>
    </w:rPr>
  </w:style>
  <w:style w:type="character" w:customStyle="1" w:styleId="Heading6Char">
    <w:name w:val="Heading 6 Char"/>
    <w:basedOn w:val="DefaultParagraphFont"/>
    <w:link w:val="Heading6"/>
    <w:uiPriority w:val="9"/>
    <w:rsid w:val="003D0790"/>
    <w:rPr>
      <w:rFonts w:ascii="Times New Roman" w:eastAsiaTheme="majorEastAsia" w:hAnsi="Times New Roman" w:cstheme="majorBidi"/>
      <w:b/>
      <w:color w:val="000000" w:themeColor="text1"/>
      <w:sz w:val="24"/>
      <w:szCs w:val="22"/>
      <w:lang w:val="en-GB"/>
    </w:rPr>
  </w:style>
  <w:style w:type="character" w:styleId="UnresolvedMention">
    <w:name w:val="Unresolved Mention"/>
    <w:basedOn w:val="DefaultParagraphFont"/>
    <w:uiPriority w:val="99"/>
    <w:semiHidden/>
    <w:unhideWhenUsed/>
    <w:rsid w:val="00731E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196189">
      <w:bodyDiv w:val="1"/>
      <w:marLeft w:val="0"/>
      <w:marRight w:val="0"/>
      <w:marTop w:val="0"/>
      <w:marBottom w:val="0"/>
      <w:divBdr>
        <w:top w:val="none" w:sz="0" w:space="0" w:color="auto"/>
        <w:left w:val="none" w:sz="0" w:space="0" w:color="auto"/>
        <w:bottom w:val="none" w:sz="0" w:space="0" w:color="auto"/>
        <w:right w:val="none" w:sz="0" w:space="0" w:color="auto"/>
      </w:divBdr>
    </w:div>
    <w:div w:id="44644564">
      <w:bodyDiv w:val="1"/>
      <w:marLeft w:val="0"/>
      <w:marRight w:val="0"/>
      <w:marTop w:val="0"/>
      <w:marBottom w:val="0"/>
      <w:divBdr>
        <w:top w:val="none" w:sz="0" w:space="0" w:color="auto"/>
        <w:left w:val="none" w:sz="0" w:space="0" w:color="auto"/>
        <w:bottom w:val="none" w:sz="0" w:space="0" w:color="auto"/>
        <w:right w:val="none" w:sz="0" w:space="0" w:color="auto"/>
      </w:divBdr>
    </w:div>
    <w:div w:id="132138320">
      <w:bodyDiv w:val="1"/>
      <w:marLeft w:val="0"/>
      <w:marRight w:val="0"/>
      <w:marTop w:val="0"/>
      <w:marBottom w:val="0"/>
      <w:divBdr>
        <w:top w:val="none" w:sz="0" w:space="0" w:color="auto"/>
        <w:left w:val="none" w:sz="0" w:space="0" w:color="auto"/>
        <w:bottom w:val="none" w:sz="0" w:space="0" w:color="auto"/>
        <w:right w:val="none" w:sz="0" w:space="0" w:color="auto"/>
      </w:divBdr>
    </w:div>
    <w:div w:id="224335695">
      <w:bodyDiv w:val="1"/>
      <w:marLeft w:val="0"/>
      <w:marRight w:val="0"/>
      <w:marTop w:val="0"/>
      <w:marBottom w:val="0"/>
      <w:divBdr>
        <w:top w:val="none" w:sz="0" w:space="0" w:color="auto"/>
        <w:left w:val="none" w:sz="0" w:space="0" w:color="auto"/>
        <w:bottom w:val="none" w:sz="0" w:space="0" w:color="auto"/>
        <w:right w:val="none" w:sz="0" w:space="0" w:color="auto"/>
      </w:divBdr>
    </w:div>
    <w:div w:id="243954454">
      <w:bodyDiv w:val="1"/>
      <w:marLeft w:val="0"/>
      <w:marRight w:val="0"/>
      <w:marTop w:val="0"/>
      <w:marBottom w:val="0"/>
      <w:divBdr>
        <w:top w:val="none" w:sz="0" w:space="0" w:color="auto"/>
        <w:left w:val="none" w:sz="0" w:space="0" w:color="auto"/>
        <w:bottom w:val="none" w:sz="0" w:space="0" w:color="auto"/>
        <w:right w:val="none" w:sz="0" w:space="0" w:color="auto"/>
      </w:divBdr>
    </w:div>
    <w:div w:id="244192319">
      <w:bodyDiv w:val="1"/>
      <w:marLeft w:val="0"/>
      <w:marRight w:val="0"/>
      <w:marTop w:val="0"/>
      <w:marBottom w:val="0"/>
      <w:divBdr>
        <w:top w:val="none" w:sz="0" w:space="0" w:color="auto"/>
        <w:left w:val="none" w:sz="0" w:space="0" w:color="auto"/>
        <w:bottom w:val="none" w:sz="0" w:space="0" w:color="auto"/>
        <w:right w:val="none" w:sz="0" w:space="0" w:color="auto"/>
      </w:divBdr>
    </w:div>
    <w:div w:id="329141851">
      <w:bodyDiv w:val="1"/>
      <w:marLeft w:val="0"/>
      <w:marRight w:val="0"/>
      <w:marTop w:val="0"/>
      <w:marBottom w:val="0"/>
      <w:divBdr>
        <w:top w:val="none" w:sz="0" w:space="0" w:color="auto"/>
        <w:left w:val="none" w:sz="0" w:space="0" w:color="auto"/>
        <w:bottom w:val="none" w:sz="0" w:space="0" w:color="auto"/>
        <w:right w:val="none" w:sz="0" w:space="0" w:color="auto"/>
      </w:divBdr>
    </w:div>
    <w:div w:id="366413887">
      <w:bodyDiv w:val="1"/>
      <w:marLeft w:val="0"/>
      <w:marRight w:val="0"/>
      <w:marTop w:val="0"/>
      <w:marBottom w:val="0"/>
      <w:divBdr>
        <w:top w:val="none" w:sz="0" w:space="0" w:color="auto"/>
        <w:left w:val="none" w:sz="0" w:space="0" w:color="auto"/>
        <w:bottom w:val="none" w:sz="0" w:space="0" w:color="auto"/>
        <w:right w:val="none" w:sz="0" w:space="0" w:color="auto"/>
      </w:divBdr>
    </w:div>
    <w:div w:id="370032872">
      <w:bodyDiv w:val="1"/>
      <w:marLeft w:val="0"/>
      <w:marRight w:val="0"/>
      <w:marTop w:val="0"/>
      <w:marBottom w:val="0"/>
      <w:divBdr>
        <w:top w:val="none" w:sz="0" w:space="0" w:color="auto"/>
        <w:left w:val="none" w:sz="0" w:space="0" w:color="auto"/>
        <w:bottom w:val="none" w:sz="0" w:space="0" w:color="auto"/>
        <w:right w:val="none" w:sz="0" w:space="0" w:color="auto"/>
      </w:divBdr>
    </w:div>
    <w:div w:id="444546870">
      <w:bodyDiv w:val="1"/>
      <w:marLeft w:val="0"/>
      <w:marRight w:val="0"/>
      <w:marTop w:val="0"/>
      <w:marBottom w:val="0"/>
      <w:divBdr>
        <w:top w:val="none" w:sz="0" w:space="0" w:color="auto"/>
        <w:left w:val="none" w:sz="0" w:space="0" w:color="auto"/>
        <w:bottom w:val="none" w:sz="0" w:space="0" w:color="auto"/>
        <w:right w:val="none" w:sz="0" w:space="0" w:color="auto"/>
      </w:divBdr>
    </w:div>
    <w:div w:id="492910768">
      <w:bodyDiv w:val="1"/>
      <w:marLeft w:val="0"/>
      <w:marRight w:val="0"/>
      <w:marTop w:val="0"/>
      <w:marBottom w:val="0"/>
      <w:divBdr>
        <w:top w:val="none" w:sz="0" w:space="0" w:color="auto"/>
        <w:left w:val="none" w:sz="0" w:space="0" w:color="auto"/>
        <w:bottom w:val="none" w:sz="0" w:space="0" w:color="auto"/>
        <w:right w:val="none" w:sz="0" w:space="0" w:color="auto"/>
      </w:divBdr>
    </w:div>
    <w:div w:id="582379676">
      <w:bodyDiv w:val="1"/>
      <w:marLeft w:val="0"/>
      <w:marRight w:val="0"/>
      <w:marTop w:val="0"/>
      <w:marBottom w:val="0"/>
      <w:divBdr>
        <w:top w:val="none" w:sz="0" w:space="0" w:color="auto"/>
        <w:left w:val="none" w:sz="0" w:space="0" w:color="auto"/>
        <w:bottom w:val="none" w:sz="0" w:space="0" w:color="auto"/>
        <w:right w:val="none" w:sz="0" w:space="0" w:color="auto"/>
      </w:divBdr>
    </w:div>
    <w:div w:id="683241301">
      <w:bodyDiv w:val="1"/>
      <w:marLeft w:val="0"/>
      <w:marRight w:val="0"/>
      <w:marTop w:val="0"/>
      <w:marBottom w:val="0"/>
      <w:divBdr>
        <w:top w:val="none" w:sz="0" w:space="0" w:color="auto"/>
        <w:left w:val="none" w:sz="0" w:space="0" w:color="auto"/>
        <w:bottom w:val="none" w:sz="0" w:space="0" w:color="auto"/>
        <w:right w:val="none" w:sz="0" w:space="0" w:color="auto"/>
      </w:divBdr>
    </w:div>
    <w:div w:id="709233190">
      <w:bodyDiv w:val="1"/>
      <w:marLeft w:val="0"/>
      <w:marRight w:val="0"/>
      <w:marTop w:val="0"/>
      <w:marBottom w:val="0"/>
      <w:divBdr>
        <w:top w:val="none" w:sz="0" w:space="0" w:color="auto"/>
        <w:left w:val="none" w:sz="0" w:space="0" w:color="auto"/>
        <w:bottom w:val="none" w:sz="0" w:space="0" w:color="auto"/>
        <w:right w:val="none" w:sz="0" w:space="0" w:color="auto"/>
      </w:divBdr>
      <w:divsChild>
        <w:div w:id="1191071316">
          <w:marLeft w:val="806"/>
          <w:marRight w:val="0"/>
          <w:marTop w:val="200"/>
          <w:marBottom w:val="0"/>
          <w:divBdr>
            <w:top w:val="none" w:sz="0" w:space="0" w:color="auto"/>
            <w:left w:val="none" w:sz="0" w:space="0" w:color="auto"/>
            <w:bottom w:val="none" w:sz="0" w:space="0" w:color="auto"/>
            <w:right w:val="none" w:sz="0" w:space="0" w:color="auto"/>
          </w:divBdr>
        </w:div>
        <w:div w:id="379324311">
          <w:marLeft w:val="806"/>
          <w:marRight w:val="0"/>
          <w:marTop w:val="200"/>
          <w:marBottom w:val="0"/>
          <w:divBdr>
            <w:top w:val="none" w:sz="0" w:space="0" w:color="auto"/>
            <w:left w:val="none" w:sz="0" w:space="0" w:color="auto"/>
            <w:bottom w:val="none" w:sz="0" w:space="0" w:color="auto"/>
            <w:right w:val="none" w:sz="0" w:space="0" w:color="auto"/>
          </w:divBdr>
        </w:div>
      </w:divsChild>
    </w:div>
    <w:div w:id="750851350">
      <w:bodyDiv w:val="1"/>
      <w:marLeft w:val="0"/>
      <w:marRight w:val="0"/>
      <w:marTop w:val="0"/>
      <w:marBottom w:val="0"/>
      <w:divBdr>
        <w:top w:val="none" w:sz="0" w:space="0" w:color="auto"/>
        <w:left w:val="none" w:sz="0" w:space="0" w:color="auto"/>
        <w:bottom w:val="none" w:sz="0" w:space="0" w:color="auto"/>
        <w:right w:val="none" w:sz="0" w:space="0" w:color="auto"/>
      </w:divBdr>
    </w:div>
    <w:div w:id="753668008">
      <w:bodyDiv w:val="1"/>
      <w:marLeft w:val="0"/>
      <w:marRight w:val="0"/>
      <w:marTop w:val="0"/>
      <w:marBottom w:val="0"/>
      <w:divBdr>
        <w:top w:val="none" w:sz="0" w:space="0" w:color="auto"/>
        <w:left w:val="none" w:sz="0" w:space="0" w:color="auto"/>
        <w:bottom w:val="none" w:sz="0" w:space="0" w:color="auto"/>
        <w:right w:val="none" w:sz="0" w:space="0" w:color="auto"/>
      </w:divBdr>
    </w:div>
    <w:div w:id="760876034">
      <w:bodyDiv w:val="1"/>
      <w:marLeft w:val="0"/>
      <w:marRight w:val="0"/>
      <w:marTop w:val="0"/>
      <w:marBottom w:val="0"/>
      <w:divBdr>
        <w:top w:val="none" w:sz="0" w:space="0" w:color="auto"/>
        <w:left w:val="none" w:sz="0" w:space="0" w:color="auto"/>
        <w:bottom w:val="none" w:sz="0" w:space="0" w:color="auto"/>
        <w:right w:val="none" w:sz="0" w:space="0" w:color="auto"/>
      </w:divBdr>
    </w:div>
    <w:div w:id="793519498">
      <w:bodyDiv w:val="1"/>
      <w:marLeft w:val="0"/>
      <w:marRight w:val="0"/>
      <w:marTop w:val="0"/>
      <w:marBottom w:val="0"/>
      <w:divBdr>
        <w:top w:val="none" w:sz="0" w:space="0" w:color="auto"/>
        <w:left w:val="none" w:sz="0" w:space="0" w:color="auto"/>
        <w:bottom w:val="none" w:sz="0" w:space="0" w:color="auto"/>
        <w:right w:val="none" w:sz="0" w:space="0" w:color="auto"/>
      </w:divBdr>
    </w:div>
    <w:div w:id="799612608">
      <w:bodyDiv w:val="1"/>
      <w:marLeft w:val="0"/>
      <w:marRight w:val="0"/>
      <w:marTop w:val="0"/>
      <w:marBottom w:val="0"/>
      <w:divBdr>
        <w:top w:val="none" w:sz="0" w:space="0" w:color="auto"/>
        <w:left w:val="none" w:sz="0" w:space="0" w:color="auto"/>
        <w:bottom w:val="none" w:sz="0" w:space="0" w:color="auto"/>
        <w:right w:val="none" w:sz="0" w:space="0" w:color="auto"/>
      </w:divBdr>
    </w:div>
    <w:div w:id="801536442">
      <w:bodyDiv w:val="1"/>
      <w:marLeft w:val="0"/>
      <w:marRight w:val="0"/>
      <w:marTop w:val="0"/>
      <w:marBottom w:val="0"/>
      <w:divBdr>
        <w:top w:val="none" w:sz="0" w:space="0" w:color="auto"/>
        <w:left w:val="none" w:sz="0" w:space="0" w:color="auto"/>
        <w:bottom w:val="none" w:sz="0" w:space="0" w:color="auto"/>
        <w:right w:val="none" w:sz="0" w:space="0" w:color="auto"/>
      </w:divBdr>
    </w:div>
    <w:div w:id="860360255">
      <w:bodyDiv w:val="1"/>
      <w:marLeft w:val="0"/>
      <w:marRight w:val="0"/>
      <w:marTop w:val="0"/>
      <w:marBottom w:val="0"/>
      <w:divBdr>
        <w:top w:val="none" w:sz="0" w:space="0" w:color="auto"/>
        <w:left w:val="none" w:sz="0" w:space="0" w:color="auto"/>
        <w:bottom w:val="none" w:sz="0" w:space="0" w:color="auto"/>
        <w:right w:val="none" w:sz="0" w:space="0" w:color="auto"/>
      </w:divBdr>
    </w:div>
    <w:div w:id="901406554">
      <w:bodyDiv w:val="1"/>
      <w:marLeft w:val="0"/>
      <w:marRight w:val="0"/>
      <w:marTop w:val="0"/>
      <w:marBottom w:val="0"/>
      <w:divBdr>
        <w:top w:val="none" w:sz="0" w:space="0" w:color="auto"/>
        <w:left w:val="none" w:sz="0" w:space="0" w:color="auto"/>
        <w:bottom w:val="none" w:sz="0" w:space="0" w:color="auto"/>
        <w:right w:val="none" w:sz="0" w:space="0" w:color="auto"/>
      </w:divBdr>
    </w:div>
    <w:div w:id="903371370">
      <w:bodyDiv w:val="1"/>
      <w:marLeft w:val="0"/>
      <w:marRight w:val="0"/>
      <w:marTop w:val="0"/>
      <w:marBottom w:val="0"/>
      <w:divBdr>
        <w:top w:val="none" w:sz="0" w:space="0" w:color="auto"/>
        <w:left w:val="none" w:sz="0" w:space="0" w:color="auto"/>
        <w:bottom w:val="none" w:sz="0" w:space="0" w:color="auto"/>
        <w:right w:val="none" w:sz="0" w:space="0" w:color="auto"/>
      </w:divBdr>
    </w:div>
    <w:div w:id="922446878">
      <w:bodyDiv w:val="1"/>
      <w:marLeft w:val="0"/>
      <w:marRight w:val="0"/>
      <w:marTop w:val="0"/>
      <w:marBottom w:val="0"/>
      <w:divBdr>
        <w:top w:val="none" w:sz="0" w:space="0" w:color="auto"/>
        <w:left w:val="none" w:sz="0" w:space="0" w:color="auto"/>
        <w:bottom w:val="none" w:sz="0" w:space="0" w:color="auto"/>
        <w:right w:val="none" w:sz="0" w:space="0" w:color="auto"/>
      </w:divBdr>
    </w:div>
    <w:div w:id="926042466">
      <w:bodyDiv w:val="1"/>
      <w:marLeft w:val="0"/>
      <w:marRight w:val="0"/>
      <w:marTop w:val="0"/>
      <w:marBottom w:val="0"/>
      <w:divBdr>
        <w:top w:val="none" w:sz="0" w:space="0" w:color="auto"/>
        <w:left w:val="none" w:sz="0" w:space="0" w:color="auto"/>
        <w:bottom w:val="none" w:sz="0" w:space="0" w:color="auto"/>
        <w:right w:val="none" w:sz="0" w:space="0" w:color="auto"/>
      </w:divBdr>
      <w:divsChild>
        <w:div w:id="1460805008">
          <w:marLeft w:val="806"/>
          <w:marRight w:val="0"/>
          <w:marTop w:val="200"/>
          <w:marBottom w:val="0"/>
          <w:divBdr>
            <w:top w:val="none" w:sz="0" w:space="0" w:color="auto"/>
            <w:left w:val="none" w:sz="0" w:space="0" w:color="auto"/>
            <w:bottom w:val="none" w:sz="0" w:space="0" w:color="auto"/>
            <w:right w:val="none" w:sz="0" w:space="0" w:color="auto"/>
          </w:divBdr>
        </w:div>
        <w:div w:id="795296420">
          <w:marLeft w:val="806"/>
          <w:marRight w:val="0"/>
          <w:marTop w:val="200"/>
          <w:marBottom w:val="0"/>
          <w:divBdr>
            <w:top w:val="none" w:sz="0" w:space="0" w:color="auto"/>
            <w:left w:val="none" w:sz="0" w:space="0" w:color="auto"/>
            <w:bottom w:val="none" w:sz="0" w:space="0" w:color="auto"/>
            <w:right w:val="none" w:sz="0" w:space="0" w:color="auto"/>
          </w:divBdr>
        </w:div>
      </w:divsChild>
    </w:div>
    <w:div w:id="993945753">
      <w:bodyDiv w:val="1"/>
      <w:marLeft w:val="0"/>
      <w:marRight w:val="0"/>
      <w:marTop w:val="0"/>
      <w:marBottom w:val="0"/>
      <w:divBdr>
        <w:top w:val="none" w:sz="0" w:space="0" w:color="auto"/>
        <w:left w:val="none" w:sz="0" w:space="0" w:color="auto"/>
        <w:bottom w:val="none" w:sz="0" w:space="0" w:color="auto"/>
        <w:right w:val="none" w:sz="0" w:space="0" w:color="auto"/>
      </w:divBdr>
    </w:div>
    <w:div w:id="1005522104">
      <w:bodyDiv w:val="1"/>
      <w:marLeft w:val="0"/>
      <w:marRight w:val="0"/>
      <w:marTop w:val="0"/>
      <w:marBottom w:val="0"/>
      <w:divBdr>
        <w:top w:val="none" w:sz="0" w:space="0" w:color="auto"/>
        <w:left w:val="none" w:sz="0" w:space="0" w:color="auto"/>
        <w:bottom w:val="none" w:sz="0" w:space="0" w:color="auto"/>
        <w:right w:val="none" w:sz="0" w:space="0" w:color="auto"/>
      </w:divBdr>
    </w:div>
    <w:div w:id="1049691982">
      <w:bodyDiv w:val="1"/>
      <w:marLeft w:val="0"/>
      <w:marRight w:val="0"/>
      <w:marTop w:val="0"/>
      <w:marBottom w:val="0"/>
      <w:divBdr>
        <w:top w:val="none" w:sz="0" w:space="0" w:color="auto"/>
        <w:left w:val="none" w:sz="0" w:space="0" w:color="auto"/>
        <w:bottom w:val="none" w:sz="0" w:space="0" w:color="auto"/>
        <w:right w:val="none" w:sz="0" w:space="0" w:color="auto"/>
      </w:divBdr>
    </w:div>
    <w:div w:id="1135567873">
      <w:bodyDiv w:val="1"/>
      <w:marLeft w:val="0"/>
      <w:marRight w:val="0"/>
      <w:marTop w:val="0"/>
      <w:marBottom w:val="0"/>
      <w:divBdr>
        <w:top w:val="none" w:sz="0" w:space="0" w:color="auto"/>
        <w:left w:val="none" w:sz="0" w:space="0" w:color="auto"/>
        <w:bottom w:val="none" w:sz="0" w:space="0" w:color="auto"/>
        <w:right w:val="none" w:sz="0" w:space="0" w:color="auto"/>
      </w:divBdr>
    </w:div>
    <w:div w:id="1147547434">
      <w:bodyDiv w:val="1"/>
      <w:marLeft w:val="0"/>
      <w:marRight w:val="0"/>
      <w:marTop w:val="0"/>
      <w:marBottom w:val="0"/>
      <w:divBdr>
        <w:top w:val="none" w:sz="0" w:space="0" w:color="auto"/>
        <w:left w:val="none" w:sz="0" w:space="0" w:color="auto"/>
        <w:bottom w:val="none" w:sz="0" w:space="0" w:color="auto"/>
        <w:right w:val="none" w:sz="0" w:space="0" w:color="auto"/>
      </w:divBdr>
    </w:div>
    <w:div w:id="1161047740">
      <w:bodyDiv w:val="1"/>
      <w:marLeft w:val="0"/>
      <w:marRight w:val="0"/>
      <w:marTop w:val="0"/>
      <w:marBottom w:val="0"/>
      <w:divBdr>
        <w:top w:val="none" w:sz="0" w:space="0" w:color="auto"/>
        <w:left w:val="none" w:sz="0" w:space="0" w:color="auto"/>
        <w:bottom w:val="none" w:sz="0" w:space="0" w:color="auto"/>
        <w:right w:val="none" w:sz="0" w:space="0" w:color="auto"/>
      </w:divBdr>
    </w:div>
    <w:div w:id="1166556821">
      <w:bodyDiv w:val="1"/>
      <w:marLeft w:val="0"/>
      <w:marRight w:val="0"/>
      <w:marTop w:val="0"/>
      <w:marBottom w:val="0"/>
      <w:divBdr>
        <w:top w:val="none" w:sz="0" w:space="0" w:color="auto"/>
        <w:left w:val="none" w:sz="0" w:space="0" w:color="auto"/>
        <w:bottom w:val="none" w:sz="0" w:space="0" w:color="auto"/>
        <w:right w:val="none" w:sz="0" w:space="0" w:color="auto"/>
      </w:divBdr>
    </w:div>
    <w:div w:id="1313367197">
      <w:bodyDiv w:val="1"/>
      <w:marLeft w:val="0"/>
      <w:marRight w:val="0"/>
      <w:marTop w:val="0"/>
      <w:marBottom w:val="0"/>
      <w:divBdr>
        <w:top w:val="none" w:sz="0" w:space="0" w:color="auto"/>
        <w:left w:val="none" w:sz="0" w:space="0" w:color="auto"/>
        <w:bottom w:val="none" w:sz="0" w:space="0" w:color="auto"/>
        <w:right w:val="none" w:sz="0" w:space="0" w:color="auto"/>
      </w:divBdr>
    </w:div>
    <w:div w:id="1322197934">
      <w:bodyDiv w:val="1"/>
      <w:marLeft w:val="0"/>
      <w:marRight w:val="0"/>
      <w:marTop w:val="0"/>
      <w:marBottom w:val="0"/>
      <w:divBdr>
        <w:top w:val="none" w:sz="0" w:space="0" w:color="auto"/>
        <w:left w:val="none" w:sz="0" w:space="0" w:color="auto"/>
        <w:bottom w:val="none" w:sz="0" w:space="0" w:color="auto"/>
        <w:right w:val="none" w:sz="0" w:space="0" w:color="auto"/>
      </w:divBdr>
    </w:div>
    <w:div w:id="1323663205">
      <w:bodyDiv w:val="1"/>
      <w:marLeft w:val="0"/>
      <w:marRight w:val="0"/>
      <w:marTop w:val="0"/>
      <w:marBottom w:val="0"/>
      <w:divBdr>
        <w:top w:val="none" w:sz="0" w:space="0" w:color="auto"/>
        <w:left w:val="none" w:sz="0" w:space="0" w:color="auto"/>
        <w:bottom w:val="none" w:sz="0" w:space="0" w:color="auto"/>
        <w:right w:val="none" w:sz="0" w:space="0" w:color="auto"/>
      </w:divBdr>
    </w:div>
    <w:div w:id="1469587542">
      <w:bodyDiv w:val="1"/>
      <w:marLeft w:val="0"/>
      <w:marRight w:val="0"/>
      <w:marTop w:val="0"/>
      <w:marBottom w:val="0"/>
      <w:divBdr>
        <w:top w:val="none" w:sz="0" w:space="0" w:color="auto"/>
        <w:left w:val="none" w:sz="0" w:space="0" w:color="auto"/>
        <w:bottom w:val="none" w:sz="0" w:space="0" w:color="auto"/>
        <w:right w:val="none" w:sz="0" w:space="0" w:color="auto"/>
      </w:divBdr>
    </w:div>
    <w:div w:id="1557231669">
      <w:bodyDiv w:val="1"/>
      <w:marLeft w:val="0"/>
      <w:marRight w:val="0"/>
      <w:marTop w:val="0"/>
      <w:marBottom w:val="0"/>
      <w:divBdr>
        <w:top w:val="none" w:sz="0" w:space="0" w:color="auto"/>
        <w:left w:val="none" w:sz="0" w:space="0" w:color="auto"/>
        <w:bottom w:val="none" w:sz="0" w:space="0" w:color="auto"/>
        <w:right w:val="none" w:sz="0" w:space="0" w:color="auto"/>
      </w:divBdr>
    </w:div>
    <w:div w:id="1600068909">
      <w:bodyDiv w:val="1"/>
      <w:marLeft w:val="0"/>
      <w:marRight w:val="0"/>
      <w:marTop w:val="0"/>
      <w:marBottom w:val="0"/>
      <w:divBdr>
        <w:top w:val="none" w:sz="0" w:space="0" w:color="auto"/>
        <w:left w:val="none" w:sz="0" w:space="0" w:color="auto"/>
        <w:bottom w:val="none" w:sz="0" w:space="0" w:color="auto"/>
        <w:right w:val="none" w:sz="0" w:space="0" w:color="auto"/>
      </w:divBdr>
    </w:div>
    <w:div w:id="1661153054">
      <w:bodyDiv w:val="1"/>
      <w:marLeft w:val="0"/>
      <w:marRight w:val="0"/>
      <w:marTop w:val="0"/>
      <w:marBottom w:val="0"/>
      <w:divBdr>
        <w:top w:val="none" w:sz="0" w:space="0" w:color="auto"/>
        <w:left w:val="none" w:sz="0" w:space="0" w:color="auto"/>
        <w:bottom w:val="none" w:sz="0" w:space="0" w:color="auto"/>
        <w:right w:val="none" w:sz="0" w:space="0" w:color="auto"/>
      </w:divBdr>
    </w:div>
    <w:div w:id="1746606444">
      <w:bodyDiv w:val="1"/>
      <w:marLeft w:val="0"/>
      <w:marRight w:val="0"/>
      <w:marTop w:val="0"/>
      <w:marBottom w:val="0"/>
      <w:divBdr>
        <w:top w:val="none" w:sz="0" w:space="0" w:color="auto"/>
        <w:left w:val="none" w:sz="0" w:space="0" w:color="auto"/>
        <w:bottom w:val="none" w:sz="0" w:space="0" w:color="auto"/>
        <w:right w:val="none" w:sz="0" w:space="0" w:color="auto"/>
      </w:divBdr>
    </w:div>
    <w:div w:id="1806584677">
      <w:bodyDiv w:val="1"/>
      <w:marLeft w:val="0"/>
      <w:marRight w:val="0"/>
      <w:marTop w:val="0"/>
      <w:marBottom w:val="0"/>
      <w:divBdr>
        <w:top w:val="none" w:sz="0" w:space="0" w:color="auto"/>
        <w:left w:val="none" w:sz="0" w:space="0" w:color="auto"/>
        <w:bottom w:val="none" w:sz="0" w:space="0" w:color="auto"/>
        <w:right w:val="none" w:sz="0" w:space="0" w:color="auto"/>
      </w:divBdr>
    </w:div>
    <w:div w:id="1808010705">
      <w:bodyDiv w:val="1"/>
      <w:marLeft w:val="0"/>
      <w:marRight w:val="0"/>
      <w:marTop w:val="0"/>
      <w:marBottom w:val="0"/>
      <w:divBdr>
        <w:top w:val="none" w:sz="0" w:space="0" w:color="auto"/>
        <w:left w:val="none" w:sz="0" w:space="0" w:color="auto"/>
        <w:bottom w:val="none" w:sz="0" w:space="0" w:color="auto"/>
        <w:right w:val="none" w:sz="0" w:space="0" w:color="auto"/>
      </w:divBdr>
    </w:div>
    <w:div w:id="1811241371">
      <w:bodyDiv w:val="1"/>
      <w:marLeft w:val="0"/>
      <w:marRight w:val="0"/>
      <w:marTop w:val="0"/>
      <w:marBottom w:val="0"/>
      <w:divBdr>
        <w:top w:val="none" w:sz="0" w:space="0" w:color="auto"/>
        <w:left w:val="none" w:sz="0" w:space="0" w:color="auto"/>
        <w:bottom w:val="none" w:sz="0" w:space="0" w:color="auto"/>
        <w:right w:val="none" w:sz="0" w:space="0" w:color="auto"/>
      </w:divBdr>
    </w:div>
    <w:div w:id="1833568199">
      <w:bodyDiv w:val="1"/>
      <w:marLeft w:val="0"/>
      <w:marRight w:val="0"/>
      <w:marTop w:val="0"/>
      <w:marBottom w:val="0"/>
      <w:divBdr>
        <w:top w:val="none" w:sz="0" w:space="0" w:color="auto"/>
        <w:left w:val="none" w:sz="0" w:space="0" w:color="auto"/>
        <w:bottom w:val="none" w:sz="0" w:space="0" w:color="auto"/>
        <w:right w:val="none" w:sz="0" w:space="0" w:color="auto"/>
      </w:divBdr>
    </w:div>
    <w:div w:id="1926180025">
      <w:bodyDiv w:val="1"/>
      <w:marLeft w:val="0"/>
      <w:marRight w:val="0"/>
      <w:marTop w:val="0"/>
      <w:marBottom w:val="0"/>
      <w:divBdr>
        <w:top w:val="none" w:sz="0" w:space="0" w:color="auto"/>
        <w:left w:val="none" w:sz="0" w:space="0" w:color="auto"/>
        <w:bottom w:val="none" w:sz="0" w:space="0" w:color="auto"/>
        <w:right w:val="none" w:sz="0" w:space="0" w:color="auto"/>
      </w:divBdr>
    </w:div>
    <w:div w:id="1933278674">
      <w:bodyDiv w:val="1"/>
      <w:marLeft w:val="0"/>
      <w:marRight w:val="0"/>
      <w:marTop w:val="0"/>
      <w:marBottom w:val="0"/>
      <w:divBdr>
        <w:top w:val="none" w:sz="0" w:space="0" w:color="auto"/>
        <w:left w:val="none" w:sz="0" w:space="0" w:color="auto"/>
        <w:bottom w:val="none" w:sz="0" w:space="0" w:color="auto"/>
        <w:right w:val="none" w:sz="0" w:space="0" w:color="auto"/>
      </w:divBdr>
    </w:div>
    <w:div w:id="1983073365">
      <w:bodyDiv w:val="1"/>
      <w:marLeft w:val="0"/>
      <w:marRight w:val="0"/>
      <w:marTop w:val="0"/>
      <w:marBottom w:val="0"/>
      <w:divBdr>
        <w:top w:val="none" w:sz="0" w:space="0" w:color="auto"/>
        <w:left w:val="none" w:sz="0" w:space="0" w:color="auto"/>
        <w:bottom w:val="none" w:sz="0" w:space="0" w:color="auto"/>
        <w:right w:val="none" w:sz="0" w:space="0" w:color="auto"/>
      </w:divBdr>
    </w:div>
    <w:div w:id="2002075223">
      <w:bodyDiv w:val="1"/>
      <w:marLeft w:val="0"/>
      <w:marRight w:val="0"/>
      <w:marTop w:val="0"/>
      <w:marBottom w:val="0"/>
      <w:divBdr>
        <w:top w:val="none" w:sz="0" w:space="0" w:color="auto"/>
        <w:left w:val="none" w:sz="0" w:space="0" w:color="auto"/>
        <w:bottom w:val="none" w:sz="0" w:space="0" w:color="auto"/>
        <w:right w:val="none" w:sz="0" w:space="0" w:color="auto"/>
      </w:divBdr>
    </w:div>
    <w:div w:id="2017878091">
      <w:bodyDiv w:val="1"/>
      <w:marLeft w:val="0"/>
      <w:marRight w:val="0"/>
      <w:marTop w:val="0"/>
      <w:marBottom w:val="0"/>
      <w:divBdr>
        <w:top w:val="none" w:sz="0" w:space="0" w:color="auto"/>
        <w:left w:val="none" w:sz="0" w:space="0" w:color="auto"/>
        <w:bottom w:val="none" w:sz="0" w:space="0" w:color="auto"/>
        <w:right w:val="none" w:sz="0" w:space="0" w:color="auto"/>
      </w:divBdr>
    </w:div>
    <w:div w:id="2018999245">
      <w:bodyDiv w:val="1"/>
      <w:marLeft w:val="0"/>
      <w:marRight w:val="0"/>
      <w:marTop w:val="0"/>
      <w:marBottom w:val="0"/>
      <w:divBdr>
        <w:top w:val="none" w:sz="0" w:space="0" w:color="auto"/>
        <w:left w:val="none" w:sz="0" w:space="0" w:color="auto"/>
        <w:bottom w:val="none" w:sz="0" w:space="0" w:color="auto"/>
        <w:right w:val="none" w:sz="0" w:space="0" w:color="auto"/>
      </w:divBdr>
    </w:div>
    <w:div w:id="2040547167">
      <w:bodyDiv w:val="1"/>
      <w:marLeft w:val="0"/>
      <w:marRight w:val="0"/>
      <w:marTop w:val="0"/>
      <w:marBottom w:val="0"/>
      <w:divBdr>
        <w:top w:val="none" w:sz="0" w:space="0" w:color="auto"/>
        <w:left w:val="none" w:sz="0" w:space="0" w:color="auto"/>
        <w:bottom w:val="none" w:sz="0" w:space="0" w:color="auto"/>
        <w:right w:val="none" w:sz="0" w:space="0" w:color="auto"/>
      </w:divBdr>
    </w:div>
    <w:div w:id="2059233577">
      <w:bodyDiv w:val="1"/>
      <w:marLeft w:val="0"/>
      <w:marRight w:val="0"/>
      <w:marTop w:val="0"/>
      <w:marBottom w:val="0"/>
      <w:divBdr>
        <w:top w:val="none" w:sz="0" w:space="0" w:color="auto"/>
        <w:left w:val="none" w:sz="0" w:space="0" w:color="auto"/>
        <w:bottom w:val="none" w:sz="0" w:space="0" w:color="auto"/>
        <w:right w:val="none" w:sz="0" w:space="0" w:color="auto"/>
      </w:divBdr>
    </w:div>
    <w:div w:id="2059278790">
      <w:bodyDiv w:val="1"/>
      <w:marLeft w:val="0"/>
      <w:marRight w:val="0"/>
      <w:marTop w:val="0"/>
      <w:marBottom w:val="0"/>
      <w:divBdr>
        <w:top w:val="none" w:sz="0" w:space="0" w:color="auto"/>
        <w:left w:val="none" w:sz="0" w:space="0" w:color="auto"/>
        <w:bottom w:val="none" w:sz="0" w:space="0" w:color="auto"/>
        <w:right w:val="none" w:sz="0" w:space="0" w:color="auto"/>
      </w:divBdr>
    </w:div>
    <w:div w:id="2106873819">
      <w:bodyDiv w:val="1"/>
      <w:marLeft w:val="0"/>
      <w:marRight w:val="0"/>
      <w:marTop w:val="0"/>
      <w:marBottom w:val="0"/>
      <w:divBdr>
        <w:top w:val="none" w:sz="0" w:space="0" w:color="auto"/>
        <w:left w:val="none" w:sz="0" w:space="0" w:color="auto"/>
        <w:bottom w:val="none" w:sz="0" w:space="0" w:color="auto"/>
        <w:right w:val="none" w:sz="0" w:space="0" w:color="auto"/>
      </w:divBdr>
    </w:div>
    <w:div w:id="214010011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image" Target="media/image7.png"/><Relationship Id="rId26" Type="http://schemas.openxmlformats.org/officeDocument/2006/relationships/image" Target="media/image13.png"/><Relationship Id="rId39"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chart" Target="charts/chart3.xml"/><Relationship Id="rId34" Type="http://schemas.openxmlformats.org/officeDocument/2006/relationships/image" Target="media/image21.pn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image" Target="media/image12.jpeg"/><Relationship Id="rId33" Type="http://schemas.openxmlformats.org/officeDocument/2006/relationships/image" Target="media/image20.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image" Target="media/image11.jpeg"/><Relationship Id="rId32" Type="http://schemas.openxmlformats.org/officeDocument/2006/relationships/image" Target="media/image19.png"/><Relationship Id="rId37"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chart" Target="charts/chart4.xml"/><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image" Target="media/image1.png"/><Relationship Id="rId19" Type="http://schemas.openxmlformats.org/officeDocument/2006/relationships/image" Target="media/image8.png"/><Relationship Id="rId31" Type="http://schemas.openxmlformats.org/officeDocument/2006/relationships/image" Target="media/image18.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image" Target="media/image10.jp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Yes </c:v>
                </c:pt>
              </c:strCache>
            </c:strRef>
          </c:tx>
          <c:spPr>
            <a:solidFill>
              <a:schemeClr val="accent1"/>
            </a:solidFill>
            <a:ln>
              <a:noFill/>
            </a:ln>
            <a:effectLst/>
          </c:spPr>
          <c:invertIfNegative val="0"/>
          <c:dLbls>
            <c:dLbl>
              <c:idx val="1"/>
              <c:tx>
                <c:rich>
                  <a:bodyPr/>
                  <a:lstStyle/>
                  <a:p>
                    <a:r>
                      <a:rPr lang="en-US"/>
                      <a:t>24.3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A7C6-4A85-BC00-73FD8310E2A3}"/>
                </c:ext>
              </c:extLst>
            </c:dLbl>
            <c:spPr>
              <a:noFill/>
              <a:ln>
                <a:noFill/>
              </a:ln>
              <a:effectLst/>
            </c:spPr>
            <c:txPr>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Pigs</c:v>
                </c:pt>
                <c:pt idx="1">
                  <c:v>Cattle</c:v>
                </c:pt>
                <c:pt idx="2">
                  <c:v>Sheep </c:v>
                </c:pt>
                <c:pt idx="3">
                  <c:v>Goat</c:v>
                </c:pt>
                <c:pt idx="4">
                  <c:v>Turkey </c:v>
                </c:pt>
                <c:pt idx="5">
                  <c:v>Ducks </c:v>
                </c:pt>
                <c:pt idx="6">
                  <c:v>Guineafowls</c:v>
                </c:pt>
                <c:pt idx="7">
                  <c:v>Chicken </c:v>
                </c:pt>
              </c:strCache>
            </c:strRef>
          </c:cat>
          <c:val>
            <c:numRef>
              <c:f>Sheet1!$B$2:$B$9</c:f>
              <c:numCache>
                <c:formatCode>General</c:formatCode>
                <c:ptCount val="8"/>
                <c:pt idx="0">
                  <c:v>30</c:v>
                </c:pt>
                <c:pt idx="1">
                  <c:v>24.3</c:v>
                </c:pt>
                <c:pt idx="2">
                  <c:v>73.3</c:v>
                </c:pt>
                <c:pt idx="3">
                  <c:v>25.7</c:v>
                </c:pt>
                <c:pt idx="4">
                  <c:v>21</c:v>
                </c:pt>
                <c:pt idx="5">
                  <c:v>32</c:v>
                </c:pt>
                <c:pt idx="6">
                  <c:v>48</c:v>
                </c:pt>
                <c:pt idx="7">
                  <c:v>80</c:v>
                </c:pt>
              </c:numCache>
            </c:numRef>
          </c:val>
          <c:extLst>
            <c:ext xmlns:c16="http://schemas.microsoft.com/office/drawing/2014/chart" uri="{C3380CC4-5D6E-409C-BE32-E72D297353CC}">
              <c16:uniqueId val="{00000001-A7C6-4A85-BC00-73FD8310E2A3}"/>
            </c:ext>
          </c:extLst>
        </c:ser>
        <c:ser>
          <c:idx val="1"/>
          <c:order val="1"/>
          <c:tx>
            <c:strRef>
              <c:f>Sheet1!$C$1</c:f>
              <c:strCache>
                <c:ptCount val="1"/>
                <c:pt idx="0">
                  <c:v>No</c:v>
                </c:pt>
              </c:strCache>
            </c:strRef>
          </c:tx>
          <c:spPr>
            <a:solidFill>
              <a:schemeClr val="accent2"/>
            </a:solidFill>
            <a:ln>
              <a:noFill/>
            </a:ln>
            <a:effectLst/>
          </c:spPr>
          <c:invertIfNegative val="0"/>
          <c:dLbls>
            <c:dLbl>
              <c:idx val="1"/>
              <c:tx>
                <c:rich>
                  <a:bodyPr/>
                  <a:lstStyle/>
                  <a:p>
                    <a:r>
                      <a:rPr lang="en-US"/>
                      <a:t>74.7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A7C6-4A85-BC00-73FD8310E2A3}"/>
                </c:ext>
              </c:extLst>
            </c:dLbl>
            <c:spPr>
              <a:noFill/>
              <a:ln>
                <a:noFill/>
              </a:ln>
              <a:effectLst/>
            </c:spPr>
            <c:txPr>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Pigs</c:v>
                </c:pt>
                <c:pt idx="1">
                  <c:v>Cattle</c:v>
                </c:pt>
                <c:pt idx="2">
                  <c:v>Sheep </c:v>
                </c:pt>
                <c:pt idx="3">
                  <c:v>Goat</c:v>
                </c:pt>
                <c:pt idx="4">
                  <c:v>Turkey </c:v>
                </c:pt>
                <c:pt idx="5">
                  <c:v>Ducks </c:v>
                </c:pt>
                <c:pt idx="6">
                  <c:v>Guineafowls</c:v>
                </c:pt>
                <c:pt idx="7">
                  <c:v>Chicken </c:v>
                </c:pt>
              </c:strCache>
            </c:strRef>
          </c:cat>
          <c:val>
            <c:numRef>
              <c:f>Sheet1!$C$2:$C$9</c:f>
              <c:numCache>
                <c:formatCode>General</c:formatCode>
                <c:ptCount val="8"/>
                <c:pt idx="0">
                  <c:v>70</c:v>
                </c:pt>
                <c:pt idx="1">
                  <c:v>75.7</c:v>
                </c:pt>
                <c:pt idx="2">
                  <c:v>26.7</c:v>
                </c:pt>
                <c:pt idx="3">
                  <c:v>74.3</c:v>
                </c:pt>
                <c:pt idx="4">
                  <c:v>79</c:v>
                </c:pt>
                <c:pt idx="5">
                  <c:v>68</c:v>
                </c:pt>
                <c:pt idx="6">
                  <c:v>52</c:v>
                </c:pt>
                <c:pt idx="7">
                  <c:v>20</c:v>
                </c:pt>
              </c:numCache>
            </c:numRef>
          </c:val>
          <c:extLst>
            <c:ext xmlns:c16="http://schemas.microsoft.com/office/drawing/2014/chart" uri="{C3380CC4-5D6E-409C-BE32-E72D297353CC}">
              <c16:uniqueId val="{00000003-A7C6-4A85-BC00-73FD8310E2A3}"/>
            </c:ext>
          </c:extLst>
        </c:ser>
        <c:dLbls>
          <c:showLegendKey val="0"/>
          <c:showVal val="0"/>
          <c:showCatName val="0"/>
          <c:showSerName val="0"/>
          <c:showPercent val="0"/>
          <c:showBubbleSize val="0"/>
        </c:dLbls>
        <c:gapWidth val="219"/>
        <c:axId val="44087168"/>
        <c:axId val="152154112"/>
      </c:barChart>
      <c:catAx>
        <c:axId val="44087168"/>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r>
                  <a:rPr lang="en-GB"/>
                  <a:t>Type of Animals Reared </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crossAx val="152154112"/>
        <c:crosses val="autoZero"/>
        <c:auto val="1"/>
        <c:lblAlgn val="ctr"/>
        <c:lblOffset val="100"/>
        <c:noMultiLvlLbl val="0"/>
      </c:catAx>
      <c:valAx>
        <c:axId val="152154112"/>
        <c:scaling>
          <c:orientation val="minMax"/>
        </c:scaling>
        <c:delete val="0"/>
        <c:axPos val="l"/>
        <c:majorGridlines>
          <c:spPr>
            <a:ln w="9525" cap="flat" cmpd="sng" algn="ctr">
              <a:solidFill>
                <a:schemeClr val="tx1">
                  <a:lumMod val="15000"/>
                  <a:lumOff val="85000"/>
                </a:schemeClr>
              </a:solidFill>
              <a:prstDash val="solid"/>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r>
                  <a:rPr lang="en-GB"/>
                  <a:t>Percentage </a:t>
                </a:r>
              </a:p>
            </c:rich>
          </c:tx>
          <c:overlay val="0"/>
          <c:spPr>
            <a:noFill/>
            <a:ln>
              <a:noFill/>
            </a:ln>
            <a:effectLst/>
          </c:spPr>
        </c:title>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crossAx val="44087168"/>
        <c:crosses val="autoZero"/>
        <c:crossBetween val="between"/>
      </c:valAx>
      <c:spPr>
        <a:noFill/>
        <a:ln>
          <a:noFill/>
        </a:ln>
        <a:effectLst/>
      </c:spPr>
    </c:plotArea>
    <c:legend>
      <c:legendPos val="b"/>
      <c:layout>
        <c:manualLayout>
          <c:xMode val="edge"/>
          <c:yMode val="edge"/>
          <c:x val="0.40930044640167101"/>
          <c:y val="0.92289015597188295"/>
          <c:w val="0.272797107908681"/>
          <c:h val="5.0486409962477802E-2"/>
        </c:manualLayout>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legend>
    <c:plotVisOnly val="1"/>
    <c:dispBlanksAs val="gap"/>
    <c:showDLblsOverMax val="0"/>
  </c:chart>
  <c:spPr>
    <a:solidFill>
      <a:schemeClr val="bg1"/>
    </a:solidFill>
    <a:ln w="19050" cap="flat" cmpd="sng" algn="ctr">
      <a:solidFill>
        <a:schemeClr val="tx1">
          <a:lumMod val="15000"/>
          <a:lumOff val="85000"/>
        </a:schemeClr>
      </a:solidFill>
      <a:prstDash val="solid"/>
      <a:round/>
    </a:ln>
    <a:effectLst/>
  </c:spPr>
  <c:txPr>
    <a:bodyPr/>
    <a:lstStyle/>
    <a:p>
      <a:pPr>
        <a:defRPr lang="en-US">
          <a:latin typeface="Times New Roman" panose="02020603050405020304" charset="0"/>
          <a:cs typeface="Times New Roman" panose="02020603050405020304" charset="0"/>
        </a:defRPr>
      </a:pPr>
      <a:endParaRPr lang="en-GH"/>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Yes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Sheet1!$A$2:$A$12</c:f>
              <c:strCache>
                <c:ptCount val="11"/>
                <c:pt idx="0">
                  <c:v>Pumpkin Leave </c:v>
                </c:pt>
                <c:pt idx="1">
                  <c:v>Cabbage </c:v>
                </c:pt>
                <c:pt idx="2">
                  <c:v>Pepper</c:v>
                </c:pt>
                <c:pt idx="3">
                  <c:v>Tomatoes </c:v>
                </c:pt>
                <c:pt idx="4">
                  <c:v>Okra </c:v>
                </c:pt>
                <c:pt idx="5">
                  <c:v>Cassava</c:v>
                </c:pt>
                <c:pt idx="6">
                  <c:v>Yam </c:v>
                </c:pt>
                <c:pt idx="7">
                  <c:v>Grounddnuts </c:v>
                </c:pt>
                <c:pt idx="8">
                  <c:v>Beans </c:v>
                </c:pt>
                <c:pt idx="9">
                  <c:v>Millets </c:v>
                </c:pt>
                <c:pt idx="10">
                  <c:v>Maize</c:v>
                </c:pt>
              </c:strCache>
            </c:strRef>
          </c:cat>
          <c:val>
            <c:numRef>
              <c:f>Sheet1!$B$2:$B$12</c:f>
              <c:numCache>
                <c:formatCode>General</c:formatCode>
                <c:ptCount val="11"/>
                <c:pt idx="0">
                  <c:v>68.099999999999994</c:v>
                </c:pt>
                <c:pt idx="1">
                  <c:v>86.4</c:v>
                </c:pt>
                <c:pt idx="2">
                  <c:v>50.8</c:v>
                </c:pt>
                <c:pt idx="3">
                  <c:v>54.5</c:v>
                </c:pt>
                <c:pt idx="4">
                  <c:v>62.8</c:v>
                </c:pt>
                <c:pt idx="5">
                  <c:v>54.5</c:v>
                </c:pt>
                <c:pt idx="6">
                  <c:v>74.900000000000006</c:v>
                </c:pt>
                <c:pt idx="7">
                  <c:v>13.6</c:v>
                </c:pt>
                <c:pt idx="8">
                  <c:v>78</c:v>
                </c:pt>
                <c:pt idx="9">
                  <c:v>12.6</c:v>
                </c:pt>
                <c:pt idx="10">
                  <c:v>80.099999999999994</c:v>
                </c:pt>
              </c:numCache>
            </c:numRef>
          </c:val>
          <c:extLst>
            <c:ext xmlns:c16="http://schemas.microsoft.com/office/drawing/2014/chart" uri="{C3380CC4-5D6E-409C-BE32-E72D297353CC}">
              <c16:uniqueId val="{00000000-04B6-4138-96E4-59A733C2539C}"/>
            </c:ext>
          </c:extLst>
        </c:ser>
        <c:ser>
          <c:idx val="1"/>
          <c:order val="1"/>
          <c:tx>
            <c:strRef>
              <c:f>Sheet1!$C$1</c:f>
              <c:strCache>
                <c:ptCount val="1"/>
                <c:pt idx="0">
                  <c:v>No </c:v>
                </c:pt>
              </c:strCache>
            </c:strRef>
          </c:tx>
          <c:spPr>
            <a:solidFill>
              <a:schemeClr val="accent2"/>
            </a:solidFill>
            <a:ln>
              <a:noFill/>
            </a:ln>
            <a:effectLst/>
          </c:spPr>
          <c:invertIfNegative val="0"/>
          <c:dLbls>
            <c:dLbl>
              <c:idx val="2"/>
              <c:layout>
                <c:manualLayout>
                  <c:x val="2.3474178403755401E-3"/>
                  <c:y val="1.4832514747537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4B6-4138-96E4-59A733C2539C}"/>
                </c:ext>
              </c:extLst>
            </c:dLbl>
            <c:spPr>
              <a:noFill/>
              <a:ln>
                <a:noFill/>
              </a:ln>
              <a:effectLst/>
            </c:spPr>
            <c:txPr>
              <a:bodyPr rot="0" spcFirstLastPara="1"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Sheet1!$A$2:$A$12</c:f>
              <c:strCache>
                <c:ptCount val="11"/>
                <c:pt idx="0">
                  <c:v>Pumpkin Leave </c:v>
                </c:pt>
                <c:pt idx="1">
                  <c:v>Cabbage </c:v>
                </c:pt>
                <c:pt idx="2">
                  <c:v>Pepper</c:v>
                </c:pt>
                <c:pt idx="3">
                  <c:v>Tomatoes </c:v>
                </c:pt>
                <c:pt idx="4">
                  <c:v>Okra </c:v>
                </c:pt>
                <c:pt idx="5">
                  <c:v>Cassava</c:v>
                </c:pt>
                <c:pt idx="6">
                  <c:v>Yam </c:v>
                </c:pt>
                <c:pt idx="7">
                  <c:v>Grounddnuts </c:v>
                </c:pt>
                <c:pt idx="8">
                  <c:v>Beans </c:v>
                </c:pt>
                <c:pt idx="9">
                  <c:v>Millets </c:v>
                </c:pt>
                <c:pt idx="10">
                  <c:v>Maize</c:v>
                </c:pt>
              </c:strCache>
            </c:strRef>
          </c:cat>
          <c:val>
            <c:numRef>
              <c:f>Sheet1!$C$2:$C$12</c:f>
              <c:numCache>
                <c:formatCode>General</c:formatCode>
                <c:ptCount val="11"/>
                <c:pt idx="0">
                  <c:v>31.9</c:v>
                </c:pt>
                <c:pt idx="1">
                  <c:v>13.8</c:v>
                </c:pt>
                <c:pt idx="2">
                  <c:v>49.2</c:v>
                </c:pt>
                <c:pt idx="3">
                  <c:v>45.5</c:v>
                </c:pt>
                <c:pt idx="4">
                  <c:v>37.200000000000003</c:v>
                </c:pt>
                <c:pt idx="5">
                  <c:v>45.5</c:v>
                </c:pt>
                <c:pt idx="6">
                  <c:v>25.1</c:v>
                </c:pt>
                <c:pt idx="7">
                  <c:v>86.4</c:v>
                </c:pt>
                <c:pt idx="8">
                  <c:v>22</c:v>
                </c:pt>
                <c:pt idx="9">
                  <c:v>87.4</c:v>
                </c:pt>
                <c:pt idx="10">
                  <c:v>19.899999999999999</c:v>
                </c:pt>
              </c:numCache>
            </c:numRef>
          </c:val>
          <c:extLst>
            <c:ext xmlns:c16="http://schemas.microsoft.com/office/drawing/2014/chart" uri="{C3380CC4-5D6E-409C-BE32-E72D297353CC}">
              <c16:uniqueId val="{00000002-04B6-4138-96E4-59A733C2539C}"/>
            </c:ext>
          </c:extLst>
        </c:ser>
        <c:dLbls>
          <c:showLegendKey val="0"/>
          <c:showVal val="1"/>
          <c:showCatName val="0"/>
          <c:showSerName val="0"/>
          <c:showPercent val="0"/>
          <c:showBubbleSize val="0"/>
        </c:dLbls>
        <c:gapWidth val="219"/>
        <c:axId val="154282240"/>
        <c:axId val="154284416"/>
      </c:barChart>
      <c:catAx>
        <c:axId val="154282240"/>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r>
                  <a:rPr lang="en-GB"/>
                  <a:t>Crops Grown</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crossAx val="154284416"/>
        <c:crosses val="autoZero"/>
        <c:auto val="1"/>
        <c:lblAlgn val="ctr"/>
        <c:lblOffset val="100"/>
        <c:noMultiLvlLbl val="0"/>
      </c:catAx>
      <c:valAx>
        <c:axId val="154284416"/>
        <c:scaling>
          <c:orientation val="minMax"/>
        </c:scaling>
        <c:delete val="0"/>
        <c:axPos val="l"/>
        <c:majorGridlines>
          <c:spPr>
            <a:ln w="9525" cap="flat" cmpd="sng" algn="ctr">
              <a:solidFill>
                <a:schemeClr val="tx1">
                  <a:lumMod val="15000"/>
                  <a:lumOff val="85000"/>
                </a:schemeClr>
              </a:solidFill>
              <a:prstDash val="solid"/>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r>
                  <a:rPr lang="en-GB"/>
                  <a:t>Percccentage </a:t>
                </a:r>
              </a:p>
            </c:rich>
          </c:tx>
          <c:overlay val="0"/>
          <c:spPr>
            <a:noFill/>
            <a:ln>
              <a:noFill/>
            </a:ln>
            <a:effectLst/>
          </c:spPr>
        </c:title>
        <c:numFmt formatCode="General"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crossAx val="154282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legend>
    <c:plotVisOnly val="1"/>
    <c:dispBlanksAs val="gap"/>
    <c:showDLblsOverMax val="0"/>
  </c:chart>
  <c:spPr>
    <a:solidFill>
      <a:schemeClr val="bg1"/>
    </a:solidFill>
    <a:ln w="28575" cap="flat" cmpd="sng" algn="ctr">
      <a:solidFill>
        <a:schemeClr val="tx1">
          <a:lumMod val="15000"/>
          <a:lumOff val="85000"/>
        </a:schemeClr>
      </a:solidFill>
      <a:prstDash val="solid"/>
      <a:round/>
    </a:ln>
    <a:effectLst/>
  </c:spPr>
  <c:txPr>
    <a:bodyPr/>
    <a:lstStyle/>
    <a:p>
      <a:pPr>
        <a:defRPr lang="en-US">
          <a:latin typeface="Times New Roman" panose="02020603050405020304" charset="0"/>
          <a:cs typeface="Times New Roman" panose="02020603050405020304" charset="0"/>
        </a:defRPr>
      </a:pPr>
      <a:endParaRPr lang="en-GH"/>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Yes </c:v>
                </c:pt>
              </c:strCache>
            </c:strRef>
          </c:tx>
          <c:spPr>
            <a:solidFill>
              <a:schemeClr val="accent1"/>
            </a:solidFill>
            <a:ln w="28575">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1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Mulching</c:v>
                </c:pt>
                <c:pt idx="1">
                  <c:v>Intercropping </c:v>
                </c:pt>
                <c:pt idx="2">
                  <c:v>Cover cropping </c:v>
                </c:pt>
                <c:pt idx="3">
                  <c:v>Ridging </c:v>
                </c:pt>
              </c:strCache>
            </c:strRef>
          </c:cat>
          <c:val>
            <c:numRef>
              <c:f>Sheet1!$B$2:$B$5</c:f>
              <c:numCache>
                <c:formatCode>General</c:formatCode>
                <c:ptCount val="4"/>
                <c:pt idx="0">
                  <c:v>77.599999999999994</c:v>
                </c:pt>
                <c:pt idx="1">
                  <c:v>16.2</c:v>
                </c:pt>
                <c:pt idx="2">
                  <c:v>40.5</c:v>
                </c:pt>
                <c:pt idx="3">
                  <c:v>91.6</c:v>
                </c:pt>
              </c:numCache>
            </c:numRef>
          </c:val>
          <c:extLst>
            <c:ext xmlns:c16="http://schemas.microsoft.com/office/drawing/2014/chart" uri="{C3380CC4-5D6E-409C-BE32-E72D297353CC}">
              <c16:uniqueId val="{00000000-F9B2-42A4-B983-987EB48CE9C7}"/>
            </c:ext>
          </c:extLst>
        </c:ser>
        <c:ser>
          <c:idx val="1"/>
          <c:order val="1"/>
          <c:tx>
            <c:strRef>
              <c:f>Sheet1!$C$1</c:f>
              <c:strCache>
                <c:ptCount val="1"/>
                <c:pt idx="0">
                  <c:v>No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1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Mulching</c:v>
                </c:pt>
                <c:pt idx="1">
                  <c:v>Intercropping </c:v>
                </c:pt>
                <c:pt idx="2">
                  <c:v>Cover cropping </c:v>
                </c:pt>
                <c:pt idx="3">
                  <c:v>Ridging </c:v>
                </c:pt>
              </c:strCache>
            </c:strRef>
          </c:cat>
          <c:val>
            <c:numRef>
              <c:f>Sheet1!$C$2:$C$5</c:f>
              <c:numCache>
                <c:formatCode>General</c:formatCode>
                <c:ptCount val="4"/>
                <c:pt idx="0">
                  <c:v>22.4</c:v>
                </c:pt>
                <c:pt idx="1">
                  <c:v>83.8</c:v>
                </c:pt>
                <c:pt idx="2">
                  <c:v>59.5</c:v>
                </c:pt>
                <c:pt idx="3">
                  <c:v>8.4</c:v>
                </c:pt>
              </c:numCache>
            </c:numRef>
          </c:val>
          <c:extLst>
            <c:ext xmlns:c16="http://schemas.microsoft.com/office/drawing/2014/chart" uri="{C3380CC4-5D6E-409C-BE32-E72D297353CC}">
              <c16:uniqueId val="{00000001-F9B2-42A4-B983-987EB48CE9C7}"/>
            </c:ext>
          </c:extLst>
        </c:ser>
        <c:dLbls>
          <c:showLegendKey val="0"/>
          <c:showVal val="1"/>
          <c:showCatName val="0"/>
          <c:showSerName val="0"/>
          <c:showPercent val="0"/>
          <c:showBubbleSize val="0"/>
        </c:dLbls>
        <c:gapWidth val="219"/>
        <c:overlap val="-27"/>
        <c:axId val="162752768"/>
        <c:axId val="162763136"/>
      </c:barChart>
      <c:catAx>
        <c:axId val="162752768"/>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GB" sz="1100">
                    <a:latin typeface="Times New Roman" panose="02020603050405020304" charset="0"/>
                    <a:cs typeface="Times New Roman" panose="02020603050405020304" charset="0"/>
                  </a:rPr>
                  <a:t>Soil Moisture Conservation Strategies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11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crossAx val="162763136"/>
        <c:crosses val="autoZero"/>
        <c:auto val="1"/>
        <c:lblAlgn val="ctr"/>
        <c:lblOffset val="100"/>
        <c:noMultiLvlLbl val="0"/>
      </c:catAx>
      <c:valAx>
        <c:axId val="162763136"/>
        <c:scaling>
          <c:orientation val="minMax"/>
        </c:scaling>
        <c:delete val="0"/>
        <c:axPos val="l"/>
        <c:majorGridlines>
          <c:spPr>
            <a:ln w="9525" cap="flat" cmpd="sng" algn="ctr">
              <a:solidFill>
                <a:schemeClr val="tx1">
                  <a:lumMod val="15000"/>
                  <a:lumOff val="85000"/>
                </a:schemeClr>
              </a:solidFill>
              <a:prstDash val="solid"/>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GB" sz="1100">
                    <a:latin typeface="Times New Roman" panose="02020603050405020304" charset="0"/>
                    <a:cs typeface="Times New Roman" panose="02020603050405020304" charset="0"/>
                  </a:rPr>
                  <a:t>Percent </a:t>
                </a:r>
              </a:p>
            </c:rich>
          </c:tx>
          <c:overlay val="0"/>
          <c:spPr>
            <a:noFill/>
            <a:ln>
              <a:noFill/>
            </a:ln>
            <a:effectLst/>
          </c:spPr>
        </c:title>
        <c:numFmt formatCode="General"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11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crossAx val="162752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11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legend>
    <c:plotVisOnly val="1"/>
    <c:dispBlanksAs val="gap"/>
    <c:showDLblsOverMax val="0"/>
  </c:chart>
  <c:spPr>
    <a:solidFill>
      <a:schemeClr val="bg1"/>
    </a:solidFill>
    <a:ln w="38100" cap="flat" cmpd="sng" algn="ctr">
      <a:solidFill>
        <a:schemeClr val="tx1">
          <a:lumMod val="15000"/>
          <a:lumOff val="85000"/>
        </a:schemeClr>
      </a:solidFill>
      <a:prstDash val="solid"/>
      <a:round/>
    </a:ln>
    <a:effectLst/>
  </c:spPr>
  <c:txPr>
    <a:bodyPr/>
    <a:lstStyle/>
    <a:p>
      <a:pPr>
        <a:defRPr lang="en-US"/>
      </a:pPr>
      <a:endParaRPr lang="en-GH"/>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Yes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2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Mineral fertilizer </c:v>
                </c:pt>
                <c:pt idx="1">
                  <c:v>Crop residues </c:v>
                </c:pt>
                <c:pt idx="2">
                  <c:v>Manure </c:v>
                </c:pt>
                <c:pt idx="3">
                  <c:v>Compost </c:v>
                </c:pt>
              </c:strCache>
            </c:strRef>
          </c:cat>
          <c:val>
            <c:numRef>
              <c:f>Sheet1!$B$2:$B$5</c:f>
              <c:numCache>
                <c:formatCode>General</c:formatCode>
                <c:ptCount val="4"/>
                <c:pt idx="0">
                  <c:v>24.8</c:v>
                </c:pt>
                <c:pt idx="1">
                  <c:v>85.4</c:v>
                </c:pt>
                <c:pt idx="2">
                  <c:v>83.1</c:v>
                </c:pt>
                <c:pt idx="3">
                  <c:v>77.599999999999994</c:v>
                </c:pt>
              </c:numCache>
            </c:numRef>
          </c:val>
          <c:extLst>
            <c:ext xmlns:c16="http://schemas.microsoft.com/office/drawing/2014/chart" uri="{C3380CC4-5D6E-409C-BE32-E72D297353CC}">
              <c16:uniqueId val="{00000000-436A-480C-AA67-78EF26C33838}"/>
            </c:ext>
          </c:extLst>
        </c:ser>
        <c:ser>
          <c:idx val="1"/>
          <c:order val="1"/>
          <c:tx>
            <c:strRef>
              <c:f>Sheet1!$C$1</c:f>
              <c:strCache>
                <c:ptCount val="1"/>
                <c:pt idx="0">
                  <c:v>No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12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Mineral fertilizer </c:v>
                </c:pt>
                <c:pt idx="1">
                  <c:v>Crop residues </c:v>
                </c:pt>
                <c:pt idx="2">
                  <c:v>Manure </c:v>
                </c:pt>
                <c:pt idx="3">
                  <c:v>Compost </c:v>
                </c:pt>
              </c:strCache>
            </c:strRef>
          </c:cat>
          <c:val>
            <c:numRef>
              <c:f>Sheet1!$C$2:$C$5</c:f>
              <c:numCache>
                <c:formatCode>General</c:formatCode>
                <c:ptCount val="4"/>
                <c:pt idx="0">
                  <c:v>75.2</c:v>
                </c:pt>
                <c:pt idx="1">
                  <c:v>14.6</c:v>
                </c:pt>
                <c:pt idx="2">
                  <c:v>16.899999999999999</c:v>
                </c:pt>
                <c:pt idx="3">
                  <c:v>22.4</c:v>
                </c:pt>
              </c:numCache>
            </c:numRef>
          </c:val>
          <c:extLst>
            <c:ext xmlns:c16="http://schemas.microsoft.com/office/drawing/2014/chart" uri="{C3380CC4-5D6E-409C-BE32-E72D297353CC}">
              <c16:uniqueId val="{00000001-436A-480C-AA67-78EF26C33838}"/>
            </c:ext>
          </c:extLst>
        </c:ser>
        <c:dLbls>
          <c:showLegendKey val="0"/>
          <c:showVal val="1"/>
          <c:showCatName val="0"/>
          <c:showSerName val="0"/>
          <c:showPercent val="0"/>
          <c:showBubbleSize val="0"/>
        </c:dLbls>
        <c:gapWidth val="219"/>
        <c:overlap val="-27"/>
        <c:axId val="162937472"/>
        <c:axId val="162943744"/>
      </c:barChart>
      <c:catAx>
        <c:axId val="162937472"/>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GB" sz="1200">
                    <a:latin typeface="Times New Roman" panose="02020603050405020304" charset="0"/>
                    <a:cs typeface="Times New Roman" panose="02020603050405020304" charset="0"/>
                  </a:rPr>
                  <a:t>Soil Fertility Management</a:t>
                </a:r>
                <a:r>
                  <a:rPr lang="en-GB" sz="1200" baseline="0">
                    <a:latin typeface="Times New Roman" panose="02020603050405020304" charset="0"/>
                    <a:cs typeface="Times New Roman" panose="02020603050405020304" charset="0"/>
                  </a:rPr>
                  <a:t> Startegies </a:t>
                </a:r>
                <a:endParaRPr lang="en-GB" sz="1200">
                  <a:latin typeface="Times New Roman" panose="02020603050405020304" charset="0"/>
                  <a:cs typeface="Times New Roman" panose="02020603050405020304"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crossAx val="162943744"/>
        <c:crosses val="autoZero"/>
        <c:auto val="1"/>
        <c:lblAlgn val="ctr"/>
        <c:lblOffset val="100"/>
        <c:noMultiLvlLbl val="0"/>
      </c:catAx>
      <c:valAx>
        <c:axId val="162943744"/>
        <c:scaling>
          <c:orientation val="minMax"/>
        </c:scaling>
        <c:delete val="0"/>
        <c:axPos val="l"/>
        <c:majorGridlines>
          <c:spPr>
            <a:ln w="9525" cap="flat" cmpd="sng" algn="ctr">
              <a:solidFill>
                <a:schemeClr val="tx1">
                  <a:lumMod val="15000"/>
                  <a:lumOff val="85000"/>
                </a:schemeClr>
              </a:solidFill>
              <a:prstDash val="solid"/>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GB" sz="1200">
                    <a:latin typeface="Times New Roman" panose="02020603050405020304" charset="0"/>
                    <a:cs typeface="Times New Roman" panose="02020603050405020304" charset="0"/>
                  </a:rPr>
                  <a:t>Percent</a:t>
                </a:r>
              </a:p>
            </c:rich>
          </c:tx>
          <c:overlay val="0"/>
          <c:spPr>
            <a:noFill/>
            <a:ln>
              <a:noFill/>
            </a:ln>
            <a:effectLst/>
          </c:spPr>
        </c:title>
        <c:numFmt formatCode="General"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crossAx val="162937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GH"/>
        </a:p>
      </c:txPr>
    </c:legend>
    <c:plotVisOnly val="1"/>
    <c:dispBlanksAs val="gap"/>
    <c:showDLblsOverMax val="0"/>
  </c:chart>
  <c:spPr>
    <a:solidFill>
      <a:schemeClr val="bg1"/>
    </a:solidFill>
    <a:ln w="38100" cap="flat" cmpd="sng" algn="ctr">
      <a:solidFill>
        <a:schemeClr val="tx1">
          <a:lumMod val="15000"/>
          <a:lumOff val="85000"/>
        </a:schemeClr>
      </a:solidFill>
      <a:prstDash val="solid"/>
      <a:round/>
    </a:ln>
    <a:effectLst/>
  </c:spPr>
  <c:txPr>
    <a:bodyPr/>
    <a:lstStyle/>
    <a:p>
      <a:pPr>
        <a:defRPr lang="en-US"/>
      </a:pPr>
      <a:endParaRPr lang="en-GH"/>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5A3B70C-2A2E-4210-837D-F946AE0109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233</Pages>
  <Words>242209</Words>
  <Characters>1380597</Characters>
  <Application>Microsoft Office Word</Application>
  <DocSecurity>0</DocSecurity>
  <Lines>11504</Lines>
  <Paragraphs>3239</Paragraphs>
  <ScaleCrop>false</ScaleCrop>
  <HeadingPairs>
    <vt:vector size="2" baseType="variant">
      <vt:variant>
        <vt:lpstr>Title</vt:lpstr>
      </vt:variant>
      <vt:variant>
        <vt:i4>1</vt:i4>
      </vt:variant>
    </vt:vector>
  </HeadingPairs>
  <TitlesOfParts>
    <vt:vector size="1" baseType="lpstr">
      <vt:lpstr>SIMON DIEDONG DOMBO UNIVERSITY OF BUSINESS AND INTEGRATED DEVELOPMENT STUDIES, WA- GHANA 
URBAN AGRICULTURAL PRACTICES AND FARMERS’ ADAPTATION STRATEGIES TO CLIMATE CHANGE AND VARIABILITY STRESSORS IN THE WA MUNICIPALITY, GHANA</vt:lpstr>
    </vt:vector>
  </TitlesOfParts>
  <Company/>
  <LinksUpToDate>false</LinksUpToDate>
  <CharactersWithSpaces>1619567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SIMON DIEDONG DOMBO UNIVERSITY OF BUSINESS AND INTEGRATED DEVELOPMENT STUDIES, WA- GHANA 
URBAN AGRICULTURAL PRACTICES AND FARMERS’ ADAPTATION STRATEGIES TO CLIMATE CHANGE AND VARIABILITY STRESSORS IN THE WA MUNICIPALITY, GHANA</dc:title>
  <dc:subject/>
  <dc:creator>i5</dc:creator>
  <cp:keywords/>
  <dc:description/>
  <cp:lastModifiedBy>Kel Business Solutions Ent, Wa</cp:lastModifiedBy>
  <cp:revision>32</cp:revision>
  <cp:lastPrinted>2024-05-23T19:03:00Z</cp:lastPrinted>
  <dcterms:created xsi:type="dcterms:W3CDTF">2024-05-23T08:42:00Z</dcterms:created>
  <dcterms:modified xsi:type="dcterms:W3CDTF">2024-05-23T19:05:00Z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bdff14448a69f6e210ed4995246aa29120420987f544e834d983049a09236747</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 11th edition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7th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12th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9th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Document_1">
    <vt:lpwstr>True</vt:lpwstr>
  </property>
  <property fmtid="{D5CDD505-2E9C-101B-9397-08002B2CF9AE}" pid="24" name="Mendeley Unique User Id_1">
    <vt:lpwstr>d78f54f1-16bc-3a99-afbb-abc4efec6cd3</vt:lpwstr>
  </property>
  <property fmtid="{D5CDD505-2E9C-101B-9397-08002B2CF9AE}" pid="25" name="Mendeley Citation Style_1">
    <vt:lpwstr>http://www.zotero.org/styles/apa</vt:lpwstr>
  </property>
</Properties>
</file>