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xml" ContentType="application/vnd.openxmlformats-officedocument.themeOverride+xml"/>
  <Override PartName="/word/theme/themeOverride5.xml" ContentType="application/vnd.openxmlformats-officedocument.themeOverride+xml"/>
  <Override PartName="/word/theme/themeOverride6.xml" ContentType="application/vnd.openxmlformats-officedocument.themeOverride+xml"/>
  <Override PartName="/word/webSettings.xml" ContentType="application/vnd.openxmlformats-officedocument.wordprocessingml.webSetting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 Id="rId5" Type="http://schemas.microsoft.com/office/2011/relationships/webextensiontaskpanes" Target="word/webextensions/taskpanes.xml"/></Relationships>
</file>

<file path=word/document.xml><?xml version="1.0" encoding="utf-8"?>
<w:document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mv w14 w15 w16se wp14" ve:PreserveAttributes="mv:*">
  <w:body>
    <w:p>
      <w:pPr>
        <w:spacing w:after="0" w:line="480" w:lineRule="auto"/>
        <w:ind w:left="720"/>
        <w:contextualSpacing w:val="1"/>
        <w:jc w:val="cente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SIMON DIEDONG DOMBO UNIVERSITY OF BUSINESS AND INTEGRATED DEVELOPMENT STUDIES</w:t>
      </w:r>
    </w:p>
    <w:p>
      <w:pPr>
        <w:tabs>
          <w:tab w:val="left" w:leader="none" w:pos="5535"/>
        </w:tabs>
        <w:spacing w:line="480" w:lineRule="auto"/>
        <w:ind w:left="720"/>
        <w:jc w:val="center"/>
        <w:rPr>
          <w:rFonts w:hAnsi="Times New Roman" w:ascii="Times New Roman" w:eastAsia="Times New Roman" w:cs="Times New Roman"/>
          <w:b/>
          <w:sz w:val="28"/>
          <w:szCs w:val="28"/>
        </w:rPr>
      </w:pPr>
    </w:p>
    <w:p>
      <w:pPr>
        <w:spacing w:line="480" w:lineRule="auto"/>
        <w:ind w:left="720"/>
        <w:jc w:val="center"/>
        <w:rPr>
          <w:rFonts w:hAnsi="Times New Roman" w:ascii="Times New Roman" w:eastAsia="Times New Roman" w:cs="Times New Roman"/>
          <w:b/>
          <w:sz w:val="28"/>
          <w:szCs w:val="28"/>
        </w:rPr>
      </w:pPr>
    </w:p>
    <w:p>
      <w:pPr>
        <w:spacing w:line="480" w:lineRule="auto"/>
        <w:ind w:left="720"/>
        <w:jc w:val="center"/>
        <w:rPr>
          <w:rFonts w:hAnsi="Times New Roman" w:ascii="Times New Roman" w:eastAsia="Times New Roman" w:cs="Times New Roman"/>
          <w:b/>
          <w:sz w:val="28"/>
          <w:szCs w:val="28"/>
        </w:rPr>
      </w:pPr>
    </w:p>
    <w:p>
      <w:pPr>
        <w:spacing w:line="480" w:lineRule="auto"/>
        <w:ind w:left="720"/>
        <w:jc w:val="center"/>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ASSESSING RESIDENTS’ KNOWLEDGE, ATTITUDE AND PRACTICE OF SOLID WASTE MANAGEMENT IN MANGU COMMUNITY IN THE WA MUNICIPALITY OF THE UPPER WEST REGION, GHANA</w:t>
      </w:r>
    </w:p>
    <w:p>
      <w:pPr>
        <w:spacing w:line="480" w:lineRule="auto"/>
        <w:ind w:left="720"/>
        <w:jc w:val="center"/>
        <w:rPr>
          <w:rFonts w:hAnsi="Times New Roman" w:ascii="Times New Roman" w:eastAsia="Calibri" w:cs="Times New Roman"/>
          <w:sz w:val="24"/>
          <w:szCs w:val="24"/>
        </w:rPr>
      </w:pPr>
    </w:p>
    <w:p>
      <w:pPr>
        <w:spacing w:line="480" w:lineRule="auto"/>
        <w:ind w:left="720"/>
        <w:jc w:val="center"/>
        <w:rPr>
          <w:rFonts w:hAnsi="Times New Roman" w:ascii="Times New Roman" w:eastAsia="Calibri" w:cs="Times New Roman"/>
          <w:sz w:val="24"/>
          <w:szCs w:val="24"/>
        </w:rPr>
      </w:pPr>
    </w:p>
    <w:p>
      <w:pPr>
        <w:spacing w:line="480" w:lineRule="auto"/>
        <w:ind w:left="720"/>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SAKARA HAMIDU SAMSON</w:t>
      </w:r>
    </w:p>
    <w:p>
      <w:pPr>
        <w:spacing w:line="480" w:lineRule="auto"/>
        <w:ind w:left="720"/>
        <w:jc w:val="center"/>
        <w:rPr>
          <w:rFonts w:hAnsi="Times New Roman" w:ascii="Times New Roman" w:eastAsia="Times New Roman" w:cs="Times New Roman"/>
          <w:sz w:val="24"/>
          <w:szCs w:val="24"/>
        </w:rPr>
      </w:pPr>
    </w:p>
    <w:p>
      <w:pPr>
        <w:spacing w:line="480" w:lineRule="auto"/>
        <w:ind w:left="720"/>
        <w:jc w:val="center"/>
        <w:rPr>
          <w:rFonts w:hAnsi="Times New Roman" w:ascii="Times New Roman" w:eastAsia="Times New Roman" w:cs="Times New Roman"/>
          <w:sz w:val="24"/>
          <w:szCs w:val="24"/>
        </w:rPr>
      </w:pPr>
    </w:p>
    <w:p>
      <w:pPr>
        <w:spacing w:line="480" w:lineRule="auto"/>
        <w:ind w:left="720"/>
        <w:jc w:val="center"/>
        <w:rPr>
          <w:rFonts w:hAnsi="Times New Roman" w:ascii="Times New Roman" w:eastAsia="Times New Roman" w:cs="Times New Roman"/>
          <w:sz w:val="24"/>
          <w:szCs w:val="24"/>
        </w:rPr>
      </w:pPr>
    </w:p>
    <w:p>
      <w:pPr>
        <w:spacing w:line="480" w:lineRule="auto"/>
        <w:ind w:left="720"/>
        <w:jc w:val="center"/>
        <w:rPr>
          <w:rFonts w:hAnsi="Times New Roman" w:ascii="Times New Roman" w:eastAsia="Times New Roman" w:cs="Times New Roman"/>
          <w:sz w:val="24"/>
          <w:szCs w:val="24"/>
        </w:rPr>
      </w:pPr>
    </w:p>
    <w:p>
      <w:pPr>
        <w:spacing w:line="480" w:lineRule="auto"/>
        <w:ind w:left="720"/>
        <w:jc w:val="center"/>
        <w:rPr>
          <w:rFonts w:hAnsi="Times New Roman" w:ascii="Times New Roman" w:eastAsia="Times New Roman" w:cs="Times New Roman"/>
          <w:sz w:val="24"/>
          <w:szCs w:val="24"/>
        </w:rPr>
      </w:pPr>
    </w:p>
    <w:p>
      <w:pPr>
        <w:spacing w:line="480" w:lineRule="auto"/>
        <w:ind w:left="720"/>
        <w:jc w:val="center"/>
        <w:rPr>
          <w:rFonts w:hAnsi="Times New Roman" w:ascii="Times New Roman" w:eastAsia="Times New Roman" w:cs="Times New Roman"/>
          <w:sz w:val="24"/>
          <w:szCs w:val="24"/>
        </w:rPr>
      </w:pPr>
    </w:p>
    <w:p>
      <w:pPr>
        <w:spacing w:line="480" w:lineRule="auto"/>
        <w:ind w:left="720"/>
        <w:jc w:val="center"/>
        <w:rPr>
          <w:rFonts w:hAnsi="Times New Roman" w:ascii="Times New Roman" w:eastAsia="Times New Roman" w:cs="Times New Roman"/>
          <w:sz w:val="28"/>
          <w:szCs w:val="28"/>
        </w:rPr>
      </w:pPr>
      <w:r>
        <w:rPr>
          <w:rFonts w:hAnsi="Times New Roman" w:ascii="Times New Roman" w:eastAsia="Times New Roman" w:cs="Times New Roman"/>
          <w:b w:val="0"/>
          <w:i w:val="0"/>
          <w:strike w:val="0"/>
          <w:dstrike w:val="0"/>
          <w:emboss w:val="0"/>
          <w:imprint w:val="0"/>
          <w:outline w:val="0"/>
          <w:shadow w:val="0"/>
          <w:sz w:val="28"/>
          <w:szCs w:val="28"/>
          <w:u w:val="none"/>
        </w:rPr>
        <w:t xml:space="preserve">2024</w:t>
      </w:r>
    </w:p>
    <w:p>
      <w:pPr>
        <w:spacing w:line="480" w:lineRule="auto"/>
        <w:rPr>
          <w:rFonts w:hAnsi="Times New Roman" w:ascii="Times New Roman" w:eastAsia="Times New Roman" w:cs="Times New Roman"/>
          <w:b/>
          <w:sz w:val="28"/>
          <w:szCs w:val="28"/>
        </w:rPr>
        <w:sectPr w:rsidR="00455D00" w:rsidRPr="00136D7B" w:rsidSect="006F79B4">
          <w:pgSz w:w="12240" w:h="15840"/>
          <w:pgMar w:top="1440" w:right="1440" w:bottom="1440" w:left="1440" w:header="720" w:footer="720"/>
          <w:pgNumType w:fmt="lowerRoman" w:start="1"/>
          <w:cols w:space="720"/>
        </w:sectPr>
      </w:pPr>
    </w:p>
    <w:p>
      <w:pPr>
        <w:spacing w:after="0" w:line="480" w:lineRule="auto"/>
        <w:ind w:left="720"/>
        <w:contextualSpacing w:val="1"/>
        <w:jc w:val="cente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SIMON DIEDONG DOMBO UNIVERSITY OF BUSINESS AND INTEGRATED DEVELOPMENT STUDIES</w:t>
      </w:r>
    </w:p>
    <w:p>
      <w:pPr>
        <w:tabs>
          <w:tab w:val="left" w:leader="none" w:pos="1245"/>
        </w:tabs>
        <w:spacing w:line="480" w:lineRule="auto"/>
        <w:ind w:left="720"/>
        <w:jc w:val="center"/>
        <w:rPr>
          <w:rFonts w:hAnsi="Times New Roman" w:ascii="Times New Roman" w:eastAsia="Times New Roman" w:cs="Times New Roman"/>
          <w:b/>
          <w:sz w:val="28"/>
          <w:szCs w:val="28"/>
        </w:rPr>
      </w:pPr>
    </w:p>
    <w:p>
      <w:pPr>
        <w:spacing w:line="480" w:lineRule="auto"/>
        <w:ind w:left="720"/>
        <w:jc w:val="center"/>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ASSESSING RESIDENTS’ KNOWLEDGE, ATTITUDE AND PRACTICE ON SOLID WASTE MANAGEMENT IN MANGU COMMUNITY IN THE WA MUNICIPALITY OF THE UPPER WEST REGION, GHANA</w:t>
      </w:r>
    </w:p>
    <w:p>
      <w:pPr>
        <w:spacing w:line="480" w:lineRule="auto"/>
        <w:ind w:left="720"/>
        <w:jc w:val="center"/>
        <w:rPr>
          <w:rFonts w:hAnsi="Times New Roman" w:ascii="Times New Roman" w:eastAsia="Calibri" w:cs="Times New Roman"/>
          <w:sz w:val="24"/>
          <w:szCs w:val="24"/>
        </w:rPr>
      </w:pPr>
    </w:p>
    <w:p>
      <w:pPr>
        <w:spacing w:line="480" w:lineRule="auto"/>
        <w:ind w:left="720"/>
        <w:jc w:val="cente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BY</w:t>
      </w:r>
    </w:p>
    <w:p>
      <w:pPr>
        <w:spacing w:line="480" w:lineRule="auto"/>
        <w:ind w:left="720"/>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SAKARA HAMIDU SAMSON</w:t>
      </w:r>
    </w:p>
    <w:p>
      <w:pPr>
        <w:spacing w:line="480" w:lineRule="auto"/>
        <w:ind w:left="720"/>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ID: PG0004621</w:t>
      </w:r>
    </w:p>
    <w:p>
      <w:pPr>
        <w:spacing w:line="480" w:lineRule="auto"/>
        <w:ind w:left="720"/>
        <w:jc w:val="center"/>
        <w:rPr>
          <w:rFonts w:hAnsi="Times New Roman" w:ascii="Times New Roman" w:eastAsia="Times New Roman" w:cs="Times New Roman"/>
          <w:sz w:val="24"/>
          <w:szCs w:val="24"/>
        </w:rPr>
      </w:pPr>
    </w:p>
    <w:p>
      <w:pPr>
        <w:spacing w:line="480" w:lineRule="auto"/>
        <w:ind w:left="720"/>
        <w:jc w:val="center"/>
        <w:rPr>
          <w:rFonts w:hAnsi="Times New Roman" w:ascii="Times New Roman" w:eastAsia="Times New Roman" w:cs="Times New Roman"/>
          <w:sz w:val="24"/>
          <w:szCs w:val="24"/>
        </w:rPr>
      </w:pPr>
    </w:p>
    <w:p>
      <w:pPr>
        <w:spacing w:after="0" w:line="480" w:lineRule="auto"/>
        <w:ind w:left="720"/>
        <w:jc w:val="cente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 THESIS SUBMITTED TO THE DEPARTMENT OF COMMUNICATION, FACULTY OF INTEGRATED DEVELOPMENT STUDIES, SIMON DIEDONG DOMBO UNIVERSITY OF BUSINESS AND INTEGRATED DEVELOPMENT STUDIES, IN PARTIAL FULFILLMENT OF THE REQUIREMENT FOR THE AWARD OF A MASTER OF PHILOSOPHY IN DEVELOPMENT COMMUNICATION</w:t>
      </w:r>
    </w:p>
    <w:p>
      <w:pPr>
        <w:spacing w:line="480" w:lineRule="auto"/>
        <w:ind w:left="720"/>
        <w:jc w:val="center"/>
        <w:rPr>
          <w:rFonts w:hAnsi="Times New Roman" w:ascii="Times New Roman" w:eastAsia="Times New Roman" w:cs="Times New Roman"/>
          <w:bCs/>
          <w:sz w:val="24"/>
          <w:szCs w:val="24"/>
        </w:rPr>
      </w:pPr>
    </w:p>
    <w:p>
      <w:pPr>
        <w:spacing w:line="480" w:lineRule="auto"/>
        <w:ind w:left="720"/>
        <w:jc w:val="center"/>
        <w:rPr>
          <w:rFonts w:hAnsi="Times New Roman" w:ascii="Times New Roman" w:eastAsia="Times New Roman" w:cs="Times New Roman"/>
          <w:bCs/>
          <w:sz w:val="24"/>
          <w:szCs w:val="24"/>
        </w:rPr>
        <w:sectPr w:rsidR="00455D00" w:rsidRPr="00136D7B" w:rsidSect="00095779">
          <w:footerReference w:type="default" r:id="rId8"/>
          <w:footerReference w:type="first" r:id="rId9"/>
          <w:pgSz w:w="12240" w:h="15840"/>
          <w:pgMar w:top="1440" w:right="1440" w:bottom="1440" w:left="1440" w:header="720" w:footer="720"/>
          <w:pgNumType w:fmt="lowerRoman" w:start="1"/>
          <w:cols w:space="720"/>
          <w:titlePg/>
        </w:sectPr>
      </w:pPr>
      <w:r>
        <w:rPr>
          <w:rFonts w:hAnsi="Times New Roman" w:ascii="Times New Roman" w:eastAsia="Times New Roman" w:cs="Times New Roman"/>
          <w:b w:val="0"/>
          <w:bCs/>
          <w:i w:val="0"/>
          <w:strike w:val="0"/>
          <w:dstrike w:val="0"/>
          <w:emboss w:val="0"/>
          <w:imprint w:val="0"/>
          <w:outline w:val="0"/>
          <w:shadow w:val="0"/>
          <w:sz w:val="24"/>
          <w:szCs w:val="24"/>
          <w:u w:val="none"/>
        </w:rPr>
        <w:t xml:space="preserve">AUGUST, 2023</w:t>
      </w:r>
      <w:bookmarkStart w:id="0" w:name="_Toc126737790"/>
    </w:p>
    <w:p>
      <w:pPr>
        <w:pStyle w:val="Heading2"/>
        <w:ind w:left="720"/>
        <w:jc w:val="center"/>
        <w:rPr>
          <w:bCs/>
        </w:rPr>
      </w:pPr>
      <w:bookmarkStart w:id="1" w:name="_Toc147923020"/>
      <w:r>
        <w:rPr>
          <w:rFonts w:ascii="Times New Roman" w:eastAsia="DengXian Light"/>
          <w:b/>
          <w:i w:val="0"/>
          <w:strike w:val="0"/>
          <w:dstrike w:val="0"/>
          <w:emboss w:val="0"/>
          <w:imprint w:val="0"/>
          <w:outline w:val="0"/>
          <w:shadow w:val="0"/>
          <w:sz w:val="24"/>
          <w:szCs w:val="24"/>
          <w:u w:val="none"/>
        </w:rPr>
        <w:lastRenderedPageBreak/>
        <w:t xml:space="preserve">DECLARATION</w:t>
      </w:r>
      <w:bookmarkEnd w:id="0"/>
    </w:p>
    <w:p>
      <w:pPr>
        <w:spacing w:after="0" w:line="240" w:lineRule="auto"/>
        <w:ind w:left="720"/>
        <w:rPr>
          <w:rFonts w:hAnsi="Times New Roman" w:ascii="Times New Roman" w:eastAsia="Calibri" w:cs="Times New Roman"/>
          <w:b/>
          <w:bCs/>
          <w:sz w:val="24"/>
          <w:szCs w:val="24"/>
        </w:rPr>
      </w:pPr>
    </w:p>
    <w:p>
      <w:pPr>
        <w:spacing w:after="0" w:line="480" w:lineRule="auto"/>
        <w:ind w:left="720"/>
        <w:jc w:val="both"/>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Student</w:t>
      </w:r>
    </w:p>
    <w:p>
      <w:pPr>
        <w:spacing w:after="0"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 hereby declare that this work is my own original and that no part of it has been presented for another degree in this university or elsewhere.</w:t>
      </w:r>
    </w:p>
    <w:p>
      <w:pPr>
        <w:spacing w:after="0" w:line="240" w:lineRule="auto"/>
        <w:ind w:left="720"/>
        <w:jc w:val="both"/>
        <w:rPr>
          <w:rFonts w:hAnsi="Times New Roman" w:ascii="Times New Roman" w:eastAsia="Calibri" w:cs="Times New Roman"/>
          <w:sz w:val="24"/>
          <w:szCs w:val="24"/>
        </w:rPr>
      </w:pPr>
    </w:p>
    <w:p>
      <w:pPr>
        <w:spacing w:after="0" w:line="240" w:lineRule="auto"/>
        <w:ind w:left="720"/>
        <w:rPr>
          <w:rFonts w:hAnsi="Times New Roman" w:ascii="Times New Roman" w:eastAsia="TimesNewRomanPSMT" w:cs="Times New Roman"/>
          <w:b/>
          <w:bCs/>
          <w:sz w:val="24"/>
          <w:szCs w:val="24"/>
        </w:rPr>
      </w:pPr>
    </w:p>
    <w:p>
      <w:pPr>
        <w:spacing w:after="0" w:line="240" w:lineRule="auto"/>
        <w:ind w:left="720"/>
        <w:rPr>
          <w:rFonts w:hAnsi="Times New Roman" w:ascii="Times New Roman" w:eastAsia="TimesNewRomanPSMT" w:cs="Times New Roman"/>
          <w:b/>
          <w:bCs/>
          <w:sz w:val="24"/>
          <w:szCs w:val="24"/>
        </w:rPr>
      </w:pPr>
    </w:p>
    <w:p>
      <w:pPr>
        <w:spacing w:after="0" w:line="480" w:lineRule="auto"/>
        <w:ind w:left="720"/>
        <w:rPr>
          <w:rFonts w:hAnsi="Times New Roman" w:ascii="Times New Roman" w:eastAsia="TimesNewRomanPSMT" w:cs="Times New Roman"/>
          <w:b/>
          <w:bCs/>
          <w:sz w:val="24"/>
          <w:szCs w:val="24"/>
        </w:rPr>
      </w:pPr>
      <w:r>
        <w:rPr>
          <w:rFonts w:hAnsi="Times New Roman" w:ascii="Times New Roman" w:eastAsia="TimesNewRomanPSMT" w:cs="Times New Roman"/>
          <w:b/>
          <w:bCs/>
          <w:i w:val="0"/>
          <w:strike w:val="0"/>
          <w:dstrike w:val="0"/>
          <w:emboss w:val="0"/>
          <w:imprint w:val="0"/>
          <w:outline w:val="0"/>
          <w:shadow w:val="0"/>
          <w:sz w:val="24"/>
          <w:szCs w:val="24"/>
          <w:u w:val="none"/>
        </w:rPr>
        <w:t xml:space="preserve">Name of student:                         Signature ………………             Date ………………</w:t>
      </w:r>
    </w:p>
    <w:p>
      <w:pPr>
        <w:spacing w:after="0" w:line="480" w:lineRule="auto"/>
        <w:ind w:left="720"/>
        <w:jc w:val="both"/>
        <w:rPr>
          <w:rFonts w:hAnsi="Times New Roman" w:ascii="Times New Roman" w:eastAsia="TimesNewRomanPSMT" w:cs="Times New Roman"/>
          <w:sz w:val="24"/>
          <w:szCs w:val="24"/>
        </w:rPr>
      </w:pPr>
      <w:r>
        <w:rPr>
          <w:rFonts w:hAnsi="Times New Roman" w:ascii="Times New Roman" w:eastAsia="TimesNewRomanPSMT" w:cs="Times New Roman"/>
          <w:b w:val="0"/>
          <w:i w:val="0"/>
          <w:strike w:val="0"/>
          <w:dstrike w:val="0"/>
          <w:emboss w:val="0"/>
          <w:imprint w:val="0"/>
          <w:outline w:val="0"/>
          <w:shadow w:val="0"/>
          <w:sz w:val="24"/>
          <w:szCs w:val="24"/>
          <w:u w:val="none"/>
        </w:rPr>
        <w:t xml:space="preserve">Sakara Hamidu Samson</w:t>
      </w:r>
    </w:p>
    <w:p>
      <w:pPr>
        <w:spacing w:after="0" w:line="240" w:lineRule="auto"/>
        <w:ind w:left="720"/>
        <w:rPr>
          <w:rFonts w:hAnsi="Times New Roman" w:ascii="Times New Roman" w:eastAsia="TimesNewRomanPSMT" w:cs="Times New Roman"/>
          <w:sz w:val="24"/>
          <w:szCs w:val="24"/>
        </w:rPr>
      </w:pPr>
    </w:p>
    <w:p>
      <w:pPr>
        <w:spacing w:after="0" w:line="240" w:lineRule="auto"/>
        <w:ind w:left="720"/>
        <w:rPr>
          <w:rFonts w:hAnsi="Times New Roman" w:ascii="Times New Roman" w:eastAsia="Calibri" w:cs="Times New Roman"/>
          <w:b/>
          <w:bCs/>
          <w:sz w:val="24"/>
          <w:szCs w:val="24"/>
        </w:rPr>
      </w:pPr>
    </w:p>
    <w:p>
      <w:pPr>
        <w:spacing w:after="0" w:line="240" w:lineRule="auto"/>
        <w:ind w:left="720"/>
        <w:rPr>
          <w:rFonts w:hAnsi="Times New Roman" w:ascii="Times New Roman" w:eastAsia="Calibri" w:cs="Times New Roman"/>
          <w:b/>
          <w:bCs/>
          <w:sz w:val="24"/>
          <w:szCs w:val="24"/>
        </w:rPr>
      </w:pPr>
    </w:p>
    <w:p>
      <w:pPr>
        <w:spacing w:after="0" w:line="480" w:lineRule="auto"/>
        <w:ind w:left="720"/>
        <w:jc w:val="both"/>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Supervisor</w:t>
      </w:r>
    </w:p>
    <w:p>
      <w:pPr>
        <w:spacing w:after="0"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 hereby declare that the preparation and presentation of this thesis were supervised in accordance with the guidelines on the supervision of the thesis laid down by the Simon Diedong Dombo University of Business and Integrated Development Studies.</w:t>
      </w:r>
    </w:p>
    <w:p>
      <w:pPr>
        <w:ind w:left="720"/>
        <w:rPr>
          <w:rFonts w:hAnsi="Times New Roman" w:ascii="Times New Roman" w:eastAsia="Calibri" w:cs="Times New Roman"/>
          <w:b/>
          <w:bCs/>
          <w:sz w:val="24"/>
          <w:szCs w:val="24"/>
        </w:rPr>
      </w:pPr>
    </w:p>
    <w:p>
      <w:pPr>
        <w:spacing w:after="0" w:line="480" w:lineRule="auto"/>
        <w:ind w:left="720"/>
        <w:rPr>
          <w:rFonts w:hAnsi="Times New Roman" w:ascii="Times New Roman" w:eastAsia="Calibri" w:cs="Times New Roman"/>
          <w:b/>
          <w:bCs/>
          <w:sz w:val="24"/>
          <w:szCs w:val="24"/>
        </w:rPr>
      </w:pPr>
      <w:r>
        <w:rPr>
          <w:rFonts w:hAnsi="Times New Roman" w:ascii="Times New Roman" w:eastAsia="TimesNewRomanPSMT" w:cs="Times New Roman"/>
          <w:b/>
          <w:bCs/>
          <w:i w:val="0"/>
          <w:strike w:val="0"/>
          <w:dstrike w:val="0"/>
          <w:emboss w:val="0"/>
          <w:imprint w:val="0"/>
          <w:outline w:val="0"/>
          <w:shadow w:val="0"/>
          <w:sz w:val="24"/>
          <w:szCs w:val="24"/>
          <w:u w:val="none"/>
        </w:rPr>
        <w:t xml:space="preserve">Name of Supervisor          Signature …………………        Date ……………………</w:t>
      </w:r>
    </w:p>
    <w:p>
      <w:pPr>
        <w:spacing w:after="0" w:line="480" w:lineRule="auto"/>
        <w:ind w:left="720"/>
        <w:rPr>
          <w:rFonts w:hAnsi="Times New Roman" w:ascii="Times New Roman" w:eastAsia="Calibri" w:cs="Times New Roman"/>
          <w:bCs/>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Prof. Africanus Lewil Diedong</w:t>
      </w:r>
    </w:p>
    <w:p>
      <w:pPr>
        <w:ind w:left="720"/>
        <w:rPr>
          <w:rFonts w:hAnsi="Times New Roman" w:ascii="Times New Roman" w:eastAsia="Calibri" w:cs="Times New Roman"/>
          <w:sz w:val="24"/>
          <w:szCs w:val="24"/>
        </w:rPr>
      </w:pPr>
    </w:p>
    <w:p>
      <w:pPr>
        <w:ind w:left="720"/>
        <w:rPr>
          <w:rFonts w:hAnsi="Times New Roman" w:ascii="Times New Roman" w:eastAsia="Calibri" w:cs="Times New Roman"/>
          <w:sz w:val="24"/>
          <w:szCs w:val="24"/>
        </w:rPr>
      </w:pPr>
    </w:p>
    <w:p>
      <w:pPr>
        <w:ind w:left="720"/>
        <w:rPr>
          <w:rFonts w:hAnsi="Times New Roman" w:ascii="Times New Roman" w:eastAsia="Calibri" w:cs="Times New Roman"/>
          <w:b/>
          <w:bCs/>
          <w:sz w:val="24"/>
          <w:szCs w:val="24"/>
        </w:rPr>
      </w:pPr>
    </w:p>
    <w:p>
      <w:pPr>
        <w:ind w:left="720"/>
        <w:jc w:val="center"/>
        <w:rPr>
          <w:rFonts w:hAnsi="Times New Roman" w:ascii="Times New Roman" w:cs="Times New Roman"/>
          <w:b/>
          <w:sz w:val="24"/>
        </w:rPr>
        <w:sectPr w:rsidR="00455D00" w:rsidRPr="00136D7B" w:rsidSect="006F79B4">
          <w:footerReference w:type="default" r:id="rId10"/>
          <w:pgSz w:w="12240" w:h="15840"/>
          <w:pgMar w:top="1440" w:right="1440" w:bottom="1440" w:left="1440" w:header="720" w:footer="720"/>
          <w:pgNumType w:fmt="lowerRoman" w:start="1"/>
          <w:cols w:space="720"/>
        </w:sectPr>
      </w:pPr>
    </w:p>
    <w:p>
      <w:pPr>
        <w:pStyle w:val="Heading1"/>
        <w:ind w:left="720"/>
      </w:pPr>
      <w:bookmarkStart w:id="2" w:name="_Toc147923021"/>
      <w:r>
        <w:rPr>
          <w:rFonts w:ascii="Times New Roman"/>
          <w:b/>
          <w:i w:val="0"/>
          <w:strike w:val="0"/>
          <w:dstrike w:val="0"/>
          <w:emboss w:val="0"/>
          <w:imprint w:val="0"/>
          <w:outline w:val="0"/>
          <w:shadow w:val="0"/>
          <w:sz w:val="24"/>
          <w:szCs w:val="24"/>
          <w:u w:val="none"/>
        </w:rPr>
        <w:lastRenderedPageBreak/>
        <w:t xml:space="preserve">ABSTRACT</w:t>
      </w:r>
      <w:bookmarkEnd w:id="2"/>
    </w:p>
    <w:p>
      <w:pPr>
        <w:spacing w:after="0" w:line="360" w:lineRule="auto"/>
        <w:ind w:left="720"/>
        <w:jc w:val="both"/>
        <w:rPr>
          <w:rFonts w:hAnsi="Times New Roman" w:ascii="Times New Roman" w:eastAsia="Times New Roman" w:cs="Times New Roman"/>
          <w:bCs/>
          <w:sz w:val="24"/>
          <w:szCs w:val="24"/>
        </w:rPr>
      </w:pPr>
      <w:bookmarkStart w:id="3" w:name="_Toc126737792"/>
      <w:r>
        <w:rPr>
          <w:rFonts w:hAnsi="Times New Roman" w:ascii="Times New Roman" w:eastAsia="Times New Roman" w:cs="Times New Roman"/>
          <w:b w:val="0"/>
          <w:bCs/>
          <w:i w:val="0"/>
          <w:strike w:val="0"/>
          <w:dstrike w:val="0"/>
          <w:emboss w:val="0"/>
          <w:imprint w:val="0"/>
          <w:outline w:val="0"/>
          <w:shadow w:val="0"/>
          <w:sz w:val="24"/>
          <w:szCs w:val="24"/>
          <w:u w:val="none"/>
        </w:rPr>
        <w:t xml:space="preserve">Waste management poses a challenge for city authorities worldwide, making it a major problem in developing countries, including Ghana. The purpose of this study is to examine the knowledge, attitude, and practice (KAP) of solid waste management (SWM) of residents of the Mangu community in the Wa Municipality in the Upper West Region of Ghana. The study used a sequential mixed method design to sample 363 respondents for quantitative analysis using a questionnaire, and interviewed 5 key informants for qualitative analysis using an interview guide. The quantitative data were analysed using descriptive statistics, frequencies, percentages, cross-tabulation with chi-square test, and correlation analysis at a 95% confidence interval. In addition, the qualitative data were analysed using thematic analysis, with informants’ views coded and</w:t>
        <w:t xml:space="preserve"> categorised into themes to further explain the quantitative results. The results showed that residents of Mangu had good knowledge of the types of solid waste they generated</w:t>
      </w:r>
      <w:r>
        <w:rPr>
          <w:rFonts w:ascii="Calibri"/>
          <w:b w:val="0"/>
          <w:bCs/>
          <w:i w:val="0"/>
          <w:strike w:val="0"/>
          <w:dstrike w:val="0"/>
          <w:emboss w:val="0"/>
          <w:imprint w:val="0"/>
          <w:outline w:val="0"/>
          <w:shadow w:val="0"/>
          <w:sz w:val="22"/>
          <w:szCs w:val="22"/>
          <w:u w:val="none"/>
        </w:rPr>
        <w:t xml:space="preserve">. </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The results indicate that residents of the Mangu community have a positive attitude towards SWM. However, in practice, the results indicate that residents of the Mangu community exhibit poor SWM practices. Consequently, this study found a linear relationship between KAP among the residents. That is, an increase in residents’ knowledge of SWM significantly increased their attitude toward and practice of SWM. The socio-demographic factor associated with KAP was occupation, which was significantly associated with knowledge of SWM. Gender, age, number of children and people living in the household, occupation, and length of stay in the community were also associated with residents' attitudes towards SWM. However, socio-demographic factors did not have a significant association with poor SWM practices in the Mangu community of Wa Municipality.</w:t>
        <w:t xml:space="preserve"> The study concludes that there is a linear relationship between the KAP of SWM residents in the Mangu community and recommends that the Wa Municipal Assembly, along with sanitation stakeholders, prioritise promoting public education about SWM.</w:t>
      </w:r>
    </w:p>
    <w:p>
      <w:pPr>
        <w:spacing w:after="0" w:line="360" w:lineRule="auto"/>
        <w:ind w:left="720"/>
        <w:jc w:val="both"/>
        <w:rPr>
          <w:rFonts w:hAnsi="Times New Roman" w:ascii="Times New Roman" w:eastAsia="Times New Roman" w:cs="Times New Roman"/>
          <w:bCs/>
          <w:sz w:val="24"/>
          <w:szCs w:val="32"/>
        </w:rPr>
        <w:sectPr w:rsidR="00455D00" w:rsidRPr="00136D7B" w:rsidSect="00312DA9">
          <w:pgSz w:w="12240" w:h="15840"/>
          <w:pgMar w:top="1440" w:right="1440" w:bottom="1440" w:left="1440" w:header="720" w:footer="720"/>
          <w:pgNumType w:fmt="lowerRoman"/>
          <w:cols w:space="720"/>
        </w:sectPr>
      </w:pPr>
    </w:p>
    <w:p>
      <w:pPr>
        <w:pStyle w:val="Heading1"/>
        <w:ind w:left="720"/>
        <w:rPr>
          <w:szCs w:val="24"/>
        </w:rPr>
      </w:pPr>
      <w:bookmarkStart w:id="4" w:name="_Toc147923022"/>
      <w:r>
        <w:rPr>
          <w:rFonts w:ascii="Times New Roman"/>
          <w:b/>
          <w:i w:val="0"/>
          <w:strike w:val="0"/>
          <w:dstrike w:val="0"/>
          <w:emboss w:val="0"/>
          <w:imprint w:val="0"/>
          <w:outline w:val="0"/>
          <w:shadow w:val="0"/>
          <w:sz w:val="24"/>
          <w:szCs w:val="24"/>
          <w:u w:val="none"/>
        </w:rPr>
        <w:lastRenderedPageBreak/>
        <w:t xml:space="preserve">ACKNOWLEDGEMENTS</w:t>
      </w:r>
      <w:bookmarkEnd w:id="3"/>
    </w:p>
    <w:p>
      <w:pPr>
        <w:spacing w:line="480" w:lineRule="auto"/>
        <w:ind w:left="720"/>
        <w:jc w:val="both"/>
        <w:rPr>
          <w:rFonts w:hAnsi="Times New Roman" w:ascii="Times New Roman" w:cs="Times New Roman"/>
          <w:bCs/>
          <w:sz w:val="24"/>
        </w:rPr>
      </w:pPr>
      <w:r>
        <w:rPr>
          <w:rFonts w:hAnsi="Times New Roman" w:ascii="Times New Roman" w:cs="Times New Roman"/>
          <w:b w:val="0"/>
          <w:bCs/>
          <w:i w:val="0"/>
          <w:strike w:val="0"/>
          <w:dstrike w:val="0"/>
          <w:emboss w:val="0"/>
          <w:imprint w:val="0"/>
          <w:outline w:val="0"/>
          <w:shadow w:val="0"/>
          <w:sz w:val="24"/>
          <w:szCs w:val="24"/>
          <w:u w:val="none"/>
        </w:rPr>
        <w:t xml:space="preserve">I thank the Almighty God for his loving kindness, grace, and protection in my life. I am most grateful to my supervisor, Prof. Africanus Lewil Diedong, for his insightful comments and supervisory role, which propelled and strengthened me to produce this work. Without him, it would have been impossible to achieve this. Credit also goes to the Department of Communication Studies lecturers for their support rendered during my study for this program. To my good friend, Momori Osman of UBIDS, I thank you for your encouragement.</w:t>
      </w:r>
    </w:p>
    <w:p>
      <w:pPr>
        <w:spacing w:line="480" w:lineRule="auto"/>
        <w:ind w:left="720"/>
        <w:jc w:val="both"/>
        <w:rPr>
          <w:rFonts w:hAnsi="Times New Roman" w:ascii="Times New Roman" w:cs="Times New Roman"/>
          <w:bCs/>
          <w:sz w:val="24"/>
        </w:rPr>
      </w:pPr>
      <w:r>
        <w:rPr>
          <w:rFonts w:hAnsi="Times New Roman" w:ascii="Times New Roman" w:cs="Times New Roman"/>
          <w:b w:val="0"/>
          <w:bCs/>
          <w:i w:val="0"/>
          <w:strike w:val="0"/>
          <w:dstrike w:val="0"/>
          <w:emboss w:val="0"/>
          <w:imprint w:val="0"/>
          <w:outline w:val="0"/>
          <w:shadow w:val="0"/>
          <w:sz w:val="24"/>
          <w:szCs w:val="24"/>
          <w:u w:val="none"/>
        </w:rPr>
        <w:t xml:space="preserve">I also acknowledge Dr. Justine G. Tuolong and his team for their contribution to the data collection and analysis.  It was a journey that you helped me travel.</w:t>
      </w:r>
    </w:p>
    <w:p>
      <w:pPr>
        <w:spacing w:line="480" w:lineRule="auto"/>
        <w:ind w:left="720"/>
        <w:jc w:val="both"/>
        <w:rPr>
          <w:rFonts w:hAnsi="Times New Roman" w:ascii="Times New Roman" w:cs="Times New Roman"/>
          <w:bCs/>
          <w:sz w:val="24"/>
        </w:rPr>
      </w:pPr>
      <w:r>
        <w:rPr>
          <w:rFonts w:hAnsi="Times New Roman" w:ascii="Times New Roman" w:cs="Times New Roman"/>
          <w:b w:val="0"/>
          <w:bCs/>
          <w:i w:val="0"/>
          <w:strike w:val="0"/>
          <w:dstrike w:val="0"/>
          <w:emboss w:val="0"/>
          <w:imprint w:val="0"/>
          <w:outline w:val="0"/>
          <w:shadow w:val="0"/>
          <w:sz w:val="24"/>
          <w:szCs w:val="24"/>
          <w:u w:val="none"/>
        </w:rPr>
        <w:t xml:space="preserve">Finally, I acknowledge my wife and children for bearing me during the moments of tension. It was their support that moved me this far. I would like to thank all you.</w:t>
      </w:r>
    </w:p>
    <w:p>
      <w:pPr>
        <w:pStyle w:val="Heading1"/>
        <w:ind w:left="720"/>
        <w:sectPr w:rsidR="00455D00" w:rsidRPr="00136D7B" w:rsidSect="00F863B3">
          <w:pgSz w:w="12240" w:h="15840"/>
          <w:pgMar w:top="1440" w:right="1440" w:bottom="1440" w:left="1440" w:header="720" w:footer="720"/>
          <w:pgNumType w:fmt="lowerRoman"/>
          <w:cols w:space="720"/>
        </w:sectPr>
      </w:pPr>
    </w:p>
    <w:p/>
    <w:p>
      <w:pPr>
        <w:pStyle w:val="Heading1"/>
        <w:ind w:left="720"/>
      </w:pPr>
      <w:bookmarkStart w:id="5" w:name="_Toc126737793"/>
      <w:bookmarkStart w:id="6" w:name="_Toc147923023"/>
      <w:r>
        <w:rPr>
          <w:rFonts w:ascii="Times New Roman"/>
          <w:b/>
          <w:i w:val="0"/>
          <w:strike w:val="0"/>
          <w:dstrike w:val="0"/>
          <w:emboss w:val="0"/>
          <w:imprint w:val="0"/>
          <w:outline w:val="0"/>
          <w:shadow w:val="0"/>
          <w:sz w:val="24"/>
          <w:szCs w:val="24"/>
          <w:u w:val="none"/>
        </w:rPr>
        <w:t xml:space="preserve">DEDICATION</w:t>
      </w:r>
      <w:bookmarkEnd w:id="5"/>
    </w:p>
    <w:p>
      <w:pPr>
        <w:spacing w:line="480" w:lineRule="auto"/>
        <w:ind w:left="720"/>
        <w:jc w:val="both"/>
        <w:rPr>
          <w:rFonts w:hAnsi="Times New Roman" w:ascii="Times New Roman" w:cs="Times New Roman"/>
          <w:bCs/>
          <w:sz w:val="24"/>
        </w:rPr>
      </w:pPr>
      <w:r>
        <w:rPr>
          <w:rFonts w:hAnsi="Times New Roman" w:ascii="Times New Roman" w:cs="Times New Roman"/>
          <w:b w:val="0"/>
          <w:bCs/>
          <w:i w:val="0"/>
          <w:strike w:val="0"/>
          <w:dstrike w:val="0"/>
          <w:emboss w:val="0"/>
          <w:imprint w:val="0"/>
          <w:outline w:val="0"/>
          <w:shadow w:val="0"/>
          <w:sz w:val="24"/>
          <w:szCs w:val="24"/>
          <w:u w:val="none"/>
        </w:rPr>
        <w:t xml:space="preserve">I wish to dedicate this thesis work to my mother, wife, and children for their dedication and desire to see me reach the greatest height in my education.</w:t>
      </w:r>
    </w:p>
    <w:p>
      <w:pPr>
        <w:spacing w:line="480" w:lineRule="auto"/>
        <w:ind w:left="720"/>
        <w:jc w:val="both"/>
        <w:rPr>
          <w:rFonts w:hAnsi="Times New Roman" w:ascii="Times New Roman" w:cs="Times New Roman"/>
          <w:bCs/>
          <w:sz w:val="24"/>
        </w:rPr>
        <w:sectPr w:rsidR="00455D00" w:rsidRPr="00136D7B" w:rsidSect="00F863B3">
          <w:pgSz w:w="12240" w:h="15840"/>
          <w:pgMar w:top="1440" w:right="1440" w:bottom="1440" w:left="1440" w:header="720" w:footer="720"/>
          <w:pgNumType w:fmt="lowerRoman"/>
          <w:cols w:space="720"/>
        </w:sectPr>
      </w:pPr>
    </w:p>
    <w:sdt>
      <w:sdtPr>
        <w:rPr>
          <w:rFonts w:ascii="Times New Roman" w:eastAsiaTheme="minorHAnsi" w:hAnsi="Times New Roman" w:cs="Times New Roman"/>
          <w:b w:val="0"/>
          <w:color w:val="auto"/>
          <w:sz w:val="24"/>
          <w:szCs w:val="24"/>
        </w:rPr>
        <w:id w:val="1762798810"/>
        <w:docPartObj>
          <w:docPartGallery w:val="Table of Contents"/>
          <w:docPartUnique/>
        </w:docPartObj>
      </w:sdtPr>
      <w:sdtEndPr>
        <w:rPr>
          <w:bCs/>
          <w:noProof/>
        </w:rPr>
      </w:sdtEndPr>
      <w:sdtContent>
        <w:p>
          <w:pPr>
            <w:pStyle w:val="TOCHeading"/>
            <w:spacing w:line="480" w:lineRule="auto"/>
            <w:rPr>
              <w:color w:val="auto"/>
              <w:rFonts w:hAnsi="Times New Roman" w:ascii="Times New Roman" w:cs="Times New Roman"/>
              <w:sz w:val="24"/>
              <w:szCs w:val="24"/>
            </w:rPr>
          </w:pPr>
          <w:r>
            <w:rPr>
              <w:color w:val="auto"/>
              <w:rFonts w:hAnsi="Times New Roman" w:ascii="Times New Roman" w:cs="Times New Roman"/>
              <w:b/>
              <w:i w:val="0"/>
              <w:strike w:val="0"/>
              <w:dstrike w:val="0"/>
              <w:emboss w:val="0"/>
              <w:imprint w:val="0"/>
              <w:outline w:val="0"/>
              <w:shadow w:val="0"/>
              <w:sz w:val="24"/>
              <w:szCs w:val="24"/>
              <w:u w:val="none"/>
            </w:rPr>
            <w:t xml:space="preserve">Table of Contents</w:t>
            <w:tab/>
            <w:tab/>
            <w:tab/>
            <w:tab/>
            <w:tab/>
            <w:tab/>
            <w:tab/>
            <w:tab/>
            <w:tab/>
            <w:tab/>
            <w:t xml:space="preserve">   Page</w:t>
          </w:r>
        </w:p>
        <w:p>
          <w:pPr>
            <w:pStyle w:val="TOC2"/>
            <w:rPr>
              <w:rFonts w:hAnsiTheme="minorHAnsi" w:asciiTheme="minorHAnsi" w:eastAsiaTheme="minorEastAsia"/>
              <w:sz w:val="22"/>
              <w:szCs w:val="22"/>
            </w:rPr>
          </w:pPr>
          <w:r>
            <w:fldChar w:fldCharType="begin"/>
          </w:r>
          <w:r>
            <w:instrText xml:space="preserve"> TOC \o "1-3" \h \z \u </w:instrText>
          </w:r>
          <w:r>
            <w:fldChar w:fldCharType="separate"/>
          </w:r>
          <w:hyperlink w:anchor="_Toc147923020">
            <w:r>
              <w:rPr>
                <w:rStyle w:val="Hyperlink"/>
                <w:rFonts w:ascii="Times New Roman"/>
                <w:b w:val="0"/>
                <w:i w:val="0"/>
                <w:strike w:val="0"/>
                <w:dstrike w:val="0"/>
                <w:emboss w:val="0"/>
                <w:imprint w:val="0"/>
                <w:outline w:val="0"/>
                <w:shadow w:val="0"/>
                <w:sz w:val="24"/>
                <w:szCs w:val="24"/>
                <w:u w:val="none"/>
              </w:rPr>
              <w:t xml:space="preserve">DECLARATION</w:t>
              <w:tab/>
            </w:r>
            <w:r>
              <w:fldChar w:fldCharType="begin"/>
            </w:r>
            <w:r>
              <w:instrText xml:space="preserve"> PAGEREF _Toc147923020 \h </w:instrText>
            </w:r>
            <w:r>
              <w:fldChar w:fldCharType="separate"/>
            </w:r>
            <w:r>
              <w:rPr>
                <w:rFonts w:ascii="Times New Roman"/>
                <w:b w:val="0"/>
                <w:i w:val="0"/>
                <w:strike w:val="0"/>
                <w:dstrike w:val="0"/>
                <w:emboss w:val="0"/>
                <w:imprint w:val="0"/>
                <w:outline w:val="0"/>
                <w:shadow w:val="0"/>
                <w:sz w:val="24"/>
                <w:szCs w:val="24"/>
                <w:u w:val="none"/>
              </w:rPr>
              <w:t xml:space="preserve">i</w:t>
            </w:r>
            <w:r>
              <w:fldChar w:fldCharType="end"/>
            </w:r>
          </w:hyperlink>
        </w:p>
        <w:p>
          <w:pPr>
            <w:pStyle w:val="TOC1"/>
            <w:rPr>
              <w:rFonts w:hAnsiTheme="minorHAnsi" w:asciiTheme="minorHAnsi" w:eastAsiaTheme="minorEastAsia"/>
              <w:b w:val="0"/>
              <w:bCs w:val="0"/>
              <w:sz w:val="22"/>
            </w:rPr>
          </w:pPr>
          <w:hyperlink w:anchor="_Toc147923021">
            <w:r>
              <w:rPr>
                <w:rStyle w:val="Hyperlink"/>
                <w:rFonts w:ascii="Times New Roman"/>
                <w:b w:val="0"/>
                <w:bCs w:val="0"/>
                <w:i w:val="0"/>
                <w:strike w:val="0"/>
                <w:dstrike w:val="0"/>
                <w:emboss w:val="0"/>
                <w:imprint w:val="0"/>
                <w:outline w:val="0"/>
                <w:shadow w:val="0"/>
                <w:sz w:val="24"/>
                <w:szCs w:val="24"/>
                <w:u w:val="none"/>
              </w:rPr>
              <w:t xml:space="preserve">ABSTRACT</w:t>
              <w:tab/>
            </w:r>
            <w:r>
              <w:rPr>
                <w:b w:val="0"/>
                <w:bCs w:val="0"/>
              </w:rPr>
              <w:fldChar w:fldCharType="begin"/>
            </w:r>
            <w:r>
              <w:rPr>
                <w:b w:val="0"/>
                <w:bCs w:val="0"/>
              </w:rPr>
              <w:instrText xml:space="preserve"> PAGEREF _Toc147923021 \h </w:instrText>
            </w:r>
            <w:r>
              <w:rPr>
                <w:b w:val="0"/>
                <w:bCs w:val="0"/>
              </w:rPr>
              <w:fldChar w:fldCharType="separate"/>
            </w:r>
            <w:r>
              <w:rPr>
                <w:rFonts w:ascii="Times New Roman"/>
                <w:b w:val="0"/>
                <w:bCs w:val="0"/>
                <w:i w:val="0"/>
                <w:strike w:val="0"/>
                <w:dstrike w:val="0"/>
                <w:emboss w:val="0"/>
                <w:imprint w:val="0"/>
                <w:outline w:val="0"/>
                <w:shadow w:val="0"/>
                <w:sz w:val="24"/>
                <w:szCs w:val="24"/>
                <w:u w:val="none"/>
              </w:rPr>
              <w:t xml:space="preserve">ii</w:t>
            </w:r>
            <w:r>
              <w:rPr>
                <w:b w:val="0"/>
                <w:bCs w:val="0"/>
              </w:rPr>
              <w:fldChar w:fldCharType="end"/>
            </w:r>
          </w:hyperlink>
        </w:p>
        <w:p>
          <w:pPr>
            <w:pStyle w:val="TOC1"/>
            <w:rPr>
              <w:rFonts w:hAnsiTheme="minorHAnsi" w:asciiTheme="minorHAnsi" w:eastAsiaTheme="minorEastAsia"/>
              <w:b w:val="0"/>
              <w:bCs w:val="0"/>
              <w:sz w:val="22"/>
            </w:rPr>
          </w:pPr>
          <w:hyperlink w:anchor="_Toc147923022">
            <w:r>
              <w:rPr>
                <w:rStyle w:val="Hyperlink"/>
                <w:rFonts w:ascii="Times New Roman"/>
                <w:b w:val="0"/>
                <w:bCs w:val="0"/>
                <w:i w:val="0"/>
                <w:strike w:val="0"/>
                <w:dstrike w:val="0"/>
                <w:emboss w:val="0"/>
                <w:imprint w:val="0"/>
                <w:outline w:val="0"/>
                <w:shadow w:val="0"/>
                <w:sz w:val="24"/>
                <w:szCs w:val="24"/>
                <w:u w:val="none"/>
              </w:rPr>
              <w:t xml:space="preserve">ACKNOWLEDGEMENTS</w:t>
              <w:tab/>
            </w:r>
            <w:r>
              <w:rPr>
                <w:b w:val="0"/>
                <w:bCs w:val="0"/>
              </w:rPr>
              <w:fldChar w:fldCharType="begin"/>
            </w:r>
            <w:r>
              <w:rPr>
                <w:b w:val="0"/>
                <w:bCs w:val="0"/>
              </w:rPr>
              <w:instrText xml:space="preserve"> PAGEREF _Toc147923022 \h </w:instrText>
            </w:r>
            <w:r>
              <w:rPr>
                <w:b w:val="0"/>
                <w:bCs w:val="0"/>
              </w:rPr>
              <w:fldChar w:fldCharType="separate"/>
            </w:r>
            <w:r>
              <w:rPr>
                <w:rFonts w:ascii="Times New Roman"/>
                <w:b w:val="0"/>
                <w:bCs w:val="0"/>
                <w:i w:val="0"/>
                <w:strike w:val="0"/>
                <w:dstrike w:val="0"/>
                <w:emboss w:val="0"/>
                <w:imprint w:val="0"/>
                <w:outline w:val="0"/>
                <w:shadow w:val="0"/>
                <w:sz w:val="24"/>
                <w:szCs w:val="24"/>
                <w:u w:val="none"/>
              </w:rPr>
              <w:t xml:space="preserve">iii</w:t>
            </w:r>
            <w:r>
              <w:rPr>
                <w:b w:val="0"/>
                <w:bCs w:val="0"/>
              </w:rPr>
              <w:fldChar w:fldCharType="end"/>
            </w:r>
          </w:hyperlink>
        </w:p>
        <w:p>
          <w:pPr>
            <w:pStyle w:val="TOC1"/>
            <w:rPr>
              <w:rFonts w:hAnsiTheme="minorHAnsi" w:asciiTheme="minorHAnsi" w:eastAsiaTheme="minorEastAsia"/>
              <w:b w:val="0"/>
              <w:bCs w:val="0"/>
              <w:sz w:val="22"/>
            </w:rPr>
          </w:pPr>
          <w:hyperlink w:anchor="_Toc147923023">
            <w:r>
              <w:rPr>
                <w:rStyle w:val="Hyperlink"/>
                <w:rFonts w:ascii="Times New Roman"/>
                <w:b w:val="0"/>
                <w:bCs w:val="0"/>
                <w:i w:val="0"/>
                <w:strike w:val="0"/>
                <w:dstrike w:val="0"/>
                <w:emboss w:val="0"/>
                <w:imprint w:val="0"/>
                <w:outline w:val="0"/>
                <w:shadow w:val="0"/>
                <w:sz w:val="24"/>
                <w:szCs w:val="24"/>
                <w:u w:val="none"/>
              </w:rPr>
              <w:t xml:space="preserve">DEDICATION</w:t>
              <w:tab/>
            </w:r>
            <w:r>
              <w:rPr>
                <w:b w:val="0"/>
                <w:bCs w:val="0"/>
              </w:rPr>
              <w:fldChar w:fldCharType="begin"/>
            </w:r>
            <w:r>
              <w:rPr>
                <w:b w:val="0"/>
                <w:bCs w:val="0"/>
              </w:rPr>
              <w:instrText xml:space="preserve"> PAGEREF _Toc147923023 \h </w:instrText>
            </w:r>
            <w:r>
              <w:rPr>
                <w:b w:val="0"/>
                <w:bCs w:val="0"/>
              </w:rPr>
              <w:fldChar w:fldCharType="separate"/>
            </w:r>
            <w:r>
              <w:rPr>
                <w:rFonts w:ascii="Times New Roman"/>
                <w:b w:val="0"/>
                <w:bCs w:val="0"/>
                <w:i w:val="0"/>
                <w:strike w:val="0"/>
                <w:dstrike w:val="0"/>
                <w:emboss w:val="0"/>
                <w:imprint w:val="0"/>
                <w:outline w:val="0"/>
                <w:shadow w:val="0"/>
                <w:sz w:val="24"/>
                <w:szCs w:val="24"/>
                <w:u w:val="none"/>
              </w:rPr>
              <w:t xml:space="preserve">iv</w:t>
            </w:r>
            <w:r>
              <w:rPr>
                <w:b w:val="0"/>
                <w:bCs w:val="0"/>
              </w:rPr>
              <w:fldChar w:fldCharType="end"/>
            </w:r>
          </w:hyperlink>
        </w:p>
        <w:p>
          <w:pPr>
            <w:pStyle w:val="TOC1"/>
            <w:rPr>
              <w:rFonts w:hAnsiTheme="minorHAnsi" w:asciiTheme="minorHAnsi" w:eastAsiaTheme="minorEastAsia"/>
              <w:b w:val="0"/>
              <w:bCs w:val="0"/>
              <w:sz w:val="22"/>
            </w:rPr>
          </w:pPr>
          <w:hyperlink w:anchor="_Toc147923024">
            <w:r>
              <w:rPr>
                <w:rStyle w:val="Hyperlink"/>
                <w:rFonts w:ascii="Times New Roman"/>
                <w:b w:val="0"/>
                <w:bCs w:val="0"/>
                <w:i w:val="0"/>
                <w:strike w:val="0"/>
                <w:dstrike w:val="0"/>
                <w:emboss w:val="0"/>
                <w:imprint w:val="0"/>
                <w:outline w:val="0"/>
                <w:shadow w:val="0"/>
                <w:sz w:val="24"/>
                <w:szCs w:val="24"/>
                <w:u w:val="none"/>
              </w:rPr>
              <w:t xml:space="preserve">LIST OF TABLES</w:t>
              <w:tab/>
            </w:r>
            <w:r>
              <w:rPr>
                <w:b w:val="0"/>
                <w:bCs w:val="0"/>
              </w:rPr>
              <w:fldChar w:fldCharType="begin"/>
            </w:r>
            <w:r>
              <w:rPr>
                <w:b w:val="0"/>
                <w:bCs w:val="0"/>
              </w:rPr>
              <w:instrText xml:space="preserve"> PAGEREF _Toc147923024 \h </w:instrText>
            </w:r>
            <w:r>
              <w:rPr>
                <w:b w:val="0"/>
                <w:bCs w:val="0"/>
              </w:rPr>
              <w:fldChar w:fldCharType="separate"/>
            </w:r>
            <w:r>
              <w:rPr>
                <w:rFonts w:ascii="Times New Roman"/>
                <w:b w:val="0"/>
                <w:bCs w:val="0"/>
                <w:i w:val="0"/>
                <w:strike w:val="0"/>
                <w:dstrike w:val="0"/>
                <w:emboss w:val="0"/>
                <w:imprint w:val="0"/>
                <w:outline w:val="0"/>
                <w:shadow w:val="0"/>
                <w:sz w:val="24"/>
                <w:szCs w:val="24"/>
                <w:u w:val="none"/>
              </w:rPr>
              <w:t xml:space="preserve">viii</w:t>
            </w:r>
            <w:r>
              <w:rPr>
                <w:b w:val="0"/>
                <w:bCs w:val="0"/>
              </w:rPr>
              <w:fldChar w:fldCharType="end"/>
            </w:r>
          </w:hyperlink>
        </w:p>
        <w:p>
          <w:pPr>
            <w:pStyle w:val="TOC1"/>
            <w:rPr>
              <w:rFonts w:hAnsiTheme="minorHAnsi" w:asciiTheme="minorHAnsi" w:eastAsiaTheme="minorEastAsia"/>
              <w:b w:val="0"/>
              <w:bCs w:val="0"/>
              <w:sz w:val="22"/>
            </w:rPr>
          </w:pPr>
          <w:hyperlink w:anchor="_Toc147923025">
            <w:r>
              <w:rPr>
                <w:rStyle w:val="Hyperlink"/>
                <w:rFonts w:ascii="Times New Roman"/>
                <w:b w:val="0"/>
                <w:bCs w:val="0"/>
                <w:i w:val="0"/>
                <w:strike w:val="0"/>
                <w:dstrike w:val="0"/>
                <w:emboss w:val="0"/>
                <w:imprint w:val="0"/>
                <w:outline w:val="0"/>
                <w:shadow w:val="0"/>
                <w:sz w:val="24"/>
                <w:szCs w:val="24"/>
                <w:u w:val="none"/>
              </w:rPr>
              <w:t xml:space="preserve">LIST OF FIGURES</w:t>
              <w:tab/>
            </w:r>
            <w:r>
              <w:rPr>
                <w:b w:val="0"/>
                <w:bCs w:val="0"/>
              </w:rPr>
              <w:fldChar w:fldCharType="begin"/>
            </w:r>
            <w:r>
              <w:rPr>
                <w:b w:val="0"/>
                <w:bCs w:val="0"/>
              </w:rPr>
              <w:instrText xml:space="preserve"> PAGEREF _Toc147923025 \h </w:instrText>
            </w:r>
            <w:r>
              <w:rPr>
                <w:b w:val="0"/>
                <w:bCs w:val="0"/>
              </w:rPr>
              <w:fldChar w:fldCharType="separate"/>
            </w:r>
            <w:r>
              <w:rPr>
                <w:rFonts w:ascii="Times New Roman"/>
                <w:b w:val="0"/>
                <w:bCs w:val="0"/>
                <w:i w:val="0"/>
                <w:strike w:val="0"/>
                <w:dstrike w:val="0"/>
                <w:emboss w:val="0"/>
                <w:imprint w:val="0"/>
                <w:outline w:val="0"/>
                <w:shadow w:val="0"/>
                <w:sz w:val="24"/>
                <w:szCs w:val="24"/>
                <w:u w:val="none"/>
              </w:rPr>
              <w:t xml:space="preserve">ix</w:t>
            </w:r>
            <w:r>
              <w:rPr>
                <w:b w:val="0"/>
                <w:bCs w:val="0"/>
              </w:rPr>
              <w:fldChar w:fldCharType="end"/>
            </w:r>
          </w:hyperlink>
        </w:p>
        <w:p>
          <w:pPr>
            <w:pStyle w:val="TOC1"/>
            <w:rPr>
              <w:rFonts w:hAnsiTheme="minorHAnsi" w:asciiTheme="minorHAnsi" w:eastAsiaTheme="minorEastAsia"/>
              <w:b w:val="0"/>
              <w:bCs w:val="0"/>
              <w:sz w:val="22"/>
            </w:rPr>
          </w:pPr>
          <w:hyperlink w:anchor="_Toc147923026">
            <w:r>
              <w:rPr>
                <w:rStyle w:val="Hyperlink"/>
                <w:rFonts w:ascii="Times New Roman"/>
                <w:b w:val="0"/>
                <w:bCs w:val="0"/>
                <w:i w:val="0"/>
                <w:strike w:val="0"/>
                <w:dstrike w:val="0"/>
                <w:emboss w:val="0"/>
                <w:imprint w:val="0"/>
                <w:outline w:val="0"/>
                <w:shadow w:val="0"/>
                <w:sz w:val="24"/>
                <w:szCs w:val="24"/>
                <w:u w:val="none"/>
              </w:rPr>
              <w:t xml:space="preserve">LIST OF ABBREVIATIONS</w:t>
              <w:tab/>
            </w:r>
            <w:r>
              <w:rPr>
                <w:b w:val="0"/>
                <w:bCs w:val="0"/>
              </w:rPr>
              <w:fldChar w:fldCharType="begin"/>
            </w:r>
            <w:r>
              <w:rPr>
                <w:b w:val="0"/>
                <w:bCs w:val="0"/>
              </w:rPr>
              <w:instrText xml:space="preserve"> PAGEREF _Toc147923026 \h </w:instrText>
            </w:r>
            <w:r>
              <w:rPr>
                <w:b w:val="0"/>
                <w:bCs w:val="0"/>
              </w:rPr>
              <w:fldChar w:fldCharType="separate"/>
            </w:r>
            <w:r>
              <w:rPr>
                <w:rFonts w:ascii="Times New Roman"/>
                <w:b w:val="0"/>
                <w:bCs w:val="0"/>
                <w:i w:val="0"/>
                <w:strike w:val="0"/>
                <w:dstrike w:val="0"/>
                <w:emboss w:val="0"/>
                <w:imprint w:val="0"/>
                <w:outline w:val="0"/>
                <w:shadow w:val="0"/>
                <w:sz w:val="24"/>
                <w:szCs w:val="24"/>
                <w:u w:val="none"/>
              </w:rPr>
              <w:t xml:space="preserve">x</w:t>
            </w:r>
            <w:r>
              <w:rPr>
                <w:b w:val="0"/>
                <w:bCs w:val="0"/>
              </w:rPr>
              <w:fldChar w:fldCharType="end"/>
            </w:r>
          </w:hyperlink>
        </w:p>
        <w:p>
          <w:pPr>
            <w:pStyle w:val="TOC1"/>
            <w:rPr>
              <w:rFonts w:hAnsiTheme="minorHAnsi" w:asciiTheme="minorHAnsi" w:eastAsiaTheme="minorEastAsia"/>
              <w:b w:val="0"/>
              <w:bCs w:val="0"/>
              <w:sz w:val="22"/>
            </w:rPr>
          </w:pPr>
          <w:hyperlink w:anchor="_Toc147923027">
            <w:r>
              <w:rPr>
                <w:rStyle w:val="Hyperlink"/>
                <w:rFonts w:ascii="Times New Roman"/>
                <w:b/>
                <w:i w:val="0"/>
                <w:strike w:val="0"/>
                <w:dstrike w:val="0"/>
                <w:emboss w:val="0"/>
                <w:imprint w:val="0"/>
                <w:outline w:val="0"/>
                <w:shadow w:val="0"/>
                <w:sz w:val="24"/>
                <w:szCs w:val="24"/>
                <w:u w:val="none"/>
              </w:rPr>
              <w:t xml:space="preserve">CHAPTER ONE</w:t>
              <w:tab/>
            </w:r>
            <w:r>
              <w:fldChar w:fldCharType="begin"/>
            </w:r>
            <w:r>
              <w:instrText xml:space="preserve"> PAGEREF _Toc147923027 \h </w:instrText>
            </w:r>
            <w:r>
              <w:fldChar w:fldCharType="separate"/>
            </w:r>
            <w:r>
              <w:rPr>
                <w:rFonts w:ascii="Times New Roman"/>
                <w:b/>
                <w:i w:val="0"/>
                <w:strike w:val="0"/>
                <w:dstrike w:val="0"/>
                <w:emboss w:val="0"/>
                <w:imprint w:val="0"/>
                <w:outline w:val="0"/>
                <w:shadow w:val="0"/>
                <w:sz w:val="24"/>
                <w:szCs w:val="24"/>
                <w:u w:val="none"/>
              </w:rPr>
              <w:t xml:space="preserve">1</w:t>
            </w:r>
            <w:r>
              <w:fldChar w:fldCharType="end"/>
            </w:r>
          </w:hyperlink>
        </w:p>
        <w:p>
          <w:pPr>
            <w:pStyle w:val="TOC1"/>
            <w:rPr>
              <w:rFonts w:hAnsiTheme="minorHAnsi" w:asciiTheme="minorHAnsi" w:eastAsiaTheme="minorEastAsia"/>
              <w:b w:val="0"/>
              <w:bCs w:val="0"/>
              <w:sz w:val="22"/>
            </w:rPr>
          </w:pPr>
          <w:hyperlink w:anchor="_Toc147923028">
            <w:r>
              <w:rPr>
                <w:rStyle w:val="Hyperlink"/>
                <w:rFonts w:ascii="Times New Roman"/>
                <w:b/>
                <w:i w:val="0"/>
                <w:strike w:val="0"/>
                <w:dstrike w:val="0"/>
                <w:emboss w:val="0"/>
                <w:imprint w:val="0"/>
                <w:outline w:val="0"/>
                <w:shadow w:val="0"/>
                <w:sz w:val="24"/>
                <w:szCs w:val="24"/>
                <w:u w:val="none"/>
              </w:rPr>
              <w:t xml:space="preserve">INTRODUCTION</w:t>
              <w:tab/>
            </w:r>
            <w:r>
              <w:fldChar w:fldCharType="begin"/>
            </w:r>
            <w:r>
              <w:instrText xml:space="preserve"> PAGEREF _Toc147923028 \h </w:instrText>
            </w:r>
            <w:r>
              <w:fldChar w:fldCharType="separate"/>
            </w:r>
            <w:r>
              <w:rPr>
                <w:rFonts w:ascii="Times New Roman"/>
                <w:b/>
                <w:i w:val="0"/>
                <w:strike w:val="0"/>
                <w:dstrike w:val="0"/>
                <w:emboss w:val="0"/>
                <w:imprint w:val="0"/>
                <w:outline w:val="0"/>
                <w:shadow w:val="0"/>
                <w:sz w:val="24"/>
                <w:szCs w:val="24"/>
                <w:u w:val="none"/>
              </w:rPr>
              <w:t xml:space="preserve">1</w:t>
            </w:r>
            <w:r>
              <w:fldChar w:fldCharType="end"/>
            </w:r>
          </w:hyperlink>
        </w:p>
        <w:p>
          <w:pPr>
            <w:pStyle w:val="TOC2"/>
            <w:rPr>
              <w:rFonts w:hAnsiTheme="minorHAnsi" w:asciiTheme="minorHAnsi" w:eastAsiaTheme="minorEastAsia"/>
              <w:sz w:val="22"/>
              <w:szCs w:val="22"/>
            </w:rPr>
          </w:pPr>
          <w:hyperlink w:anchor="_Toc147923029">
            <w:r>
              <w:rPr>
                <w:rStyle w:val="Hyperlink"/>
                <w:rFonts w:ascii="Times New Roman"/>
                <w:b w:val="0"/>
                <w:i w:val="0"/>
                <w:strike w:val="0"/>
                <w:dstrike w:val="0"/>
                <w:emboss w:val="0"/>
                <w:imprint w:val="0"/>
                <w:outline w:val="0"/>
                <w:shadow w:val="0"/>
                <w:sz w:val="24"/>
                <w:szCs w:val="24"/>
                <w:u w:val="none"/>
              </w:rPr>
              <w:t xml:space="preserve">1.2 Problem Statement</w:t>
              <w:tab/>
            </w:r>
            <w:r>
              <w:fldChar w:fldCharType="begin"/>
            </w:r>
            <w:r>
              <w:instrText xml:space="preserve"> PAGEREF _Toc147923029 \h </w:instrText>
            </w:r>
            <w:r>
              <w:fldChar w:fldCharType="separate"/>
            </w:r>
            <w:r>
              <w:rPr>
                <w:rFonts w:ascii="Times New Roman"/>
                <w:b w:val="0"/>
                <w:i w:val="0"/>
                <w:strike w:val="0"/>
                <w:dstrike w:val="0"/>
                <w:emboss w:val="0"/>
                <w:imprint w:val="0"/>
                <w:outline w:val="0"/>
                <w:shadow w:val="0"/>
                <w:sz w:val="24"/>
                <w:szCs w:val="24"/>
                <w:u w:val="none"/>
              </w:rPr>
              <w:t xml:space="preserve">5</w:t>
            </w:r>
            <w:r>
              <w:fldChar w:fldCharType="end"/>
            </w:r>
          </w:hyperlink>
        </w:p>
        <w:p>
          <w:pPr>
            <w:pStyle w:val="TOC2"/>
            <w:rPr>
              <w:rFonts w:hAnsiTheme="minorHAnsi" w:asciiTheme="minorHAnsi" w:eastAsiaTheme="minorEastAsia"/>
              <w:sz w:val="22"/>
              <w:szCs w:val="22"/>
            </w:rPr>
          </w:pPr>
          <w:hyperlink w:anchor="_Toc147923030">
            <w:r>
              <w:rPr>
                <w:rStyle w:val="Hyperlink"/>
                <w:rFonts w:ascii="Times New Roman"/>
                <w:b w:val="0"/>
                <w:i w:val="0"/>
                <w:strike w:val="0"/>
                <w:dstrike w:val="0"/>
                <w:emboss w:val="0"/>
                <w:imprint w:val="0"/>
                <w:outline w:val="0"/>
                <w:shadow w:val="0"/>
                <w:sz w:val="24"/>
                <w:szCs w:val="24"/>
                <w:u w:val="none"/>
              </w:rPr>
              <w:t xml:space="preserve">1.3 Research Questions</w:t>
              <w:tab/>
            </w:r>
            <w:r>
              <w:fldChar w:fldCharType="begin"/>
            </w:r>
            <w:r>
              <w:instrText xml:space="preserve"> PAGEREF _Toc147923030 \h </w:instrText>
            </w:r>
            <w:r>
              <w:fldChar w:fldCharType="separate"/>
            </w:r>
            <w:r>
              <w:rPr>
                <w:rFonts w:ascii="Times New Roman"/>
                <w:b w:val="0"/>
                <w:i w:val="0"/>
                <w:strike w:val="0"/>
                <w:dstrike w:val="0"/>
                <w:emboss w:val="0"/>
                <w:imprint w:val="0"/>
                <w:outline w:val="0"/>
                <w:shadow w:val="0"/>
                <w:sz w:val="24"/>
                <w:szCs w:val="24"/>
                <w:u w:val="none"/>
              </w:rPr>
              <w:t xml:space="preserve">9</w:t>
            </w:r>
            <w:r>
              <w:fldChar w:fldCharType="end"/>
            </w:r>
          </w:hyperlink>
        </w:p>
        <w:p>
          <w:pPr>
            <w:pStyle w:val="TOC2"/>
            <w:rPr>
              <w:rFonts w:hAnsiTheme="minorHAnsi" w:asciiTheme="minorHAnsi" w:eastAsiaTheme="minorEastAsia"/>
              <w:sz w:val="22"/>
              <w:szCs w:val="22"/>
            </w:rPr>
          </w:pPr>
          <w:hyperlink w:anchor="_Toc147923031">
            <w:r>
              <w:rPr>
                <w:rStyle w:val="Hyperlink"/>
                <w:rFonts w:ascii="Times New Roman"/>
                <w:b w:val="0"/>
                <w:i w:val="0"/>
                <w:strike w:val="0"/>
                <w:dstrike w:val="0"/>
                <w:emboss w:val="0"/>
                <w:imprint w:val="0"/>
                <w:outline w:val="0"/>
                <w:shadow w:val="0"/>
                <w:sz w:val="24"/>
                <w:szCs w:val="24"/>
                <w:u w:val="none"/>
              </w:rPr>
              <w:t xml:space="preserve">1.4 Research Objectives</w:t>
              <w:tab/>
            </w:r>
            <w:r>
              <w:fldChar w:fldCharType="begin"/>
            </w:r>
            <w:r>
              <w:instrText xml:space="preserve"> PAGEREF _Toc147923031 \h </w:instrText>
            </w:r>
            <w:r>
              <w:fldChar w:fldCharType="separate"/>
            </w:r>
            <w:r>
              <w:rPr>
                <w:rFonts w:ascii="Times New Roman"/>
                <w:b w:val="0"/>
                <w:i w:val="0"/>
                <w:strike w:val="0"/>
                <w:dstrike w:val="0"/>
                <w:emboss w:val="0"/>
                <w:imprint w:val="0"/>
                <w:outline w:val="0"/>
                <w:shadow w:val="0"/>
                <w:sz w:val="24"/>
                <w:szCs w:val="24"/>
                <w:u w:val="none"/>
              </w:rPr>
              <w:t xml:space="preserve">9</w:t>
            </w:r>
            <w:r>
              <w:fldChar w:fldCharType="end"/>
            </w:r>
          </w:hyperlink>
        </w:p>
        <w:p>
          <w:pPr>
            <w:pStyle w:val="TOC2"/>
            <w:rPr>
              <w:rFonts w:hAnsiTheme="minorHAnsi" w:asciiTheme="minorHAnsi" w:eastAsiaTheme="minorEastAsia"/>
              <w:sz w:val="22"/>
              <w:szCs w:val="22"/>
            </w:rPr>
          </w:pPr>
          <w:hyperlink w:anchor="_Toc147923032">
            <w:r>
              <w:rPr>
                <w:rStyle w:val="Hyperlink"/>
                <w:rFonts w:ascii="Times New Roman"/>
                <w:b w:val="0"/>
                <w:i w:val="0"/>
                <w:strike w:val="0"/>
                <w:dstrike w:val="0"/>
                <w:emboss w:val="0"/>
                <w:imprint w:val="0"/>
                <w:outline w:val="0"/>
                <w:shadow w:val="0"/>
                <w:sz w:val="24"/>
                <w:szCs w:val="24"/>
                <w:u w:val="none"/>
              </w:rPr>
              <w:t xml:space="preserve">1.5 Significance of the Study</w:t>
              <w:tab/>
            </w:r>
            <w:r>
              <w:fldChar w:fldCharType="begin"/>
            </w:r>
            <w:r>
              <w:instrText xml:space="preserve"> PAGEREF _Toc147923032 \h </w:instrText>
            </w:r>
            <w:r>
              <w:fldChar w:fldCharType="separate"/>
            </w:r>
            <w:r>
              <w:rPr>
                <w:rFonts w:ascii="Times New Roman"/>
                <w:b w:val="0"/>
                <w:i w:val="0"/>
                <w:strike w:val="0"/>
                <w:dstrike w:val="0"/>
                <w:emboss w:val="0"/>
                <w:imprint w:val="0"/>
                <w:outline w:val="0"/>
                <w:shadow w:val="0"/>
                <w:sz w:val="24"/>
                <w:szCs w:val="24"/>
                <w:u w:val="none"/>
              </w:rPr>
              <w:t xml:space="preserve">10</w:t>
            </w:r>
            <w:r>
              <w:fldChar w:fldCharType="end"/>
            </w:r>
          </w:hyperlink>
        </w:p>
        <w:p>
          <w:pPr>
            <w:pStyle w:val="TOC2"/>
            <w:rPr>
              <w:rFonts w:hAnsiTheme="minorHAnsi" w:asciiTheme="minorHAnsi" w:eastAsiaTheme="minorEastAsia"/>
              <w:sz w:val="22"/>
              <w:szCs w:val="22"/>
            </w:rPr>
          </w:pPr>
          <w:hyperlink w:anchor="_Toc147923033">
            <w:r>
              <w:rPr>
                <w:rStyle w:val="Hyperlink"/>
                <w:rFonts w:ascii="Times New Roman"/>
                <w:b w:val="0"/>
                <w:i w:val="0"/>
                <w:strike w:val="0"/>
                <w:dstrike w:val="0"/>
                <w:emboss w:val="0"/>
                <w:imprint w:val="0"/>
                <w:outline w:val="0"/>
                <w:shadow w:val="0"/>
                <w:sz w:val="24"/>
                <w:szCs w:val="24"/>
                <w:u w:val="none"/>
              </w:rPr>
              <w:t xml:space="preserve">1.6 The Scope of the Study</w:t>
              <w:tab/>
            </w:r>
            <w:r>
              <w:fldChar w:fldCharType="begin"/>
            </w:r>
            <w:r>
              <w:instrText xml:space="preserve"> PAGEREF _Toc147923033 \h </w:instrText>
            </w:r>
            <w:r>
              <w:fldChar w:fldCharType="separate"/>
            </w:r>
            <w:r>
              <w:rPr>
                <w:rFonts w:ascii="Times New Roman"/>
                <w:b w:val="0"/>
                <w:i w:val="0"/>
                <w:strike w:val="0"/>
                <w:dstrike w:val="0"/>
                <w:emboss w:val="0"/>
                <w:imprint w:val="0"/>
                <w:outline w:val="0"/>
                <w:shadow w:val="0"/>
                <w:sz w:val="24"/>
                <w:szCs w:val="24"/>
                <w:u w:val="none"/>
              </w:rPr>
              <w:t xml:space="preserve">11</w:t>
            </w:r>
            <w:r>
              <w:fldChar w:fldCharType="end"/>
            </w:r>
          </w:hyperlink>
        </w:p>
        <w:p>
          <w:pPr>
            <w:pStyle w:val="TOC2"/>
            <w:rPr>
              <w:rFonts w:hAnsiTheme="minorHAnsi" w:asciiTheme="minorHAnsi" w:eastAsiaTheme="minorEastAsia"/>
              <w:sz w:val="22"/>
              <w:szCs w:val="22"/>
            </w:rPr>
          </w:pPr>
          <w:hyperlink w:anchor="_Toc147923034">
            <w:r>
              <w:rPr>
                <w:rStyle w:val="Hyperlink"/>
                <w:rFonts w:ascii="Times New Roman" w:eastAsia="Calibri"/>
                <w:b w:val="0"/>
                <w:i w:val="0"/>
                <w:strike w:val="0"/>
                <w:dstrike w:val="0"/>
                <w:emboss w:val="0"/>
                <w:imprint w:val="0"/>
                <w:outline w:val="0"/>
                <w:shadow w:val="0"/>
                <w:sz w:val="24"/>
                <w:szCs w:val="24"/>
                <w:u w:val="none"/>
              </w:rPr>
              <w:t xml:space="preserve">1.7 Organization of the Study</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_Toc147923034 \h </w:instrText>
            </w:r>
            <w:r>
              <w:fldChar w:fldCharType="separate"/>
            </w:r>
            <w:r>
              <w:rPr>
                <w:rFonts w:ascii="Times New Roman"/>
                <w:b w:val="0"/>
                <w:i w:val="0"/>
                <w:strike w:val="0"/>
                <w:dstrike w:val="0"/>
                <w:emboss w:val="0"/>
                <w:imprint w:val="0"/>
                <w:outline w:val="0"/>
                <w:shadow w:val="0"/>
                <w:sz w:val="24"/>
                <w:szCs w:val="24"/>
                <w:u w:val="none"/>
              </w:rPr>
              <w:t xml:space="preserve">11</w:t>
            </w:r>
            <w:r>
              <w:fldChar w:fldCharType="end"/>
            </w:r>
          </w:hyperlink>
        </w:p>
        <w:p>
          <w:pPr>
            <w:pStyle w:val="TOC1"/>
            <w:rPr>
              <w:rFonts w:hAnsiTheme="minorHAnsi" w:asciiTheme="minorHAnsi" w:eastAsiaTheme="minorEastAsia"/>
              <w:b w:val="0"/>
              <w:bCs w:val="0"/>
              <w:sz w:val="22"/>
            </w:rPr>
          </w:pPr>
          <w:hyperlink w:anchor="_Toc147923035">
            <w:r>
              <w:rPr>
                <w:rStyle w:val="Hyperlink"/>
                <w:rFonts w:ascii="Times New Roman"/>
                <w:b/>
                <w:i w:val="0"/>
                <w:strike w:val="0"/>
                <w:dstrike w:val="0"/>
                <w:emboss w:val="0"/>
                <w:imprint w:val="0"/>
                <w:outline w:val="0"/>
                <w:shadow w:val="0"/>
                <w:sz w:val="24"/>
                <w:szCs w:val="24"/>
                <w:u w:val="none"/>
              </w:rPr>
              <w:t xml:space="preserve">CHAPTER TWO</w:t>
              <w:tab/>
            </w:r>
            <w:r>
              <w:fldChar w:fldCharType="begin"/>
            </w:r>
            <w:r>
              <w:instrText xml:space="preserve"> PAGEREF _Toc147923035 \h </w:instrText>
            </w:r>
            <w:r>
              <w:fldChar w:fldCharType="separate"/>
            </w:r>
            <w:r>
              <w:rPr>
                <w:rFonts w:ascii="Times New Roman"/>
                <w:b/>
                <w:i w:val="0"/>
                <w:strike w:val="0"/>
                <w:dstrike w:val="0"/>
                <w:emboss w:val="0"/>
                <w:imprint w:val="0"/>
                <w:outline w:val="0"/>
                <w:shadow w:val="0"/>
                <w:sz w:val="24"/>
                <w:szCs w:val="24"/>
                <w:u w:val="none"/>
              </w:rPr>
              <w:t xml:space="preserve">13</w:t>
            </w:r>
            <w:r>
              <w:fldChar w:fldCharType="end"/>
            </w:r>
          </w:hyperlink>
        </w:p>
        <w:p>
          <w:pPr>
            <w:pStyle w:val="TOC1"/>
            <w:rPr>
              <w:rFonts w:hAnsiTheme="minorHAnsi" w:asciiTheme="minorHAnsi" w:eastAsiaTheme="minorEastAsia"/>
              <w:b w:val="0"/>
              <w:bCs w:val="0"/>
              <w:sz w:val="22"/>
            </w:rPr>
          </w:pPr>
          <w:hyperlink w:anchor="_Toc147923036">
            <w:r>
              <w:rPr>
                <w:rStyle w:val="Hyperlink"/>
                <w:rFonts w:ascii="Times New Roman" w:eastAsia="Calibri"/>
                <w:b/>
                <w:i w:val="0"/>
                <w:strike w:val="0"/>
                <w:dstrike w:val="0"/>
                <w:emboss w:val="0"/>
                <w:imprint w:val="0"/>
                <w:outline w:val="0"/>
                <w:shadow w:val="0"/>
                <w:sz w:val="24"/>
                <w:szCs w:val="24"/>
                <w:u w:val="none"/>
              </w:rPr>
              <w:t xml:space="preserve">SOLID WASTE MANAGEMENT: KNOWLEDGE, ATTITUDE AND PRACTICE</w:t>
              <w:tab/>
            </w:r>
            <w:r>
              <w:fldChar w:fldCharType="begin"/>
            </w:r>
            <w:r>
              <w:instrText xml:space="preserve"> PAGEREF _Toc147923036 \h </w:instrText>
            </w:r>
            <w:r>
              <w:fldChar w:fldCharType="separate"/>
            </w:r>
            <w:r>
              <w:rPr>
                <w:rFonts w:ascii="Times New Roman"/>
                <w:b/>
                <w:i w:val="0"/>
                <w:strike w:val="0"/>
                <w:dstrike w:val="0"/>
                <w:emboss w:val="0"/>
                <w:imprint w:val="0"/>
                <w:outline w:val="0"/>
                <w:shadow w:val="0"/>
                <w:sz w:val="24"/>
                <w:szCs w:val="24"/>
                <w:u w:val="none"/>
              </w:rPr>
              <w:t xml:space="preserve">13</w:t>
            </w:r>
            <w:r>
              <w:fldChar w:fldCharType="end"/>
            </w:r>
          </w:hyperlink>
        </w:p>
        <w:p>
          <w:pPr>
            <w:pStyle w:val="TOC2"/>
            <w:rPr>
              <w:rFonts w:hAnsiTheme="minorHAnsi" w:asciiTheme="minorHAnsi" w:eastAsiaTheme="minorEastAsia"/>
              <w:sz w:val="22"/>
              <w:szCs w:val="22"/>
            </w:rPr>
          </w:pPr>
          <w:hyperlink w:anchor="_Toc147923037">
            <w:r>
              <w:rPr>
                <w:rStyle w:val="Hyperlink"/>
                <w:rFonts w:ascii="Times New Roman"/>
                <w:b w:val="0"/>
                <w:i w:val="0"/>
                <w:strike w:val="0"/>
                <w:dstrike w:val="0"/>
                <w:emboss w:val="0"/>
                <w:imprint w:val="0"/>
                <w:outline w:val="0"/>
                <w:shadow w:val="0"/>
                <w:sz w:val="24"/>
                <w:szCs w:val="24"/>
                <w:u w:val="none"/>
              </w:rPr>
              <w:t xml:space="preserve">2.1 Introduction</w:t>
              <w:tab/>
            </w:r>
            <w:r>
              <w:fldChar w:fldCharType="begin"/>
            </w:r>
            <w:r>
              <w:instrText xml:space="preserve"> PAGEREF _Toc147923037 \h </w:instrText>
            </w:r>
            <w:r>
              <w:fldChar w:fldCharType="separate"/>
            </w:r>
            <w:r>
              <w:rPr>
                <w:rFonts w:ascii="Times New Roman"/>
                <w:b w:val="0"/>
                <w:i w:val="0"/>
                <w:strike w:val="0"/>
                <w:dstrike w:val="0"/>
                <w:emboss w:val="0"/>
                <w:imprint w:val="0"/>
                <w:outline w:val="0"/>
                <w:shadow w:val="0"/>
                <w:sz w:val="24"/>
                <w:szCs w:val="24"/>
                <w:u w:val="none"/>
              </w:rPr>
              <w:t xml:space="preserve">13</w:t>
            </w:r>
            <w:r>
              <w:fldChar w:fldCharType="end"/>
            </w:r>
          </w:hyperlink>
        </w:p>
        <w:p>
          <w:pPr>
            <w:pStyle w:val="TOC2"/>
            <w:rPr>
              <w:rFonts w:hAnsiTheme="minorHAnsi" w:asciiTheme="minorHAnsi" w:eastAsiaTheme="minorEastAsia"/>
              <w:sz w:val="22"/>
              <w:szCs w:val="22"/>
            </w:rPr>
          </w:pPr>
          <w:hyperlink w:anchor="_Toc147923038">
            <w:r>
              <w:rPr>
                <w:rStyle w:val="Hyperlink"/>
                <w:rFonts w:ascii="Times New Roman"/>
                <w:b w:val="0"/>
                <w:i w:val="0"/>
                <w:strike w:val="0"/>
                <w:dstrike w:val="0"/>
                <w:emboss w:val="0"/>
                <w:imprint w:val="0"/>
                <w:outline w:val="0"/>
                <w:shadow w:val="0"/>
                <w:sz w:val="24"/>
                <w:szCs w:val="24"/>
                <w:u w:val="none"/>
              </w:rPr>
              <w:t xml:space="preserve">2.2 Definition, Types and Sources of Solid Waste</w:t>
              <w:tab/>
            </w:r>
            <w:r>
              <w:fldChar w:fldCharType="begin"/>
            </w:r>
            <w:r>
              <w:instrText xml:space="preserve"> PAGEREF _Toc147923038 \h </w:instrText>
            </w:r>
            <w:r>
              <w:fldChar w:fldCharType="separate"/>
            </w:r>
            <w:r>
              <w:rPr>
                <w:rFonts w:ascii="Times New Roman"/>
                <w:b w:val="0"/>
                <w:i w:val="0"/>
                <w:strike w:val="0"/>
                <w:dstrike w:val="0"/>
                <w:emboss w:val="0"/>
                <w:imprint w:val="0"/>
                <w:outline w:val="0"/>
                <w:shadow w:val="0"/>
                <w:sz w:val="24"/>
                <w:szCs w:val="24"/>
                <w:u w:val="none"/>
              </w:rPr>
              <w:t xml:space="preserve">13</w:t>
            </w:r>
            <w:r>
              <w:fldChar w:fldCharType="end"/>
            </w:r>
          </w:hyperlink>
        </w:p>
        <w:p>
          <w:pPr>
            <w:pStyle w:val="TOC2"/>
            <w:rPr>
              <w:rFonts w:hAnsiTheme="minorHAnsi" w:asciiTheme="minorHAnsi" w:eastAsiaTheme="minorEastAsia"/>
              <w:sz w:val="22"/>
              <w:szCs w:val="22"/>
            </w:rPr>
          </w:pPr>
          <w:hyperlink w:anchor="_Toc147923039">
            <w:r>
              <w:rPr>
                <w:rStyle w:val="Hyperlink"/>
                <w:rFonts w:ascii="Times New Roman"/>
                <w:b w:val="0"/>
                <w:i w:val="0"/>
                <w:strike w:val="0"/>
                <w:dstrike w:val="0"/>
                <w:emboss w:val="0"/>
                <w:imprint w:val="0"/>
                <w:outline w:val="0"/>
                <w:shadow w:val="0"/>
                <w:sz w:val="24"/>
                <w:szCs w:val="24"/>
                <w:u w:val="none"/>
              </w:rPr>
              <w:t xml:space="preserve">2.3 Global Trends in Solid Waste Generation</w:t>
              <w:tab/>
            </w:r>
            <w:r>
              <w:fldChar w:fldCharType="begin"/>
            </w:r>
            <w:r>
              <w:instrText xml:space="preserve"> PAGEREF _Toc147923039 \h </w:instrText>
            </w:r>
            <w:r>
              <w:fldChar w:fldCharType="separate"/>
            </w:r>
            <w:r>
              <w:rPr>
                <w:rFonts w:ascii="Times New Roman"/>
                <w:b w:val="0"/>
                <w:i w:val="0"/>
                <w:strike w:val="0"/>
                <w:dstrike w:val="0"/>
                <w:emboss w:val="0"/>
                <w:imprint w:val="0"/>
                <w:outline w:val="0"/>
                <w:shadow w:val="0"/>
                <w:sz w:val="24"/>
                <w:szCs w:val="24"/>
                <w:u w:val="none"/>
              </w:rPr>
              <w:t xml:space="preserve">15</w:t>
            </w:r>
            <w:r>
              <w:fldChar w:fldCharType="end"/>
            </w:r>
          </w:hyperlink>
        </w:p>
        <w:p>
          <w:pPr>
            <w:pStyle w:val="TOC2"/>
            <w:rPr>
              <w:rFonts w:hAnsiTheme="minorHAnsi" w:asciiTheme="minorHAnsi" w:eastAsiaTheme="minorEastAsia"/>
              <w:sz w:val="22"/>
              <w:szCs w:val="22"/>
            </w:rPr>
          </w:pPr>
          <w:hyperlink w:anchor="_Toc147923040">
            <w:r>
              <w:rPr>
                <w:rStyle w:val="Hyperlink"/>
                <w:rFonts w:ascii="Times New Roman"/>
                <w:b w:val="0"/>
                <w:i w:val="0"/>
                <w:strike w:val="0"/>
                <w:dstrike w:val="0"/>
                <w:emboss w:val="0"/>
                <w:imprint w:val="0"/>
                <w:outline w:val="0"/>
                <w:shadow w:val="0"/>
                <w:sz w:val="24"/>
                <w:szCs w:val="24"/>
                <w:u w:val="none"/>
              </w:rPr>
              <w:t xml:space="preserve">2.4 Solid Waste Management</w:t>
              <w:tab/>
            </w:r>
            <w:r>
              <w:fldChar w:fldCharType="begin"/>
            </w:r>
            <w:r>
              <w:instrText xml:space="preserve"> PAGEREF _Toc147923040 \h </w:instrText>
            </w:r>
            <w:r>
              <w:fldChar w:fldCharType="separate"/>
            </w:r>
            <w:r>
              <w:rPr>
                <w:rFonts w:ascii="Times New Roman"/>
                <w:b w:val="0"/>
                <w:i w:val="0"/>
                <w:strike w:val="0"/>
                <w:dstrike w:val="0"/>
                <w:emboss w:val="0"/>
                <w:imprint w:val="0"/>
                <w:outline w:val="0"/>
                <w:shadow w:val="0"/>
                <w:sz w:val="24"/>
                <w:szCs w:val="24"/>
                <w:u w:val="none"/>
              </w:rPr>
              <w:t xml:space="preserve">17</w:t>
            </w:r>
            <w:r>
              <w:fldChar w:fldCharType="end"/>
            </w:r>
          </w:hyperlink>
        </w:p>
        <w:p>
          <w:pPr>
            <w:pStyle w:val="TOC2"/>
            <w:rPr>
              <w:rFonts w:hAnsiTheme="minorHAnsi" w:asciiTheme="minorHAnsi" w:eastAsiaTheme="minorEastAsia"/>
              <w:sz w:val="22"/>
              <w:szCs w:val="22"/>
            </w:rPr>
          </w:pPr>
          <w:hyperlink w:anchor="_Toc147923041">
            <w:r>
              <w:rPr>
                <w:rStyle w:val="Hyperlink"/>
                <w:rFonts w:ascii="Times New Roman"/>
                <w:b w:val="0"/>
                <w:i w:val="0"/>
                <w:strike w:val="0"/>
                <w:dstrike w:val="0"/>
                <w:emboss w:val="0"/>
                <w:imprint w:val="0"/>
                <w:outline w:val="0"/>
                <w:shadow w:val="0"/>
                <w:sz w:val="24"/>
                <w:szCs w:val="24"/>
                <w:u w:val="none"/>
              </w:rPr>
              <w:t xml:space="preserve">2.4.1 Waste Prevention/Reduce</w:t>
              <w:tab/>
            </w:r>
            <w:r>
              <w:fldChar w:fldCharType="begin"/>
            </w:r>
            <w:r>
              <w:instrText xml:space="preserve"> PAGEREF _Toc147923041 \h </w:instrText>
            </w:r>
            <w:r>
              <w:fldChar w:fldCharType="separate"/>
            </w:r>
            <w:r>
              <w:rPr>
                <w:rFonts w:ascii="Times New Roman"/>
                <w:b w:val="0"/>
                <w:i w:val="0"/>
                <w:strike w:val="0"/>
                <w:dstrike w:val="0"/>
                <w:emboss w:val="0"/>
                <w:imprint w:val="0"/>
                <w:outline w:val="0"/>
                <w:shadow w:val="0"/>
                <w:sz w:val="24"/>
                <w:szCs w:val="24"/>
                <w:u w:val="none"/>
              </w:rPr>
              <w:t xml:space="preserve">18</w:t>
            </w:r>
            <w:r>
              <w:fldChar w:fldCharType="end"/>
            </w:r>
          </w:hyperlink>
        </w:p>
        <w:p>
          <w:pPr>
            <w:pStyle w:val="TOC2"/>
            <w:rPr>
              <w:rFonts w:hAnsiTheme="minorHAnsi" w:asciiTheme="minorHAnsi" w:eastAsiaTheme="minorEastAsia"/>
              <w:sz w:val="22"/>
              <w:szCs w:val="22"/>
            </w:rPr>
          </w:pPr>
          <w:hyperlink w:anchor="_Toc147923042">
            <w:r>
              <w:rPr>
                <w:rStyle w:val="Hyperlink"/>
                <w:rFonts w:ascii="Times New Roman"/>
                <w:b w:val="0"/>
                <w:i w:val="0"/>
                <w:strike w:val="0"/>
                <w:dstrike w:val="0"/>
                <w:emboss w:val="0"/>
                <w:imprint w:val="0"/>
                <w:outline w:val="0"/>
                <w:shadow w:val="0"/>
                <w:sz w:val="24"/>
                <w:szCs w:val="24"/>
                <w:u w:val="none"/>
              </w:rPr>
              <w:t xml:space="preserve">2.4.2 Waste Reuse</w:t>
              <w:tab/>
            </w:r>
            <w:r>
              <w:fldChar w:fldCharType="begin"/>
            </w:r>
            <w:r>
              <w:instrText xml:space="preserve"> PAGEREF _Toc147923042 \h </w:instrText>
            </w:r>
            <w:r>
              <w:fldChar w:fldCharType="separate"/>
            </w:r>
            <w:r>
              <w:rPr>
                <w:rFonts w:ascii="Times New Roman"/>
                <w:b w:val="0"/>
                <w:i w:val="0"/>
                <w:strike w:val="0"/>
                <w:dstrike w:val="0"/>
                <w:emboss w:val="0"/>
                <w:imprint w:val="0"/>
                <w:outline w:val="0"/>
                <w:shadow w:val="0"/>
                <w:sz w:val="24"/>
                <w:szCs w:val="24"/>
                <w:u w:val="none"/>
              </w:rPr>
              <w:t xml:space="preserve">20</w:t>
            </w:r>
            <w:r>
              <w:fldChar w:fldCharType="end"/>
            </w:r>
          </w:hyperlink>
        </w:p>
        <w:p>
          <w:pPr>
            <w:pStyle w:val="TOC2"/>
            <w:rPr>
              <w:rFonts w:hAnsiTheme="minorHAnsi" w:asciiTheme="minorHAnsi" w:eastAsiaTheme="minorEastAsia"/>
              <w:sz w:val="22"/>
              <w:szCs w:val="22"/>
            </w:rPr>
          </w:pPr>
          <w:hyperlink w:anchor="_Toc147923043">
            <w:r>
              <w:rPr>
                <w:rStyle w:val="Hyperlink"/>
                <w:rFonts w:ascii="Times New Roman"/>
                <w:b w:val="0"/>
                <w:i w:val="0"/>
                <w:strike w:val="0"/>
                <w:dstrike w:val="0"/>
                <w:emboss w:val="0"/>
                <w:imprint w:val="0"/>
                <w:outline w:val="0"/>
                <w:shadow w:val="0"/>
                <w:sz w:val="24"/>
                <w:szCs w:val="24"/>
                <w:u w:val="none"/>
              </w:rPr>
              <w:t xml:space="preserve">2.4.3 Waste Recycling and Composting</w:t>
              <w:tab/>
            </w:r>
            <w:r>
              <w:fldChar w:fldCharType="begin"/>
            </w:r>
            <w:r>
              <w:instrText xml:space="preserve"> PAGEREF _Toc147923043 \h </w:instrText>
            </w:r>
            <w:r>
              <w:fldChar w:fldCharType="separate"/>
            </w:r>
            <w:r>
              <w:rPr>
                <w:rFonts w:ascii="Times New Roman"/>
                <w:b w:val="0"/>
                <w:i w:val="0"/>
                <w:strike w:val="0"/>
                <w:dstrike w:val="0"/>
                <w:emboss w:val="0"/>
                <w:imprint w:val="0"/>
                <w:outline w:val="0"/>
                <w:shadow w:val="0"/>
                <w:sz w:val="24"/>
                <w:szCs w:val="24"/>
                <w:u w:val="none"/>
              </w:rPr>
              <w:t xml:space="preserve">20</w:t>
            </w:r>
            <w:r>
              <w:fldChar w:fldCharType="end"/>
            </w:r>
          </w:hyperlink>
        </w:p>
        <w:p>
          <w:pPr>
            <w:pStyle w:val="TOC2"/>
            <w:rPr>
              <w:rFonts w:hAnsiTheme="minorHAnsi" w:asciiTheme="minorHAnsi" w:eastAsiaTheme="minorEastAsia"/>
              <w:sz w:val="22"/>
              <w:szCs w:val="22"/>
            </w:rPr>
          </w:pPr>
          <w:hyperlink w:anchor="_Toc147923044">
            <w:r>
              <w:rPr>
                <w:rStyle w:val="Hyperlink"/>
                <w:rFonts w:ascii="Times New Roman"/>
                <w:b w:val="0"/>
                <w:i w:val="0"/>
                <w:strike w:val="0"/>
                <w:dstrike w:val="0"/>
                <w:emboss w:val="0"/>
                <w:imprint w:val="0"/>
                <w:outline w:val="0"/>
                <w:shadow w:val="0"/>
                <w:sz w:val="24"/>
                <w:szCs w:val="24"/>
                <w:u w:val="none"/>
              </w:rPr>
              <w:t xml:space="preserve">2.4.4 Waste Recovery</w:t>
              <w:tab/>
            </w:r>
            <w:r>
              <w:fldChar w:fldCharType="begin"/>
            </w:r>
            <w:r>
              <w:instrText xml:space="preserve"> PAGEREF _Toc147923044 \h </w:instrText>
            </w:r>
            <w:r>
              <w:fldChar w:fldCharType="separate"/>
            </w:r>
            <w:r>
              <w:rPr>
                <w:rFonts w:ascii="Times New Roman"/>
                <w:b w:val="0"/>
                <w:i w:val="0"/>
                <w:strike w:val="0"/>
                <w:dstrike w:val="0"/>
                <w:emboss w:val="0"/>
                <w:imprint w:val="0"/>
                <w:outline w:val="0"/>
                <w:shadow w:val="0"/>
                <w:sz w:val="24"/>
                <w:szCs w:val="24"/>
                <w:u w:val="none"/>
              </w:rPr>
              <w:t xml:space="preserve">21</w:t>
            </w:r>
            <w:r>
              <w:fldChar w:fldCharType="end"/>
            </w:r>
          </w:hyperlink>
        </w:p>
        <w:p>
          <w:pPr>
            <w:pStyle w:val="TOC2"/>
            <w:rPr>
              <w:rFonts w:hAnsiTheme="minorHAnsi" w:asciiTheme="minorHAnsi" w:eastAsiaTheme="minorEastAsia"/>
              <w:sz w:val="22"/>
              <w:szCs w:val="22"/>
            </w:rPr>
          </w:pPr>
          <w:hyperlink w:anchor="_Toc147923045">
            <w:r>
              <w:rPr>
                <w:rStyle w:val="Hyperlink"/>
                <w:rFonts w:ascii="Times New Roman"/>
                <w:b w:val="0"/>
                <w:i w:val="0"/>
                <w:strike w:val="0"/>
                <w:dstrike w:val="0"/>
                <w:emboss w:val="0"/>
                <w:imprint w:val="0"/>
                <w:outline w:val="0"/>
                <w:shadow w:val="0"/>
                <w:sz w:val="24"/>
                <w:szCs w:val="24"/>
                <w:u w:val="none"/>
              </w:rPr>
              <w:t xml:space="preserve">2.4.5 Waste Disposal</w:t>
              <w:tab/>
            </w:r>
            <w:r>
              <w:fldChar w:fldCharType="begin"/>
            </w:r>
            <w:r>
              <w:instrText xml:space="preserve"> PAGEREF _Toc147923045 \h </w:instrText>
            </w:r>
            <w:r>
              <w:fldChar w:fldCharType="separate"/>
            </w:r>
            <w:r>
              <w:rPr>
                <w:rFonts w:ascii="Times New Roman"/>
                <w:b w:val="0"/>
                <w:i w:val="0"/>
                <w:strike w:val="0"/>
                <w:dstrike w:val="0"/>
                <w:emboss w:val="0"/>
                <w:imprint w:val="0"/>
                <w:outline w:val="0"/>
                <w:shadow w:val="0"/>
                <w:sz w:val="24"/>
                <w:szCs w:val="24"/>
                <w:u w:val="none"/>
              </w:rPr>
              <w:t xml:space="preserve">22</w:t>
            </w:r>
            <w:r>
              <w:fldChar w:fldCharType="end"/>
            </w:r>
          </w:hyperlink>
        </w:p>
        <w:p>
          <w:pPr>
            <w:pStyle w:val="TOC2"/>
            <w:rPr>
              <w:rFonts w:hAnsiTheme="minorHAnsi" w:asciiTheme="minorHAnsi" w:eastAsiaTheme="minorEastAsia"/>
              <w:sz w:val="22"/>
              <w:szCs w:val="22"/>
            </w:rPr>
          </w:pPr>
          <w:hyperlink w:anchor="_Toc147923046">
            <w:r>
              <w:rPr>
                <w:rStyle w:val="Hyperlink"/>
                <w:rFonts w:ascii="Times New Roman"/>
                <w:b w:val="0"/>
                <w:i w:val="0"/>
                <w:strike w:val="0"/>
                <w:dstrike w:val="0"/>
                <w:emboss w:val="0"/>
                <w:imprint w:val="0"/>
                <w:outline w:val="0"/>
                <w:shadow w:val="0"/>
                <w:sz w:val="24"/>
                <w:szCs w:val="24"/>
                <w:u w:val="none"/>
              </w:rPr>
              <w:t xml:space="preserve">2.5 Global Solid Waste Management Practices</w:t>
              <w:tab/>
            </w:r>
            <w:r>
              <w:fldChar w:fldCharType="begin"/>
            </w:r>
            <w:r>
              <w:instrText xml:space="preserve"> PAGEREF _Toc147923046 \h </w:instrText>
            </w:r>
            <w:r>
              <w:fldChar w:fldCharType="separate"/>
            </w:r>
            <w:r>
              <w:rPr>
                <w:rFonts w:ascii="Times New Roman"/>
                <w:b w:val="0"/>
                <w:i w:val="0"/>
                <w:strike w:val="0"/>
                <w:dstrike w:val="0"/>
                <w:emboss w:val="0"/>
                <w:imprint w:val="0"/>
                <w:outline w:val="0"/>
                <w:shadow w:val="0"/>
                <w:sz w:val="24"/>
                <w:szCs w:val="24"/>
                <w:u w:val="none"/>
              </w:rPr>
              <w:t xml:space="preserve">24</w:t>
            </w:r>
            <w:r>
              <w:fldChar w:fldCharType="end"/>
            </w:r>
          </w:hyperlink>
        </w:p>
        <w:p>
          <w:pPr>
            <w:pStyle w:val="TOC2"/>
            <w:rPr>
              <w:rFonts w:hAnsiTheme="minorHAnsi" w:asciiTheme="minorHAnsi" w:eastAsiaTheme="minorEastAsia"/>
              <w:sz w:val="22"/>
              <w:szCs w:val="22"/>
            </w:rPr>
          </w:pPr>
          <w:hyperlink w:anchor="_Toc147923047">
            <w:r>
              <w:rPr>
                <w:rStyle w:val="Hyperlink"/>
                <w:rFonts w:ascii="Times New Roman"/>
                <w:b w:val="0"/>
                <w:i w:val="0"/>
                <w:strike w:val="0"/>
                <w:dstrike w:val="0"/>
                <w:emboss w:val="0"/>
                <w:imprint w:val="0"/>
                <w:outline w:val="0"/>
                <w:shadow w:val="0"/>
                <w:sz w:val="24"/>
                <w:szCs w:val="24"/>
                <w:u w:val="none"/>
              </w:rPr>
              <w:t xml:space="preserve">2.6 Solid Waste Management in Africa</w:t>
              <w:tab/>
            </w:r>
            <w:r>
              <w:fldChar w:fldCharType="begin"/>
            </w:r>
            <w:r>
              <w:instrText xml:space="preserve"> PAGEREF _Toc147923047 \h </w:instrText>
            </w:r>
            <w:r>
              <w:fldChar w:fldCharType="separate"/>
            </w:r>
            <w:r>
              <w:rPr>
                <w:rFonts w:ascii="Times New Roman"/>
                <w:b w:val="0"/>
                <w:i w:val="0"/>
                <w:strike w:val="0"/>
                <w:dstrike w:val="0"/>
                <w:emboss w:val="0"/>
                <w:imprint w:val="0"/>
                <w:outline w:val="0"/>
                <w:shadow w:val="0"/>
                <w:sz w:val="24"/>
                <w:szCs w:val="24"/>
                <w:u w:val="none"/>
              </w:rPr>
              <w:t xml:space="preserve">30</w:t>
            </w:r>
            <w:r>
              <w:fldChar w:fldCharType="end"/>
            </w:r>
          </w:hyperlink>
        </w:p>
        <w:p>
          <w:pPr>
            <w:pStyle w:val="TOC2"/>
            <w:rPr>
              <w:rFonts w:hAnsiTheme="minorHAnsi" w:asciiTheme="minorHAnsi" w:eastAsiaTheme="minorEastAsia"/>
              <w:sz w:val="22"/>
              <w:szCs w:val="22"/>
            </w:rPr>
          </w:pPr>
          <w:hyperlink w:anchor="_Toc147923048">
            <w:r>
              <w:rPr>
                <w:rStyle w:val="Hyperlink"/>
                <w:rFonts w:ascii="Times New Roman"/>
                <w:b w:val="0"/>
                <w:i w:val="0"/>
                <w:strike w:val="0"/>
                <w:dstrike w:val="0"/>
                <w:emboss w:val="0"/>
                <w:imprint w:val="0"/>
                <w:outline w:val="0"/>
                <w:shadow w:val="0"/>
                <w:sz w:val="24"/>
                <w:szCs w:val="24"/>
                <w:u w:val="none"/>
              </w:rPr>
              <w:t xml:space="preserve">2.7 Solid Waste Management in Ghana</w:t>
              <w:tab/>
            </w:r>
            <w:r>
              <w:fldChar w:fldCharType="begin"/>
            </w:r>
            <w:r>
              <w:instrText xml:space="preserve"> PAGEREF _Toc147923048 \h </w:instrText>
            </w:r>
            <w:r>
              <w:fldChar w:fldCharType="separate"/>
            </w:r>
            <w:r>
              <w:rPr>
                <w:rFonts w:ascii="Times New Roman"/>
                <w:b w:val="0"/>
                <w:i w:val="0"/>
                <w:strike w:val="0"/>
                <w:dstrike w:val="0"/>
                <w:emboss w:val="0"/>
                <w:imprint w:val="0"/>
                <w:outline w:val="0"/>
                <w:shadow w:val="0"/>
                <w:sz w:val="24"/>
                <w:szCs w:val="24"/>
                <w:u w:val="none"/>
              </w:rPr>
              <w:t xml:space="preserve">33</w:t>
            </w:r>
            <w:r>
              <w:fldChar w:fldCharType="end"/>
            </w:r>
          </w:hyperlink>
        </w:p>
        <w:p>
          <w:pPr>
            <w:pStyle w:val="TOC2"/>
            <w:rPr>
              <w:rFonts w:hAnsiTheme="minorHAnsi" w:asciiTheme="minorHAnsi" w:eastAsiaTheme="minorEastAsia"/>
              <w:sz w:val="22"/>
              <w:szCs w:val="22"/>
            </w:rPr>
          </w:pPr>
          <w:hyperlink w:anchor="_Toc147923049">
            <w:r>
              <w:rPr>
                <w:rStyle w:val="Hyperlink"/>
                <w:rFonts w:ascii="Times New Roman"/>
                <w:b w:val="0"/>
                <w:i w:val="0"/>
                <w:strike w:val="0"/>
                <w:dstrike w:val="0"/>
                <w:emboss w:val="0"/>
                <w:imprint w:val="0"/>
                <w:outline w:val="0"/>
                <w:shadow w:val="0"/>
                <w:sz w:val="24"/>
                <w:szCs w:val="24"/>
                <w:u w:val="none"/>
              </w:rPr>
              <w:t xml:space="preserve">2.8 Solid Waste Management Challenge in Ghana</w:t>
              <w:tab/>
            </w:r>
            <w:r>
              <w:fldChar w:fldCharType="begin"/>
            </w:r>
            <w:r>
              <w:instrText xml:space="preserve"> PAGEREF _Toc147923049 \h </w:instrText>
            </w:r>
            <w:r>
              <w:fldChar w:fldCharType="separate"/>
            </w:r>
            <w:r>
              <w:rPr>
                <w:rFonts w:ascii="Times New Roman"/>
                <w:b w:val="0"/>
                <w:i w:val="0"/>
                <w:strike w:val="0"/>
                <w:dstrike w:val="0"/>
                <w:emboss w:val="0"/>
                <w:imprint w:val="0"/>
                <w:outline w:val="0"/>
                <w:shadow w:val="0"/>
                <w:sz w:val="24"/>
                <w:szCs w:val="24"/>
                <w:u w:val="none"/>
              </w:rPr>
              <w:t xml:space="preserve">35</w:t>
            </w:r>
            <w:r>
              <w:fldChar w:fldCharType="end"/>
            </w:r>
          </w:hyperlink>
        </w:p>
        <w:p>
          <w:pPr>
            <w:pStyle w:val="TOC2"/>
            <w:rPr>
              <w:rFonts w:hAnsiTheme="minorHAnsi" w:asciiTheme="minorHAnsi" w:eastAsiaTheme="minorEastAsia"/>
              <w:sz w:val="22"/>
              <w:szCs w:val="22"/>
            </w:rPr>
          </w:pPr>
          <w:hyperlink w:anchor="_Toc147923050">
            <w:r>
              <w:rPr>
                <w:rStyle w:val="Hyperlink"/>
                <w:rFonts w:ascii="Times New Roman"/>
                <w:b w:val="0"/>
                <w:i w:val="0"/>
                <w:strike w:val="0"/>
                <w:dstrike w:val="0"/>
                <w:emboss w:val="0"/>
                <w:imprint w:val="0"/>
                <w:outline w:val="0"/>
                <w:shadow w:val="0"/>
                <w:sz w:val="24"/>
                <w:szCs w:val="24"/>
                <w:u w:val="none"/>
              </w:rPr>
              <w:t xml:space="preserve">2.9 Environmental and Health Risks of Solid Waste</w:t>
              <w:tab/>
            </w:r>
            <w:r>
              <w:fldChar w:fldCharType="begin"/>
            </w:r>
            <w:r>
              <w:instrText xml:space="preserve"> PAGEREF _Toc147923050 \h </w:instrText>
            </w:r>
            <w:r>
              <w:fldChar w:fldCharType="separate"/>
            </w:r>
            <w:r>
              <w:rPr>
                <w:rFonts w:ascii="Times New Roman"/>
                <w:b w:val="0"/>
                <w:i w:val="0"/>
                <w:strike w:val="0"/>
                <w:dstrike w:val="0"/>
                <w:emboss w:val="0"/>
                <w:imprint w:val="0"/>
                <w:outline w:val="0"/>
                <w:shadow w:val="0"/>
                <w:sz w:val="24"/>
                <w:szCs w:val="24"/>
                <w:u w:val="none"/>
              </w:rPr>
              <w:t xml:space="preserve">36</w:t>
            </w:r>
            <w:r>
              <w:fldChar w:fldCharType="end"/>
            </w:r>
          </w:hyperlink>
        </w:p>
        <w:p>
          <w:pPr>
            <w:pStyle w:val="TOC2"/>
            <w:rPr>
              <w:rFonts w:hAnsiTheme="minorHAnsi" w:asciiTheme="minorHAnsi" w:eastAsiaTheme="minorEastAsia"/>
              <w:sz w:val="22"/>
              <w:szCs w:val="22"/>
            </w:rPr>
          </w:pPr>
          <w:hyperlink w:anchor="_Toc147923051">
            <w:r>
              <w:rPr>
                <w:rStyle w:val="Hyperlink"/>
                <w:rFonts w:ascii="Times New Roman"/>
                <w:b w:val="0"/>
                <w:i w:val="0"/>
                <w:strike w:val="0"/>
                <w:dstrike w:val="0"/>
                <w:emboss w:val="0"/>
                <w:imprint w:val="0"/>
                <w:outline w:val="0"/>
                <w:shadow w:val="0"/>
                <w:sz w:val="24"/>
                <w:szCs w:val="24"/>
                <w:u w:val="none"/>
              </w:rPr>
              <w:t xml:space="preserve">2.10 Factors Influencing Households SWM</w:t>
              <w:tab/>
            </w:r>
            <w:r>
              <w:fldChar w:fldCharType="begin"/>
            </w:r>
            <w:r>
              <w:instrText xml:space="preserve"> PAGEREF _Toc147923051 \h </w:instrText>
            </w:r>
            <w:r>
              <w:fldChar w:fldCharType="separate"/>
            </w:r>
            <w:r>
              <w:rPr>
                <w:rFonts w:ascii="Times New Roman"/>
                <w:b w:val="0"/>
                <w:i w:val="0"/>
                <w:strike w:val="0"/>
                <w:dstrike w:val="0"/>
                <w:emboss w:val="0"/>
                <w:imprint w:val="0"/>
                <w:outline w:val="0"/>
                <w:shadow w:val="0"/>
                <w:sz w:val="24"/>
                <w:szCs w:val="24"/>
                <w:u w:val="none"/>
              </w:rPr>
              <w:t xml:space="preserve">39</w:t>
            </w:r>
            <w:r>
              <w:fldChar w:fldCharType="end"/>
            </w:r>
          </w:hyperlink>
        </w:p>
        <w:p>
          <w:pPr>
            <w:pStyle w:val="TOC2"/>
            <w:rPr>
              <w:rFonts w:hAnsiTheme="minorHAnsi" w:asciiTheme="minorHAnsi" w:eastAsiaTheme="minorEastAsia"/>
              <w:sz w:val="22"/>
              <w:szCs w:val="22"/>
            </w:rPr>
          </w:pPr>
          <w:hyperlink w:anchor="_Toc147923052">
            <w:r>
              <w:rPr>
                <w:rStyle w:val="Hyperlink"/>
                <w:rFonts w:ascii="Times New Roman"/>
                <w:b w:val="0"/>
                <w:i w:val="0"/>
                <w:strike w:val="0"/>
                <w:dstrike w:val="0"/>
                <w:emboss w:val="0"/>
                <w:imprint w:val="0"/>
                <w:outline w:val="0"/>
                <w:shadow w:val="0"/>
                <w:sz w:val="24"/>
                <w:szCs w:val="24"/>
                <w:u w:val="none"/>
              </w:rPr>
              <w:t xml:space="preserve">2.11 Knowledge on Solid Waste Management</w:t>
              <w:tab/>
            </w:r>
            <w:r>
              <w:fldChar w:fldCharType="begin"/>
            </w:r>
            <w:r>
              <w:instrText xml:space="preserve"> PAGEREF _Toc147923052 \h </w:instrText>
            </w:r>
            <w:r>
              <w:fldChar w:fldCharType="separate"/>
            </w:r>
            <w:r>
              <w:rPr>
                <w:rFonts w:ascii="Times New Roman"/>
                <w:b w:val="0"/>
                <w:i w:val="0"/>
                <w:strike w:val="0"/>
                <w:dstrike w:val="0"/>
                <w:emboss w:val="0"/>
                <w:imprint w:val="0"/>
                <w:outline w:val="0"/>
                <w:shadow w:val="0"/>
                <w:sz w:val="24"/>
                <w:szCs w:val="24"/>
                <w:u w:val="none"/>
              </w:rPr>
              <w:t xml:space="preserve">43</w:t>
            </w:r>
            <w:r>
              <w:fldChar w:fldCharType="end"/>
            </w:r>
          </w:hyperlink>
        </w:p>
        <w:p>
          <w:pPr>
            <w:pStyle w:val="TOC2"/>
            <w:rPr>
              <w:rFonts w:hAnsiTheme="minorHAnsi" w:asciiTheme="minorHAnsi" w:eastAsiaTheme="minorEastAsia"/>
              <w:sz w:val="22"/>
              <w:szCs w:val="22"/>
            </w:rPr>
          </w:pPr>
          <w:hyperlink w:anchor="_Toc147923053">
            <w:r>
              <w:rPr>
                <w:rStyle w:val="Hyperlink"/>
                <w:rFonts w:ascii="Times New Roman"/>
                <w:b w:val="0"/>
                <w:i w:val="0"/>
                <w:strike w:val="0"/>
                <w:dstrike w:val="0"/>
                <w:emboss w:val="0"/>
                <w:imprint w:val="0"/>
                <w:outline w:val="0"/>
                <w:shadow w:val="0"/>
                <w:sz w:val="24"/>
                <w:szCs w:val="24"/>
                <w:u w:val="none"/>
              </w:rPr>
              <w:t xml:space="preserve">2.12 Attitude towards Solid Waste Management</w:t>
              <w:tab/>
            </w:r>
            <w:r>
              <w:fldChar w:fldCharType="begin"/>
            </w:r>
            <w:r>
              <w:instrText xml:space="preserve"> PAGEREF _Toc147923053 \h </w:instrText>
            </w:r>
            <w:r>
              <w:fldChar w:fldCharType="separate"/>
            </w:r>
            <w:r>
              <w:rPr>
                <w:rFonts w:ascii="Times New Roman"/>
                <w:b w:val="0"/>
                <w:i w:val="0"/>
                <w:strike w:val="0"/>
                <w:dstrike w:val="0"/>
                <w:emboss w:val="0"/>
                <w:imprint w:val="0"/>
                <w:outline w:val="0"/>
                <w:shadow w:val="0"/>
                <w:sz w:val="24"/>
                <w:szCs w:val="24"/>
                <w:u w:val="none"/>
              </w:rPr>
              <w:t xml:space="preserve">44</w:t>
            </w:r>
            <w:r>
              <w:fldChar w:fldCharType="end"/>
            </w:r>
          </w:hyperlink>
        </w:p>
        <w:p>
          <w:pPr>
            <w:pStyle w:val="TOC2"/>
            <w:rPr>
              <w:rFonts w:hAnsiTheme="minorHAnsi" w:asciiTheme="minorHAnsi" w:eastAsiaTheme="minorEastAsia"/>
              <w:sz w:val="22"/>
              <w:szCs w:val="22"/>
            </w:rPr>
          </w:pPr>
          <w:hyperlink w:anchor="_Toc147923054">
            <w:r>
              <w:rPr>
                <w:rStyle w:val="Hyperlink"/>
                <w:rFonts w:ascii="Times New Roman"/>
                <w:b w:val="0"/>
                <w:i w:val="0"/>
                <w:strike w:val="0"/>
                <w:dstrike w:val="0"/>
                <w:emboss w:val="0"/>
                <w:imprint w:val="0"/>
                <w:outline w:val="0"/>
                <w:shadow w:val="0"/>
                <w:sz w:val="24"/>
                <w:szCs w:val="24"/>
                <w:u w:val="none"/>
              </w:rPr>
              <w:t xml:space="preserve">2.12 Practice toward Solid Waste Management</w:t>
              <w:tab/>
            </w:r>
            <w:r>
              <w:fldChar w:fldCharType="begin"/>
            </w:r>
            <w:r>
              <w:instrText xml:space="preserve"> PAGEREF _Toc147923054 \h </w:instrText>
            </w:r>
            <w:r>
              <w:fldChar w:fldCharType="separate"/>
            </w:r>
            <w:r>
              <w:rPr>
                <w:rFonts w:ascii="Times New Roman"/>
                <w:b w:val="0"/>
                <w:i w:val="0"/>
                <w:strike w:val="0"/>
                <w:dstrike w:val="0"/>
                <w:emboss w:val="0"/>
                <w:imprint w:val="0"/>
                <w:outline w:val="0"/>
                <w:shadow w:val="0"/>
                <w:sz w:val="24"/>
                <w:szCs w:val="24"/>
                <w:u w:val="none"/>
              </w:rPr>
              <w:t xml:space="preserve">46</w:t>
            </w:r>
            <w:r>
              <w:fldChar w:fldCharType="end"/>
            </w:r>
          </w:hyperlink>
        </w:p>
        <w:p>
          <w:pPr>
            <w:pStyle w:val="TOC2"/>
            <w:rPr>
              <w:rFonts w:hAnsiTheme="minorHAnsi" w:asciiTheme="minorHAnsi" w:eastAsiaTheme="minorEastAsia"/>
              <w:sz w:val="22"/>
              <w:szCs w:val="22"/>
            </w:rPr>
          </w:pPr>
          <w:hyperlink w:anchor="_Toc147923055">
            <w:r>
              <w:rPr>
                <w:rStyle w:val="Hyperlink"/>
                <w:rFonts w:ascii="Times New Roman"/>
                <w:b w:val="0"/>
                <w:i w:val="0"/>
                <w:strike w:val="0"/>
                <w:dstrike w:val="0"/>
                <w:emboss w:val="0"/>
                <w:imprint w:val="0"/>
                <w:outline w:val="0"/>
                <w:shadow w:val="0"/>
                <w:sz w:val="24"/>
                <w:szCs w:val="24"/>
                <w:u w:val="none"/>
              </w:rPr>
              <w:t xml:space="preserve">2.13 Theoretical Perspectives</w:t>
              <w:tab/>
            </w:r>
            <w:r>
              <w:fldChar w:fldCharType="begin"/>
            </w:r>
            <w:r>
              <w:instrText xml:space="preserve"> PAGEREF _Toc147923055 \h </w:instrText>
            </w:r>
            <w:r>
              <w:fldChar w:fldCharType="separate"/>
            </w:r>
            <w:r>
              <w:rPr>
                <w:rFonts w:ascii="Times New Roman"/>
                <w:b w:val="0"/>
                <w:i w:val="0"/>
                <w:strike w:val="0"/>
                <w:dstrike w:val="0"/>
                <w:emboss w:val="0"/>
                <w:imprint w:val="0"/>
                <w:outline w:val="0"/>
                <w:shadow w:val="0"/>
                <w:sz w:val="24"/>
                <w:szCs w:val="24"/>
                <w:u w:val="none"/>
              </w:rPr>
              <w:t xml:space="preserve">47</w:t>
            </w:r>
            <w:r>
              <w:fldChar w:fldCharType="end"/>
            </w:r>
          </w:hyperlink>
        </w:p>
        <w:p>
          <w:pPr>
            <w:pStyle w:val="TOC2"/>
            <w:rPr>
              <w:rFonts w:hAnsiTheme="minorHAnsi" w:asciiTheme="minorHAnsi" w:eastAsiaTheme="minorEastAsia"/>
              <w:sz w:val="22"/>
              <w:szCs w:val="22"/>
            </w:rPr>
          </w:pPr>
          <w:hyperlink w:anchor="_Toc147923056">
            <w:r>
              <w:rPr>
                <w:rStyle w:val="Hyperlink"/>
                <w:rFonts w:ascii="Times New Roman"/>
                <w:b w:val="0"/>
                <w:i w:val="0"/>
                <w:strike w:val="0"/>
                <w:dstrike w:val="0"/>
                <w:emboss w:val="0"/>
                <w:imprint w:val="0"/>
                <w:outline w:val="0"/>
                <w:shadow w:val="0"/>
                <w:sz w:val="24"/>
                <w:szCs w:val="24"/>
                <w:u w:val="none"/>
              </w:rPr>
              <w:t xml:space="preserve">2.13.1 Theory of Planned Behaviour</w:t>
              <w:tab/>
            </w:r>
            <w:r>
              <w:fldChar w:fldCharType="begin"/>
            </w:r>
            <w:r>
              <w:instrText xml:space="preserve"> PAGEREF _Toc147923056 \h </w:instrText>
            </w:r>
            <w:r>
              <w:fldChar w:fldCharType="separate"/>
            </w:r>
            <w:r>
              <w:rPr>
                <w:rFonts w:ascii="Times New Roman"/>
                <w:b w:val="0"/>
                <w:i w:val="0"/>
                <w:strike w:val="0"/>
                <w:dstrike w:val="0"/>
                <w:emboss w:val="0"/>
                <w:imprint w:val="0"/>
                <w:outline w:val="0"/>
                <w:shadow w:val="0"/>
                <w:sz w:val="24"/>
                <w:szCs w:val="24"/>
                <w:u w:val="none"/>
              </w:rPr>
              <w:t xml:space="preserve">48</w:t>
            </w:r>
            <w:r>
              <w:fldChar w:fldCharType="end"/>
            </w:r>
          </w:hyperlink>
        </w:p>
        <w:p>
          <w:pPr>
            <w:pStyle w:val="TOC2"/>
            <w:rPr>
              <w:rFonts w:hAnsiTheme="minorHAnsi" w:asciiTheme="minorHAnsi" w:eastAsiaTheme="minorEastAsia"/>
              <w:sz w:val="22"/>
              <w:szCs w:val="22"/>
            </w:rPr>
          </w:pPr>
          <w:hyperlink w:anchor="_Toc147923057">
            <w:r>
              <w:rPr>
                <w:rStyle w:val="Hyperlink"/>
                <w:rFonts w:ascii="Times New Roman" w:eastAsia="Calibri"/>
                <w:b w:val="0"/>
                <w:i w:val="0"/>
                <w:strike w:val="0"/>
                <w:dstrike w:val="0"/>
                <w:emboss w:val="0"/>
                <w:imprint w:val="0"/>
                <w:outline w:val="0"/>
                <w:shadow w:val="0"/>
                <w:sz w:val="24"/>
                <w:szCs w:val="24"/>
                <w:u w:val="none"/>
              </w:rPr>
              <w:t xml:space="preserve">2.13.2 </w:t>
            </w:r>
            <w:r>
              <w:rPr>
                <w:rStyle w:val="Hyperlink"/>
                <w:rFonts w:ascii="Times New Roman"/>
                <w:b w:val="0"/>
                <w:i w:val="0"/>
                <w:strike w:val="0"/>
                <w:dstrike w:val="0"/>
                <w:emboss w:val="0"/>
                <w:imprint w:val="0"/>
                <w:outline w:val="0"/>
                <w:shadow w:val="0"/>
                <w:sz w:val="24"/>
                <w:szCs w:val="24"/>
                <w:u w:val="none"/>
              </w:rPr>
              <w:t xml:space="preserve">Knowledge, Attitude and Practice</w:t>
              <w:tab/>
            </w:r>
            <w:r>
              <w:fldChar w:fldCharType="begin"/>
            </w:r>
            <w:r>
              <w:instrText xml:space="preserve"> PAGEREF _Toc147923057 \h </w:instrText>
            </w:r>
            <w:r>
              <w:fldChar w:fldCharType="separate"/>
            </w:r>
            <w:r>
              <w:rPr>
                <w:rFonts w:ascii="Times New Roman"/>
                <w:b w:val="0"/>
                <w:i w:val="0"/>
                <w:strike w:val="0"/>
                <w:dstrike w:val="0"/>
                <w:emboss w:val="0"/>
                <w:imprint w:val="0"/>
                <w:outline w:val="0"/>
                <w:shadow w:val="0"/>
                <w:sz w:val="24"/>
                <w:szCs w:val="24"/>
                <w:u w:val="none"/>
              </w:rPr>
              <w:t xml:space="preserve">50</w:t>
            </w:r>
            <w:r>
              <w:fldChar w:fldCharType="end"/>
            </w:r>
          </w:hyperlink>
        </w:p>
        <w:p>
          <w:pPr>
            <w:pStyle w:val="TOC2"/>
            <w:rPr>
              <w:rFonts w:hAnsiTheme="minorHAnsi" w:asciiTheme="minorHAnsi" w:eastAsiaTheme="minorEastAsia"/>
              <w:sz w:val="22"/>
              <w:szCs w:val="22"/>
            </w:rPr>
          </w:pPr>
          <w:hyperlink w:anchor="_Toc147923058">
            <w:r>
              <w:rPr>
                <w:rStyle w:val="Hyperlink"/>
                <w:rFonts w:ascii="Times New Roman"/>
                <w:b w:val="0"/>
                <w:i w:val="0"/>
                <w:strike w:val="0"/>
                <w:dstrike w:val="0"/>
                <w:emboss w:val="0"/>
                <w:imprint w:val="0"/>
                <w:outline w:val="0"/>
                <w:shadow w:val="0"/>
                <w:sz w:val="24"/>
                <w:szCs w:val="24"/>
                <w:u w:val="none"/>
              </w:rPr>
              <w:t xml:space="preserve">2.14 Conceptual Framework</w:t>
              <w:tab/>
            </w:r>
            <w:r>
              <w:fldChar w:fldCharType="begin"/>
            </w:r>
            <w:r>
              <w:instrText xml:space="preserve"> PAGEREF _Toc147923058 \h </w:instrText>
            </w:r>
            <w:r>
              <w:fldChar w:fldCharType="separate"/>
            </w:r>
            <w:r>
              <w:rPr>
                <w:rFonts w:ascii="Times New Roman"/>
                <w:b w:val="0"/>
                <w:i w:val="0"/>
                <w:strike w:val="0"/>
                <w:dstrike w:val="0"/>
                <w:emboss w:val="0"/>
                <w:imprint w:val="0"/>
                <w:outline w:val="0"/>
                <w:shadow w:val="0"/>
                <w:sz w:val="24"/>
                <w:szCs w:val="24"/>
                <w:u w:val="none"/>
              </w:rPr>
              <w:t xml:space="preserve">54</w:t>
            </w:r>
            <w:r>
              <w:fldChar w:fldCharType="end"/>
            </w:r>
          </w:hyperlink>
        </w:p>
        <w:p>
          <w:pPr>
            <w:pStyle w:val="TOC2"/>
            <w:rPr>
              <w:rFonts w:hAnsiTheme="minorHAnsi" w:asciiTheme="minorHAnsi" w:eastAsiaTheme="minorEastAsia"/>
              <w:sz w:val="22"/>
              <w:szCs w:val="22"/>
            </w:rPr>
          </w:pPr>
          <w:hyperlink w:anchor="_Toc147923059">
            <w:r>
              <w:rPr>
                <w:rStyle w:val="Hyperlink"/>
                <w:rFonts w:ascii="Times New Roman"/>
                <w:b w:val="0"/>
                <w:i w:val="0"/>
                <w:strike w:val="0"/>
                <w:dstrike w:val="0"/>
                <w:emboss w:val="0"/>
                <w:imprint w:val="0"/>
                <w:outline w:val="0"/>
                <w:shadow w:val="0"/>
                <w:sz w:val="24"/>
                <w:szCs w:val="24"/>
                <w:u w:val="none"/>
              </w:rPr>
              <w:t xml:space="preserve">2.14 Chapter Summary</w:t>
              <w:tab/>
            </w:r>
            <w:r>
              <w:fldChar w:fldCharType="begin"/>
            </w:r>
            <w:r>
              <w:instrText xml:space="preserve"> PAGEREF _Toc147923059 \h </w:instrText>
            </w:r>
            <w:r>
              <w:fldChar w:fldCharType="separate"/>
            </w:r>
            <w:r>
              <w:rPr>
                <w:rFonts w:ascii="Times New Roman"/>
                <w:b w:val="0"/>
                <w:i w:val="0"/>
                <w:strike w:val="0"/>
                <w:dstrike w:val="0"/>
                <w:emboss w:val="0"/>
                <w:imprint w:val="0"/>
                <w:outline w:val="0"/>
                <w:shadow w:val="0"/>
                <w:sz w:val="24"/>
                <w:szCs w:val="24"/>
                <w:u w:val="none"/>
              </w:rPr>
              <w:t xml:space="preserve">56</w:t>
            </w:r>
            <w:r>
              <w:fldChar w:fldCharType="end"/>
            </w:r>
          </w:hyperlink>
        </w:p>
        <w:p>
          <w:pPr>
            <w:pStyle w:val="TOC1"/>
            <w:rPr>
              <w:rFonts w:hAnsiTheme="minorHAnsi" w:asciiTheme="minorHAnsi" w:eastAsiaTheme="minorEastAsia"/>
              <w:b w:val="0"/>
              <w:bCs w:val="0"/>
              <w:sz w:val="22"/>
            </w:rPr>
          </w:pPr>
          <w:hyperlink w:anchor="_Toc147923060">
            <w:r>
              <w:rPr>
                <w:rStyle w:val="Hyperlink"/>
                <w:rFonts w:ascii="Times New Roman"/>
                <w:b/>
                <w:i w:val="0"/>
                <w:strike w:val="0"/>
                <w:dstrike w:val="0"/>
                <w:emboss w:val="0"/>
                <w:imprint w:val="0"/>
                <w:outline w:val="0"/>
                <w:shadow w:val="0"/>
                <w:sz w:val="24"/>
                <w:szCs w:val="24"/>
                <w:u w:val="none"/>
              </w:rPr>
              <w:t xml:space="preserve">CHAPTER THREE</w:t>
              <w:tab/>
            </w:r>
            <w:r>
              <w:fldChar w:fldCharType="begin"/>
            </w:r>
            <w:r>
              <w:instrText xml:space="preserve"> PAGEREF _Toc147923060 \h </w:instrText>
            </w:r>
            <w:r>
              <w:fldChar w:fldCharType="separate"/>
            </w:r>
            <w:r>
              <w:rPr>
                <w:rFonts w:ascii="Times New Roman"/>
                <w:b/>
                <w:i w:val="0"/>
                <w:strike w:val="0"/>
                <w:dstrike w:val="0"/>
                <w:emboss w:val="0"/>
                <w:imprint w:val="0"/>
                <w:outline w:val="0"/>
                <w:shadow w:val="0"/>
                <w:sz w:val="24"/>
                <w:szCs w:val="24"/>
                <w:u w:val="none"/>
              </w:rPr>
              <w:t xml:space="preserve">58</w:t>
            </w:r>
            <w:r>
              <w:fldChar w:fldCharType="end"/>
            </w:r>
          </w:hyperlink>
        </w:p>
        <w:p>
          <w:pPr>
            <w:pStyle w:val="TOC1"/>
            <w:rPr>
              <w:rFonts w:hAnsiTheme="minorHAnsi" w:asciiTheme="minorHAnsi" w:eastAsiaTheme="minorEastAsia"/>
              <w:b w:val="0"/>
              <w:bCs w:val="0"/>
              <w:sz w:val="22"/>
            </w:rPr>
          </w:pPr>
          <w:hyperlink w:anchor="_Toc147923061">
            <w:r>
              <w:rPr>
                <w:rStyle w:val="Hyperlink"/>
                <w:rFonts w:ascii="Times New Roman"/>
                <w:b/>
                <w:i w:val="0"/>
                <w:strike w:val="0"/>
                <w:dstrike w:val="0"/>
                <w:emboss w:val="0"/>
                <w:imprint w:val="0"/>
                <w:outline w:val="0"/>
                <w:shadow w:val="0"/>
                <w:sz w:val="24"/>
                <w:szCs w:val="24"/>
                <w:u w:val="none"/>
              </w:rPr>
              <w:t xml:space="preserve">METHODOLOGY</w:t>
              <w:tab/>
            </w:r>
            <w:r>
              <w:fldChar w:fldCharType="begin"/>
            </w:r>
            <w:r>
              <w:instrText xml:space="preserve"> PAGEREF _Toc147923061 \h </w:instrText>
            </w:r>
            <w:r>
              <w:fldChar w:fldCharType="separate"/>
            </w:r>
            <w:r>
              <w:rPr>
                <w:rFonts w:ascii="Times New Roman"/>
                <w:b/>
                <w:i w:val="0"/>
                <w:strike w:val="0"/>
                <w:dstrike w:val="0"/>
                <w:emboss w:val="0"/>
                <w:imprint w:val="0"/>
                <w:outline w:val="0"/>
                <w:shadow w:val="0"/>
                <w:sz w:val="24"/>
                <w:szCs w:val="24"/>
                <w:u w:val="none"/>
              </w:rPr>
              <w:t xml:space="preserve">58</w:t>
            </w:r>
            <w:r>
              <w:fldChar w:fldCharType="end"/>
            </w:r>
          </w:hyperlink>
        </w:p>
        <w:p>
          <w:pPr>
            <w:pStyle w:val="TOC2"/>
            <w:rPr>
              <w:rFonts w:hAnsiTheme="minorHAnsi" w:asciiTheme="minorHAnsi" w:eastAsiaTheme="minorEastAsia"/>
              <w:sz w:val="22"/>
              <w:szCs w:val="22"/>
            </w:rPr>
          </w:pPr>
          <w:hyperlink w:anchor="_Toc147923062">
            <w:r>
              <w:rPr>
                <w:rStyle w:val="Hyperlink"/>
                <w:rFonts w:ascii="Times New Roman"/>
                <w:b w:val="0"/>
                <w:i w:val="0"/>
                <w:strike w:val="0"/>
                <w:dstrike w:val="0"/>
                <w:emboss w:val="0"/>
                <w:imprint w:val="0"/>
                <w:outline w:val="0"/>
                <w:shadow w:val="0"/>
                <w:sz w:val="24"/>
                <w:szCs w:val="24"/>
                <w:u w:val="none"/>
              </w:rPr>
              <w:t xml:space="preserve">3.1 Introduction</w:t>
              <w:tab/>
            </w:r>
            <w:r>
              <w:fldChar w:fldCharType="begin"/>
            </w:r>
            <w:r>
              <w:instrText xml:space="preserve"> PAGEREF _Toc147923062 \h </w:instrText>
            </w:r>
            <w:r>
              <w:fldChar w:fldCharType="separate"/>
            </w:r>
            <w:r>
              <w:rPr>
                <w:rFonts w:ascii="Times New Roman"/>
                <w:b w:val="0"/>
                <w:i w:val="0"/>
                <w:strike w:val="0"/>
                <w:dstrike w:val="0"/>
                <w:emboss w:val="0"/>
                <w:imprint w:val="0"/>
                <w:outline w:val="0"/>
                <w:shadow w:val="0"/>
                <w:sz w:val="24"/>
                <w:szCs w:val="24"/>
                <w:u w:val="none"/>
              </w:rPr>
              <w:t xml:space="preserve">58</w:t>
            </w:r>
            <w:r>
              <w:fldChar w:fldCharType="end"/>
            </w:r>
          </w:hyperlink>
        </w:p>
        <w:p>
          <w:pPr>
            <w:pStyle w:val="TOC2"/>
            <w:rPr>
              <w:rFonts w:hAnsiTheme="minorHAnsi" w:asciiTheme="minorHAnsi" w:eastAsiaTheme="minorEastAsia"/>
              <w:sz w:val="22"/>
              <w:szCs w:val="22"/>
            </w:rPr>
          </w:pPr>
          <w:hyperlink w:anchor="_Toc147923063">
            <w:r>
              <w:rPr>
                <w:rStyle w:val="Hyperlink"/>
                <w:rFonts w:ascii="Times New Roman"/>
                <w:b w:val="0"/>
                <w:i w:val="0"/>
                <w:strike w:val="0"/>
                <w:dstrike w:val="0"/>
                <w:emboss w:val="0"/>
                <w:imprint w:val="0"/>
                <w:outline w:val="0"/>
                <w:shadow w:val="0"/>
                <w:sz w:val="24"/>
                <w:szCs w:val="24"/>
                <w:u w:val="none"/>
              </w:rPr>
              <w:t xml:space="preserve">3.2 Study Area Profile</w:t>
              <w:tab/>
            </w:r>
            <w:r>
              <w:fldChar w:fldCharType="begin"/>
            </w:r>
            <w:r>
              <w:instrText xml:space="preserve"> PAGEREF _Toc147923063 \h </w:instrText>
            </w:r>
            <w:r>
              <w:fldChar w:fldCharType="separate"/>
            </w:r>
            <w:r>
              <w:rPr>
                <w:rFonts w:ascii="Times New Roman"/>
                <w:b w:val="0"/>
                <w:i w:val="0"/>
                <w:strike w:val="0"/>
                <w:dstrike w:val="0"/>
                <w:emboss w:val="0"/>
                <w:imprint w:val="0"/>
                <w:outline w:val="0"/>
                <w:shadow w:val="0"/>
                <w:sz w:val="24"/>
                <w:szCs w:val="24"/>
                <w:u w:val="none"/>
              </w:rPr>
              <w:t xml:space="preserve">58</w:t>
            </w:r>
            <w:r>
              <w:fldChar w:fldCharType="end"/>
            </w:r>
          </w:hyperlink>
        </w:p>
        <w:p>
          <w:pPr>
            <w:pStyle w:val="TOC2"/>
            <w:rPr>
              <w:rFonts w:hAnsiTheme="minorHAnsi" w:asciiTheme="minorHAnsi" w:eastAsiaTheme="minorEastAsia"/>
              <w:sz w:val="22"/>
              <w:szCs w:val="22"/>
            </w:rPr>
          </w:pPr>
          <w:hyperlink w:anchor="_Toc147923064">
            <w:r>
              <w:rPr>
                <w:rStyle w:val="Hyperlink"/>
                <w:rFonts w:ascii="Times New Roman"/>
                <w:b w:val="0"/>
                <w:i w:val="0"/>
                <w:strike w:val="0"/>
                <w:dstrike w:val="0"/>
                <w:emboss w:val="0"/>
                <w:imprint w:val="0"/>
                <w:outline w:val="0"/>
                <w:shadow w:val="0"/>
                <w:sz w:val="24"/>
                <w:szCs w:val="24"/>
                <w:u w:val="none"/>
              </w:rPr>
              <w:t xml:space="preserve">3.4 Research Approach and Study Design</w:t>
              <w:tab/>
            </w:r>
            <w:r>
              <w:fldChar w:fldCharType="begin"/>
            </w:r>
            <w:r>
              <w:instrText xml:space="preserve"> PAGEREF _Toc147923064 \h </w:instrText>
            </w:r>
            <w:r>
              <w:fldChar w:fldCharType="separate"/>
            </w:r>
            <w:r>
              <w:rPr>
                <w:rFonts w:ascii="Times New Roman"/>
                <w:b w:val="0"/>
                <w:i w:val="0"/>
                <w:strike w:val="0"/>
                <w:dstrike w:val="0"/>
                <w:emboss w:val="0"/>
                <w:imprint w:val="0"/>
                <w:outline w:val="0"/>
                <w:shadow w:val="0"/>
                <w:sz w:val="24"/>
                <w:szCs w:val="24"/>
                <w:u w:val="none"/>
              </w:rPr>
              <w:t xml:space="preserve">61</w:t>
            </w:r>
            <w:r>
              <w:fldChar w:fldCharType="end"/>
            </w:r>
          </w:hyperlink>
        </w:p>
        <w:p>
          <w:pPr>
            <w:pStyle w:val="TOC2"/>
            <w:rPr>
              <w:rFonts w:hAnsiTheme="minorHAnsi" w:asciiTheme="minorHAnsi" w:eastAsiaTheme="minorEastAsia"/>
              <w:sz w:val="22"/>
              <w:szCs w:val="22"/>
            </w:rPr>
          </w:pPr>
          <w:hyperlink w:anchor="_Toc147923065">
            <w:r>
              <w:rPr>
                <w:rStyle w:val="Hyperlink"/>
                <w:rFonts w:ascii="Times New Roman"/>
                <w:b w:val="0"/>
                <w:i w:val="0"/>
                <w:strike w:val="0"/>
                <w:dstrike w:val="0"/>
                <w:emboss w:val="0"/>
                <w:imprint w:val="0"/>
                <w:outline w:val="0"/>
                <w:shadow w:val="0"/>
                <w:sz w:val="24"/>
                <w:szCs w:val="24"/>
                <w:u w:val="none"/>
              </w:rPr>
              <w:t xml:space="preserve">3.5 Study Population</w:t>
              <w:tab/>
            </w:r>
            <w:r>
              <w:fldChar w:fldCharType="begin"/>
            </w:r>
            <w:r>
              <w:instrText xml:space="preserve"> PAGEREF _Toc147923065 \h </w:instrText>
            </w:r>
            <w:r>
              <w:fldChar w:fldCharType="separate"/>
            </w:r>
            <w:r>
              <w:rPr>
                <w:rFonts w:ascii="Times New Roman"/>
                <w:b w:val="0"/>
                <w:i w:val="0"/>
                <w:strike w:val="0"/>
                <w:dstrike w:val="0"/>
                <w:emboss w:val="0"/>
                <w:imprint w:val="0"/>
                <w:outline w:val="0"/>
                <w:shadow w:val="0"/>
                <w:sz w:val="24"/>
                <w:szCs w:val="24"/>
                <w:u w:val="none"/>
              </w:rPr>
              <w:t xml:space="preserve">62</w:t>
            </w:r>
            <w:r>
              <w:fldChar w:fldCharType="end"/>
            </w:r>
          </w:hyperlink>
        </w:p>
        <w:p>
          <w:pPr>
            <w:pStyle w:val="TOC2"/>
            <w:rPr>
              <w:rFonts w:hAnsiTheme="minorHAnsi" w:asciiTheme="minorHAnsi" w:eastAsiaTheme="minorEastAsia"/>
              <w:sz w:val="22"/>
              <w:szCs w:val="22"/>
            </w:rPr>
          </w:pPr>
          <w:hyperlink w:anchor="_Toc147923066">
            <w:r>
              <w:rPr>
                <w:rStyle w:val="Hyperlink"/>
                <w:rFonts w:ascii="Times New Roman"/>
                <w:b w:val="0"/>
                <w:i w:val="0"/>
                <w:strike w:val="0"/>
                <w:dstrike w:val="0"/>
                <w:emboss w:val="0"/>
                <w:imprint w:val="0"/>
                <w:outline w:val="0"/>
                <w:shadow w:val="0"/>
                <w:sz w:val="24"/>
                <w:szCs w:val="24"/>
                <w:u w:val="none"/>
              </w:rPr>
              <w:t xml:space="preserve">3.6 Sampling and Sampling Technique</w:t>
              <w:tab/>
            </w:r>
            <w:r>
              <w:fldChar w:fldCharType="begin"/>
            </w:r>
            <w:r>
              <w:instrText xml:space="preserve"> PAGEREF _Toc147923066 \h </w:instrText>
            </w:r>
            <w:r>
              <w:fldChar w:fldCharType="separate"/>
            </w:r>
            <w:r>
              <w:rPr>
                <w:rFonts w:ascii="Times New Roman"/>
                <w:b w:val="0"/>
                <w:i w:val="0"/>
                <w:strike w:val="0"/>
                <w:dstrike w:val="0"/>
                <w:emboss w:val="0"/>
                <w:imprint w:val="0"/>
                <w:outline w:val="0"/>
                <w:shadow w:val="0"/>
                <w:sz w:val="24"/>
                <w:szCs w:val="24"/>
                <w:u w:val="none"/>
              </w:rPr>
              <w:t xml:space="preserve">62</w:t>
            </w:r>
            <w:r>
              <w:fldChar w:fldCharType="end"/>
            </w:r>
          </w:hyperlink>
        </w:p>
        <w:p>
          <w:pPr>
            <w:pStyle w:val="TOC2"/>
            <w:rPr>
              <w:rFonts w:hAnsiTheme="minorHAnsi" w:asciiTheme="minorHAnsi" w:eastAsiaTheme="minorEastAsia"/>
              <w:sz w:val="22"/>
              <w:szCs w:val="22"/>
            </w:rPr>
          </w:pPr>
          <w:hyperlink w:anchor="_Toc147923067">
            <w:r>
              <w:rPr>
                <w:rStyle w:val="Hyperlink"/>
                <w:rFonts w:ascii="Times New Roman"/>
                <w:b w:val="0"/>
                <w:i w:val="0"/>
                <w:strike w:val="0"/>
                <w:dstrike w:val="0"/>
                <w:emboss w:val="0"/>
                <w:imprint w:val="0"/>
                <w:outline w:val="0"/>
                <w:shadow w:val="0"/>
                <w:sz w:val="24"/>
                <w:szCs w:val="24"/>
                <w:u w:val="none"/>
              </w:rPr>
              <w:t xml:space="preserve">3.6.1 Sample Size Determination</w:t>
              <w:tab/>
            </w:r>
            <w:r>
              <w:fldChar w:fldCharType="begin"/>
            </w:r>
            <w:r>
              <w:instrText xml:space="preserve"> PAGEREF _Toc147923067 \h </w:instrText>
            </w:r>
            <w:r>
              <w:fldChar w:fldCharType="separate"/>
            </w:r>
            <w:r>
              <w:rPr>
                <w:rFonts w:ascii="Times New Roman"/>
                <w:b w:val="0"/>
                <w:i w:val="0"/>
                <w:strike w:val="0"/>
                <w:dstrike w:val="0"/>
                <w:emboss w:val="0"/>
                <w:imprint w:val="0"/>
                <w:outline w:val="0"/>
                <w:shadow w:val="0"/>
                <w:sz w:val="24"/>
                <w:szCs w:val="24"/>
                <w:u w:val="none"/>
              </w:rPr>
              <w:t xml:space="preserve">64</w:t>
            </w:r>
            <w:r>
              <w:fldChar w:fldCharType="end"/>
            </w:r>
          </w:hyperlink>
        </w:p>
        <w:p>
          <w:pPr>
            <w:pStyle w:val="TOC2"/>
            <w:rPr>
              <w:rFonts w:hAnsiTheme="minorHAnsi" w:asciiTheme="minorHAnsi" w:eastAsiaTheme="minorEastAsia"/>
              <w:sz w:val="22"/>
              <w:szCs w:val="22"/>
            </w:rPr>
          </w:pPr>
          <w:hyperlink w:anchor="_Toc147923068">
            <w:r>
              <w:rPr>
                <w:rStyle w:val="Hyperlink"/>
                <w:rFonts w:ascii="Times New Roman"/>
                <w:b w:val="0"/>
                <w:i w:val="0"/>
                <w:strike w:val="0"/>
                <w:dstrike w:val="0"/>
                <w:emboss w:val="0"/>
                <w:imprint w:val="0"/>
                <w:outline w:val="0"/>
                <w:shadow w:val="0"/>
                <w:sz w:val="24"/>
                <w:szCs w:val="24"/>
                <w:u w:val="none"/>
              </w:rPr>
              <w:t xml:space="preserve">3.6.2 Inclusion and Exclusion Criteria</w:t>
              <w:tab/>
            </w:r>
            <w:r>
              <w:fldChar w:fldCharType="begin"/>
            </w:r>
            <w:r>
              <w:instrText xml:space="preserve"> PAGEREF _Toc147923068 \h </w:instrText>
            </w:r>
            <w:r>
              <w:fldChar w:fldCharType="separate"/>
            </w:r>
            <w:r>
              <w:rPr>
                <w:rFonts w:ascii="Times New Roman"/>
                <w:b w:val="0"/>
                <w:i w:val="0"/>
                <w:strike w:val="0"/>
                <w:dstrike w:val="0"/>
                <w:emboss w:val="0"/>
                <w:imprint w:val="0"/>
                <w:outline w:val="0"/>
                <w:shadow w:val="0"/>
                <w:sz w:val="24"/>
                <w:szCs w:val="24"/>
                <w:u w:val="none"/>
              </w:rPr>
              <w:t xml:space="preserve">64</w:t>
            </w:r>
            <w:r>
              <w:fldChar w:fldCharType="end"/>
            </w:r>
          </w:hyperlink>
        </w:p>
        <w:p>
          <w:pPr>
            <w:pStyle w:val="TOC2"/>
            <w:rPr>
              <w:rFonts w:hAnsiTheme="minorHAnsi" w:asciiTheme="minorHAnsi" w:eastAsiaTheme="minorEastAsia"/>
              <w:sz w:val="22"/>
              <w:szCs w:val="22"/>
            </w:rPr>
          </w:pPr>
          <w:hyperlink w:anchor="_Toc147923069">
            <w:r>
              <w:rPr>
                <w:rStyle w:val="Hyperlink"/>
                <w:rFonts w:ascii="Times New Roman"/>
                <w:b w:val="0"/>
                <w:i w:val="0"/>
                <w:strike w:val="0"/>
                <w:dstrike w:val="0"/>
                <w:emboss w:val="0"/>
                <w:imprint w:val="0"/>
                <w:outline w:val="0"/>
                <w:shadow w:val="0"/>
                <w:sz w:val="24"/>
                <w:szCs w:val="24"/>
                <w:u w:val="none"/>
              </w:rPr>
              <w:t xml:space="preserve">3.7 Data Sources</w:t>
              <w:tab/>
            </w:r>
            <w:r>
              <w:fldChar w:fldCharType="begin"/>
            </w:r>
            <w:r>
              <w:instrText xml:space="preserve"> PAGEREF _Toc147923069 \h </w:instrText>
            </w:r>
            <w:r>
              <w:fldChar w:fldCharType="separate"/>
            </w:r>
            <w:r>
              <w:rPr>
                <w:rFonts w:ascii="Times New Roman"/>
                <w:b w:val="0"/>
                <w:i w:val="0"/>
                <w:strike w:val="0"/>
                <w:dstrike w:val="0"/>
                <w:emboss w:val="0"/>
                <w:imprint w:val="0"/>
                <w:outline w:val="0"/>
                <w:shadow w:val="0"/>
                <w:sz w:val="24"/>
                <w:szCs w:val="24"/>
                <w:u w:val="none"/>
              </w:rPr>
              <w:t xml:space="preserve">65</w:t>
            </w:r>
            <w:r>
              <w:fldChar w:fldCharType="end"/>
            </w:r>
          </w:hyperlink>
        </w:p>
        <w:p>
          <w:pPr>
            <w:pStyle w:val="TOC2"/>
            <w:rPr>
              <w:rFonts w:hAnsiTheme="minorHAnsi" w:asciiTheme="minorHAnsi" w:eastAsiaTheme="minorEastAsia"/>
              <w:sz w:val="22"/>
              <w:szCs w:val="22"/>
            </w:rPr>
          </w:pPr>
          <w:hyperlink w:anchor="_Toc147923070">
            <w:r>
              <w:rPr>
                <w:rStyle w:val="Hyperlink"/>
                <w:rFonts w:ascii="Times New Roman"/>
                <w:b w:val="0"/>
                <w:i w:val="0"/>
                <w:strike w:val="0"/>
                <w:dstrike w:val="0"/>
                <w:emboss w:val="0"/>
                <w:imprint w:val="0"/>
                <w:outline w:val="0"/>
                <w:shadow w:val="0"/>
                <w:sz w:val="24"/>
                <w:szCs w:val="24"/>
                <w:u w:val="none"/>
              </w:rPr>
              <w:t xml:space="preserve">3.8 Data Collection Tools and Procedures</w:t>
              <w:tab/>
            </w:r>
            <w:r>
              <w:fldChar w:fldCharType="begin"/>
            </w:r>
            <w:r>
              <w:instrText xml:space="preserve"> PAGEREF _Toc147923070 \h </w:instrText>
            </w:r>
            <w:r>
              <w:fldChar w:fldCharType="separate"/>
            </w:r>
            <w:r>
              <w:rPr>
                <w:rFonts w:ascii="Times New Roman"/>
                <w:b w:val="0"/>
                <w:i w:val="0"/>
                <w:strike w:val="0"/>
                <w:dstrike w:val="0"/>
                <w:emboss w:val="0"/>
                <w:imprint w:val="0"/>
                <w:outline w:val="0"/>
                <w:shadow w:val="0"/>
                <w:sz w:val="24"/>
                <w:szCs w:val="24"/>
                <w:u w:val="none"/>
              </w:rPr>
              <w:t xml:space="preserve">65</w:t>
            </w:r>
            <w:r>
              <w:fldChar w:fldCharType="end"/>
            </w:r>
          </w:hyperlink>
        </w:p>
        <w:p>
          <w:pPr>
            <w:pStyle w:val="TOC2"/>
            <w:rPr>
              <w:rFonts w:hAnsiTheme="minorHAnsi" w:asciiTheme="minorHAnsi" w:eastAsiaTheme="minorEastAsia"/>
              <w:sz w:val="22"/>
              <w:szCs w:val="22"/>
            </w:rPr>
          </w:pPr>
          <w:hyperlink w:anchor="_Toc147923071">
            <w:r>
              <w:rPr>
                <w:rStyle w:val="Hyperlink"/>
                <w:rFonts w:ascii="Times New Roman"/>
                <w:b w:val="0"/>
                <w:i w:val="0"/>
                <w:strike w:val="0"/>
                <w:dstrike w:val="0"/>
                <w:emboss w:val="0"/>
                <w:imprint w:val="0"/>
                <w:outline w:val="0"/>
                <w:shadow w:val="0"/>
                <w:sz w:val="24"/>
                <w:szCs w:val="24"/>
                <w:u w:val="none"/>
              </w:rPr>
              <w:t xml:space="preserve">3.8.1 Survey Questionnaire</w:t>
              <w:tab/>
            </w:r>
            <w:r>
              <w:fldChar w:fldCharType="begin"/>
            </w:r>
            <w:r>
              <w:instrText xml:space="preserve"> PAGEREF _Toc147923071 \h </w:instrText>
            </w:r>
            <w:r>
              <w:fldChar w:fldCharType="separate"/>
            </w:r>
            <w:r>
              <w:rPr>
                <w:rFonts w:ascii="Times New Roman"/>
                <w:b w:val="0"/>
                <w:i w:val="0"/>
                <w:strike w:val="0"/>
                <w:dstrike w:val="0"/>
                <w:emboss w:val="0"/>
                <w:imprint w:val="0"/>
                <w:outline w:val="0"/>
                <w:shadow w:val="0"/>
                <w:sz w:val="24"/>
                <w:szCs w:val="24"/>
                <w:u w:val="none"/>
              </w:rPr>
              <w:t xml:space="preserve">65</w:t>
            </w:r>
            <w:r>
              <w:fldChar w:fldCharType="end"/>
            </w:r>
          </w:hyperlink>
        </w:p>
        <w:p>
          <w:pPr>
            <w:pStyle w:val="TOC2"/>
            <w:rPr>
              <w:rFonts w:hAnsiTheme="minorHAnsi" w:asciiTheme="minorHAnsi" w:eastAsiaTheme="minorEastAsia"/>
              <w:sz w:val="22"/>
              <w:szCs w:val="22"/>
            </w:rPr>
          </w:pPr>
          <w:hyperlink w:anchor="_Toc147923072">
            <w:r>
              <w:rPr>
                <w:rStyle w:val="Hyperlink"/>
                <w:rFonts w:ascii="Times New Roman"/>
                <w:b w:val="0"/>
                <w:i w:val="0"/>
                <w:strike w:val="0"/>
                <w:dstrike w:val="0"/>
                <w:emboss w:val="0"/>
                <w:imprint w:val="0"/>
                <w:outline w:val="0"/>
                <w:shadow w:val="0"/>
                <w:sz w:val="24"/>
                <w:szCs w:val="24"/>
                <w:u w:val="none"/>
              </w:rPr>
              <w:t xml:space="preserve">3.8.2 In-depth Interview Guide</w:t>
              <w:tab/>
            </w:r>
            <w:r>
              <w:fldChar w:fldCharType="begin"/>
            </w:r>
            <w:r>
              <w:instrText xml:space="preserve"> PAGEREF _Toc147923072 \h </w:instrText>
            </w:r>
            <w:r>
              <w:fldChar w:fldCharType="separate"/>
            </w:r>
            <w:r>
              <w:rPr>
                <w:rFonts w:ascii="Times New Roman"/>
                <w:b w:val="0"/>
                <w:i w:val="0"/>
                <w:strike w:val="0"/>
                <w:dstrike w:val="0"/>
                <w:emboss w:val="0"/>
                <w:imprint w:val="0"/>
                <w:outline w:val="0"/>
                <w:shadow w:val="0"/>
                <w:sz w:val="24"/>
                <w:szCs w:val="24"/>
                <w:u w:val="none"/>
              </w:rPr>
              <w:t xml:space="preserve">66</w:t>
            </w:r>
            <w:r>
              <w:fldChar w:fldCharType="end"/>
            </w:r>
          </w:hyperlink>
        </w:p>
        <w:p>
          <w:pPr>
            <w:pStyle w:val="TOC2"/>
            <w:rPr>
              <w:rFonts w:hAnsiTheme="minorHAnsi" w:asciiTheme="minorHAnsi" w:eastAsiaTheme="minorEastAsia"/>
              <w:sz w:val="22"/>
              <w:szCs w:val="22"/>
            </w:rPr>
          </w:pPr>
          <w:hyperlink w:anchor="_Toc147923073">
            <w:r>
              <w:rPr>
                <w:rStyle w:val="Hyperlink"/>
                <w:rFonts w:ascii="Times New Roman"/>
                <w:b w:val="0"/>
                <w:i w:val="0"/>
                <w:strike w:val="0"/>
                <w:dstrike w:val="0"/>
                <w:emboss w:val="0"/>
                <w:imprint w:val="0"/>
                <w:outline w:val="0"/>
                <w:shadow w:val="0"/>
                <w:sz w:val="24"/>
                <w:szCs w:val="24"/>
                <w:u w:val="none"/>
              </w:rPr>
              <w:t xml:space="preserve">3.9 Data Validity and Reliability</w:t>
              <w:tab/>
            </w:r>
            <w:r>
              <w:fldChar w:fldCharType="begin"/>
            </w:r>
            <w:r>
              <w:instrText xml:space="preserve"> PAGEREF _Toc147923073 \h </w:instrText>
            </w:r>
            <w:r>
              <w:fldChar w:fldCharType="separate"/>
            </w:r>
            <w:r>
              <w:rPr>
                <w:rFonts w:ascii="Times New Roman"/>
                <w:b w:val="0"/>
                <w:i w:val="0"/>
                <w:strike w:val="0"/>
                <w:dstrike w:val="0"/>
                <w:emboss w:val="0"/>
                <w:imprint w:val="0"/>
                <w:outline w:val="0"/>
                <w:shadow w:val="0"/>
                <w:sz w:val="24"/>
                <w:szCs w:val="24"/>
                <w:u w:val="none"/>
              </w:rPr>
              <w:t xml:space="preserve">66</w:t>
            </w:r>
            <w:r>
              <w:fldChar w:fldCharType="end"/>
            </w:r>
          </w:hyperlink>
        </w:p>
        <w:p>
          <w:pPr>
            <w:pStyle w:val="TOC2"/>
            <w:rPr>
              <w:rFonts w:hAnsiTheme="minorHAnsi" w:asciiTheme="minorHAnsi" w:eastAsiaTheme="minorEastAsia"/>
              <w:sz w:val="22"/>
              <w:szCs w:val="22"/>
            </w:rPr>
          </w:pPr>
          <w:hyperlink w:anchor="_Toc147923074">
            <w:r>
              <w:rPr>
                <w:rStyle w:val="Hyperlink"/>
                <w:rFonts w:ascii="Times New Roman"/>
                <w:b w:val="0"/>
                <w:i w:val="0"/>
                <w:strike w:val="0"/>
                <w:dstrike w:val="0"/>
                <w:emboss w:val="0"/>
                <w:imprint w:val="0"/>
                <w:outline w:val="0"/>
                <w:shadow w:val="0"/>
                <w:sz w:val="24"/>
                <w:szCs w:val="24"/>
                <w:u w:val="none"/>
              </w:rPr>
              <w:t xml:space="preserve">3.10 Data Analysis</w:t>
              <w:tab/>
            </w:r>
            <w:r>
              <w:fldChar w:fldCharType="begin"/>
            </w:r>
            <w:r>
              <w:instrText xml:space="preserve"> PAGEREF _Toc147923074 \h </w:instrText>
            </w:r>
            <w:r>
              <w:fldChar w:fldCharType="separate"/>
            </w:r>
            <w:r>
              <w:rPr>
                <w:rFonts w:ascii="Times New Roman"/>
                <w:b w:val="0"/>
                <w:i w:val="0"/>
                <w:strike w:val="0"/>
                <w:dstrike w:val="0"/>
                <w:emboss w:val="0"/>
                <w:imprint w:val="0"/>
                <w:outline w:val="0"/>
                <w:shadow w:val="0"/>
                <w:sz w:val="24"/>
                <w:szCs w:val="24"/>
                <w:u w:val="none"/>
              </w:rPr>
              <w:t xml:space="preserve">67</w:t>
            </w:r>
            <w:r>
              <w:fldChar w:fldCharType="end"/>
            </w:r>
          </w:hyperlink>
        </w:p>
        <w:p>
          <w:pPr>
            <w:pStyle w:val="TOC2"/>
            <w:rPr>
              <w:rFonts w:hAnsiTheme="minorHAnsi" w:asciiTheme="minorHAnsi" w:eastAsiaTheme="minorEastAsia"/>
              <w:sz w:val="22"/>
              <w:szCs w:val="22"/>
            </w:rPr>
          </w:pPr>
          <w:hyperlink w:anchor="_Toc147923075">
            <w:r>
              <w:rPr>
                <w:rStyle w:val="Hyperlink"/>
                <w:rFonts w:ascii="Times New Roman"/>
                <w:b w:val="0"/>
                <w:i w:val="0"/>
                <w:strike w:val="0"/>
                <w:dstrike w:val="0"/>
                <w:emboss w:val="0"/>
                <w:imprint w:val="0"/>
                <w:outline w:val="0"/>
                <w:shadow w:val="0"/>
                <w:sz w:val="24"/>
                <w:szCs w:val="24"/>
                <w:u w:val="none"/>
              </w:rPr>
              <w:t xml:space="preserve">3.11 Ethical Consideration</w:t>
              <w:tab/>
            </w:r>
            <w:r>
              <w:fldChar w:fldCharType="begin"/>
            </w:r>
            <w:r>
              <w:instrText xml:space="preserve"> PAGEREF _Toc147923075 \h </w:instrText>
            </w:r>
            <w:r>
              <w:fldChar w:fldCharType="separate"/>
            </w:r>
            <w:r>
              <w:rPr>
                <w:rFonts w:ascii="Times New Roman"/>
                <w:b w:val="0"/>
                <w:i w:val="0"/>
                <w:strike w:val="0"/>
                <w:dstrike w:val="0"/>
                <w:emboss w:val="0"/>
                <w:imprint w:val="0"/>
                <w:outline w:val="0"/>
                <w:shadow w:val="0"/>
                <w:sz w:val="24"/>
                <w:szCs w:val="24"/>
                <w:u w:val="none"/>
              </w:rPr>
              <w:t xml:space="preserve">68</w:t>
            </w:r>
            <w:r>
              <w:fldChar w:fldCharType="end"/>
            </w:r>
          </w:hyperlink>
        </w:p>
        <w:p>
          <w:pPr>
            <w:pStyle w:val="TOC1"/>
            <w:rPr>
              <w:rFonts w:hAnsiTheme="minorHAnsi" w:asciiTheme="minorHAnsi" w:eastAsiaTheme="minorEastAsia"/>
              <w:b w:val="0"/>
              <w:bCs w:val="0"/>
              <w:sz w:val="22"/>
            </w:rPr>
          </w:pPr>
          <w:hyperlink w:anchor="_Toc147923076">
            <w:r>
              <w:rPr>
                <w:rStyle w:val="Hyperlink"/>
                <w:rFonts w:ascii="Times New Roman" w:eastAsia="Calibri"/>
                <w:b/>
                <w:i w:val="0"/>
                <w:strike w:val="0"/>
                <w:dstrike w:val="0"/>
                <w:emboss w:val="0"/>
                <w:imprint w:val="0"/>
                <w:outline w:val="0"/>
                <w:shadow w:val="0"/>
                <w:sz w:val="24"/>
                <w:szCs w:val="24"/>
                <w:u w:val="none"/>
              </w:rPr>
              <w:t xml:space="preserve">CHAPTER FOUR</w:t>
              <w:tab/>
            </w:r>
            <w:r>
              <w:fldChar w:fldCharType="begin"/>
            </w:r>
            <w:r>
              <w:instrText xml:space="preserve"> PAGEREF _Toc147923076 \h </w:instrText>
            </w:r>
            <w:r>
              <w:fldChar w:fldCharType="separate"/>
            </w:r>
            <w:r>
              <w:rPr>
                <w:rFonts w:ascii="Times New Roman"/>
                <w:b/>
                <w:i w:val="0"/>
                <w:strike w:val="0"/>
                <w:dstrike w:val="0"/>
                <w:emboss w:val="0"/>
                <w:imprint w:val="0"/>
                <w:outline w:val="0"/>
                <w:shadow w:val="0"/>
                <w:sz w:val="24"/>
                <w:szCs w:val="24"/>
                <w:u w:val="none"/>
              </w:rPr>
              <w:t xml:space="preserve">69</w:t>
            </w:r>
            <w:r>
              <w:fldChar w:fldCharType="end"/>
            </w:r>
          </w:hyperlink>
        </w:p>
        <w:p>
          <w:pPr>
            <w:pStyle w:val="TOC1"/>
            <w:rPr>
              <w:rFonts w:hAnsiTheme="minorHAnsi" w:asciiTheme="minorHAnsi" w:eastAsiaTheme="minorEastAsia"/>
              <w:b w:val="0"/>
              <w:bCs w:val="0"/>
              <w:sz w:val="22"/>
            </w:rPr>
          </w:pPr>
          <w:hyperlink w:anchor="_Toc147923077">
            <w:r>
              <w:rPr>
                <w:rStyle w:val="Hyperlink"/>
                <w:rFonts w:ascii="Times New Roman" w:eastAsia="Calibri"/>
                <w:b/>
                <w:i w:val="0"/>
                <w:strike w:val="0"/>
                <w:dstrike w:val="0"/>
                <w:emboss w:val="0"/>
                <w:imprint w:val="0"/>
                <w:outline w:val="0"/>
                <w:shadow w:val="0"/>
                <w:sz w:val="24"/>
                <w:szCs w:val="24"/>
                <w:u w:val="none"/>
              </w:rPr>
              <w:t xml:space="preserve">RESULTS AND DISCUSSIONS</w:t>
              <w:tab/>
            </w:r>
            <w:r>
              <w:fldChar w:fldCharType="begin"/>
            </w:r>
            <w:r>
              <w:instrText xml:space="preserve"> PAGEREF _Toc147923077 \h </w:instrText>
            </w:r>
            <w:r>
              <w:fldChar w:fldCharType="separate"/>
            </w:r>
            <w:r>
              <w:rPr>
                <w:rFonts w:ascii="Times New Roman"/>
                <w:b/>
                <w:i w:val="0"/>
                <w:strike w:val="0"/>
                <w:dstrike w:val="0"/>
                <w:emboss w:val="0"/>
                <w:imprint w:val="0"/>
                <w:outline w:val="0"/>
                <w:shadow w:val="0"/>
                <w:sz w:val="24"/>
                <w:szCs w:val="24"/>
                <w:u w:val="none"/>
              </w:rPr>
              <w:t xml:space="preserve">69</w:t>
            </w:r>
            <w:r>
              <w:fldChar w:fldCharType="end"/>
            </w:r>
          </w:hyperlink>
        </w:p>
        <w:p>
          <w:pPr>
            <w:pStyle w:val="TOC2"/>
            <w:rPr>
              <w:rFonts w:hAnsiTheme="minorHAnsi" w:asciiTheme="minorHAnsi" w:eastAsiaTheme="minorEastAsia"/>
              <w:sz w:val="22"/>
              <w:szCs w:val="22"/>
            </w:rPr>
          </w:pPr>
          <w:hyperlink w:anchor="_Toc147923078">
            <w:r>
              <w:rPr>
                <w:rStyle w:val="Hyperlink"/>
                <w:rFonts w:ascii="Times New Roman" w:eastAsia="Calibri"/>
                <w:b w:val="0"/>
                <w:i w:val="0"/>
                <w:strike w:val="0"/>
                <w:dstrike w:val="0"/>
                <w:emboss w:val="0"/>
                <w:imprint w:val="0"/>
                <w:outline w:val="0"/>
                <w:shadow w:val="0"/>
                <w:sz w:val="24"/>
                <w:szCs w:val="24"/>
                <w:u w:val="none"/>
              </w:rPr>
              <w:t xml:space="preserve">4.1 Introduction</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_Toc147923078 \h </w:instrText>
            </w:r>
            <w:r>
              <w:fldChar w:fldCharType="separate"/>
            </w:r>
            <w:r>
              <w:rPr>
                <w:rFonts w:ascii="Times New Roman"/>
                <w:b w:val="0"/>
                <w:i w:val="0"/>
                <w:strike w:val="0"/>
                <w:dstrike w:val="0"/>
                <w:emboss w:val="0"/>
                <w:imprint w:val="0"/>
                <w:outline w:val="0"/>
                <w:shadow w:val="0"/>
                <w:sz w:val="24"/>
                <w:szCs w:val="24"/>
                <w:u w:val="none"/>
              </w:rPr>
              <w:t xml:space="preserve">69</w:t>
            </w:r>
            <w:r>
              <w:fldChar w:fldCharType="end"/>
            </w:r>
          </w:hyperlink>
        </w:p>
        <w:p>
          <w:pPr>
            <w:pStyle w:val="TOC2"/>
            <w:rPr>
              <w:rFonts w:hAnsiTheme="minorHAnsi" w:asciiTheme="minorHAnsi" w:eastAsiaTheme="minorEastAsia"/>
              <w:sz w:val="22"/>
              <w:szCs w:val="22"/>
            </w:rPr>
          </w:pPr>
          <w:hyperlink w:anchor="_Toc147923079">
            <w:r>
              <w:rPr>
                <w:rStyle w:val="Hyperlink"/>
                <w:rFonts w:ascii="Times New Roman" w:eastAsia="Calibri"/>
                <w:b w:val="0"/>
                <w:i w:val="0"/>
                <w:strike w:val="0"/>
                <w:dstrike w:val="0"/>
                <w:emboss w:val="0"/>
                <w:imprint w:val="0"/>
                <w:outline w:val="0"/>
                <w:shadow w:val="0"/>
                <w:sz w:val="24"/>
                <w:szCs w:val="24"/>
                <w:u w:val="none"/>
              </w:rPr>
              <w:t xml:space="preserve">4.2 Socio-demographic Characteristics of respondents</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_Toc147923079 \h </w:instrText>
            </w:r>
            <w:r>
              <w:fldChar w:fldCharType="separate"/>
            </w:r>
            <w:r>
              <w:rPr>
                <w:rFonts w:ascii="Times New Roman"/>
                <w:b w:val="0"/>
                <w:i w:val="0"/>
                <w:strike w:val="0"/>
                <w:dstrike w:val="0"/>
                <w:emboss w:val="0"/>
                <w:imprint w:val="0"/>
                <w:outline w:val="0"/>
                <w:shadow w:val="0"/>
                <w:sz w:val="24"/>
                <w:szCs w:val="24"/>
                <w:u w:val="none"/>
              </w:rPr>
              <w:t xml:space="preserve">69</w:t>
            </w:r>
            <w:r>
              <w:fldChar w:fldCharType="end"/>
            </w:r>
          </w:hyperlink>
        </w:p>
        <w:p>
          <w:pPr>
            <w:pStyle w:val="TOC2"/>
            <w:rPr>
              <w:rFonts w:hAnsiTheme="minorHAnsi" w:asciiTheme="minorHAnsi" w:eastAsiaTheme="minorEastAsia"/>
              <w:sz w:val="22"/>
              <w:szCs w:val="22"/>
            </w:rPr>
          </w:pPr>
          <w:hyperlink w:anchor="_Toc147923080">
            <w:r>
              <w:rPr>
                <w:rStyle w:val="Hyperlink"/>
                <w:rFonts w:ascii="Times New Roman"/>
                <w:b w:val="0"/>
                <w:i w:val="0"/>
                <w:strike w:val="0"/>
                <w:dstrike w:val="0"/>
                <w:emboss w:val="0"/>
                <w:imprint w:val="0"/>
                <w:outline w:val="0"/>
                <w:shadow w:val="0"/>
                <w:sz w:val="24"/>
                <w:szCs w:val="24"/>
                <w:u w:val="none"/>
              </w:rPr>
              <w:t xml:space="preserve">4.3 Residents’ Knowledge on Solid Waste Management</w:t>
              <w:tab/>
            </w:r>
            <w:r>
              <w:fldChar w:fldCharType="begin"/>
            </w:r>
            <w:r>
              <w:instrText xml:space="preserve"> PAGEREF _Toc147923080 \h </w:instrText>
            </w:r>
            <w:r>
              <w:fldChar w:fldCharType="separate"/>
            </w:r>
            <w:r>
              <w:rPr>
                <w:rFonts w:ascii="Times New Roman"/>
                <w:b w:val="0"/>
                <w:i w:val="0"/>
                <w:strike w:val="0"/>
                <w:dstrike w:val="0"/>
                <w:emboss w:val="0"/>
                <w:imprint w:val="0"/>
                <w:outline w:val="0"/>
                <w:shadow w:val="0"/>
                <w:sz w:val="24"/>
                <w:szCs w:val="24"/>
                <w:u w:val="none"/>
              </w:rPr>
              <w:t xml:space="preserve">73</w:t>
            </w:r>
            <w:r>
              <w:fldChar w:fldCharType="end"/>
            </w:r>
          </w:hyperlink>
        </w:p>
        <w:p>
          <w:pPr>
            <w:pStyle w:val="TOC2"/>
            <w:tabs>
              <w:tab w:val="left" w:leader="none" w:pos="880"/>
            </w:tabs>
            <w:rPr>
              <w:rFonts w:hAnsiTheme="minorHAnsi" w:asciiTheme="minorHAnsi" w:eastAsiaTheme="minorEastAsia"/>
              <w:sz w:val="22"/>
              <w:szCs w:val="22"/>
            </w:rPr>
          </w:pPr>
          <w:hyperlink w:anchor="_Toc147923081">
            <w:r>
              <w:rPr>
                <w:rStyle w:val="Hyperlink"/>
                <w:rFonts w:ascii="Times New Roman" w:eastAsia="Calibri"/>
                <w:b w:val="0"/>
                <w:i w:val="0"/>
                <w:strike w:val="0"/>
                <w:dstrike w:val="0"/>
                <w:emboss w:val="0"/>
                <w:imprint w:val="0"/>
                <w:outline w:val="0"/>
                <w:shadow w:val="0"/>
                <w:sz w:val="24"/>
                <w:szCs w:val="24"/>
                <w:u w:val="none"/>
              </w:rPr>
              <w:t xml:space="preserve">4.3.1</w:t>
            </w:r>
            <w:r>
              <w:rPr>
                <w:rFonts w:hAnsiTheme="minorHAnsi" w:ascii="Calibri" w:asciiTheme="minorHAnsi" w:eastAsiaTheme="minorEastAsia"/>
                <w:b w:val="0"/>
                <w:i w:val="0"/>
                <w:strike w:val="0"/>
                <w:dstrike w:val="0"/>
                <w:emboss w:val="0"/>
                <w:imprint w:val="0"/>
                <w:outline w:val="0"/>
                <w:shadow w:val="0"/>
                <w:sz w:val="22"/>
                <w:szCs w:val="22"/>
                <w:u w:val="none"/>
              </w:rPr>
              <w:tab/>
            </w:r>
            <w:r>
              <w:rPr>
                <w:rStyle w:val="Hyperlink"/>
                <w:rFonts w:ascii="Times New Roman" w:eastAsia="Calibri"/>
                <w:b w:val="0"/>
                <w:i w:val="0"/>
                <w:strike w:val="0"/>
                <w:dstrike w:val="0"/>
                <w:emboss w:val="0"/>
                <w:imprint w:val="0"/>
                <w:outline w:val="0"/>
                <w:shadow w:val="0"/>
                <w:sz w:val="24"/>
                <w:szCs w:val="24"/>
                <w:u w:val="none"/>
              </w:rPr>
              <w:t xml:space="preserve">Association between Residents’ Socio-demographics and their Knowledge of SWM</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_Toc147923081 \h </w:instrText>
            </w:r>
            <w:r>
              <w:fldChar w:fldCharType="separate"/>
            </w:r>
            <w:r>
              <w:rPr>
                <w:rFonts w:ascii="Times New Roman"/>
                <w:b w:val="0"/>
                <w:i w:val="0"/>
                <w:strike w:val="0"/>
                <w:dstrike w:val="0"/>
                <w:emboss w:val="0"/>
                <w:imprint w:val="0"/>
                <w:outline w:val="0"/>
                <w:shadow w:val="0"/>
                <w:sz w:val="24"/>
                <w:szCs w:val="24"/>
                <w:u w:val="none"/>
              </w:rPr>
              <w:t xml:space="preserve">78</w:t>
            </w:r>
            <w:r>
              <w:fldChar w:fldCharType="end"/>
            </w:r>
          </w:hyperlink>
        </w:p>
        <w:p>
          <w:pPr>
            <w:pStyle w:val="TOC2"/>
            <w:rPr>
              <w:rFonts w:hAnsiTheme="minorHAnsi" w:asciiTheme="minorHAnsi" w:eastAsiaTheme="minorEastAsia"/>
              <w:sz w:val="22"/>
              <w:szCs w:val="22"/>
            </w:rPr>
          </w:pPr>
          <w:hyperlink w:anchor="_Toc147923082">
            <w:r>
              <w:rPr>
                <w:rStyle w:val="Hyperlink"/>
                <w:rFonts w:ascii="Times New Roman"/>
                <w:b w:val="0"/>
                <w:i w:val="0"/>
                <w:strike w:val="0"/>
                <w:dstrike w:val="0"/>
                <w:emboss w:val="0"/>
                <w:imprint w:val="0"/>
                <w:outline w:val="0"/>
                <w:shadow w:val="0"/>
                <w:sz w:val="24"/>
                <w:szCs w:val="24"/>
                <w:u w:val="none"/>
              </w:rPr>
              <w:t xml:space="preserve">4.4 Residents’ Attitude towards Solid Waste Management</w:t>
              <w:tab/>
            </w:r>
            <w:r>
              <w:fldChar w:fldCharType="begin"/>
            </w:r>
            <w:r>
              <w:instrText xml:space="preserve"> PAGEREF _Toc147923082 \h </w:instrText>
            </w:r>
            <w:r>
              <w:fldChar w:fldCharType="separate"/>
            </w:r>
            <w:r>
              <w:rPr>
                <w:rFonts w:ascii="Times New Roman"/>
                <w:b w:val="0"/>
                <w:i w:val="0"/>
                <w:strike w:val="0"/>
                <w:dstrike w:val="0"/>
                <w:emboss w:val="0"/>
                <w:imprint w:val="0"/>
                <w:outline w:val="0"/>
                <w:shadow w:val="0"/>
                <w:sz w:val="24"/>
                <w:szCs w:val="24"/>
                <w:u w:val="none"/>
              </w:rPr>
              <w:t xml:space="preserve">82</w:t>
            </w:r>
            <w:r>
              <w:fldChar w:fldCharType="end"/>
            </w:r>
          </w:hyperlink>
        </w:p>
        <w:p>
          <w:pPr>
            <w:pStyle w:val="TOC2"/>
            <w:tabs>
              <w:tab w:val="left" w:leader="none" w:pos="880"/>
            </w:tabs>
            <w:rPr>
              <w:rFonts w:hAnsiTheme="minorHAnsi" w:asciiTheme="minorHAnsi" w:eastAsiaTheme="minorEastAsia"/>
              <w:sz w:val="22"/>
              <w:szCs w:val="22"/>
            </w:rPr>
          </w:pPr>
          <w:hyperlink w:anchor="_Toc147923083">
            <w:r>
              <w:rPr>
                <w:rStyle w:val="Hyperlink"/>
                <w:rFonts w:ascii="Times New Roman" w:eastAsia="Calibri"/>
                <w:b w:val="0"/>
                <w:i w:val="0"/>
                <w:strike w:val="0"/>
                <w:dstrike w:val="0"/>
                <w:emboss w:val="0"/>
                <w:imprint w:val="0"/>
                <w:outline w:val="0"/>
                <w:shadow w:val="0"/>
                <w:sz w:val="24"/>
                <w:szCs w:val="24"/>
                <w:u w:val="none"/>
              </w:rPr>
              <w:t xml:space="preserve">4.4.1</w:t>
            </w:r>
            <w:r>
              <w:rPr>
                <w:rFonts w:hAnsiTheme="minorHAnsi" w:ascii="Calibri" w:asciiTheme="minorHAnsi" w:eastAsiaTheme="minorEastAsia"/>
                <w:b w:val="0"/>
                <w:i w:val="0"/>
                <w:strike w:val="0"/>
                <w:dstrike w:val="0"/>
                <w:emboss w:val="0"/>
                <w:imprint w:val="0"/>
                <w:outline w:val="0"/>
                <w:shadow w:val="0"/>
                <w:sz w:val="22"/>
                <w:szCs w:val="22"/>
                <w:u w:val="none"/>
              </w:rPr>
              <w:tab/>
            </w:r>
            <w:r>
              <w:rPr>
                <w:rStyle w:val="Hyperlink"/>
                <w:rFonts w:ascii="Times New Roman" w:eastAsia="Calibri"/>
                <w:b w:val="0"/>
                <w:i w:val="0"/>
                <w:strike w:val="0"/>
                <w:dstrike w:val="0"/>
                <w:emboss w:val="0"/>
                <w:imprint w:val="0"/>
                <w:outline w:val="0"/>
                <w:shadow w:val="0"/>
                <w:sz w:val="24"/>
                <w:szCs w:val="24"/>
                <w:u w:val="none"/>
              </w:rPr>
              <w:t xml:space="preserve">Association between Residents’ Socio-demographics and Attitude towards SWM</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_Toc147923083 \h </w:instrText>
            </w:r>
            <w:r>
              <w:fldChar w:fldCharType="separate"/>
            </w:r>
            <w:r>
              <w:rPr>
                <w:rFonts w:ascii="Times New Roman"/>
                <w:b w:val="0"/>
                <w:i w:val="0"/>
                <w:strike w:val="0"/>
                <w:dstrike w:val="0"/>
                <w:emboss w:val="0"/>
                <w:imprint w:val="0"/>
                <w:outline w:val="0"/>
                <w:shadow w:val="0"/>
                <w:sz w:val="24"/>
                <w:szCs w:val="24"/>
                <w:u w:val="none"/>
              </w:rPr>
              <w:t xml:space="preserve">85</w:t>
            </w:r>
            <w:r>
              <w:fldChar w:fldCharType="end"/>
            </w:r>
          </w:hyperlink>
        </w:p>
        <w:p>
          <w:pPr>
            <w:pStyle w:val="TOC2"/>
            <w:rPr>
              <w:rFonts w:hAnsiTheme="minorHAnsi" w:asciiTheme="minorHAnsi" w:eastAsiaTheme="minorEastAsia"/>
              <w:sz w:val="22"/>
              <w:szCs w:val="22"/>
            </w:rPr>
          </w:pPr>
          <w:hyperlink w:anchor="_Toc147923084">
            <w:r>
              <w:rPr>
                <w:rStyle w:val="Hyperlink"/>
                <w:rFonts w:ascii="Times New Roman"/>
                <w:b w:val="0"/>
                <w:i w:val="0"/>
                <w:strike w:val="0"/>
                <w:dstrike w:val="0"/>
                <w:emboss w:val="0"/>
                <w:imprint w:val="0"/>
                <w:outline w:val="0"/>
                <w:shadow w:val="0"/>
                <w:sz w:val="24"/>
                <w:szCs w:val="24"/>
                <w:u w:val="none"/>
              </w:rPr>
              <w:t xml:space="preserve">4.5 Residents’ Practice of Solid Waste Management</w:t>
              <w:tab/>
            </w:r>
            <w:r>
              <w:fldChar w:fldCharType="begin"/>
            </w:r>
            <w:r>
              <w:instrText xml:space="preserve"> PAGEREF _Toc147923084 \h </w:instrText>
            </w:r>
            <w:r>
              <w:fldChar w:fldCharType="separate"/>
            </w:r>
            <w:r>
              <w:rPr>
                <w:rFonts w:ascii="Times New Roman"/>
                <w:b w:val="0"/>
                <w:i w:val="0"/>
                <w:strike w:val="0"/>
                <w:dstrike w:val="0"/>
                <w:emboss w:val="0"/>
                <w:imprint w:val="0"/>
                <w:outline w:val="0"/>
                <w:shadow w:val="0"/>
                <w:sz w:val="24"/>
                <w:szCs w:val="24"/>
                <w:u w:val="none"/>
              </w:rPr>
              <w:t xml:space="preserve">89</w:t>
            </w:r>
            <w:r>
              <w:fldChar w:fldCharType="end"/>
            </w:r>
          </w:hyperlink>
        </w:p>
        <w:p>
          <w:pPr>
            <w:pStyle w:val="TOC2"/>
            <w:tabs>
              <w:tab w:val="left" w:leader="none" w:pos="880"/>
            </w:tabs>
            <w:rPr>
              <w:rFonts w:hAnsiTheme="minorHAnsi" w:asciiTheme="minorHAnsi" w:eastAsiaTheme="minorEastAsia"/>
              <w:sz w:val="22"/>
              <w:szCs w:val="22"/>
            </w:rPr>
          </w:pPr>
          <w:hyperlink w:anchor="_Toc147923085">
            <w:r>
              <w:rPr>
                <w:rStyle w:val="Hyperlink"/>
                <w:rFonts w:ascii="Times New Roman" w:eastAsia="Calibri"/>
                <w:b w:val="0"/>
                <w:i w:val="0"/>
                <w:strike w:val="0"/>
                <w:dstrike w:val="0"/>
                <w:emboss w:val="0"/>
                <w:imprint w:val="0"/>
                <w:outline w:val="0"/>
                <w:shadow w:val="0"/>
                <w:sz w:val="24"/>
                <w:szCs w:val="24"/>
                <w:u w:val="none"/>
              </w:rPr>
              <w:t xml:space="preserve">4.5.1</w:t>
            </w:r>
            <w:r>
              <w:rPr>
                <w:rFonts w:hAnsiTheme="minorHAnsi" w:ascii="Calibri" w:asciiTheme="minorHAnsi" w:eastAsiaTheme="minorEastAsia"/>
                <w:b w:val="0"/>
                <w:i w:val="0"/>
                <w:strike w:val="0"/>
                <w:dstrike w:val="0"/>
                <w:emboss w:val="0"/>
                <w:imprint w:val="0"/>
                <w:outline w:val="0"/>
                <w:shadow w:val="0"/>
                <w:sz w:val="22"/>
                <w:szCs w:val="22"/>
                <w:u w:val="none"/>
              </w:rPr>
              <w:tab/>
            </w:r>
            <w:r>
              <w:rPr>
                <w:rStyle w:val="Hyperlink"/>
                <w:rFonts w:ascii="Times New Roman" w:eastAsia="Calibri"/>
                <w:b w:val="0"/>
                <w:i w:val="0"/>
                <w:strike w:val="0"/>
                <w:dstrike w:val="0"/>
                <w:emboss w:val="0"/>
                <w:imprint w:val="0"/>
                <w:outline w:val="0"/>
                <w:shadow w:val="0"/>
                <w:sz w:val="24"/>
                <w:szCs w:val="24"/>
                <w:u w:val="none"/>
              </w:rPr>
              <w:t xml:space="preserve">Association between residents’ socio-demographics and practice of SWM</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_Toc147923085 \h </w:instrText>
            </w:r>
            <w:r>
              <w:fldChar w:fldCharType="separate"/>
            </w:r>
            <w:r>
              <w:rPr>
                <w:rFonts w:ascii="Times New Roman"/>
                <w:b w:val="0"/>
                <w:i w:val="0"/>
                <w:strike w:val="0"/>
                <w:dstrike w:val="0"/>
                <w:emboss w:val="0"/>
                <w:imprint w:val="0"/>
                <w:outline w:val="0"/>
                <w:shadow w:val="0"/>
                <w:sz w:val="24"/>
                <w:szCs w:val="24"/>
                <w:u w:val="none"/>
              </w:rPr>
              <w:t xml:space="preserve">96</w:t>
            </w:r>
            <w:r>
              <w:fldChar w:fldCharType="end"/>
            </w:r>
          </w:hyperlink>
        </w:p>
        <w:p>
          <w:pPr>
            <w:pStyle w:val="TOC2"/>
            <w:rPr>
              <w:rFonts w:hAnsiTheme="minorHAnsi" w:asciiTheme="minorHAnsi" w:eastAsiaTheme="minorEastAsia"/>
              <w:sz w:val="22"/>
              <w:szCs w:val="22"/>
            </w:rPr>
          </w:pPr>
          <w:hyperlink w:anchor="_Toc147923086">
            <w:r>
              <w:rPr>
                <w:rStyle w:val="Hyperlink"/>
                <w:rFonts w:ascii="Times New Roman" w:eastAsia="Calibri"/>
                <w:b w:val="0"/>
                <w:i w:val="0"/>
                <w:strike w:val="0"/>
                <w:dstrike w:val="0"/>
                <w:emboss w:val="0"/>
                <w:imprint w:val="0"/>
                <w:outline w:val="0"/>
                <w:shadow w:val="0"/>
                <w:sz w:val="24"/>
                <w:szCs w:val="24"/>
                <w:u w:val="none"/>
              </w:rPr>
              <w:t xml:space="preserve">4.6 The Relationship between Residents’ </w:t>
            </w:r>
            <w:r>
              <w:rPr>
                <w:rStyle w:val="Hyperlink"/>
                <w:rFonts w:ascii="Times New Roman"/>
                <w:b w:val="0"/>
                <w:i w:val="0"/>
                <w:strike w:val="0"/>
                <w:dstrike w:val="0"/>
                <w:emboss w:val="0"/>
                <w:imprint w:val="0"/>
                <w:outline w:val="0"/>
                <w:shadow w:val="0"/>
                <w:sz w:val="24"/>
                <w:szCs w:val="24"/>
                <w:u w:val="none"/>
              </w:rPr>
              <w:t xml:space="preserve">Knowledge, Attitude and Practice</w:t>
              <w:tab/>
            </w:r>
            <w:r>
              <w:fldChar w:fldCharType="begin"/>
            </w:r>
            <w:r>
              <w:instrText xml:space="preserve"> PAGEREF _Toc147923086 \h </w:instrText>
            </w:r>
            <w:r>
              <w:fldChar w:fldCharType="separate"/>
            </w:r>
            <w:r>
              <w:rPr>
                <w:rFonts w:ascii="Times New Roman"/>
                <w:b w:val="0"/>
                <w:i w:val="0"/>
                <w:strike w:val="0"/>
                <w:dstrike w:val="0"/>
                <w:emboss w:val="0"/>
                <w:imprint w:val="0"/>
                <w:outline w:val="0"/>
                <w:shadow w:val="0"/>
                <w:sz w:val="24"/>
                <w:szCs w:val="24"/>
                <w:u w:val="none"/>
              </w:rPr>
              <w:t xml:space="preserve">99</w:t>
            </w:r>
            <w:r>
              <w:fldChar w:fldCharType="end"/>
            </w:r>
          </w:hyperlink>
        </w:p>
        <w:p>
          <w:pPr>
            <w:pStyle w:val="TOC2"/>
            <w:rPr>
              <w:rFonts w:hAnsiTheme="minorHAnsi" w:asciiTheme="minorHAnsi" w:eastAsiaTheme="minorEastAsia"/>
              <w:sz w:val="22"/>
              <w:szCs w:val="22"/>
            </w:rPr>
          </w:pPr>
          <w:hyperlink w:anchor="_Toc147923087">
            <w:r>
              <w:rPr>
                <w:rStyle w:val="Hyperlink"/>
                <w:rFonts w:ascii="Times New Roman" w:eastAsia="Calibri"/>
                <w:b w:val="0"/>
                <w:i w:val="0"/>
                <w:strike w:val="0"/>
                <w:dstrike w:val="0"/>
                <w:emboss w:val="0"/>
                <w:imprint w:val="0"/>
                <w:outline w:val="0"/>
                <w:shadow w:val="0"/>
                <w:sz w:val="24"/>
                <w:szCs w:val="24"/>
                <w:u w:val="none"/>
              </w:rPr>
              <w:t xml:space="preserve">4.7 Discussion of findings</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_Toc147923087 \h </w:instrText>
            </w:r>
            <w:r>
              <w:fldChar w:fldCharType="separate"/>
            </w:r>
            <w:r>
              <w:rPr>
                <w:rFonts w:ascii="Times New Roman"/>
                <w:b w:val="0"/>
                <w:i w:val="0"/>
                <w:strike w:val="0"/>
                <w:dstrike w:val="0"/>
                <w:emboss w:val="0"/>
                <w:imprint w:val="0"/>
                <w:outline w:val="0"/>
                <w:shadow w:val="0"/>
                <w:sz w:val="24"/>
                <w:szCs w:val="24"/>
                <w:u w:val="none"/>
              </w:rPr>
              <w:t xml:space="preserve">100</w:t>
            </w:r>
            <w:r>
              <w:fldChar w:fldCharType="end"/>
            </w:r>
          </w:hyperlink>
        </w:p>
        <w:p>
          <w:pPr>
            <w:pStyle w:val="TOC2"/>
            <w:rPr>
              <w:rFonts w:hAnsiTheme="minorHAnsi" w:asciiTheme="minorHAnsi" w:eastAsiaTheme="minorEastAsia"/>
              <w:sz w:val="22"/>
              <w:szCs w:val="22"/>
            </w:rPr>
          </w:pPr>
          <w:hyperlink w:anchor="_Toc147923088">
            <w:r>
              <w:rPr>
                <w:rStyle w:val="Hyperlink"/>
                <w:rFonts w:ascii="Times New Roman" w:eastAsia="Calibri"/>
                <w:b w:val="0"/>
                <w:i w:val="0"/>
                <w:strike w:val="0"/>
                <w:dstrike w:val="0"/>
                <w:emboss w:val="0"/>
                <w:imprint w:val="0"/>
                <w:outline w:val="0"/>
                <w:shadow w:val="0"/>
                <w:sz w:val="24"/>
                <w:szCs w:val="24"/>
                <w:u w:val="none"/>
              </w:rPr>
              <w:t xml:space="preserve">4.7.1 Knowledge of Solid Waste Management (SWM)</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_Toc147923088 \h </w:instrText>
            </w:r>
            <w:r>
              <w:fldChar w:fldCharType="separate"/>
            </w:r>
            <w:r>
              <w:rPr>
                <w:rFonts w:ascii="Times New Roman"/>
                <w:b w:val="0"/>
                <w:i w:val="0"/>
                <w:strike w:val="0"/>
                <w:dstrike w:val="0"/>
                <w:emboss w:val="0"/>
                <w:imprint w:val="0"/>
                <w:outline w:val="0"/>
                <w:shadow w:val="0"/>
                <w:sz w:val="24"/>
                <w:szCs w:val="24"/>
                <w:u w:val="none"/>
              </w:rPr>
              <w:t xml:space="preserve">100</w:t>
            </w:r>
            <w:r>
              <w:fldChar w:fldCharType="end"/>
            </w:r>
          </w:hyperlink>
        </w:p>
        <w:p>
          <w:pPr>
            <w:pStyle w:val="TOC2"/>
            <w:rPr>
              <w:rFonts w:hAnsiTheme="minorHAnsi" w:asciiTheme="minorHAnsi" w:eastAsiaTheme="minorEastAsia"/>
              <w:sz w:val="22"/>
              <w:szCs w:val="22"/>
            </w:rPr>
          </w:pPr>
          <w:hyperlink w:anchor="_Toc147923089">
            <w:r>
              <w:rPr>
                <w:rStyle w:val="Hyperlink"/>
                <w:rFonts w:ascii="Times New Roman" w:eastAsia="Calibri"/>
                <w:b w:val="0"/>
                <w:i w:val="0"/>
                <w:strike w:val="0"/>
                <w:dstrike w:val="0"/>
                <w:emboss w:val="0"/>
                <w:imprint w:val="0"/>
                <w:outline w:val="0"/>
                <w:shadow w:val="0"/>
                <w:sz w:val="24"/>
                <w:szCs w:val="24"/>
                <w:u w:val="none"/>
              </w:rPr>
              <w:t xml:space="preserve">4.7.2 Attitude on Solid Waste Management (SWM)</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_Toc147923089 \h </w:instrText>
            </w:r>
            <w:r>
              <w:fldChar w:fldCharType="separate"/>
            </w:r>
            <w:r>
              <w:rPr>
                <w:rFonts w:ascii="Times New Roman"/>
                <w:b w:val="0"/>
                <w:i w:val="0"/>
                <w:strike w:val="0"/>
                <w:dstrike w:val="0"/>
                <w:emboss w:val="0"/>
                <w:imprint w:val="0"/>
                <w:outline w:val="0"/>
                <w:shadow w:val="0"/>
                <w:sz w:val="24"/>
                <w:szCs w:val="24"/>
                <w:u w:val="none"/>
              </w:rPr>
              <w:t xml:space="preserve">102</w:t>
            </w:r>
            <w:r>
              <w:fldChar w:fldCharType="end"/>
            </w:r>
          </w:hyperlink>
        </w:p>
        <w:p>
          <w:pPr>
            <w:pStyle w:val="TOC2"/>
            <w:rPr>
              <w:rFonts w:hAnsiTheme="minorHAnsi" w:asciiTheme="minorHAnsi" w:eastAsiaTheme="minorEastAsia"/>
              <w:sz w:val="22"/>
              <w:szCs w:val="22"/>
            </w:rPr>
          </w:pPr>
          <w:hyperlink w:anchor="_Toc147923090">
            <w:r>
              <w:rPr>
                <w:rStyle w:val="Hyperlink"/>
                <w:rFonts w:ascii="Times New Roman" w:eastAsia="Calibri"/>
                <w:b w:val="0"/>
                <w:i w:val="0"/>
                <w:strike w:val="0"/>
                <w:dstrike w:val="0"/>
                <w:emboss w:val="0"/>
                <w:imprint w:val="0"/>
                <w:outline w:val="0"/>
                <w:shadow w:val="0"/>
                <w:sz w:val="24"/>
                <w:szCs w:val="24"/>
                <w:u w:val="none"/>
              </w:rPr>
              <w:t xml:space="preserve">4.7.3 Practice of Solid Waste Management (SWM)</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_Toc147923090 \h </w:instrText>
            </w:r>
            <w:r>
              <w:fldChar w:fldCharType="separate"/>
            </w:r>
            <w:r>
              <w:rPr>
                <w:rFonts w:ascii="Times New Roman"/>
                <w:b w:val="0"/>
                <w:i w:val="0"/>
                <w:strike w:val="0"/>
                <w:dstrike w:val="0"/>
                <w:emboss w:val="0"/>
                <w:imprint w:val="0"/>
                <w:outline w:val="0"/>
                <w:shadow w:val="0"/>
                <w:sz w:val="24"/>
                <w:szCs w:val="24"/>
                <w:u w:val="none"/>
              </w:rPr>
              <w:t xml:space="preserve">104</w:t>
            </w:r>
            <w:r>
              <w:fldChar w:fldCharType="end"/>
            </w:r>
          </w:hyperlink>
        </w:p>
        <w:p>
          <w:pPr>
            <w:pStyle w:val="TOC1"/>
            <w:rPr>
              <w:rFonts w:hAnsiTheme="minorHAnsi" w:asciiTheme="minorHAnsi" w:eastAsiaTheme="minorEastAsia"/>
              <w:b w:val="0"/>
              <w:bCs w:val="0"/>
              <w:sz w:val="22"/>
            </w:rPr>
          </w:pPr>
          <w:hyperlink w:anchor="_Toc147923091">
            <w:r>
              <w:rPr>
                <w:rStyle w:val="Hyperlink"/>
                <w:rFonts w:ascii="Times New Roman" w:eastAsia="Calibri"/>
                <w:b/>
                <w:i w:val="0"/>
                <w:strike w:val="0"/>
                <w:dstrike w:val="0"/>
                <w:emboss w:val="0"/>
                <w:imprint w:val="0"/>
                <w:outline w:val="0"/>
                <w:shadow w:val="0"/>
                <w:sz w:val="24"/>
                <w:szCs w:val="24"/>
                <w:u w:val="none"/>
              </w:rPr>
              <w:t xml:space="preserve">CHAPTER FIVE</w:t>
              <w:tab/>
            </w:r>
            <w:r>
              <w:fldChar w:fldCharType="begin"/>
            </w:r>
            <w:r>
              <w:instrText xml:space="preserve"> PAGEREF _Toc147923091 \h </w:instrText>
            </w:r>
            <w:r>
              <w:fldChar w:fldCharType="separate"/>
            </w:r>
            <w:r>
              <w:rPr>
                <w:rFonts w:ascii="Times New Roman"/>
                <w:b/>
                <w:i w:val="0"/>
                <w:strike w:val="0"/>
                <w:dstrike w:val="0"/>
                <w:emboss w:val="0"/>
                <w:imprint w:val="0"/>
                <w:outline w:val="0"/>
                <w:shadow w:val="0"/>
                <w:sz w:val="24"/>
                <w:szCs w:val="24"/>
                <w:u w:val="none"/>
              </w:rPr>
              <w:t xml:space="preserve">109</w:t>
            </w:r>
            <w:r>
              <w:fldChar w:fldCharType="end"/>
            </w:r>
          </w:hyperlink>
        </w:p>
        <w:p>
          <w:pPr>
            <w:pStyle w:val="TOC1"/>
            <w:rPr>
              <w:rFonts w:hAnsiTheme="minorHAnsi" w:asciiTheme="minorHAnsi" w:eastAsiaTheme="minorEastAsia"/>
              <w:b w:val="0"/>
              <w:bCs w:val="0"/>
              <w:sz w:val="22"/>
            </w:rPr>
          </w:pPr>
          <w:hyperlink w:anchor="_Toc147923092">
            <w:r>
              <w:rPr>
                <w:rStyle w:val="Hyperlink"/>
                <w:rFonts w:ascii="Times New Roman" w:eastAsia="Calibri"/>
                <w:b/>
                <w:i w:val="0"/>
                <w:strike w:val="0"/>
                <w:dstrike w:val="0"/>
                <w:emboss w:val="0"/>
                <w:imprint w:val="0"/>
                <w:outline w:val="0"/>
                <w:shadow w:val="0"/>
                <w:sz w:val="24"/>
                <w:szCs w:val="24"/>
                <w:u w:val="none"/>
              </w:rPr>
              <w:t xml:space="preserve">SUMMARY OF FINDINGS, CONCLUSION AND RECOMMENDATIONS</w:t>
              <w:tab/>
            </w:r>
            <w:r>
              <w:fldChar w:fldCharType="begin"/>
            </w:r>
            <w:r>
              <w:instrText xml:space="preserve"> PAGEREF _Toc147923092 \h </w:instrText>
            </w:r>
            <w:r>
              <w:fldChar w:fldCharType="separate"/>
            </w:r>
            <w:r>
              <w:rPr>
                <w:rFonts w:ascii="Times New Roman"/>
                <w:b/>
                <w:i w:val="0"/>
                <w:strike w:val="0"/>
                <w:dstrike w:val="0"/>
                <w:emboss w:val="0"/>
                <w:imprint w:val="0"/>
                <w:outline w:val="0"/>
                <w:shadow w:val="0"/>
                <w:sz w:val="24"/>
                <w:szCs w:val="24"/>
                <w:u w:val="none"/>
              </w:rPr>
              <w:t xml:space="preserve">109</w:t>
            </w:r>
            <w:r>
              <w:fldChar w:fldCharType="end"/>
            </w:r>
          </w:hyperlink>
        </w:p>
        <w:p>
          <w:pPr>
            <w:pStyle w:val="TOC2"/>
            <w:rPr>
              <w:rFonts w:hAnsiTheme="minorHAnsi" w:asciiTheme="minorHAnsi" w:eastAsiaTheme="minorEastAsia"/>
              <w:sz w:val="22"/>
              <w:szCs w:val="22"/>
            </w:rPr>
          </w:pPr>
          <w:hyperlink w:anchor="_Toc147923093">
            <w:r>
              <w:rPr>
                <w:rStyle w:val="Hyperlink"/>
                <w:rFonts w:ascii="Times New Roman" w:eastAsia="Calibri"/>
                <w:b w:val="0"/>
                <w:i w:val="0"/>
                <w:strike w:val="0"/>
                <w:dstrike w:val="0"/>
                <w:emboss w:val="0"/>
                <w:imprint w:val="0"/>
                <w:outline w:val="0"/>
                <w:shadow w:val="0"/>
                <w:sz w:val="24"/>
                <w:szCs w:val="24"/>
                <w:u w:val="none"/>
              </w:rPr>
              <w:t xml:space="preserve">5.1 Introduction</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_Toc147923093 \h </w:instrText>
            </w:r>
            <w:r>
              <w:fldChar w:fldCharType="separate"/>
            </w:r>
            <w:r>
              <w:rPr>
                <w:rFonts w:ascii="Times New Roman"/>
                <w:b w:val="0"/>
                <w:i w:val="0"/>
                <w:strike w:val="0"/>
                <w:dstrike w:val="0"/>
                <w:emboss w:val="0"/>
                <w:imprint w:val="0"/>
                <w:outline w:val="0"/>
                <w:shadow w:val="0"/>
                <w:sz w:val="24"/>
                <w:szCs w:val="24"/>
                <w:u w:val="none"/>
              </w:rPr>
              <w:t xml:space="preserve">109</w:t>
            </w:r>
            <w:r>
              <w:fldChar w:fldCharType="end"/>
            </w:r>
          </w:hyperlink>
        </w:p>
        <w:p>
          <w:pPr>
            <w:pStyle w:val="TOC2"/>
            <w:rPr>
              <w:rFonts w:hAnsiTheme="minorHAnsi" w:asciiTheme="minorHAnsi" w:eastAsiaTheme="minorEastAsia"/>
              <w:sz w:val="22"/>
              <w:szCs w:val="22"/>
            </w:rPr>
          </w:pPr>
          <w:hyperlink w:anchor="_Toc147923094">
            <w:r>
              <w:rPr>
                <w:rStyle w:val="Hyperlink"/>
                <w:rFonts w:ascii="Times New Roman" w:eastAsia="Calibri"/>
                <w:b w:val="0"/>
                <w:i w:val="0"/>
                <w:strike w:val="0"/>
                <w:dstrike w:val="0"/>
                <w:emboss w:val="0"/>
                <w:imprint w:val="0"/>
                <w:outline w:val="0"/>
                <w:shadow w:val="0"/>
                <w:sz w:val="24"/>
                <w:szCs w:val="24"/>
                <w:u w:val="none"/>
              </w:rPr>
              <w:t xml:space="preserve">5.2 Summary of major Findings</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_Toc147923094 \h </w:instrText>
            </w:r>
            <w:r>
              <w:fldChar w:fldCharType="separate"/>
            </w:r>
            <w:r>
              <w:rPr>
                <w:rFonts w:ascii="Times New Roman"/>
                <w:b w:val="0"/>
                <w:i w:val="0"/>
                <w:strike w:val="0"/>
                <w:dstrike w:val="0"/>
                <w:emboss w:val="0"/>
                <w:imprint w:val="0"/>
                <w:outline w:val="0"/>
                <w:shadow w:val="0"/>
                <w:sz w:val="24"/>
                <w:szCs w:val="24"/>
                <w:u w:val="none"/>
              </w:rPr>
              <w:t xml:space="preserve">109</w:t>
            </w:r>
            <w:r>
              <w:fldChar w:fldCharType="end"/>
            </w:r>
          </w:hyperlink>
        </w:p>
        <w:p>
          <w:pPr>
            <w:pStyle w:val="TOC2"/>
            <w:rPr>
              <w:rFonts w:hAnsiTheme="minorHAnsi" w:asciiTheme="minorHAnsi" w:eastAsiaTheme="minorEastAsia"/>
              <w:sz w:val="22"/>
              <w:szCs w:val="22"/>
            </w:rPr>
          </w:pPr>
          <w:hyperlink w:anchor="_Toc147923095">
            <w:r>
              <w:rPr>
                <w:rStyle w:val="Hyperlink"/>
                <w:rFonts w:ascii="Times New Roman" w:eastAsia="Calibri"/>
                <w:b w:val="0"/>
                <w:i w:val="0"/>
                <w:strike w:val="0"/>
                <w:dstrike w:val="0"/>
                <w:emboss w:val="0"/>
                <w:imprint w:val="0"/>
                <w:outline w:val="0"/>
                <w:shadow w:val="0"/>
                <w:sz w:val="24"/>
                <w:szCs w:val="24"/>
                <w:u w:val="none"/>
              </w:rPr>
              <w:t xml:space="preserve">5.2.1 Knowledge of Solid Waste Management (SWM)</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_Toc147923095 \h </w:instrText>
            </w:r>
            <w:r>
              <w:fldChar w:fldCharType="separate"/>
            </w:r>
            <w:r>
              <w:rPr>
                <w:rFonts w:ascii="Times New Roman"/>
                <w:b w:val="0"/>
                <w:i w:val="0"/>
                <w:strike w:val="0"/>
                <w:dstrike w:val="0"/>
                <w:emboss w:val="0"/>
                <w:imprint w:val="0"/>
                <w:outline w:val="0"/>
                <w:shadow w:val="0"/>
                <w:sz w:val="24"/>
                <w:szCs w:val="24"/>
                <w:u w:val="none"/>
              </w:rPr>
              <w:t xml:space="preserve">109</w:t>
            </w:r>
            <w:r>
              <w:fldChar w:fldCharType="end"/>
            </w:r>
          </w:hyperlink>
        </w:p>
        <w:p>
          <w:pPr>
            <w:pStyle w:val="TOC2"/>
            <w:rPr>
              <w:rFonts w:hAnsiTheme="minorHAnsi" w:asciiTheme="minorHAnsi" w:eastAsiaTheme="minorEastAsia"/>
              <w:sz w:val="22"/>
              <w:szCs w:val="22"/>
            </w:rPr>
          </w:pPr>
          <w:hyperlink w:anchor="_Toc147923096">
            <w:r>
              <w:rPr>
                <w:rStyle w:val="Hyperlink"/>
                <w:rFonts w:ascii="Times New Roman" w:eastAsia="Calibri"/>
                <w:b w:val="0"/>
                <w:i w:val="0"/>
                <w:strike w:val="0"/>
                <w:dstrike w:val="0"/>
                <w:emboss w:val="0"/>
                <w:imprint w:val="0"/>
                <w:outline w:val="0"/>
                <w:shadow w:val="0"/>
                <w:sz w:val="24"/>
                <w:szCs w:val="24"/>
                <w:u w:val="none"/>
              </w:rPr>
              <w:t xml:space="preserve">5.2.2 Attitude towards Solid Waste Management (SWM)</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_Toc147923096 \h </w:instrText>
            </w:r>
            <w:r>
              <w:fldChar w:fldCharType="separate"/>
            </w:r>
            <w:r>
              <w:rPr>
                <w:rFonts w:ascii="Times New Roman"/>
                <w:b w:val="0"/>
                <w:i w:val="0"/>
                <w:strike w:val="0"/>
                <w:dstrike w:val="0"/>
                <w:emboss w:val="0"/>
                <w:imprint w:val="0"/>
                <w:outline w:val="0"/>
                <w:shadow w:val="0"/>
                <w:sz w:val="24"/>
                <w:szCs w:val="24"/>
                <w:u w:val="none"/>
              </w:rPr>
              <w:t xml:space="preserve">110</w:t>
            </w:r>
            <w:r>
              <w:fldChar w:fldCharType="end"/>
            </w:r>
          </w:hyperlink>
        </w:p>
        <w:p>
          <w:pPr>
            <w:pStyle w:val="TOC2"/>
            <w:rPr>
              <w:rFonts w:hAnsiTheme="minorHAnsi" w:asciiTheme="minorHAnsi" w:eastAsiaTheme="minorEastAsia"/>
              <w:sz w:val="22"/>
              <w:szCs w:val="22"/>
            </w:rPr>
          </w:pPr>
          <w:hyperlink w:anchor="_Toc147923097">
            <w:r>
              <w:rPr>
                <w:rStyle w:val="Hyperlink"/>
                <w:rFonts w:ascii="Times New Roman" w:eastAsia="Calibri"/>
                <w:b w:val="0"/>
                <w:i w:val="0"/>
                <w:strike w:val="0"/>
                <w:dstrike w:val="0"/>
                <w:emboss w:val="0"/>
                <w:imprint w:val="0"/>
                <w:outline w:val="0"/>
                <w:shadow w:val="0"/>
                <w:sz w:val="24"/>
                <w:szCs w:val="24"/>
                <w:u w:val="none"/>
              </w:rPr>
              <w:t xml:space="preserve">5.2.3 Practice of Solid Waste Management (SWM)</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_Toc147923097 \h </w:instrText>
            </w:r>
            <w:r>
              <w:fldChar w:fldCharType="separate"/>
            </w:r>
            <w:r>
              <w:rPr>
                <w:rFonts w:ascii="Times New Roman"/>
                <w:b w:val="0"/>
                <w:i w:val="0"/>
                <w:strike w:val="0"/>
                <w:dstrike w:val="0"/>
                <w:emboss w:val="0"/>
                <w:imprint w:val="0"/>
                <w:outline w:val="0"/>
                <w:shadow w:val="0"/>
                <w:sz w:val="24"/>
                <w:szCs w:val="24"/>
                <w:u w:val="none"/>
              </w:rPr>
              <w:t xml:space="preserve">110</w:t>
            </w:r>
            <w:r>
              <w:fldChar w:fldCharType="end"/>
            </w:r>
          </w:hyperlink>
        </w:p>
        <w:p>
          <w:pPr>
            <w:pStyle w:val="TOC2"/>
            <w:rPr>
              <w:rFonts w:hAnsiTheme="minorHAnsi" w:asciiTheme="minorHAnsi" w:eastAsiaTheme="minorEastAsia"/>
              <w:sz w:val="22"/>
              <w:szCs w:val="22"/>
            </w:rPr>
          </w:pPr>
          <w:hyperlink w:anchor="_Toc147923098">
            <w:r>
              <w:rPr>
                <w:rStyle w:val="Hyperlink"/>
                <w:rFonts w:ascii="Times New Roman" w:eastAsia="Calibri"/>
                <w:b w:val="0"/>
                <w:i w:val="0"/>
                <w:strike w:val="0"/>
                <w:dstrike w:val="0"/>
                <w:emboss w:val="0"/>
                <w:imprint w:val="0"/>
                <w:outline w:val="0"/>
                <w:shadow w:val="0"/>
                <w:sz w:val="24"/>
                <w:szCs w:val="24"/>
                <w:u w:val="none"/>
              </w:rPr>
              <w:t xml:space="preserve">5.3 Conclusion</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_Toc147923098 \h </w:instrText>
            </w:r>
            <w:r>
              <w:fldChar w:fldCharType="separate"/>
            </w:r>
            <w:r>
              <w:rPr>
                <w:rFonts w:ascii="Times New Roman"/>
                <w:b w:val="0"/>
                <w:i w:val="0"/>
                <w:strike w:val="0"/>
                <w:dstrike w:val="0"/>
                <w:emboss w:val="0"/>
                <w:imprint w:val="0"/>
                <w:outline w:val="0"/>
                <w:shadow w:val="0"/>
                <w:sz w:val="24"/>
                <w:szCs w:val="24"/>
                <w:u w:val="none"/>
              </w:rPr>
              <w:t xml:space="preserve">111</w:t>
            </w:r>
            <w:r>
              <w:fldChar w:fldCharType="end"/>
            </w:r>
          </w:hyperlink>
        </w:p>
        <w:p>
          <w:pPr>
            <w:pStyle w:val="TOC2"/>
            <w:rPr>
              <w:rFonts w:hAnsiTheme="minorHAnsi" w:asciiTheme="minorHAnsi" w:eastAsiaTheme="minorEastAsia"/>
              <w:sz w:val="22"/>
              <w:szCs w:val="22"/>
            </w:rPr>
          </w:pPr>
          <w:hyperlink w:anchor="_Toc147923099">
            <w:r>
              <w:rPr>
                <w:rStyle w:val="Hyperlink"/>
                <w:rFonts w:ascii="Times New Roman" w:eastAsia="Calibri"/>
                <w:b w:val="0"/>
                <w:i w:val="0"/>
                <w:strike w:val="0"/>
                <w:dstrike w:val="0"/>
                <w:emboss w:val="0"/>
                <w:imprint w:val="0"/>
                <w:outline w:val="0"/>
                <w:shadow w:val="0"/>
                <w:sz w:val="24"/>
                <w:szCs w:val="24"/>
                <w:u w:val="none"/>
              </w:rPr>
              <w:t xml:space="preserve">5.4 Recommendations</w:t>
            </w:r>
            <w:r>
              <w:rPr>
                <w:rFonts w:ascii="Times New Roman"/>
                <w:b w:val="0"/>
                <w:i w:val="0"/>
                <w:strike w:val="0"/>
                <w:dstrike w:val="0"/>
                <w:emboss w:val="0"/>
                <w:imprint w:val="0"/>
                <w:outline w:val="0"/>
                <w:shadow w:val="0"/>
                <w:sz w:val="24"/>
                <w:szCs w:val="24"/>
                <w:u w:val="none"/>
              </w:rPr>
              <w:tab/>
            </w:r>
            <w:r>
              <w:fldChar w:fldCharType="begin"/>
            </w:r>
            <w:r>
              <w:instrText xml:space="preserve"> PAGEREF _Toc147923099 \h </w:instrText>
            </w:r>
            <w:r>
              <w:fldChar w:fldCharType="separate"/>
            </w:r>
            <w:r>
              <w:rPr>
                <w:rFonts w:ascii="Times New Roman"/>
                <w:b w:val="0"/>
                <w:i w:val="0"/>
                <w:strike w:val="0"/>
                <w:dstrike w:val="0"/>
                <w:emboss w:val="0"/>
                <w:imprint w:val="0"/>
                <w:outline w:val="0"/>
                <w:shadow w:val="0"/>
                <w:sz w:val="24"/>
                <w:szCs w:val="24"/>
                <w:u w:val="none"/>
              </w:rPr>
              <w:t xml:space="preserve">112</w:t>
            </w:r>
            <w:r>
              <w:fldChar w:fldCharType="end"/>
            </w:r>
          </w:hyperlink>
        </w:p>
        <w:p>
          <w:pPr>
            <w:pStyle w:val="TOC1"/>
            <w:rPr>
              <w:rFonts w:hAnsiTheme="minorHAnsi" w:asciiTheme="minorHAnsi" w:eastAsiaTheme="minorEastAsia"/>
              <w:b w:val="0"/>
              <w:bCs w:val="0"/>
              <w:sz w:val="22"/>
            </w:rPr>
          </w:pPr>
          <w:hyperlink w:anchor="_Toc147923100">
            <w:r>
              <w:rPr>
                <w:rStyle w:val="Hyperlink"/>
                <w:rFonts w:ascii="Times New Roman" w:eastAsia="Calibri"/>
                <w:b/>
                <w:i w:val="0"/>
                <w:strike w:val="0"/>
                <w:dstrike w:val="0"/>
                <w:emboss w:val="0"/>
                <w:imprint w:val="0"/>
                <w:outline w:val="0"/>
                <w:shadow w:val="0"/>
                <w:sz w:val="24"/>
                <w:szCs w:val="24"/>
                <w:u w:val="none"/>
              </w:rPr>
              <w:t xml:space="preserve">REFERENCES</w:t>
              <w:tab/>
            </w:r>
            <w:r>
              <w:fldChar w:fldCharType="begin"/>
            </w:r>
            <w:r>
              <w:instrText xml:space="preserve"> PAGEREF _Toc147923100 \h </w:instrText>
            </w:r>
            <w:r>
              <w:fldChar w:fldCharType="separate"/>
            </w:r>
            <w:r>
              <w:rPr>
                <w:rFonts w:ascii="Times New Roman"/>
                <w:b/>
                <w:i w:val="0"/>
                <w:strike w:val="0"/>
                <w:dstrike w:val="0"/>
                <w:emboss w:val="0"/>
                <w:imprint w:val="0"/>
                <w:outline w:val="0"/>
                <w:shadow w:val="0"/>
                <w:sz w:val="24"/>
                <w:szCs w:val="24"/>
                <w:u w:val="none"/>
              </w:rPr>
              <w:t xml:space="preserve">114</w:t>
            </w:r>
            <w:r>
              <w:fldChar w:fldCharType="end"/>
            </w:r>
          </w:hyperlink>
        </w:p>
        <w:p>
          <w:pPr>
            <w:pStyle w:val="TOC1"/>
            <w:rPr>
              <w:rFonts w:hAnsiTheme="minorHAnsi" w:asciiTheme="minorHAnsi" w:eastAsiaTheme="minorEastAsia"/>
              <w:b w:val="0"/>
              <w:bCs w:val="0"/>
              <w:sz w:val="22"/>
            </w:rPr>
          </w:pPr>
          <w:hyperlink w:anchor="_Toc147923101">
            <w:r>
              <w:rPr>
                <w:rStyle w:val="Hyperlink"/>
                <w:rFonts w:ascii="Times New Roman" w:eastAsia="Calibri"/>
                <w:b/>
                <w:i w:val="0"/>
                <w:strike w:val="0"/>
                <w:dstrike w:val="0"/>
                <w:emboss w:val="0"/>
                <w:imprint w:val="0"/>
                <w:outline w:val="0"/>
                <w:shadow w:val="0"/>
                <w:sz w:val="24"/>
                <w:szCs w:val="24"/>
                <w:u w:val="none"/>
              </w:rPr>
              <w:t xml:space="preserve">APPENDICE</w:t>
              <w:tab/>
            </w:r>
            <w:r>
              <w:fldChar w:fldCharType="begin"/>
            </w:r>
            <w:r>
              <w:instrText xml:space="preserve"> PAGEREF _Toc147923101 \h </w:instrText>
            </w:r>
            <w:r>
              <w:fldChar w:fldCharType="separate"/>
            </w:r>
            <w:r>
              <w:rPr>
                <w:rFonts w:ascii="Times New Roman"/>
                <w:b/>
                <w:i w:val="0"/>
                <w:strike w:val="0"/>
                <w:dstrike w:val="0"/>
                <w:emboss w:val="0"/>
                <w:imprint w:val="0"/>
                <w:outline w:val="0"/>
                <w:shadow w:val="0"/>
                <w:sz w:val="24"/>
                <w:szCs w:val="24"/>
                <w:u w:val="none"/>
              </w:rPr>
              <w:t xml:space="preserve">126</w:t>
            </w:r>
            <w:r>
              <w:fldChar w:fldCharType="end"/>
            </w:r>
          </w:hyperlink>
        </w:p>
        <w:p>
          <w:pPr>
            <w:ind w:left="720"/>
          </w:pPr>
          <w:r>
            <w:rPr>
              <w:rFonts w:hAnsi="Times New Roman" w:ascii="Times New Roman" w:cs="Times New Roman"/>
              <w:b/>
              <w:bCs/>
              <w:sz w:val="24"/>
              <w:szCs w:val="24"/>
            </w:rPr>
            <w:fldChar w:fldCharType="end"/>
          </w:r>
        </w:p>
      </w:sdtContent>
    </w:sdt>
    <w:p>
      <w:pPr>
        <w:ind w:left="720"/>
        <w:rPr>
          <w:rFonts w:hAnsi="Times New Roman" w:ascii="Times New Roman" w:cs="Times New Roman"/>
          <w:b/>
          <w:sz w:val="24"/>
        </w:rPr>
      </w:pPr>
    </w:p>
    <w:p>
      <w:pPr>
        <w:pStyle w:val="Heading1"/>
        <w:ind w:left="720"/>
        <w:sectPr w:rsidR="00455D00" w:rsidRPr="00136D7B" w:rsidSect="004B74A2">
          <w:pgSz w:w="12240" w:h="15840"/>
          <w:pgMar w:top="1440" w:right="1440" w:bottom="1440" w:left="1440" w:header="720" w:footer="720"/>
          <w:pgNumType w:fmt="lowerRoman"/>
          <w:cols w:space="720"/>
        </w:sectPr>
      </w:pPr>
      <w:bookmarkStart w:id="7" w:name="_Toc126737795"/>
    </w:p>
    <w:p>
      <w:pPr>
        <w:pStyle w:val="Heading1"/>
        <w:ind w:left="720"/>
      </w:pPr>
      <w:bookmarkStart w:id="8" w:name="_Toc147923024"/>
      <w:r>
        <w:rPr>
          <w:rFonts w:ascii="Times New Roman"/>
          <w:b/>
          <w:i w:val="0"/>
          <w:strike w:val="0"/>
          <w:dstrike w:val="0"/>
          <w:emboss w:val="0"/>
          <w:imprint w:val="0"/>
          <w:outline w:val="0"/>
          <w:shadow w:val="0"/>
          <w:sz w:val="24"/>
          <w:szCs w:val="24"/>
          <w:u w:val="none"/>
        </w:rPr>
        <w:lastRenderedPageBreak/>
        <w:t xml:space="preserve">LIST OF TABLES</w:t>
      </w:r>
      <w:bookmarkEnd w:id="7"/>
    </w:p>
    <w:bookmarkStart w:id="9" w:name="_Toc126737796"/>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TOC \h \z \c "Table"</w:instrText>
      </w:r>
      <w:r>
        <w:rPr>
          <w:rFonts w:hAnsi="Times New Roman" w:ascii="Times New Roman" w:cs="Times New Roman"/>
          <w:b w:val="0"/>
          <w:bCs w:val="0"/>
          <w:sz w:val="24"/>
          <w:szCs w:val="24"/>
        </w:rPr>
        <w:fldChar w:fldCharType="separate"/>
      </w:r>
      <w:hyperlink w:anchor="_Toc147923102">
        <w:r>
          <w:rPr>
            <w:rStyle w:val="Hyperlink"/>
            <w:rFonts w:hAnsi="Times New Roman" w:ascii="Times New Roman" w:cs="Times New Roman"/>
            <w:b w:val="0"/>
            <w:bCs w:val="0"/>
            <w:i w:val="0"/>
            <w:strike w:val="0"/>
            <w:dstrike w:val="0"/>
            <w:emboss w:val="0"/>
            <w:imprint w:val="0"/>
            <w:outline w:val="0"/>
            <w:shadow w:val="0"/>
            <w:sz w:val="24"/>
            <w:szCs w:val="24"/>
            <w:u w:val="none"/>
          </w:rPr>
          <w:t xml:space="preserve">Table 1: Typical solid waste, generator and the associated sources</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_Toc147923102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15</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7923103">
        <w:r>
          <w:rPr>
            <w:rStyle w:val="Hyperlink"/>
            <w:rFonts w:hAnsi="Times New Roman" w:ascii="Times New Roman" w:cs="Times New Roman"/>
            <w:b w:val="0"/>
            <w:bCs w:val="0"/>
            <w:i w:val="0"/>
            <w:strike w:val="0"/>
            <w:dstrike w:val="0"/>
            <w:emboss w:val="0"/>
            <w:imprint w:val="0"/>
            <w:outline w:val="0"/>
            <w:shadow w:val="0"/>
            <w:sz w:val="24"/>
            <w:szCs w:val="24"/>
            <w:u w:val="none"/>
          </w:rPr>
          <w:t xml:space="preserve">Table 2: Comparison of solid waste management practices by income levels</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_Toc147923103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26</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7923104">
        <w:r>
          <w:rPr>
            <w:rStyle w:val="Hyperlink"/>
            <w:rFonts w:hAnsi="Times New Roman" w:ascii="Times New Roman" w:cs="Times New Roman"/>
            <w:b w:val="0"/>
            <w:bCs w:val="0"/>
            <w:i w:val="0"/>
            <w:strike w:val="0"/>
            <w:dstrike w:val="0"/>
            <w:emboss w:val="0"/>
            <w:imprint w:val="0"/>
            <w:outline w:val="0"/>
            <w:shadow w:val="0"/>
            <w:sz w:val="24"/>
            <w:szCs w:val="24"/>
            <w:u w:val="none"/>
          </w:rPr>
          <w:t xml:space="preserve">Table 3 Residents' socio-demographic characteristics</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_Toc147923104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70</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7923105">
        <w:r>
          <w:rPr>
            <w:rStyle w:val="Hyperlink"/>
            <w:rFonts w:hAnsi="Times New Roman" w:ascii="Times New Roman" w:cs="Times New Roman"/>
            <w:b w:val="0"/>
            <w:bCs w:val="0"/>
            <w:i w:val="0"/>
            <w:strike w:val="0"/>
            <w:dstrike w:val="0"/>
            <w:emboss w:val="0"/>
            <w:imprint w:val="0"/>
            <w:outline w:val="0"/>
            <w:shadow w:val="0"/>
            <w:sz w:val="24"/>
            <w:szCs w:val="24"/>
            <w:u w:val="none"/>
          </w:rPr>
          <w:t xml:space="preserve">Table 4: Residents Knowledge on SWM</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_Toc147923105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73</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7923106">
        <w:r>
          <w:rPr>
            <w:rStyle w:val="Hyperlink"/>
            <w:rFonts w:hAnsi="Times New Roman" w:ascii="Times New Roman" w:cs="Times New Roman"/>
            <w:b w:val="0"/>
            <w:bCs w:val="0"/>
            <w:i w:val="0"/>
            <w:strike w:val="0"/>
            <w:dstrike w:val="0"/>
            <w:emboss w:val="0"/>
            <w:imprint w:val="0"/>
            <w:outline w:val="0"/>
            <w:shadow w:val="0"/>
            <w:sz w:val="24"/>
            <w:szCs w:val="24"/>
            <w:u w:val="none"/>
          </w:rPr>
          <w:t xml:space="preserve">Table 5: A cross-tabulation of socio-demographics and residents’ knowledge on</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_Toc147923106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78</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7923107">
        <w:r>
          <w:rPr>
            <w:rStyle w:val="Hyperlink"/>
            <w:rFonts w:hAnsi="Times New Roman" w:ascii="Times New Roman" w:cs="Times New Roman"/>
            <w:b w:val="0"/>
            <w:bCs w:val="0"/>
            <w:i w:val="0"/>
            <w:strike w:val="0"/>
            <w:dstrike w:val="0"/>
            <w:emboss w:val="0"/>
            <w:imprint w:val="0"/>
            <w:outline w:val="0"/>
            <w:shadow w:val="0"/>
            <w:sz w:val="24"/>
            <w:szCs w:val="24"/>
            <w:u w:val="none"/>
          </w:rPr>
          <w:t xml:space="preserve">Table 6: Residents Attitude towards SWM</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_Toc147923107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82</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7923108">
        <w:r>
          <w:rPr>
            <w:rStyle w:val="Hyperlink"/>
            <w:rFonts w:hAnsi="Times New Roman" w:ascii="Times New Roman" w:cs="Times New Roman"/>
            <w:b w:val="0"/>
            <w:bCs w:val="0"/>
            <w:i w:val="0"/>
            <w:strike w:val="0"/>
            <w:dstrike w:val="0"/>
            <w:emboss w:val="0"/>
            <w:imprint w:val="0"/>
            <w:outline w:val="0"/>
            <w:shadow w:val="0"/>
            <w:sz w:val="24"/>
            <w:szCs w:val="24"/>
            <w:u w:val="none"/>
          </w:rPr>
          <w:t xml:space="preserve">Table 7: A cross-tabulation of socio-demographics and residents’ attitude on SWM</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_Toc147923108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85</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7923109">
        <w:r>
          <w:rPr>
            <w:rStyle w:val="Hyperlink"/>
            <w:rFonts w:hAnsi="Times New Roman" w:ascii="Times New Roman" w:cs="Times New Roman"/>
            <w:b w:val="0"/>
            <w:bCs w:val="0"/>
            <w:i w:val="0"/>
            <w:strike w:val="0"/>
            <w:dstrike w:val="0"/>
            <w:emboss w:val="0"/>
            <w:imprint w:val="0"/>
            <w:outline w:val="0"/>
            <w:shadow w:val="0"/>
            <w:sz w:val="24"/>
            <w:szCs w:val="24"/>
            <w:u w:val="none"/>
          </w:rPr>
          <w:t xml:space="preserve">Table 8: Residents Practice of SWM</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_Toc147923109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89</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7923110">
        <w:r>
          <w:rPr>
            <w:rStyle w:val="Hyperlink"/>
            <w:rFonts w:hAnsi="Times New Roman" w:ascii="Times New Roman" w:cs="Times New Roman"/>
            <w:b w:val="0"/>
            <w:bCs w:val="0"/>
            <w:i w:val="0"/>
            <w:strike w:val="0"/>
            <w:dstrike w:val="0"/>
            <w:emboss w:val="0"/>
            <w:imprint w:val="0"/>
            <w:outline w:val="0"/>
            <w:shadow w:val="0"/>
            <w:sz w:val="24"/>
            <w:szCs w:val="24"/>
            <w:u w:val="none"/>
          </w:rPr>
          <w:t xml:space="preserve">Table 9: A cross tabulation of socio-demographics and residents’ practice of SWM</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_Toc147923110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96</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7923111">
        <w:r>
          <w:rPr>
            <w:rStyle w:val="Hyperlink"/>
            <w:rFonts w:hAnsi="Times New Roman" w:ascii="Times New Roman" w:cs="Times New Roman"/>
            <w:b w:val="0"/>
            <w:bCs w:val="0"/>
            <w:i w:val="0"/>
            <w:strike w:val="0"/>
            <w:dstrike w:val="0"/>
            <w:emboss w:val="0"/>
            <w:imprint w:val="0"/>
            <w:outline w:val="0"/>
            <w:shadow w:val="0"/>
            <w:sz w:val="24"/>
            <w:szCs w:val="24"/>
            <w:u w:val="none"/>
          </w:rPr>
          <w:t xml:space="preserve">Table 10: Relationship between Residents Knowledge, Attitude and Practice of</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_Toc147923111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99</w:t>
        </w:r>
        <w:r>
          <w:rPr>
            <w:rFonts w:hAnsi="Times New Roman" w:ascii="Times New Roman" w:cs="Times New Roman"/>
            <w:b w:val="0"/>
            <w:bCs w:val="0"/>
            <w:sz w:val="24"/>
            <w:szCs w:val="24"/>
          </w:rPr>
          <w:fldChar w:fldCharType="end"/>
        </w:r>
      </w:hyperlink>
    </w:p>
    <w:p>
      <w:pPr>
        <w:pStyle w:val="Heading1"/>
        <w:spacing w:line="480" w:lineRule="auto"/>
        <w:ind w:left="1160"/>
        <w:rPr>
          <w:b w:val="0"/>
          <w:szCs w:val="24"/>
        </w:rPr>
        <w:sectPr w:rsidR="00455D00" w:rsidRPr="00136D7B" w:rsidSect="004B74A2">
          <w:pgSz w:w="12240" w:h="15840"/>
          <w:pgMar w:top="1440" w:right="1440" w:bottom="1440" w:left="1440" w:header="720" w:footer="720"/>
          <w:pgNumType w:fmt="lowerRoman"/>
          <w:cols w:space="720"/>
        </w:sectPr>
      </w:pPr>
      <w:r>
        <w:rPr>
          <w:b w:val="0"/>
          <w:szCs w:val="24"/>
        </w:rPr>
        <w:fldChar w:fldCharType="end"/>
      </w:r>
    </w:p>
    <w:p>
      <w:pPr>
        <w:pStyle w:val="Heading1"/>
        <w:ind w:left="720"/>
      </w:pPr>
      <w:bookmarkStart w:id="10" w:name="_Toc147923025"/>
      <w:r>
        <w:rPr>
          <w:rFonts w:ascii="Times New Roman"/>
          <w:b/>
          <w:i w:val="0"/>
          <w:strike w:val="0"/>
          <w:dstrike w:val="0"/>
          <w:emboss w:val="0"/>
          <w:imprint w:val="0"/>
          <w:outline w:val="0"/>
          <w:shadow w:val="0"/>
          <w:sz w:val="24"/>
          <w:szCs w:val="24"/>
          <w:u w:val="none"/>
        </w:rPr>
        <w:lastRenderedPageBreak/>
        <w:t xml:space="preserve">LIST OF FIGURES</w:t>
      </w:r>
      <w:bookmarkEnd w:id="9"/>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r>
        <w:rPr>
          <w:rFonts w:hAnsi="Times New Roman" w:ascii="Times New Roman" w:cs="Times New Roman"/>
          <w:b w:val="0"/>
          <w:sz w:val="24"/>
        </w:rPr>
        <w:fldChar w:fldCharType="begin"/>
      </w:r>
      <w:r>
        <w:rPr>
          <w:rFonts w:hAnsi="Times New Roman" w:ascii="Times New Roman" w:cs="Times New Roman"/>
          <w:b w:val="0"/>
          <w:sz w:val="24"/>
        </w:rPr>
        <w:instrText xml:space="preserve"> TOC \h \z \c "Figure"</w:instrText>
      </w:r>
      <w:r>
        <w:rPr>
          <w:rFonts w:hAnsi="Times New Roman" w:ascii="Times New Roman" w:cs="Times New Roman"/>
          <w:b w:val="0"/>
          <w:sz w:val="24"/>
        </w:rPr>
        <w:fldChar w:fldCharType="separate"/>
      </w:r>
      <w:hyperlink w:anchor="_Toc142664168">
        <w:r>
          <w:rPr>
            <w:rStyle w:val="Hyperlink"/>
            <w:rFonts w:hAnsi="Times New Roman" w:ascii="Times New Roman" w:cs="Times New Roman"/>
            <w:b w:val="0"/>
            <w:bCs w:val="0"/>
            <w:i w:val="0"/>
            <w:strike w:val="0"/>
            <w:dstrike w:val="0"/>
            <w:emboss w:val="0"/>
            <w:imprint w:val="0"/>
            <w:outline w:val="0"/>
            <w:shadow w:val="0"/>
            <w:sz w:val="24"/>
            <w:szCs w:val="24"/>
            <w:u w:val="none"/>
          </w:rPr>
          <w:t xml:space="preserve">Figure 1: Solid waste management hierarchy</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_Toc142664168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24</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2664169">
        <w:r>
          <w:rPr>
            <w:rStyle w:val="Hyperlink"/>
            <w:rFonts w:hAnsi="Times New Roman" w:ascii="Times New Roman" w:cs="Times New Roman"/>
            <w:b w:val="0"/>
            <w:bCs w:val="0"/>
            <w:i w:val="0"/>
            <w:strike w:val="0"/>
            <w:dstrike w:val="0"/>
            <w:emboss w:val="0"/>
            <w:imprint w:val="0"/>
            <w:outline w:val="0"/>
            <w:shadow w:val="0"/>
            <w:sz w:val="24"/>
            <w:szCs w:val="24"/>
            <w:u w:val="none"/>
          </w:rPr>
          <w:t xml:space="preserve">Figure 2: Conceptual framework on knowledge, attitude and practice on SWM</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_Toc142664169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56</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2664170">
        <w:r>
          <w:rPr>
            <w:rStyle w:val="Hyperlink"/>
            <w:rFonts w:hAnsi="Times New Roman" w:ascii="Times New Roman" w:cs="Times New Roman"/>
            <w:b w:val="0"/>
            <w:bCs w:val="0"/>
            <w:i w:val="0"/>
            <w:strike w:val="0"/>
            <w:dstrike w:val="0"/>
            <w:emboss w:val="0"/>
            <w:imprint w:val="0"/>
            <w:outline w:val="0"/>
            <w:shadow w:val="0"/>
            <w:sz w:val="24"/>
            <w:szCs w:val="24"/>
            <w:u w:val="none"/>
          </w:rPr>
          <w:t xml:space="preserve">Figure 3: Residents composite knowledge of SWM</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_Toc142664170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75</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2664171">
        <w:r>
          <w:rPr>
            <w:rStyle w:val="Hyperlink"/>
            <w:rFonts w:hAnsi="Times New Roman" w:ascii="Times New Roman" w:cs="Times New Roman"/>
            <w:b w:val="0"/>
            <w:bCs w:val="0"/>
            <w:i w:val="0"/>
            <w:strike w:val="0"/>
            <w:dstrike w:val="0"/>
            <w:emboss w:val="0"/>
            <w:imprint w:val="0"/>
            <w:outline w:val="0"/>
            <w:shadow w:val="0"/>
            <w:sz w:val="24"/>
            <w:szCs w:val="24"/>
            <w:u w:val="none"/>
          </w:rPr>
          <w:t xml:space="preserve">Figure 4: Residents source of information on SWM</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_Toc142664171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77</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2664172">
        <w:r>
          <w:rPr>
            <w:rStyle w:val="Hyperlink"/>
            <w:rFonts w:hAnsi="Times New Roman" w:ascii="Times New Roman" w:cs="Times New Roman"/>
            <w:b w:val="0"/>
            <w:bCs w:val="0"/>
            <w:i w:val="0"/>
            <w:strike w:val="0"/>
            <w:dstrike w:val="0"/>
            <w:emboss w:val="0"/>
            <w:imprint w:val="0"/>
            <w:outline w:val="0"/>
            <w:shadow w:val="0"/>
            <w:sz w:val="24"/>
            <w:szCs w:val="24"/>
            <w:u w:val="none"/>
          </w:rPr>
          <w:t xml:space="preserve">Figure 5: Residents composite attitude towards SWM</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_Toc142664172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84</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2664173">
        <w:r>
          <w:rPr>
            <w:rStyle w:val="Hyperlink"/>
            <w:rFonts w:hAnsi="Times New Roman" w:ascii="Times New Roman" w:cs="Times New Roman"/>
            <w:b w:val="0"/>
            <w:bCs w:val="0"/>
            <w:i w:val="0"/>
            <w:strike w:val="0"/>
            <w:dstrike w:val="0"/>
            <w:emboss w:val="0"/>
            <w:imprint w:val="0"/>
            <w:outline w:val="0"/>
            <w:shadow w:val="0"/>
            <w:sz w:val="24"/>
            <w:szCs w:val="24"/>
            <w:u w:val="none"/>
          </w:rPr>
          <w:t xml:space="preserve">Figure 6: Residents composite practice of SWM</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_Toc142664173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91</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2664174">
        <w:r>
          <w:rPr>
            <w:rStyle w:val="Hyperlink"/>
            <w:rFonts w:hAnsi="Times New Roman" w:ascii="Times New Roman" w:cs="Times New Roman"/>
            <w:b w:val="0"/>
            <w:bCs w:val="0"/>
            <w:i w:val="0"/>
            <w:strike w:val="0"/>
            <w:dstrike w:val="0"/>
            <w:emboss w:val="0"/>
            <w:imprint w:val="0"/>
            <w:outline w:val="0"/>
            <w:shadow w:val="0"/>
            <w:sz w:val="24"/>
            <w:szCs w:val="24"/>
            <w:u w:val="none"/>
          </w:rPr>
          <w:t xml:space="preserve">Figure 7: How residents transport solid waste in community</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_Toc142664174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93</w:t>
        </w:r>
        <w:r>
          <w:rPr>
            <w:rFonts w:hAnsi="Times New Roman" w:ascii="Times New Roman" w:cs="Times New Roman"/>
            <w:b w:val="0"/>
            <w:bCs w:val="0"/>
            <w:sz w:val="24"/>
            <w:szCs w:val="24"/>
          </w:rPr>
          <w:fldChar w:fldCharType="end"/>
        </w:r>
      </w:hyperlink>
    </w:p>
    <w:p>
      <w:pPr>
        <w:pStyle w:val="TableofFigures"/>
        <w:tabs>
          <w:tab w:val="right" w:leader="dot" w:pos="9350"/>
        </w:tabs>
        <w:spacing w:line="480" w:lineRule="auto"/>
        <w:ind w:left="880"/>
        <w:jc w:val="both"/>
        <w:rPr>
          <w:rFonts w:hAnsi="Times New Roman" w:ascii="Times New Roman" w:eastAsiaTheme="minorEastAsia" w:cs="Times New Roman"/>
          <w:b w:val="0"/>
          <w:bCs w:val="0"/>
          <w:sz w:val="24"/>
          <w:szCs w:val="24"/>
        </w:rPr>
      </w:pPr>
      <w:hyperlink w:anchor="_Toc142664175">
        <w:r>
          <w:rPr>
            <w:rStyle w:val="Hyperlink"/>
            <w:rFonts w:hAnsi="Times New Roman" w:ascii="Times New Roman" w:cs="Times New Roman"/>
            <w:b w:val="0"/>
            <w:bCs w:val="0"/>
            <w:i w:val="0"/>
            <w:strike w:val="0"/>
            <w:dstrike w:val="0"/>
            <w:emboss w:val="0"/>
            <w:imprint w:val="0"/>
            <w:outline w:val="0"/>
            <w:shadow w:val="0"/>
            <w:sz w:val="24"/>
            <w:szCs w:val="24"/>
            <w:u w:val="none"/>
          </w:rPr>
          <w:t xml:space="preserve">Figure 8: Residents willingness to pay for SWM disposal</w:t>
          <w:tab/>
        </w:r>
        <w:r>
          <w:rPr>
            <w:rFonts w:hAnsi="Times New Roman" w:ascii="Times New Roman" w:cs="Times New Roman"/>
            <w:b w:val="0"/>
            <w:bCs w:val="0"/>
            <w:sz w:val="24"/>
            <w:szCs w:val="24"/>
          </w:rPr>
          <w:fldChar w:fldCharType="begin"/>
        </w:r>
        <w:r>
          <w:rPr>
            <w:rFonts w:hAnsi="Times New Roman" w:ascii="Times New Roman" w:cs="Times New Roman"/>
            <w:b w:val="0"/>
            <w:bCs w:val="0"/>
            <w:sz w:val="24"/>
            <w:szCs w:val="24"/>
          </w:rPr>
          <w:instrText xml:space="preserve"> PAGEREF _Toc142664175 \h </w:instrText>
        </w:r>
        <w:r>
          <w:rPr>
            <w:rFonts w:hAnsi="Times New Roman" w:ascii="Times New Roman" w:cs="Times New Roman"/>
            <w:b w:val="0"/>
            <w:bCs w:val="0"/>
            <w:sz w:val="24"/>
            <w:szCs w:val="24"/>
          </w:rPr>
          <w:fldChar w:fldCharType="separate"/>
        </w:r>
        <w:r>
          <w:rPr>
            <w:rFonts w:hAnsi="Times New Roman" w:ascii="Times New Roman" w:cs="Times New Roman"/>
            <w:b w:val="0"/>
            <w:bCs w:val="0"/>
            <w:i w:val="0"/>
            <w:strike w:val="0"/>
            <w:dstrike w:val="0"/>
            <w:emboss w:val="0"/>
            <w:imprint w:val="0"/>
            <w:outline w:val="0"/>
            <w:shadow w:val="0"/>
            <w:sz w:val="24"/>
            <w:szCs w:val="24"/>
            <w:u w:val="none"/>
          </w:rPr>
          <w:t xml:space="preserve">94</w:t>
        </w:r>
        <w:r>
          <w:rPr>
            <w:rFonts w:hAnsi="Times New Roman" w:ascii="Times New Roman" w:cs="Times New Roman"/>
            <w:b w:val="0"/>
            <w:bCs w:val="0"/>
            <w:sz w:val="24"/>
            <w:szCs w:val="24"/>
          </w:rPr>
          <w:fldChar w:fldCharType="end"/>
        </w:r>
      </w:hyperlink>
    </w:p>
    <w:p>
      <w:pPr>
        <w:ind w:left="720"/>
        <w:jc w:val="both"/>
        <w:rPr>
          <w:rFonts w:hAnsi="Times New Roman" w:ascii="Times New Roman" w:cs="Times New Roman"/>
          <w:b/>
          <w:sz w:val="24"/>
        </w:rPr>
      </w:pPr>
      <w:r>
        <w:rPr>
          <w:rFonts w:hAnsi="Times New Roman" w:ascii="Times New Roman" w:cs="Times New Roman"/>
          <w:b/>
          <w:sz w:val="24"/>
        </w:rPr>
        <w:fldChar w:fldCharType="end"/>
      </w:r>
    </w:p>
    <w:p>
      <w:pPr>
        <w:pStyle w:val="Heading1"/>
        <w:ind w:left="720"/>
        <w:sectPr w:rsidR="00455D00" w:rsidRPr="00136D7B" w:rsidSect="004B74A2">
          <w:pgSz w:w="12240" w:h="15840"/>
          <w:pgMar w:top="1440" w:right="1440" w:bottom="1440" w:left="1440" w:header="720" w:footer="720"/>
          <w:pgNumType w:fmt="lowerRoman"/>
          <w:cols w:space="720"/>
        </w:sectPr>
      </w:pPr>
      <w:bookmarkStart w:id="11" w:name="_Toc126737797"/>
    </w:p>
    <w:p>
      <w:pPr>
        <w:pStyle w:val="Heading1"/>
        <w:ind w:left="720"/>
      </w:pPr>
      <w:bookmarkStart w:id="12" w:name="_Toc147923026"/>
      <w:r>
        <w:rPr>
          <w:rFonts w:ascii="Times New Roman"/>
          <w:b/>
          <w:i w:val="0"/>
          <w:strike w:val="0"/>
          <w:dstrike w:val="0"/>
          <w:emboss w:val="0"/>
          <w:imprint w:val="0"/>
          <w:outline w:val="0"/>
          <w:shadow w:val="0"/>
          <w:sz w:val="24"/>
          <w:szCs w:val="24"/>
          <w:u w:val="none"/>
        </w:rPr>
        <w:lastRenderedPageBreak/>
        <w:t xml:space="preserve">LIST OF ABBREVIATIONS</w:t>
      </w:r>
      <w:bookmarkEnd w:id="11"/>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ESPA              Environmental Service Providers Association</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HDPE             High Density Polyethylene</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JHS                 Junior High School</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KAP                Knowledge, Attitude and Practice</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KG                  Kindergarten</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MMAs            Metropolitan and Municipal Assemblies</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MMDAs         Metropolitan, Municipal and District Assemblies</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MSW              Municipal Solid Waste</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PET                Polyethylene Terephthalate        </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PP                  Private Partnership</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PPP                Public Private Partnership</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SHS                Senior High School</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SIP                 Sanitation Improvement Package</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SMEs             Small and Medium-sized Enterprises</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SWM</w:t>
        <w:tab/>
        <w:t xml:space="preserve">           Solid Waste Management</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TPB               Theory of Planned Behaviour</w:t>
      </w:r>
    </w:p>
    <w:p>
      <w:pPr>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UBIDS           University of Business and Integrated Development Studies</w:t>
      </w:r>
    </w:p>
    <w:p>
      <w:pPr>
        <w:ind w:left="720"/>
        <w:jc w:val="both"/>
        <w:rPr>
          <w:rFonts w:hAnsi="Times New Roman" w:ascii="Times New Roman" w:cs="Times New Roman"/>
          <w:sz w:val="24"/>
          <w:szCs w:val="24"/>
        </w:rPr>
      </w:pPr>
    </w:p>
    <w:p>
      <w:pPr>
        <w:ind w:left="720"/>
        <w:jc w:val="both"/>
        <w:rPr>
          <w:rFonts w:hAnsi="Times New Roman" w:ascii="Times New Roman" w:cs="Times New Roman"/>
          <w:sz w:val="24"/>
          <w:szCs w:val="24"/>
        </w:rPr>
        <w:sectPr w:rsidR="00455D00" w:rsidRPr="00136D7B" w:rsidSect="00312DA9">
          <w:footerReference w:type="default" r:id="rId11"/>
          <w:pgSz w:w="12240" w:h="15840"/>
          <w:pgMar w:top="1440" w:right="1440" w:bottom="1440" w:left="1440" w:header="720" w:footer="720"/>
          <w:pgNumType w:fmt="lowerRoman"/>
          <w:cols w:space="720"/>
        </w:sectPr>
      </w:pPr>
    </w:p>
    <w:p>
      <w:pPr>
        <w:pStyle w:val="Heading1"/>
        <w:ind w:left="720"/>
      </w:pPr>
      <w:bookmarkStart w:id="13" w:name="_Toc147923027"/>
      <w:r>
        <w:rPr>
          <w:rFonts w:ascii="Times New Roman"/>
          <w:b/>
          <w:i w:val="0"/>
          <w:strike w:val="0"/>
          <w:dstrike w:val="0"/>
          <w:emboss w:val="0"/>
          <w:imprint w:val="0"/>
          <w:outline w:val="0"/>
          <w:shadow w:val="0"/>
          <w:sz w:val="24"/>
          <w:szCs w:val="24"/>
          <w:u w:val="none"/>
        </w:rPr>
        <w:lastRenderedPageBreak/>
        <w:t xml:space="preserve">CHAPTER ONE</w:t>
      </w:r>
      <w:bookmarkEnd w:id="13"/>
    </w:p>
    <w:p>
      <w:pPr>
        <w:pStyle w:val="Heading1"/>
        <w:spacing w:line="480" w:lineRule="auto"/>
        <w:ind w:left="720"/>
        <w:rPr>
          <w:szCs w:val="24"/>
        </w:rPr>
      </w:pPr>
      <w:bookmarkStart w:id="14" w:name="_Toc147923028"/>
      <w:r>
        <w:rPr>
          <w:rFonts w:ascii="Times New Roman"/>
          <w:b/>
          <w:i w:val="0"/>
          <w:strike w:val="0"/>
          <w:dstrike w:val="0"/>
          <w:emboss w:val="0"/>
          <w:imprint w:val="0"/>
          <w:outline w:val="0"/>
          <w:shadow w:val="0"/>
          <w:sz w:val="24"/>
          <w:szCs w:val="24"/>
          <w:u w:val="none"/>
        </w:rPr>
        <w:t xml:space="preserve">INTRODUCTION</w:t>
      </w:r>
      <w:bookmarkEnd w:id="14"/>
    </w:p>
    <w:p>
      <w:pPr>
        <w:pStyle w:val="ListParagraph"/>
        <w:numPr>
          <w:ilvl w:val="1"/>
          <w:numId w:val="1"/>
        </w:numPr>
        <w:spacing w:line="480" w:lineRule="auto"/>
        <w:ind w:left="1080"/>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Background of the Study</w:t>
      </w:r>
    </w:p>
    <w:p>
      <w:pPr>
        <w:spacing w:line="480" w:lineRule="auto"/>
        <w:ind w:left="720"/>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Globally, the quantity of solid waste generated is rising faster than the rate of urbanisation. The world’s cities generated 1.3 billion tons of solid waste per year, amounting to a rate of 1.2 kg per-person per-day in 2012</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{"citationItems":[{"id":"ITEM-1","itemData":{"DOI":"10.1080/23311843.2020.1807275","ISSN":"23311843","abstract":"Households which are the primary producers of solid waste and suffer from the effects of uncollected solid waste should be able to participate in improving SWM. Accordingly, the contribution of urban dwellers on SWM service plays a great role for better improvement of SWM at the community. Therefore, this study aims to estimate households’ willingness to pay for improved solid waste management services and analyze its determinant using binary logit econometrics model. A total of 350 randomly selected households were interviewed to address the objective of this study. The study was used both descriptive and econometrics analysis. Finally, the survey result indicated that 86.3% of sample households were willing to pay for improved solid waste management services. Following this, the one and one half bounded contingent valuation result revealed that the mean willingness to pay is 13.10 ETB[Money official Exchange rate of 1$ = 31.45 Ethiopian Birr (ETB)]/month with the total willingness to pay of 494587ETB/month which is much higher than the amount of money collected by Bahir Dar city municipality (335,000 ETB/month). Additionally, the model result demonstrated that educational level of the household, monthly aggregate income, and quantity of waste generated per week, access to solid waste management services and respondents’ responsibility on solid waste management had significant positive effect on households’ willingness to pay unlike sex of household head and number of children in the household. The municipality of Bahir Dar city should consider these significant variables to design and implement improved solid waste management services.","author":[{"dropping-particle":"","family":"Tassie","given":"Kassahun","non-dropping-particle":"","parse-names":false,"suffix":""},{"dropping-particle":"","family":"Endalew","given":"Birara","non-dropping-particle":"","parse-names":false,"suffix":""}],"container-title":"Cogent Environmental Science","id":"ITEM-1","issue":"1","issued":{"date-parts":[["2020"]]},"title":"Willingness to pay for improved solid waste management services and associated factors among urban households: One and one half bounded contingent valuation study in Bahir Dar city, Ethiopia","type":"article-journal","volume":"6"},"uris":["http://www.mendeley.com/documents/?uuid=0eadef37-a26b-40de-a974-540702c6c12b"]}],"mendeley":{"formattedCitation":"(Tassie &amp; Endalew, 2020)","plainTextFormattedCitation":"(Tassie &amp; Endalew, 2020)","previouslyFormattedCitation":"(Tassie &amp; Endalew, 2020)"},"properties":{"noteIndex":0},"schema":"https://github.com/citation-style-language/schema/raw/master/csl-citation.json"}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(Tassie&amp;Endalew, 2020)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Scholars have argued that, with the rate of population growth and rapid urbanisation, municipal solid waste generation is likely to rise to 2.2 billion tons by 2025 (Akhtar et al., 2017; AOIKE, 2019). Population growth and urbanisation are solely responsible for the high generation of solid waste</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{"citationItems":[{"id":"ITEM-1","itemData":{"DOI":"10.1080/23311843.2020.1807275","ISSN":"23311843","abstract":"Households which are the primary producers of solid waste and suffer from the effects of uncollected solid waste should be able to participate in improving SWM. Accordingly, the contribution of urban dwellers on SWM service plays a great role for better improvement of SWM at the community. Therefore, this study aims to estimate households’ willingness to pay for improved solid waste management services and analyze its determinant using binary logit econometrics model. A total of 350 randomly selected households were interviewed to address the objective of this study. The study was used both descriptive and econometrics analysis. Finally, the survey result indicated that 86.3% of sample households were willing to pay for improved solid waste management services. Following this, the one and one half bounded contingent valuation result revealed that the mean willingness to pay is 13.10 ETB[Money official Exchange rate of 1$ = 31.45 Ethiopian Birr (ETB)]/month with the total willingness to pay of 494587ETB/month which is much higher than the amount of money collected by Bahir Dar city municipality (335,000 ETB/month). Additionally, the model result demonstrated that educational level of the household, monthly aggregate income, and quantity of waste generated per week, access to solid waste management services and respondents’ responsibility on solid waste management had significant positive effect on households’ willingness to pay unlike sex of household head and number of children in the household. The municipality of Bahir Dar city should consider these significant variables to design and implement improved solid waste management services.","author":[{"dropping-particle":"","family":"Tassie","given":"Kassahun","non-dropping-particle":"","parse-names":false,"suffix":""},{"dropping-particle":"","family":"Endalew","given":"Birara","non-dropping-particle":"","parse-names":false,"suffix":""}],"container-title":"Cogent Environmental Science","id":"ITEM-1","issue":"1","issued":{"date-parts":[["2020"]]},"title":"Willingness to pay for improved solid waste management services and associated factors among urban households: One and one half bounded contingent valuation study in Bahir Dar city, Ethiopia","type":"article-journal","volume":"6"},"uris":["http://www.mendeley.com/documents/?uuid=0eadef37-a26b-40de-a974-540702c6c12b"]}],"mendeley":{"formattedCitation":"(Tassie &amp; Endalew, 2020)","manualFormatting":"(see Tassie &amp; Endalew, 2020)","plainTextFormattedCitation":"(Tassie &amp; Endalew, 2020)","previouslyFormattedCitation":"(Tassie &amp; Endalew, 2020)"},"properties":{"noteIndex":0},"schema":"https://github.com/citation-style-language/schema/raw/master/csl-citation.json"}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(Tassie&amp;Endalew, 2020)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.Thus, irrespective of the context, solid waste is directly and/or indirectly one of the biggest challenges in cities worldwide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{"citationItems":[{"id":"ITEM-1","itemData":{"ISBN":"9781849711692","author":[{"dropping-particle":"","family":"UN-Habitat","given":"","non-dropping-particle":"","parse-names":false,"suffix":""}],"id":"ITEM-1","issued":{"date-parts":[["2010"]]},"title":"SOLID WASTE MANAGEMENT IN THE WORLD’S CITIES","type":"book"},"uris":["http://www.mendeley.com/documents/?uuid=0841442d-2021-4c00-b435-2c0cca20fb71"]}],"mendeley":{"formattedCitation":"(UN-Habitat, 2010)","plainTextFormattedCitation":"(UN-Habitat, 2010)","previouslyFormattedCitation":"(UN-Habitat, 2010)"},"properties":{"noteIndex":0},"schema":"https://github.com/citation-style-language/schema/raw/master/csl-citation.json"}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(UN-Habitat, 2010)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Currently in Sub-Saharan Africa, 62 million tons of municipal solid waste is generated per year with 0.65kg per-person per-day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{"citationItems":[{"id":"ITEM-1","itemData":{"DOI":"10.1080/23311843.2020.1807275","ISSN":"23311843","abstract":"Households which are the primary producers of solid waste and suffer from the effects of uncollected solid waste should be able to participate in improving SWM. Accordingly, the contribution of urban dwellers on SWM service plays a great role for better improvement of SWM at the community. Therefore, this study aims to estimate households’ willingness to pay for improved solid waste management services and analyze its determinant using binary logit econometrics model. A total of 350 randomly selected households were interviewed to address the objective of this study. The study was used both descriptive and econometrics analysis. Finally, the survey result indicated that 86.3% of sample households were willing to pay for improved solid waste management services. Following this, the one and one half bounded contingent valuation result revealed that the mean willingness to pay is 13.10 ETB[Money official Exchange rate of 1$ = 31.45 Ethiopian Birr (ETB)]/month with the total willingness to pay of 494587ETB/month which is much higher than the amount of money collected by Bahir Dar city municipality (335,000 ETB/month). Additionally, the model result demonstrated that educational level of the household, monthly aggregate income, and quantity of waste generated per week, access to solid waste management services and respondents’ responsibility on solid waste management had significant positive effect on households’ willingness to pay unlike sex of household head and number of children in the household. The municipality of Bahir Dar city should consider these significant variables to design and implement improved solid waste management services.","author":[{"dropping-particle":"","family":"Tassie","given":"Kassahun","non-dropping-particle":"","parse-names":false,"suffix":""},{"dropping-particle":"","family":"Endalew","given":"Birara","non-dropping-particle":"","parse-names":false,"suffix":""}],"container-title":"Cogent Environmental Science","id":"ITEM-1","issue":"1","issued":{"date-parts":[["2020"]]},"title":"Willingness to pay for improved solid waste management services and associated factors among urban households: One and one half bounded contingent valuation study in Bahir Dar city, Ethiopia","type":"article-journal","volume":"6"},"uris":["http://www.mendeley.com/documents/?uuid=0eadef37-a26b-40de-a974-540702c6c12b"]}],"mendeley":{"formattedCitation":"(Tassie &amp; Endalew, 2020)","plainTextFormattedCitation":"(Tassie &amp; Endalew, 2020)","previouslyFormattedCitation":"(Tassie &amp; Endalew, 2020)"},"properties":{"noteIndex":0},"schema":"https://github.com/citation-style-language/schema/raw/master/csl-citation.json"}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(Tassie&amp;Endalew, 2020)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It has been stipulated that urban dwellers in sub-Saharan Africa will generate three times the current quantity of solid waste by 2050 (Kaza et al., 2018), and Ghana is no exception.</w:t>
      </w:r>
    </w:p>
    <w:p>
      <w:pPr>
        <w:spacing w:line="480" w:lineRule="auto"/>
        <w:ind w:left="720"/>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In Ghana, over 12,710 tons of solid waste are generated daily, with only ten percent collected and disposed of at designated dumping sites</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ONE","id":"ITEM-1","issue":"3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municipality","type":"article-journal","volume":"16"},"uris":["http://www.mendeley.com/documents/?uuid=2a6fa111-a59d-4dfb-9ea4-6aac6e0d4d7a"]}],"mendeley":{"formattedCitation":"(Lissah et al., 2021)","plainTextFormattedCitation":"(Lissah et al., 2021)","previouslyFormattedCitation":"(Lissah et al., 2021)"},"properties":{"noteIndex":0},"schema":"https://github.com/citation-style-language/schema/raw/master/csl-citation.json"}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(Lissah et al., 2021)</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In Accra and Kumasi, over 3,000 tons of solid waste are estimated daily, but only 10% is collected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Dauda","given":"Suleman","non-dropping-particle":"","parse-names":false,"suffix":""},{"dropping-particle":"","family":"Mariwah","given":"Simon","non-dropping-particle":"","parse-names":false,"suffix":""},{"dropping-particle":"","family":"Agyapong","given":"Richard","non-dropping-particle":"","parse-names":false,"suffix":""}],"container-title":"Journal of Social Sciences Volume 7 No. 2 (2015) 27 - 41","id":"ITEM-1","issued":{"date-parts":[["2015"]]},"title":"Residents’ perceptions and attitudes towards urban solid waste management in the Berekum Municipality, Ghana","type":"article-journal"},"uris":["http://www.mendeley.com/documents/?uuid=8bc8e39d-b5c7-4ff4-b58b-704261ec119d"]}],"mendeley":{"formattedCitation":"(Dauda et al., 2015)","plainTextFormattedCitation":"(Dauda et al., 2015)","previouslyFormattedCitation":"(Dauda et al., 2015)"},"properties":{"noteIndex":0},"schema":"https://github.com/citation-style-language/schema/raw/master/csl-citation.json"}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(Dauda et al., 2015)</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Solid waste is any material that comes from domestic, commercial, and industrial sources arising from human activities and is regarded as valueless to the people who possess it and are discarded as unusable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{"citationItems":[{"id":"ITEM-1","itemData":{"DOI":"10.1017/CBO9781107415324.004","ISBN":"9788578110796","ISSN":"1098-6596","PMID":"25246403","abstract":"The study aimed ensuring a clean environment in the Tamale Metropolis. It analysed the underlying factors affecting effective solid waste management in the metropolis and suggested possible measures to tackle the problem. The research gathered data from two main sources namely: secondary and primary sources. The three main techniques employed in gathering the primary data were: preliminary field investigation, questionnaire survey and face-to-face interview. The following key findings were established to be the factors affecting effective solid waste management in the Metropolis. These are: • Inadequate skip supply for storing waste. • Lack of routine collection of waste. • Poor methods of waste management. • Inadequate resources for waste management institutions to effectively collect the waste generated. In the light of these problems enumerated above, the research recommended the adequate supply of skips, regular collection of waste, use of Integrated Solid Waste Management (ISWM)","author":[{"dropping-particle":"","family":"Puopiel","given":"F.","non-dropping-particle":"","parse-names":false,"suffix":""}],"id":"ITEM-1","issued":{"date-parts":[["2010"]]},"number-of-pages":"93","title":"Solid Waste Management in Ghana: the Case of Tamale Metropolitan Area","type":"thesis"},"uris":["http://www.mendeley.com/documents/?uuid=86fa8a69-9699-4884-9e96-f5783d7b2fd6"]}],"mendeley":{"formattedCitation":"(Puopiel, 2010)","plainTextFormattedCitation":"(Puopiel, 2010)","previouslyFormattedCitation":"(Puopiel, 2010)"},"properties":{"noteIndex":0},"schema":"https://github.com/citation-style-language/schema/raw/master/csl-citation.json"}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(Puopiel, 2010)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Municipal solid waste is unwanted material or waste primarily generated from households and municipal services</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-1","issue":"2","issued":{"date-parts":[["2018"]]},"page":"123-131","title":"Knowledge , attitude and practice of municipal solid waste management among highland residents in","type":"article-journal","volume":"32"},"uris":["http://www.mendeley.com/documents/?uuid=04e8b346-feaf-4fc3-8334-624a7ca0d29c"]}],"mendeley":{"formattedCitation":"(Laor et al., 2018)","plainTextFormattedCitation":"(Laor et al., 2018)","previouslyFormattedCitation":"(Laor et al., 2018)"},"properties":{"noteIndex":0},"schema":"https://github.com/citation-style-language/schema/raw/master/csl-citation.json"}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(Laor et al., 2018)</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.It includes waste generated by households; commercial waste from shops, hotels, garages, and agriculture; and facilities such as schools, nursing homes, prisons, and public spaces such as streets, bus stops, parks, and gardens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{"citationItems":[{"id":"ITEM-1","itemData":{"DOI":"10.1177/11786302221117007","author":[{"dropping-particle":"","family":"Teferi","given":"Samuel Chane","non-dropping-particle":"","parse-names":false,"suffix":""}],"id":"ITEM-1","issued":{"date-parts":[["2022"]]},"title":"The Status of Household Solid Waste Management and its Associated Factors in Fiche Town , North Shewa","type":"article-journal"},"uris":["http://www.mendeley.com/documents/?uuid=91dbeae5-cd6c-4c51-b9f1-bc9c64ce8e02"]}],"mendeley":{"formattedCitation":"(Teferi, 2022)","plainTextFormattedCitation":"(Teferi, 2022)","previouslyFormattedCitation":"(Teferi, 2022)"},"properties":{"noteIndex":0},"schema":"https://github.com/citation-style-language/schema/raw/master/csl-citation.json"}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(Teferi, 2022)</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{"citationItems":[{"id":"ITEM-1","itemData":{"DOI":"10.1007/s11356-017-1009-8","ISSN":"16147499","PMID":"29282661","abstract":"In Hong Kong, problems involving solid waste management have become an urgent matter in recent years. To solve these problems, the Hong Kong government proposed three policies, namely, waste charging, landfill extension, and development of new incinerators. In this study, a large sample questionnaire survey was conducted to examine the knowledge and attitude of residents on the three policies, the amount of their daily waste disposal, and their willingness to pay (WTP). Results reveal that only 22.7% of respondents are aware of the earliest time that one of the landfills will be sated, and more than half of respondents support the three policies. However, more than one third of residents (36.1%) are unwilling to pay the minimum waste charge amount of HK$30 estimated by the Council for Sustainable Development in Hong Kong. Logit model results indicate that five key factors affect WTP, namely, knowledge of residents on the timing of landfill fullness, degree of support in waste charge policy, amount of daily waste disposal, age, and income. These results suggest that strong and rigorous promotional and educational programs are needed to improve the knowledge and positive attitude of residents towards recycling methods and the three policies. However, subsidy should be provided to low-income groups who cannot afford to pay the waste charge.","author":[{"dropping-particle":"","family":"Yeung","given":"Iris M.H.","non-dropping-particle":"","parse-names":false,"suffix":""},{"dropping-particle":"","family":"Chung","given":"William","non-dropping-particle":"","parse-names":false,"suffix":""}],"container-title":"Environmental Science and Pollution Research","id":"ITEM-1","issue":"8","issued":{"date-parts":[["2017"]]},"page":"7504-7517","publisher":"Environmental Science and Pollution Research","title":"Factors that affect the willingness of residents to pay for solid waste management in Hong Kong","type":"article-journal","volume":"25"},"uris":["http://www.mendeley.com/documents/?uuid=ac67e374-a806-4e12-b6ce-5afbadb8742a"]}],"mendeley":{"formattedCitation":"(Yeung &amp; Chung, 2017)","manualFormatting":"Yeung and Chung, (2017)","plainTextFormattedCitation":"(Yeung &amp; Chung, 2017)","previouslyFormattedCitation":"(Yeung &amp; Chung, 2017)"},"properties":{"noteIndex":0},"schema":"https://github.com/citation-style-language/schema/raw/master/csl-citation.json"}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Yeung and Chung (2017)</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categorised solid waste into waste types (food, plastic, paper, glass, metals, and e-waste) and waste sources (construction and municipal wastes, including domestic, commercial, and industrial wastes). Solid waste management refers to the source separation, storage, collection, transportation, and final disposal of waste in an environmentally sustainable manner</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{"citationItems":[{"id":"ITEM-1","itemData":{"DOI":"10.1017/CBO9781107415324.004","ISBN":"9788578110796","ISSN":"1098-6596","PMID":"25246403","abstract":"The study aimed ensuring a clean environment in the Tamale Metropolis. It analysed the underlying factors affecting effective solid waste management in the metropolis and suggested possible measures to tackle the problem. The research gathered data from two main sources namely: secondary and primary sources. The three main techniques employed in gathering the primary data were: preliminary field investigation, questionnaire survey and face-to-face interview. The following key findings were established to be the factors affecting effective solid waste management in the Metropolis. These are: • Inadequate skip supply for storing waste. • Lack of routine collection of waste. • Poor methods of waste management. • Inadequate resources for waste management institutions to effectively collect the waste generated. In the light of these problems enumerated above, the research recommended the adequate supply of skips, regular collection of waste, use of Integrated Solid Waste Management (ISWM)","author":[{"dropping-particle":"","family":"Puopiel","given":"F.","non-dropping-particle":"","parse-names":false,"suffix":""}],"id":"ITEM-1","issued":{"date-parts":[["2010"]]},"number-of-pages":"93","title":"Solid Waste Management in Ghana: the Case of Tamale Metropolitan Area","type":"thesis"},"uris":["http://www.mendeley.com/documents/?uuid=86fa8a69-9699-4884-9e96-f5783d7b2fd6"]}],"mendeley":{"formattedCitation":"(Puopiel, 2010)","plainTextFormattedCitation":"(Puopiel, 2010)","previouslyFormattedCitation":"(Puopiel, 2010)"},"properties":{"noteIndex":0},"schema":"https://github.com/citation-style-language/schema/raw/master/csl-citation.json"}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(Puopiel, 2010)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Managing solid waste well and affordably is one of the key challenges of the 21st century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{"citationItems":[{"id":"ITEM-1","itemData":{"ISBN":"9781849711692","author":[{"dropping-particle":"","family":"UN-Habitat","given":"","non-dropping-particle":"","parse-names":false,"suffix":""}],"id":"ITEM-1","issued":{"date-parts":[["2010"]]},"title":"SOLID WASTE MANAGEMENT IN THE WORLD’S CITIES","type":"book"},"uris":["http://www.mendeley.com/documents/?uuid=0841442d-2021-4c00-b435-2c0cca20fb71"]}],"mendeley":{"formattedCitation":"(UN-Habitat, 2010)","plainTextFormattedCitation":"(UN-Habitat, 2010)","previouslyFormattedCitation":"(UN-Habitat, 2010)"},"properties":{"noteIndex":0},"schema":"https://github.com/citation-style-language/schema/raw/master/csl-citation.json"}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(UN-Habitat, 2010)</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b w:val="0"/>
          <w:i w:val="0"/>
          <w:strike w:val="0"/>
          <w:dstrike w:val="0"/>
          <w:emboss w:val="0"/>
          <w:imprint w:val="0"/>
          <w:outline w:val="0"/>
          <w:shadow w:val="0"/>
          <w:sz w:val="24"/>
          <w:szCs w:val="24"/>
          <w:u w:val="none"/>
        </w:rPr>
        <w:t xml:space="preserve">Proper management of solid waste is essential for building a sustainable and livable city (World Bank, 2019).</w:t>
      </w:r>
    </w:p>
    <w:p>
      <w:pPr>
        <w:spacing w:line="480" w:lineRule="auto"/>
        <w:ind w:left="720"/>
        <w:jc w:val="both"/>
        <w:rPr>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However, </w:t>
      </w:r>
      <w:r>
        <w:rPr>
          <w:rFonts w:hAnsi="Times New Roman" w:ascii="Times New Roman" w:eastAsia="Times New Roman" w:cs="Times New Roman"/>
          <w:b w:val="0"/>
          <w:i w:val="0"/>
          <w:strike w:val="0"/>
          <w:dstrike w:val="0"/>
          <w:emboss w:val="0"/>
          <w:imprint w:val="0"/>
          <w:outline w:val="0"/>
          <w:shadow w:val="0"/>
          <w:sz w:val="24"/>
          <w:szCs w:val="24"/>
          <w:u w:val="none"/>
        </w:rPr>
        <w:t xml:space="preserve">over 2 billion people </w:t>
      </w:r>
      <w:r>
        <w:rPr>
          <w:rFonts w:hAnsi="Times New Roman" w:ascii="Times New Roman" w:cs="Times New Roman"/>
          <w:b w:val="0"/>
          <w:i w:val="0"/>
          <w:strike w:val="0"/>
          <w:dstrike w:val="0"/>
          <w:emboss w:val="0"/>
          <w:imprint w:val="0"/>
          <w:outline w:val="0"/>
          <w:shadow w:val="0"/>
          <w:sz w:val="24"/>
          <w:szCs w:val="24"/>
          <w:u w:val="none"/>
        </w:rPr>
        <w:t xml:space="preserve">w</w:t>
      </w:r>
      <w:r>
        <w:rPr>
          <w:rFonts w:hAnsi="Times New Roman" w:ascii="Times New Roman" w:eastAsia="Times New Roman" w:cs="Times New Roman"/>
          <w:b w:val="0"/>
          <w:i w:val="0"/>
          <w:strike w:val="0"/>
          <w:dstrike w:val="0"/>
          <w:emboss w:val="0"/>
          <w:imprint w:val="0"/>
          <w:outline w:val="0"/>
          <w:shadow w:val="0"/>
          <w:sz w:val="24"/>
          <w:szCs w:val="24"/>
          <w:u w:val="none"/>
        </w:rPr>
        <w:t xml:space="preserve">orldwide still lack access to solid waste collection services, with the lowest collection rates observed in low-income countries</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{"citationItems":[{"id":"ITEM-1","itemData":{"DOI":"10.3390/su9030404","author":[{"dropping-particle":"","family":"Rodic","given":"Ljiljana","non-dropping-particle":"","parse-names":false,"suffix":""},{"dropping-particle":"","family":"Wilson","given":"David C","non-dropping-particle":"","parse-names":false,"suffix":""}],"id":"ITEM-1","issue":"March","issued":{"date-parts":[["2017"]]},"title":"Resolving Governance Issues to Achieve Priority Sustainable Development sustainability Resolving Governance Issues to Achieve Priority Sustainable Development Goals Related to Solid Waste Management in Developing Countries","type":"article-journal"},"uris":["http://www.mendeley.com/documents/?uuid=4e78bea1-ca56-461b-8438-6f8c8bb2e6f1"]}],"mendeley":{"formattedCitation":"(Rodic &amp; Wilson, 2017)","plainTextFormattedCitation":"(Rodic &amp; Wilson, 2017)","previouslyFormattedCitation":"(Rodic &amp; Wilson, 2017)"},"properties":{"noteIndex":0},"schema":"https://github.com/citation-style-language/schema/raw/master/csl-citation.json"}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(Rodic &amp; Wilson, 2017)</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val="0"/>
          <w:strike w:val="0"/>
          <w:dstrike w:val="0"/>
          <w:emboss w:val="0"/>
          <w:imprint w:val="0"/>
          <w:outline w:val="0"/>
          <w:shadow w:val="0"/>
          <w:sz w:val="24"/>
          <w:szCs w:val="24"/>
          <w:u w:val="none"/>
        </w:rPr>
        <w:t xml:space="preserve">Solid waste management is a major challenge for government authorities worldwide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{"citationItems":[{"id":"ITEM-1","itemData":{"DOI":"10.1007/s11356-017-1009-8","ISSN":"16147499","PMID":"29282661","abstract":"In Hong Kong, problems involving solid waste management have become an urgent matter in recent years. To solve these problems, the Hong Kong government proposed three policies, namely, waste charging, landfill extension, and development of new incinerators. In this study, a large sample questionnaire survey was conducted to examine the knowledge and attitude of residents on the three policies, the amount of their daily waste disposal, and their willingness to pay (WTP). Results reveal that only 22.7% of respondents are aware of the earliest time that one of the landfills will be sated, and more than half of respondents support the three policies. However, more than one third of residents (36.1%) are unwilling to pay the minimum waste charge amount of HK$30 estimated by the Council for Sustainable Development in Hong Kong. Logit model results indicate that five key factors affect WTP, namely, knowledge of residents on the timing of landfill fullness, degree of support in waste charge policy, amount of daily waste disposal, age, and income. These results suggest that strong and rigorous promotional and educational programs are needed to improve the knowledge and positive attitude of residents towards recycling methods and the three policies. However, subsidy should be provided to low-income groups who cannot afford to pay the waste charge.","author":[{"dropping-particle":"","family":"Yeung","given":"Iris M.H.","non-dropping-particle":"","parse-names":false,"suffix":""},{"dropping-particle":"","family":"Chung","given":"William","non-dropping-particle":"","parse-names":false,"suffix":""}],"container-title":"Environmental Science and Pollution Research","id":"ITEM-1","issue":"8","issued":{"date-parts":[["2017"]]},"page":"7504-7517","publisher":"Environmental Science and Pollution Research","title":"Factors that affect the willingness of residents to pay for solid waste management in Hong Kong","type":"article-journal","volume":"25"},"uris":["http://www.mendeley.com/documents/?uuid=ac67e374-a806-4e12-b6ce-5afbadb8742a"]},{"id":"ITEM-2","itemData":{"author":[{"dropping-particle":"","family":"Dauda","given":"Suleman","non-dropping-particle":"","parse-names":false,"suffix":""},{"dropping-particle":"","family":"Mariwah","given":"Simon","non-dropping-particle":"","parse-names":false,"suffix":""},{"dropping-particle":"","family":"Agyapong","given":"Richard","non-dropping-particle":"","parse-names":false,"suffix":""}],"container-title":"Journal of Social Sciences Volume 7 No. 2 (2015) 27 - 41","id":"ITEM-2","issued":{"date-parts":[["2015"]]},"title":"Residents’ perceptions and attitudes towards urban solid waste management in the Berekum Municipality, Ghana","type":"article-journal"},"uris":["http://www.mendeley.com/documents/?uuid=8bc8e39d-b5c7-4ff4-b58b-704261ec119d"]}],"mendeley":{"formattedCitation":"(Dauda et al., 2015; Yeung &amp; Chung, 2017)","plainTextFormattedCitation":"(Dauda et al., 2015; Yeung &amp; Chung, 2017)","previouslyFormattedCitation":"(Dauda et al., 2015; Yeung &amp; Chung, 2017)"},"properties":{"noteIndex":0},"schema":"https://github.com/citation-style-language/schema/raw/master/csl-citation.json"}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(Dauda et al., 2015; Yeung &amp; Chung, 2017)</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It is argued that municipal solid waste management is currently the greatest challenge faced by waste managers worldwide</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{"citationItems":[{"id":"ITEM-1","itemData":{"DOI":"10.1177/0734242X17735375","author":[{"dropping-particle":"","family":"Alfaia","given":"Raquel G.S.M","non-dropping-particle":"","parse-names":false,"suffix":""},{"dropping-particle":"","family":"Costa","given":"Alyne M","non-dropping-particle":"","parse-names":false,"suffix":""},{"dropping-particle":"","family":"Campos","given":"Juacyara C","non-dropping-particle":"","parse-names":false,"suffix":""}],"id":"ITEM-1","issued":{"date-parts":[["2017"]]},"title":"Municipal solid waste in Brazil : A review","type":"article-journal"},"uris":["http://www.mendeley.com/documents/?uuid=57a12735-cb98-4ca2-a258-97b6375fae57"]}],"mendeley":{"formattedCitation":"(Alfaia et al., 2017)","plainTextFormattedCitation":"(Alfaia et al., 2017)","previouslyFormattedCitation":"(Alfaia et al., 2017)"},"properties":{"noteIndex":0},"schema":"https://github.com/citation-style-language/schema/raw/master/csl-citation.json"}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(Alfaia et al., 2017)</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b w:val="0"/>
          <w:i w:val="0"/>
          <w:strike w:val="0"/>
          <w:dstrike w:val="0"/>
          <w:emboss w:val="0"/>
          <w:imprint w:val="0"/>
          <w:outline w:val="0"/>
          <w:shadow w:val="0"/>
          <w:sz w:val="24"/>
          <w:szCs w:val="24"/>
          <w:u w:val="none"/>
        </w:rPr>
        <w:t xml:space="preserve">Maalouf et al. (2020) have estimated that over 2 billion metric tons of Municipal Solid Waste (MSW) are generated globally with predictions to reach 2.59 billion metric tons by 2030. The expansion of urban areas, changing patterns of consumption and industrialisation coupled with scarce natural resources, and the extensive use of traditional landfill systems have resulted in an increase in municipal waste generation, which deteriorates the quality of the environment and poses a risk to sustainable development (Mandal, 2019; Karak et al., 2012). As the population increases and consumption patterns change, the quantity of waste generated in municipalities increases with a commensurate increase in the non-biodegradable component (Rajashekar et al., 2019; Khandelwal et al., 2019). Plastic waste and greenhouse gas emissions are critical issues facing municipal solid waste management (Moharir et al., 2019; Maria et al., 2019).</w:t>
        <w:t xml:space="preserve"> One study indicated that improper municipal solid waste disposal and management causes all types of pollution, such as air, soil, and water</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{"citationItems":[{"id":"ITEM-1","itemData":{"DOI":"10.1080/23311843.2020.1807275","ISSN":"23311843","abstract":"Households which are the primary producers of solid waste and suffer from the effects of uncollected solid waste should be able to participate in improving SWM. Accordingly, the contribution of urban dwellers on SWM service plays a great role for better improvement of SWM at the community. Therefore, this study aims to estimate households’ willingness to pay for improved solid waste management services and analyze its determinant using binary logit econometrics model. A total of 350 randomly selected households were interviewed to address the objective of this study. The study was used both descriptive and econometrics analysis. Finally, the survey result indicated that 86.3% of sample households were willing to pay for improved solid waste management services. Following this, the one and one half bounded contingent valuation result revealed that the mean willingness to pay is 13.10 ETB[Money official Exchange rate of 1$ = 31.45 Ethiopian Birr (ETB)]/month with the total willingness to pay of 494587ETB/month which is much higher than the amount of money collected by Bahir Dar city municipality (335,000 ETB/month). Additionally, the model result demonstrated that educational level of the household, monthly aggregate income, and quantity of waste generated per week, access to solid waste management services and respondents’ responsibility on solid waste management had significant positive effect on households’ willingness to pay unlike sex of household head and number of children in the household. The municipality of Bahir Dar city should consider these significant variables to design and implement improved solid waste management services.","author":[{"dropping-particle":"","family":"Tassie","given":"Kassahun","non-dropping-particle":"","parse-names":false,"suffix":""},{"dropping-particle":"","family":"Endalew","given":"Birara","non-dropping-particle":"","parse-names":false,"suffix":""}],"container-title":"Cogent Environmental Science","id":"ITEM-1","issue":"1","issued":{"date-parts":[["2020"]]},"title":"Willingness to pay for improved solid waste management services and associated factors among urban households: One and one half bounded contingent valuation study in Bahir Dar city, Ethiopia","type":"article-journal","volume":"6"},"uris":["http://www.mendeley.com/documents/?uuid=0eadef37-a26b-40de-a974-540702c6c12b"]}],"mendeley":{"formattedCitation":"(Tassie &amp; Endalew, 2020)","manualFormatting":" (Tassie &amp; Endalew, 2020)","plainTextFormattedCitation":"(Tassie &amp; Endalew, 2020)","previouslyFormattedCitation":"(Tassie &amp; Endalew,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 (Tassie&amp;Endalew,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Problems in waste generation and management in developing countries have become environmental problems facing urban dwellers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ONE","id":"ITEM-1","issue":"3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municipality","type":"article-journal","volume":"16"},"uris":["http://www.mendeley.com/documents/?uuid=2a6fa111-a59d-4dfb-9ea4-6aac6e0d4d7a"]}],"mendeley":{"formattedCitation":"(Lissah et al., 2021)","plainTextFormattedCitation":"(Lissah et al., 2021)","previouslyFormattedCitation":"(Lissah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(Lissah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spacing w:line="480" w:lineRule="auto"/>
        <w:ind w:left="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Managing municipal solid waste includes the introduction of a waste policy, waste technology selection, and the availability of appropriately trained people in the waste management sector (Kumar et al., 2017; Daskal et al., 2019). Waste reduction at the generation level is one of the key principles of the waste policy. Inappropriate waste management methods can have adverse effects on the environment (particularly biodiversity and ecosystems), climate, and human health (European Union, 2015).</w:t>
      </w:r>
    </w:p>
    <w:p>
      <w:pPr>
        <w:spacing w:line="480" w:lineRule="auto"/>
        <w:ind w:left="720"/>
        <w:jc w:val="both"/>
        <w:rPr>
          <w:rFonts w:hAnsi="Times New Roman" w:ascii="Times New Roman" w:eastAsia="Calibri"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 Ghana, the increase in population and rapid urbanisation have resulted in the generation of large quantities of solid waste across major cities and municipalities, exceeding the ability of local authorities to manage and dispose of waste in a sanitary manner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ONE","id":"ITEM-1","issue":"3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municipality","type":"article-journal","volume":"16"},"uris":["http://www.mendeley.com/documents/?uuid=2a6fa111-a59d-4dfb-9ea4-6aac6e0d4d7a"]}],"mendeley":{"formattedCitation":"(Lissah et al., 2021)","plainTextFormattedCitation":"(Lissah et al., 2021)","previouslyFormattedCitation":"(Lissah et al., 2021)"},"properties":{"noteIndex":0},"schema":"https://github.com/citation-style-language/schema/raw/master/csl-citation.json"}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(Lissah et al., 2021)</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In all urban areas of Ghana, solid waste is indiscriminately thrown in the streets, drains, or sea, crudely dumped at unapproved dumpsites, or burned on-site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{"citationItems":[{"id":"ITEM-1","itemData":{"author":[{"dropping-particle":"","family":"Ministry of Sanitation and Water Resources","given":"","non-dropping-particle":"","parse-names":false,"suffix":""}],"id":"ITEM-1","issue":"June","issued":{"date-parts":[["2020"]]},"publisher-place":"Ghana","title":"National Solid Waste Management Strategy for Ghana","type":"report"},"uris":["http://www.mendeley.com/documents/?uuid=8235ef2c-342a-4d3e-99fa-5378e1cd4824"]}],"mendeley":{"formattedCitation":"(Ministry of Sanitation and Water Resources, 2020)","manualFormatting":"(Ministry of Sanitation &amp;Water Resources, 2020)","plainTextFormattedCitation":"(Ministry of Sanitation and Water Resources, 2020)","previouslyFormattedCitation":"(Ministry of Sanitation and Water Resources, 2020)"},"properties":{"noteIndex":0},"schema":"https://github.com/citation-style-language/schema/raw/master/csl-citation.json"}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(Ministry of Sanitation &amp;Water Resources, 2020)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Scholarly assessment of solid waste generation and management in Ghana is minimal. Studies have assessed this phenomenon differently. For instance,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Adu-boahen","given":"Kofi","non-dropping-particle":"","parse-names":false,"suffix":""},{"dropping-particle":"","family":"Atampugre","given":"Gerald","non-dropping-particle":"","parse-names":false,"suffix":""},{"dropping-particle":"","family":"Antwi","given":"K B","non-dropping-particle":"","parse-names":false,"suffix":""},{"dropping-particle":"","family":"Osman","given":"Adams","non-dropping-particle":"","parse-names":false,"suffix":""}],"id":"ITEM-1","issue":"January","issued":{"date-parts":[["2014"]]},"title":"Waste management practices in Ghana : challenges and prospect , Jukwa Central Region","type":"article-journal"},"uris":["http://www.mendeley.com/documents/?uuid=3b335224-2bc0-4280-bdf5-f4926479b91a"]}],"mendeley":{"formattedCitation":"(Adu-boahen et al., 2014)","manualFormatting":"Adu-boahen et al. (2014)","plainTextFormattedCitation":"(Adu-boahen et al., 2014)","previouslyFormattedCitation":"(Adu-boahen et al., 2014)"},"properties":{"noteIndex":0},"schema":"https://github.com/citation-style-language/schema/raw/master/csl-citation.json"}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Adu-boahen et al. (2014)</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assessed waste management practices in Ghana and their challenges and prospects in the Jukwa Central Region.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{"citationItems":[{"id":"ITEM-1","itemData":{"DOI":"10.1017/CBO9781107415324.004","ISBN":"9788578110796","ISSN":"1098-6596","PMID":"25246403","abstract":"The study aimed ensuring a clean environment in the Tamale Metropolis. It analysed the underlying factors affecting effective solid waste management in the metropolis and suggested possible measures to tackle the problem. The research gathered data from two main sources namely: secondary and primary sources. The three main techniques employed in gathering the primary data were: preliminary field investigation, questionnaire survey and face-to-face interview. The following key findings were established to be the factors affecting effective solid waste management in the Metropolis. These are: • Inadequate skip supply for storing waste. • Lack of routine collection of waste. • Poor methods of waste management. • Inadequate resources for waste management institutions to effectively collect the waste generated. In the light of these problems enumerated above, the research recommended the adequate supply of skips, regular collection of waste, use of Integrated Solid Waste Management (ISWM)","author":[{"dropping-particle":"","family":"Puopiel","given":"F.","non-dropping-particle":"","parse-names":false,"suffix":""}],"id":"ITEM-1","issued":{"date-parts":[["2010"]]},"number-of-pages":"93","title":"Solid Waste Management in Ghana: the Case of Tamale Metropolitan Area","type":"thesis"},"uris":["http://www.mendeley.com/documents/?uuid=86fa8a69-9699-4884-9e96-f5783d7b2fd6"]}],"mendeley":{"formattedCitation":"(Puopiel, 2010)","manualFormatting":"Puopiel (2010)","plainTextFormattedCitation":"(Puopiel, 2010)","previouslyFormattedCitation":"(Puopiel, 2010)"},"properties":{"noteIndex":0},"schema":"https://github.com/citation-style-language/schema/raw/master/csl-citation.json"}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Puopiel (2010)</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also investigates solid waste management in Tamale Metropolitan Area.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Dauda","given":"Suleman","non-dropping-particle":"","parse-names":false,"suffix":""},{"dropping-particle":"","family":"Mariwah","given":"Simon","non-dropping-particle":"","parse-names":false,"suffix":""},{"dropping-particle":"","family":"Agyapong","given":"Richard","non-dropping-particle":"","parse-names":false,"suffix":""}],"container-title":"Journal of Social Sciences Volume 7 No. 2 (2015) 27 - 41","id":"ITEM-1","issued":{"date-parts":[["2015"]]},"title":"Residents’ perceptions and attitudes towards urban solid waste management in the Berekum Municipality, Ghana","type":"article-journal"},"uris":["http://www.mendeley.com/documents/?uuid=8bc8e39d-b5c7-4ff4-b58b-704261ec119d"]}],"mendeley":{"formattedCitation":"(Dauda et al., 2015)","manualFormatting":"Dauda et al. (2015)","plainTextFormattedCitation":"(Dauda et al., 2015)","previouslyFormattedCitation":"(Dauda et al., 2015)"},"properties":{"noteIndex":0},"schema":"https://github.com/citation-style-language/schema/raw/master/csl-citation.json"}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Dauda et al. (2015)</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demonstrate interest on residents’ perceptions and attitudes towards urban solid waste management in the Berekum Municipality. Similarly,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ONE","id":"ITEM-1","issue":"3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municipality","type":"article-journal","volume":"16"},"uris":["http://www.mendeley.com/documents/?uuid=2a6fa111-a59d-4dfb-9ea4-6aac6e0d4d7a"]}],"mendeley":{"formattedCitation":"(Lissah et al., 2021)","manualFormatting":"Lissah et al.(2021)","plainTextFormattedCitation":"(Lissah et al., 2021)","previouslyFormattedCitation":"(Lissah et al., 2021)"},"properties":{"noteIndex":0},"schema":"https://github.com/citation-style-language/schema/raw/master/csl-citation.json"}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Lissah et al.(2021)</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studied urban solid waste management in Ghana and the perspectives and experiences of municipal waste company managers and supervisors in an urban municipality.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{"citationItems":[{"id":"ITEM-1","itemData":{"DOI":"10.1016/j.heliyon.2019.e03040","ISSN":"24058440","abstract":"The importance of waste management cannot be overemphasized. Improper waste management and disposal has rippling effect on the environment and human health. The aim of this study is to assess solid waste management among household in a large Ghanaians district. Multi-stage sampling technique comprising a cluster, simple random sampling, and systematic sampling techniques were used to select 600 respondents for the study. Data was analyzed using (SPSS) version 23.0. Results indicates that communal waste collection bins were far from households as confirmed by the majority (57.3%) of the respondents. The majority (56.5%) of the households walked a distance of 11–15 min before reaching the refuse site. The study found that the number of waste collection point in the community were few (1–3 collection bins) as confirmed by majority (92.2%) of the respondents. The distance from the center of the community to the final waste disposal site covered 1–2 h journey. There was a significant relationship between the number of waste disposal sites in the community and the average distance (in kilometers one way) from the city center to a disposing site. In conclusion, the study found that communal waste collection bins were far from households; number of waste collection point in the community were few. This indicates that the distance from the center of the community to the final waste disposal site covered 1–2 h journey. Based on the major findings of the study, we recommend that district assembly should provide waste collection bins to every household to ensure that residents do not dispose their housrhold waste indiscriminately. District by-laws should be strengthened to ensure proper household waste disposal at all districts in Ghana.","author":[{"dropping-particle":"","family":"Odonkor","given":"Stephen T.","non-dropping-particle":"","parse-names":false,"suffix":""},{"dropping-particle":"","family":"Frimpong","given":"Kwasi","non-dropping-particle":"","parse-names":false,"suffix":""},{"dropping-particle":"","family":"Kurantin","given":"Napoleon","non-dropping-particle":"","parse-names":false,"suffix":""}],"container-title":"Heliyon","id":"ITEM-1","issue":"1","issued":{"date-parts":[["2020"]]},"page":"e03040","publisher":"Elsevier Ltd","title":"An assessment of house-hold solid waste management in a large Ghanaian district","type":"article-journal","volume":"6"},"uris":["http://www.mendeley.com/documents/?uuid=3a17b393-5e64-4a08-87ed-f0a0c5510376"]}],"mendeley":{"formattedCitation":"(Odonkor et al., 2020)","manualFormatting":"Odonkor et al. (2020)","plainTextFormattedCitation":"(Odonkor et al., 2020)","previouslyFormattedCitation":"(Odonkor et al., 2020)"},"properties":{"noteIndex":0},"schema":"https://github.com/citation-style-language/schema/raw/master/csl-citation.json"}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Odonkor et al. (2020)</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assessed household solid-waste management in a large Ghanaian district.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{"citationItems":[{"id":"ITEM-1","itemData":{"abstract":"The perception of tourist about accessibility from Penelokan village to Toya Bungkah destination” has objective to known the tourist perceptions of accessibility in Toya Bungkah destination. Kinds data used are primary data and secondary data. The data was gain through observations, depth interviews, questionnaires, literature studies, and documentations. Sampling was gain by purposive sampling to option the data of accessibility. The respondents was choose by using quota sampling. Analyzed the perception of tourist by using attitude scale (Likert scale) to measure the results. The result of the research showed that the tourist perceptions of accessibility to Toya Bungkah were : Condition about access from Penelokan to Toya Bungkah get average score was 3.10 is good enough, Quality of access from Penelokan to Toya Bungkah get average score was 3.20 is good enough, Comfortable of access from Penelokan to Toya Bungkah get average score was 3.14 is good enough, Condition transportasion after arrived from Penelokan to Toya Bungkah get average score was 3,48 is good, View at around access the tourist can see from Penelokan to Toya Bungkah get average score was 4.08 is good, Safety with the path from Penelokan to Toya Bungkah get average score was 3.50 is good, Perception of the tourist about Toya Bungkah get average score was 3.76 is good.","author":[{"dropping-particle":"","family":"Dongballe","given":"Felix","non-dropping-particle":"","parse-names":false,"suffix":""}],"container-title":"www.udsspace.uds.edu.gh","id":"ITEM-1","issue":"March","issued":{"date-parts":[["2016"]]},"number-of-pages":"11-40","title":"SOLID WASTE MANAGEMENT IN THE WA MUNICIPALITY: CHALLENGES AND OPTIONS","type":"thesis","volume":"147"},"uris":["http://www.mendeley.com/documents/?uuid=4176dd0c-a168-4f20-a66f-a75fc6ccb89d"]}],"mendeley":{"formattedCitation":"(Dongballe, 2016)","manualFormatting":"Dongballe(2016)","plainTextFormattedCitation":"(Dongballe, 2016)","previouslyFormattedCitation":"(Dongballe, 2016)"},"properties":{"noteIndex":0},"schema":"https://github.com/citation-style-language/schema/raw/master/csl-citation.json"}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Dongballe(2016)</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examined solid waste management in the Wa Municipality, its challenges and options, while only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{"citationItems":[{"id":"ITEM-1","itemData":{"ISSN":"16915534","abstract":"Well-organised waste management is an essential part of sustainable development. The saving of resources and energy is everyoneís concern and environmental education is vital to guarantee a sustainable lifestyle in the long run. To find out what similarities and differences in views regarding waste management exist between grammar school pupils and comprehensive school pupils in England, questionnaires were designed and distributed in two schools in the same English city. The questionnaires aimed at quantifying and establishing studentsí knowledge, attitudes and behaviour regarding waste management. The results illustrate that students from the grammar school had higher levels of knowledge, were more likely to recycle and used more sources of information regarding waste management. Waste reduction was considered important by almost all students. However, students in both schools considered composting and waste reduction as less important than recycling and thereby did not fully agree with sustainable waste management. [ABSTRACT FROM AUTHOR]","author":[{"dropping-particle":"","family":"Essuman","given":"K. N.","non-dropping-particle":"","parse-names":false,"suffix":""}],"container-title":"Journal of Teacher Education for Sustainability","id":"ITEM-1","issue":"1","issued":{"date-parts":[["2017"]]},"page":"23-91","title":"‘Knowledge, attitudes and practices of coastal communities on waste management in Ghana’","type":"article-journal","volume":"17"},"uris":["http://www.mendeley.com/documents/?uuid=3876db4c-efda-43af-ba83-6657cc69d571"]}],"mendeley":{"formattedCitation":"(Essuman, 2017)","manualFormatting":"Essuman (2017)","plainTextFormattedCitation":"(Essuman, 2017)","previouslyFormattedCitation":"(Essuman, 2017)"},"properties":{"noteIndex":0},"schema":"https://github.com/citation-style-language/schema/raw/master/csl-citation.json"}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Essuman (2017)</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showed interest on the knowledge, attitudes and practices of coastal communities on waste management in Ghana. Evidence shows that abysmal representation is made of residents’ knowledge, attitudes, and practices regarding solid waste management in Ghana. </w:t>
      </w:r>
    </w:p>
    <w:p>
      <w:pPr>
        <w:spacing w:line="480" w:lineRule="auto"/>
        <w:ind w:left="720"/>
        <w:jc w:val="both"/>
        <w:rPr>
          <w:rFonts w:hAnsi="Times New Roman" w:ascii="Times New Roman" w:eastAsia="Calibri" w:cs="Times New Roman"/>
          <w:sz w:val="24"/>
          <w:szCs w:val="24"/>
        </w:rPr>
        <w:sectPr w:rsidR="00455D00" w:rsidRPr="00136D7B" w:rsidSect="006F51CE">
          <w:pgSz w:w="12240" w:h="15840"/>
          <w:pgMar w:top="1440" w:right="1440" w:bottom="1440" w:left="1440" w:header="720" w:footer="720"/>
          <w:pgNumType w:start="1"/>
          <w:cols w:space="720"/>
        </w:sectPr>
      </w:pPr>
      <w:r>
        <w:rPr>
          <w:rFonts w:hAnsi="Times New Roman" w:ascii="Times New Roman" w:eastAsia="Calibri" w:cs="Times New Roman"/>
          <w:b w:val="0"/>
          <w:i w:val="0"/>
          <w:strike w:val="0"/>
          <w:dstrike w:val="0"/>
          <w:emboss w:val="0"/>
          <w:imprint w:val="0"/>
          <w:outline w:val="0"/>
          <w:shadow w:val="0"/>
          <w:sz w:val="24"/>
          <w:szCs w:val="24"/>
          <w:u w:val="none"/>
        </w:rPr>
        <w:t xml:space="preserve">This study fills this gap by assessing residents’ knowledge, attitudes, and practices regarding solid waste management in the Mangu Community of Wa Municipality of Ghana. This study is important because rapid population growth and urbanisation coupled with </w:t>
      </w:r>
      <w:r>
        <w:rPr>
          <w:rFonts w:hAnsi="Times New Roman" w:ascii="Times New Roman" w:eastAsia="Times New Roman" w:cs="Times New Roman"/>
          <w:b w:val="0"/>
          <w:i w:val="0"/>
          <w:strike w:val="0"/>
          <w:dstrike w:val="0"/>
          <w:emboss w:val="0"/>
          <w:imprint w:val="0"/>
          <w:outline w:val="0"/>
          <w:shadow w:val="0"/>
          <w:sz w:val="24"/>
          <w:szCs w:val="24"/>
          <w:u w:val="none"/>
        </w:rPr>
        <w:t xml:space="preserve">industrialisation results in huge volumes of waste generation, which necessitates this study to determine the knowledge, attitude, and practices of residents on solid waste management. </w:t>
      </w:r>
      <w:r>
        <w:rPr>
          <w:rFonts w:hAnsi="Times New Roman" w:ascii="Times New Roman" w:eastAsia="Calibri" w:cs="Times New Roman"/>
          <w:b w:val="0"/>
          <w:i w:val="0"/>
          <w:strike w:val="0"/>
          <w:dstrike w:val="0"/>
          <w:emboss w:val="0"/>
          <w:imprint w:val="0"/>
          <w:outline w:val="0"/>
          <w:shadow w:val="0"/>
          <w:sz w:val="24"/>
          <w:szCs w:val="24"/>
          <w:u w:val="none"/>
        </w:rPr>
        <w:t xml:space="preserve">Therefore, this study contributes to the knowledge, policy, and theory of how best solid waste management practices can facilitate participatory sustainable cleaner local cities in Ghana.</w:t>
      </w:r>
    </w:p>
    <w:p>
      <w:pPr>
        <w:pStyle w:val="Heading2"/>
        <w:spacing w:line="480" w:lineRule="auto"/>
        <w:ind w:left="720"/>
      </w:pPr>
      <w:bookmarkStart w:id="15" w:name="_Toc147923029"/>
      <w:r>
        <w:rPr>
          <w:rFonts w:ascii="Times New Roman"/>
          <w:b/>
          <w:i w:val="0"/>
          <w:strike w:val="0"/>
          <w:dstrike w:val="0"/>
          <w:emboss w:val="0"/>
          <w:imprint w:val="0"/>
          <w:outline w:val="0"/>
          <w:shadow w:val="0"/>
          <w:sz w:val="24"/>
          <w:szCs w:val="24"/>
          <w:u w:val="none"/>
        </w:rPr>
        <w:lastRenderedPageBreak/>
        <w:t xml:space="preserve">1.2 Problem Statement</w:t>
      </w:r>
      <w:bookmarkEnd w:id="15"/>
    </w:p>
    <w:p>
      <w:pPr>
        <w:spacing w:line="480" w:lineRule="auto"/>
        <w:ind w:left="720"/>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Managing solid waste well and affordably is one of the key challenges of the 21st century and a key responsibility of the city government worldwide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{"citationItems":[{"id":"ITEM-1","itemData":{"ISBN":"9781849711692","author":[{"dropping-particle":"","family":"UN-Habitat","given":"","non-dropping-particle":"","parse-names":false,"suffix":""}],"id":"ITEM-1","issued":{"date-parts":[["2010"]]},"title":"SOLID WASTE MANAGEMENT IN THE WORLD’S CITIES","type":"book"},"uris":["http://www.mendeley.com/documents/?uuid=0841442d-2021-4c00-b435-2c0cca20fb71"]}],"mendeley":{"formattedCitation":"(UN-Habitat, 2010)","plainTextFormattedCitation":"(UN-Habitat, 2010)","previouslyFormattedCitation":"(UN-Habitat, 2010)"},"properties":{"noteIndex":0},"schema":"https://github.com/citation-style-language/schema/raw/master/csl-citation.json"}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(UN-Habitat, 2010)</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.Rapid urbanisation and population growth are solely responsible for the high generation of solid waste, even though the aim of urban solid waste management is to collect, treat, and dispose of solid waste generated by urban dwellers, and 30–60% of all urban solid waste in developing countries is uncollected and less than 50% of the population is served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{"citationItems":[{"id":"ITEM-1","itemData":{"DOI":"10.1080/23311843.2020.1807275","ISSN":"23311843","abstract":"Households which are the primary producers of solid waste and suffer from the effects of uncollected solid waste should be able to participate in improving SWM. Accordingly, the contribution of urban dwellers on SWM service plays a great role for better improvement of SWM at the community. Therefore, this study aims to estimate households’ willingness to pay for improved solid waste management services and analyze its determinant using binary logit econometrics model. A total of 350 randomly selected households were interviewed to address the objective of this study. The study was used both descriptive and econometrics analysis. Finally, the survey result indicated that 86.3% of sample households were willing to pay for improved solid waste management services. Following this, the one and one half bounded contingent valuation result revealed that the mean willingness to pay is 13.10 ETB[Money official Exchange rate of 1$ = 31.45 Ethiopian Birr (ETB)]/month with the total willingness to pay of 494587ETB/month which is much higher than the amount of money collected by Bahir Dar city municipality (335,000 ETB/month). Additionally, the model result demonstrated that educational level of the household, monthly aggregate income, and quantity of waste generated per week, access to solid waste management services and respondents’ responsibility on solid waste management had significant positive effect on households’ willingness to pay unlike sex of household head and number of children in the household. The municipality of Bahir Dar city should consider these significant variables to design and implement improved solid waste management services.","author":[{"dropping-particle":"","family":"Tassie","given":"Kassahun","non-dropping-particle":"","parse-names":false,"suffix":""},{"dropping-particle":"","family":"Endalew","given":"Birara","non-dropping-particle":"","parse-names":false,"suffix":""}],"container-title":"Cogent Environmental Science","id":"ITEM-1","issue":"1","issued":{"date-parts":[["2020"]]},"title":"Willingness to pay for improved solid waste management services and associated factors among urban households: One and one half bounded contingent valuation study in Bahir Dar city, Ethiopia","type":"article-journal","volume":"6"},"uris":["http://www.mendeley.com/documents/?uuid=0eadef37-a26b-40de-a974-540702c6c12b"]}],"mendeley":{"formattedCitation":"(Tassie &amp; Endalew, 2020)","manualFormatting":"(Tassie &amp; Endalew, 2020)","plainTextFormattedCitation":"(Tassie &amp; Endalew, 2020)","previouslyFormattedCitation":"(Tassie &amp; Endalew, 2020)"},"properties":{"noteIndex":0},"schema":"https://github.com/citation-style-language/schema/raw/master/csl-citation.json"}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(Tassie&amp;Endalew, 2020)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Improper management of solid waste poses a threat to human health and the environment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{"citationItems":[{"id":"ITEM-1","itemData":{"ISSN":"16915534","abstract":"Well-organised waste management is an essential part of sustainable development. The saving of resources and energy is everyoneís concern and environmental education is vital to guarantee a sustainable lifestyle in the long run. To find out what similarities and differences in views regarding waste management exist between grammar school pupils and comprehensive school pupils in England, questionnaires were designed and distributed in two schools in the same English city. The questionnaires aimed at quantifying and establishing studentsí knowledge, attitudes and behaviour regarding waste management. The results illustrate that students from the grammar school had higher levels of knowledge, were more likely to recycle and used more sources of information regarding waste management. Waste reduction was considered important by almost all students. However, students in both schools considered composting and waste reduction as less important than recycling and thereby did not fully agree with sustainable waste management. [ABSTRACT FROM AUTHOR]","author":[{"dropping-particle":"","family":"Essuman","given":"K. N.","non-dropping-particle":"","parse-names":false,"suffix":""}],"container-title":"Journal of Teacher Education for Sustainability","id":"ITEM-1","issue":"1","issued":{"date-parts":[["2017"]]},"page":"23-91","title":"‘Knowledge, attitudes and practices of coastal communities on waste management in Ghana’","type":"article-journal","volume":"17"},"uris":["http://www.mendeley.com/documents/?uuid=3876db4c-efda-43af-ba83-6657cc69d571"]},{"id":"ITEM-2","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ONE","id":"ITEM-2","issue":"3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municipality","type":"article-journal","volume":"16"},"uris":["http://www.mendeley.com/documents/?uuid=2a6fa111-a59d-4dfb-9ea4-6aac6e0d4d7a"]}],"mendeley":{"formattedCitation":"(Essuman, 2017; Lissah et al., 2021)","plainTextFormattedCitation":"(Essuman, 2017; Lissah et al., 2021)","previouslyFormattedCitation":"(Essuman, 2017; Lissah et al., 2021)"},"properties":{"noteIndex":0},"schema":"https://github.com/citation-style-language/schema/raw/master/csl-citation.json"}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(Essuman, 2017; Lissah et al., 2021)</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Solid waste management in cities is a complex activity involving the collection, transportation, recycling, resource recovery, and disposal of the solid waste generated by city dwellers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{"citationItems":[{"id":"ITEM-1","itemData":{"DOI":"10.1186/s12889-019-7551-1","ISSN":"14712458","PMID":"31510950","abstract":"Background: Improper solid waste management (SWM) is a major public health and environmental concern in the urban areas of many developing countries such as Asella Town. The aim of this study was to assess the status of SWM in Asella town. Methods: A community-based cross-sectional study design was used to assess the status of improper SWM and associated factors in Asella town. From the total of eight kebeles (smallest administrative unit in Ethiopia) four kebeles were randomly selected using lottery method. The sample size was 413 households. The households were proportionally allocated to each randomly selected kebeles. The data was collected by pretested questionnaire in the local language. Data was entered using statistical software Epi Info version seven and transferred to SPSS version 21. Descriptive data analysis was done to summarize the socioeconomic status of the respondents. Chi-square was used to show the association between the status of solid waste management and different variables. Binary logistic regression was used to determine the potential factors for improper SWM. Result: 332 (82.8%), had improper solid waste management practice. Lack of adequate knowledge about solid waste management and not having access to door to door solid waste collection could have contributed to the reported improper solid waste practice. Participants who didn't have access to door to door solid waste collection service were about three times more likely to practice improper solid waste management when compared to those who had access (AOR = 2.873, 95 CI (1.565,5.273) P = 0.001). Conclusion: The study finding showed that, the majority of the residents practiced improper solid waste management. Lack of adequate knowledge about solid waste management and not having access to door to door solid waste collection could have contributed to the reported improper solid waste practice. Therefore, there is a need to enhance the awareness of the community about proper SWM and to improve the door to door solid waste collection service by the town municipality.","author":[{"dropping-particle":"","family":"Lema","given":"Gorfnesh","non-dropping-particle":"","parse-names":false,"suffix":""},{"dropping-particle":"","family":"Mesfun","given":"Million Getachew","non-dropping-particle":"","parse-names":false,"suffix":""},{"dropping-particle":"","family":"Eshete","given":"Amade","non-dropping-particle":"","parse-names":false,"suffix":""},{"dropping-particle":"","family":"Abdeta","given":"Gizachew","non-dropping-particle":"","parse-names":false,"suffix":""}],"container-title":"BMC Public Health","id":"ITEM-1","issue":"1","issued":{"date-parts":[["2019"]]},"page":"1-7","publisher":"BMC Public Health","title":"Assessment of status of solid waste management in Asella town, Ethiopia","type":"article-journal","volume":"19"},"uris":["http://www.mendeley.com/documents/?uuid=de0f4630-31a1-41e4-99b0-5b7b1e090ff3"]},{"id":"ITEM-2","itemData":{"DOI":"10.1017/CBO9781107415324.004","ISBN":"9788578110796","ISSN":"1098-6596","PMID":"25246403","abstract":"The study aimed ensuring a clean environment in the Tamale Metropolis. It analysed the underlying factors affecting effective solid waste management in the metropolis and suggested possible measures to tackle the problem. The research gathered data from two main sources namely: secondary and primary sources. The three main techniques employed in gathering the primary data were: preliminary field investigation, questionnaire survey and face-to-face interview. The following key findings were established to be the factors affecting effective solid waste management in the Metropolis. These are: • Inadequate skip supply for storing waste. • Lack of routine collection of waste. • Poor methods of waste management. • Inadequate resources for waste management institutions to effectively collect the waste generated. In the light of these problems enumerated above, the research recommended the adequate supply of skips, regular collection of waste, use of Integrated Solid Waste Management (ISWM)","author":[{"dropping-particle":"","family":"Puopiel","given":"F.","non-dropping-particle":"","parse-names":false,"suffix":""}],"id":"ITEM-2","issued":{"date-parts":[["2010"]]},"number-of-pages":"93","title":"Solid Waste Management in Ghana: the Case of Tamale Metropolitan Area","type":"thesis"},"uris":["http://www.mendeley.com/documents/?uuid=86fa8a69-9699-4884-9e96-f5783d7b2fd6"]}],"mendeley":{"formattedCitation":"(Lema et al., 2019; Puopiel, 2010)","plainTextFormattedCitation":"(Lema et al., 2019; Puopiel, 2010)","previouslyFormattedCitation":"(Lema et al., 2019; Puopiel, 2010)"},"properties":{"noteIndex":0},"schema":"https://github.com/citation-style-language/schema/raw/master/csl-citation.json"}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(Lema et al., 2019; Puopiel, 2010)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Municipal solid waste is composed of different wastes generated by households and different institutions, such as schools, hospitals, slaughterhouses, and public toilets. Municipal wastes are ineffectively managed in developing countries because of the alarmingly increasing solid waste generation which exceeds the capacity of cities and municipalities. Waste collection rates are often lower than 70% in low-income countries, and more than 50% of the collected waste is often disposed of through uncontrolled landfilling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{"citationItems":[{"id":"ITEM-1","itemData":{"DOI":"10.1186/s12889-019-7551-1","ISSN":"14712458","PMID":"31510950","abstract":"Background: Improper solid waste management (SWM) is a major public health and environmental concern in the urban areas of many developing countries such as Asella Town. The aim of this study was to assess the status of SWM in Asella town. Methods: A community-based cross-sectional study design was used to assess the status of improper SWM and associated factors in Asella town. From the total of eight kebeles (smallest administrative unit in Ethiopia) four kebeles were randomly selected using lottery method. The sample size was 413 households. The households were proportionally allocated to each randomly selected kebeles. The data was collected by pretested questionnaire in the local language. Data was entered using statistical software Epi Info version seven and transferred to SPSS version 21. Descriptive data analysis was done to summarize the socioeconomic status of the respondents. Chi-square was used to show the association between the status of solid waste management and different variables. Binary logistic regression was used to determine the potential factors for improper SWM. Result: 332 (82.8%), had improper solid waste management practice. Lack of adequate knowledge about solid waste management and not having access to door to door solid waste collection could have contributed to the reported improper solid waste practice. Participants who didn't have access to door to door solid waste collection service were about three times more likely to practice improper solid waste management when compared to those who had access (AOR = 2.873, 95 CI (1.565,5.273) P = 0.001). Conclusion: The study finding showed that, the majority of the residents practiced improper solid waste management. Lack of adequate knowledge about solid waste management and not having access to door to door solid waste collection could have contributed to the reported improper solid waste practice. Therefore, there is a need to enhance the awareness of the community about proper SWM and to improve the door to door solid waste collection service by the town municipality.","author":[{"dropping-particle":"","family":"Lema","given":"Gorfnesh","non-dropping-particle":"","parse-names":false,"suffix":""},{"dropping-particle":"","family":"Mesfun","given":"Million Getachew","non-dropping-particle":"","parse-names":false,"suffix":""},{"dropping-particle":"","family":"Eshete","given":"Amade","non-dropping-particle":"","parse-names":false,"suffix":""},{"dropping-particle":"","family":"Abdeta","given":"Gizachew","non-dropping-particle":"","parse-names":false,"suffix":""}],"container-title":"BMC Public Health","id":"ITEM-1","issue":"1","issued":{"date-parts":[["2019"]]},"page":"1-7","publisher":"BMC Public Health","title":"Assessment of status of solid waste management in Asella town, Ethiopia","type":"article-journal","volume":"19"},"uris":["http://www.mendeley.com/documents/?uuid=de0f4630-31a1-41e4-99b0-5b7b1e090ff3"]}],"mendeley":{"formattedCitation":"(Lema et al., 2019)","plainTextFormattedCitation":"(Lema et al., 2019)","previouslyFormattedCitation":"(Lema et al., 2019)"},"properties":{"noteIndex":0},"schema":"https://github.com/citation-style-language/schema/raw/master/csl-citation.json"}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(Lema et al., 2019)</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w:t>
      </w:r>
    </w:p>
    <w:p>
      <w:pPr>
        <w:spacing w:line="480" w:lineRule="auto"/>
        <w:ind w:left="720"/>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Ghana, as a developing country, faces many challenges regarding solid waste management due to its actions towards waste management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{"citationItems":[{"id":"ITEM-1","itemData":{"ISSN":"16915534","abstract":"Well-organised waste management is an essential part of sustainable development. The saving of resources and energy is everyoneís concern and environmental education is vital to guarantee a sustainable lifestyle in the long run. To find out what similarities and differences in views regarding waste management exist between grammar school pupils and comprehensive school pupils in England, questionnaires were designed and distributed in two schools in the same English city. The questionnaires aimed at quantifying and establishing studentsí knowledge, attitudes and behaviour regarding waste management. The results illustrate that students from the grammar school had higher levels of knowledge, were more likely to recycle and used more sources of information regarding waste management. Waste reduction was considered important by almost all students. However, students in both schools considered composting and waste reduction as less important than recycling and thereby did not fully agree with sustainable waste management. [ABSTRACT FROM AUTHOR]","author":[{"dropping-particle":"","family":"Essuman","given":"K. N.","non-dropping-particle":"","parse-names":false,"suffix":""}],"container-title":"Journal of Teacher Education for Sustainability","id":"ITEM-1","issue":"1","issued":{"date-parts":[["2017"]]},"page":"23-91","title":"‘Knowledge, attitudes and practices of coastal communities on waste management in Ghana’","type":"article-journal","volume":"17"},"uris":["http://www.mendeley.com/documents/?uuid=3876db4c-efda-43af-ba83-6657cc69d571"]}],"mendeley":{"formattedCitation":"(Essuman, 2017)","plainTextFormattedCitation":"(Essuman, 2017)","previouslyFormattedCitation":"(Essuman, 2017)"},"properties":{"noteIndex":0},"schema":"https://github.com/citation-style-language/schema/raw/master/csl-citation.json"}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(Essuman, 2017)</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Solid waste in Ghana is indiscriminately thrown into drains, the sea, streets, crudely dumped at unapproved sites, or burned on-site.  The challenges in household practices regarding solid waste disposal are compounded by inadequate, ineffective, and unaﬀordable service delivery arrangements. In most cases, waste transfer stations (such as skips) are poorly located, inadequate in number, and irregularly emptied. Regular door-to-door collection services, although reasonably widespread, are selective in terms of who they serve because of poorly deﬁned or unenforced zoning. In many Metropolitan, Municipal and District Assemblies (MMDAs), service providers are not accountable for the quality of services they deliver because of weak governance, procurement, and monitoring and evaluation systems. These problems also extend to waste disposal and land</w:t>
        <w:t xml:space="preserve"> ﬁll sites which are poorly managed, lack capacity, and are unsafe.  Moreover, waste reduction, reuse, and recycling activities remain extremely localised and small-scale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{"citationItems":[{"id":"ITEM-1","itemData":{"author":[{"dropping-particle":"","family":"Ministry of Sanitation and Water Resources","given":"","non-dropping-particle":"","parse-names":false,"suffix":""}],"id":"ITEM-1","issue":"June","issued":{"date-parts":[["2020"]]},"publisher-place":"Ghana","title":"National Solid Waste Management Strategy for Ghana","type":"report"},"uris":["http://www.mendeley.com/documents/?uuid=8235ef2c-342a-4d3e-99fa-5378e1cd4824"]}],"mendeley":{"formattedCitation":"(Ministry of Sanitation and Water Resources, 2020)","plainTextFormattedCitation":"(Ministry of Sanitation and Water Resources, 2020)","previouslyFormattedCitation":"(Ministry of Sanitation and Water Resources, 2020)"},"properties":{"noteIndex":0},"schema":"https://github.com/citation-style-language/schema/raw/master/csl-citation.json"}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(Ministry of Sanitation and Water Resources 2020)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w:t>
      </w:r>
    </w:p>
    <w:p>
      <w:pPr>
        <w:spacing w:line="480" w:lineRule="auto"/>
        <w:ind w:left="720"/>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Ghana has almost all institutions, agencies, and policies for solid-waste management at all levels of government. However, paradoxically, all major cities in Ghana are still struggling with solid waste management which threatens the health of residents and the sustainable development of the nation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Dauda","given":"Suleman","non-dropping-particle":"","parse-names":false,"suffix":""},{"dropping-particle":"","family":"Mariwah","given":"Simon","non-dropping-particle":"","parse-names":false,"suffix":""},{"dropping-particle":"","family":"Agyapong","given":"Richard","non-dropping-particle":"","parse-names":false,"suffix":""}],"container-title":"Journal of Social Sciences Volume 7 No. 2 (2015) 27 - 41","id":"ITEM-1","issued":{"date-parts":[["2015"]]},"title":"Residents’ perceptions and attitudes towards urban solid waste management in the Berekum Municipality, Ghana","type":"article-journal"},"uris":["http://www.mendeley.com/documents/?uuid=8bc8e39d-b5c7-4ff4-b58b-704261ec119d"]}],"mendeley":{"formattedCitation":"(Dauda et al., 2015)","plainTextFormattedCitation":"(Dauda et al., 2015)","previouslyFormattedCitation":"(Dauda et al., 2015)"},"properties":{"noteIndex":0},"schema":"https://github.com/citation-style-language/schema/raw/master/csl-citation.json"}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(Dauda et al., 2015)</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As a result, Ghana has experienced intermittent outbreaks of diseases, which have become increasingly regular in recent years as urbanisation continues. The most recent outbreak occurred between June 2014 and January 2015, when over 28,000 cholera outbreak cases were reported, resulting in 243 deaths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{"citationItems":[{"id":"ITEM-1","itemData":{"author":[{"dropping-particle":"","family":"Ministry of Sanitation and Water Resources","given":"","non-dropping-particle":"","parse-names":false,"suffix":""}],"id":"ITEM-1","issue":"June","issued":{"date-parts":[["2020"]]},"publisher-place":"Ghana","title":"National Solid Waste Management Strategy for Ghana","type":"report"},"uris":["http://www.mendeley.com/documents/?uuid=8235ef2c-342a-4d3e-99fa-5378e1cd4824"]}],"mendeley":{"formattedCitation":"(Ministry of Sanitation and Water Resources, 2020)","plainTextFormattedCitation":"(Ministry of Sanitation and Water Resources, 2020)","previouslyFormattedCitation":"(Ministry of Sanitation and Water Resources, 2020)"},"properties":{"noteIndex":0},"schema":"https://github.com/citation-style-language/schema/raw/master/csl-citation.json"}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(Ministry of Sanitation and Water Resources, 2020)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.The knowledge, attitudes, practices, and perceptions of people within a geographical area towards solid waste management could be influential factors compounding the problem of solid waste management in the country. </w:t>
      </w:r>
    </w:p>
    <w:p>
      <w:pPr>
        <w:spacing w:line="480" w:lineRule="auto"/>
        <w:ind w:left="720"/>
        <w:jc w:val="both"/>
      </w:pPr>
      <w:r>
        <w:rPr>
          <w:rFonts w:hAnsi="Times New Roman" w:ascii="Times New Roman" w:cs="Times New Roman"/>
          <w:b w:val="0"/>
          <w:i w:val="0"/>
          <w:strike w:val="0"/>
          <w:dstrike w:val="0"/>
          <w:emboss w:val="0"/>
          <w:imprint w:val="0"/>
          <w:outline w:val="0"/>
          <w:shadow w:val="0"/>
          <w:sz w:val="24"/>
          <w:szCs w:val="24"/>
          <w:u w:val="none"/>
        </w:rPr>
        <w:t xml:space="preserve">As a result, a study found that the dominant form of waste that the people generate were solid in nature. It was further revealed that a considerable number of residents disposed of their solid waste mainly by burning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Adu-boahen","given":"Kofi","non-dropping-particle":"","parse-names":false,"suffix":""},{"dropping-particle":"","family":"Atampugre","given":"Gerald","non-dropping-particle":"","parse-names":false,"suffix":""},{"dropping-particle":"","family":"Antwi","given":"K B","non-dropping-particle":"","parse-names":false,"suffix":""},{"dropping-particle":"","family":"Osman","given":"Adams","non-dropping-particle":"","parse-names":false,"suffix":""}],"id":"ITEM-1","issue":"January","issued":{"date-parts":[["2014"]]},"title":"Waste management practices in Ghana : challenges and prospect , Jukwa Central Region","type":"article-journal"},"uris":["http://www.mendeley.com/documents/?uuid=3b335224-2bc0-4280-bdf5-f4926479b91a"]}],"mendeley":{"formattedCitation":"(Adu-boahen et al., 2014)","plainTextFormattedCitation":"(Adu-boahen et al., 2014)","previouslyFormattedCitation":"(Adu-boahen et al., 2014)"},"properties":{"noteIndex":0},"schema":"https://github.com/citation-style-language/schema/raw/master/csl-citation.json"}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(Adu-boahen et al., 2014)</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In addition,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{"citationItems":[{"id":"ITEM-1","itemData":{"author":[{"dropping-particle":"","family":"Baidoo","given":"Amina Hakeem","non-dropping-particle":"","parse-names":false,"suffix":""}],"id":"ITEM-1","issue":"February","issued":{"date-parts":[["2017"]]},"publisher":"UNIVERSITY OF CAPE COAST","title":"Assessing Municipal solid waste management in Mankessim in the Mfrantseman Municipality","type":"thesis"},"uris":["http://www.mendeley.com/documents/?uuid=d5141148-f981-422b-b6ec-f378b2e95ac5"]}],"mendeley":{"formattedCitation":"(Baidoo, 2017)","manualFormatting":"Baidoo, (2017)","plainTextFormattedCitation":"(Baidoo, 2017)","previouslyFormattedCitation":"(Baidoo, 2017)"},"properties":{"noteIndex":0},"schema":"https://github.com/citation-style-language/schema/raw/master/csl-citation.json"}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Baidoo (2017)</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revealed that the Metropolitan, Municipal, and District Assemblies (MMAs) do not have sufficient skips within Mankessim, resulting in the township being regularly littered with solid waste</w:t>
      </w:r>
      <w:r>
        <w:rPr>
          <w:rFonts w:ascii="Calibri"/>
          <w:b w:val="0"/>
          <w:i w:val="0"/>
          <w:strike w:val="0"/>
          <w:dstrike w:val="0"/>
          <w:emboss w:val="0"/>
          <w:imprint w:val="0"/>
          <w:outline w:val="0"/>
          <w:shadow w:val="0"/>
          <w:sz w:val="22"/>
          <w:szCs w:val="22"/>
          <w:u w:val="none"/>
        </w:rPr>
        <w:t xml:space="preserve">. </w:t>
      </w:r>
    </w:p>
    <w:p>
      <w:pPr>
        <w:spacing w:line="480" w:lineRule="auto"/>
        <w:ind w:left="720"/>
        <w:jc w:val="both"/>
        <w:rPr>
          <w:rFonts w:hAnsi="Times New Roman" w:ascii="Times New Roman" w:cs="Times New Roman"/>
          <w:sz w:val="24"/>
          <w:szCs w:val="24"/>
        </w:rPr>
      </w:pPr>
      <w:bookmarkStart w:id="16" w:name="_Hlk144417482"/>
      <w:r>
        <w:rPr>
          <w:rFonts w:hAnsi="Times New Roman" w:ascii="Times New Roman" w:cs="Times New Roman"/>
          <w:b w:val="0"/>
          <w:i w:val="0"/>
          <w:strike w:val="0"/>
          <w:dstrike w:val="0"/>
          <w:emboss w:val="0"/>
          <w:imprint w:val="0"/>
          <w:outline w:val="0"/>
          <w:shadow w:val="0"/>
          <w:sz w:val="24"/>
          <w:szCs w:val="24"/>
          <w:u w:val="none"/>
        </w:rPr>
        <w:t xml:space="preserve">Solid waste management in the Wa Municipality of the Upper West Region of Ghana was investigated.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{"citationItems":[{"id":"ITEM-1","itemData":{"author":[{"dropping-particle":"","family":"Owusu-Sekyere","given":"E","non-dropping-particle":"","parse-names":false,"suffix":""},{"dropping-particle":"","family":"Amoah","given":"Twumasi S","non-dropping-particle":"","parse-names":false,"suffix":""},{"dropping-particle":"","family":"Wedam","given":"E A","non-dropping-particle":"","parse-names":false,"suffix":""}],"container-title":"UDS International Journal of Development [UDSIJD]","id":"ITEM-1","issue":"1","issued":{"date-parts":[["2017"]]},"page":"46-63","title":"Solid waste generation, planning and projection in Wa, Ghana","type":"article-journal","volume":"4"},"uris":["http://www.mendeley.com/documents/?uuid=42dc6ce3-f72b-4d26-97f9-040abc6cfcb3"]}],"mendeley":{"formattedCitation":"(Owusu-Sekyere et al., 2017)","manualFormatting":"Owusu-Sekyere et al. (2017)","plainTextFormattedCitation":"(Owusu-Sekyere et al., 2017)","previouslyFormattedCitation":"(Owusu-Sekyere et al., 2017)"},"properties":{"noteIndex":0},"schema":"https://github.com/citation-style-language/schema/raw/master/csl-citation.json"}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Owusu-Sekyere et al. (2017)</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NewRomanPS-BoldMT" w:ascii="TimesNewRomanPS-BoldMT" w:cs="TimesNewRomanPS-BoldMT"/>
          <w:b w:val="0"/>
          <w:i w:val="0"/>
          <w:strike w:val="0"/>
          <w:dstrike w:val="0"/>
          <w:emboss w:val="0"/>
          <w:imprint w:val="0"/>
          <w:outline w:val="0"/>
          <w:shadow w:val="0"/>
          <w:sz w:val="24"/>
          <w:szCs w:val="24"/>
          <w:u w:val="none"/>
        </w:rPr>
        <w:t xml:space="preserve">focused on solid waste generation, planning, and projection in Wa. </w:t>
      </w:r>
      <w:r>
        <w:rPr>
          <w:rFonts w:hAnsi="Times New Roman" w:ascii="Times New Roman" w:cs="Times New Roman"/>
          <w:b w:val="0"/>
          <w:i w:val="0"/>
          <w:strike w:val="0"/>
          <w:dstrike w:val="0"/>
          <w:emboss w:val="0"/>
          <w:imprint w:val="0"/>
          <w:outline w:val="0"/>
          <w:shadow w:val="0"/>
          <w:sz w:val="24"/>
          <w:szCs w:val="24"/>
          <w:u w:val="none"/>
        </w:rPr>
        <w:t xml:space="preserve">Their results indicate that without structural interruptions to the current solid waste generation trends, by 2026, the quantity of solid waste that will be generated in Wa may be six times more than that in 2016.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10.26480/jwbm.02.2022.","author":[{"dropping-particle":"","family":"Ampofo","given":"Steve","non-dropping-particle":"","parse-names":false,"suffix":""},{"dropping-particle":"","family":"Sackey","given":"I","non-dropping-particle":"","parse-names":false,"suffix":""},{"dropping-particle":"","family":"Daanaa","given":"Lawrence","non-dropping-particle":"","parse-names":false,"suffix":""},{"dropping-particle":"","family":"Kusibu","given":"Michael M","non-dropping-particle":"","parse-names":false,"suffix":""}],"id":"ITEM-1","issue":"2","issued":{"date-parts":[["2022"]]},"page":"83-91","title":"Journal of Wastes and Biomass Management MULTI-CRITERIA ASSESSMENT ( MCA ) AND SELECTION OF A SOLID WASTE DISPOSAL SITE WITHIN WA MUNICIPALITY , UPPER WEST REGION , GHANA","type":"article-journal","volume":"4"},"uris":["http://www.mendeley.com/documents/?uuid=2f1ce0a2-e896-424f-950c-f1131254096a"]}],"mendeley":{"formattedCitation":"(Ampofo et al., 2022)","manualFormatting":"Ampofo et al. (2022)","plainTextFormattedCitation":"(Ampofo et al., 2022)","previouslyFormattedCitation":"(Ampofo et al., 2022)"},"properties":{"noteIndex":0},"schema":"https://github.com/citation-style-language/schema/raw/master/csl-citation.json"}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Ampofo et al. (2022)</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study considered the selection of a suitable site for the disposal of municipal solid waste generated within the Wa Municipality of the Upper West Region of Ghana, using multi-Criteria Evaluation technique. The results showed a total of three (3) proposed suitable sites, out of which a site with reasonably optimal distance and easily accessible roads was preferred as the most suitable site for municipal solid waste disposal (landfill) in the Wa Municipality.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{"citationItems":[{"id":"ITEM-1","itemData":{"author":[{"dropping-particle":"","family":"Bowan","given":"Patrick Aaniamenga","non-dropping-particle":"","parse-names":false,"suffix":""},{"dropping-particle":"","family":"Abdulai","given":"Sumaya","non-dropping-particle":"","parse-names":false,"suffix":""},{"dropping-particle":"","family":"Boamah","given":"Edward","non-dropping-particle":"","parse-names":false,"suffix":""}],"container-title":"Journal of Multidisciplinary Engineering Science and Technology (JMEST)","id":"ITEM-1","issue":"7","issued":{"date-parts":[["2023"]]},"page":"16238-16247","title":"Household Solid Waste Management in the Household Solid Waste Management","type":"article-journal","volume":"10"},"uris":["http://www.mendeley.com/documents/?uuid=e47e874f-144c-4777-9a96-3992d41a744d"]}],"mendeley":{"formattedCitation":"(Bowan et al., 2023)","manualFormatting":"Bowan et al. (2023)","plainTextFormattedCitation":"(Bowan et al., 2023)","previouslyFormattedCitation":"(Bowan et al., 2023)"},"properties":{"noteIndex":0},"schema":"https://github.com/citation-style-language/schema/raw/master/csl-citation.json"}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Bowan et al. (2023)</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examined household solid waste management in the Wa Municipality. Their study revealed that there was no pretreatment or processing of the collected waste before final disposal.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{"citationItems":[{"id":"ITEM-1","itemData":{"DOI":"10.36005/jplm.v2i2.48","author":[{"dropping-particle":"","family":"Kosoe","given":"Enoch Akwasi","non-dropping-particle":"","parse-names":false,"suffix":""},{"dropping-particle":"","family":"Akanbang","given":"Bernard A A","non-dropping-particle":"","parse-names":false,"suffix":""},{"dropping-particle":"","family":"Ahmed","given":"Abubakari","non-dropping-particle":"","parse-names":false,"suffix":""}],"container-title":"Journal of Planning and Land Management","id":"ITEM-1","issued":{"date-parts":[["2023"]]},"page":"60-70","title":"Unpacking the processes and factors affecting household solid waste collection within a democratic decentralised governance system:Experiences from the Wa Municipality, Ghana","type":"article-journal"},"uris":["http://www.mendeley.com/documents/?uuid=2bc2c6c6-4c15-4efd-8ec1-d8a4ed4595e3"]}],"mendeley":{"formattedCitation":"(Kosoe et al., 2023)","manualFormatting":"Kosoe et al. (2023)","plainTextFormattedCitation":"(Kosoe et al., 2023)"},"properties":{"noteIndex":0},"schema":"https://github.com/citation-style-language/schema/raw/master/csl-citation.json"}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Kosoe et al. (2023)</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focused on the processes and factors affecting household solid waste collection in a rapidly growing municipality in the Upper West Region of Wa Municipality. Their findings showed that the main waste collection modes were house-to-house and communal container collection. The study further found that arrangements for financing the local government, partisan politics in the local government, and weaknesses in skills and logistics were factors affecting the ability of local governments to effectively collect and manage waste.</w:t>
        <w:t xml:space="preserve"> Ampofo (2020) assessed waste disposal management practices in selected Senior High Schools in the Wa Municipality. His findings revealed that there were no proper waste dump sites in most of the schools. Findings also showed that waste are been thrown away without separation in Senior High Schools within the Wa Municipality.  </w:t>
      </w:r>
    </w:p>
    <w:p>
      <w:pPr>
        <w:spacing w:line="480" w:lineRule="auto"/>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Despite these studies in the Wa Municipality and the existence of the Environmental Protection Agency, the Wa Municipal Assembly, and Zoomlion’s Ghana Limited, little is known about residents’ knowledge, attitudes, and practices regarding solid waste management in the Wa Municipality. </w:t>
      </w:r>
      <w:bookmarkEnd w:id="16"/>
      <w:r>
        <w:rPr>
          <w:rFonts w:hAnsi="Times New Roman" w:ascii="Times New Roman" w:cs="Times New Roman"/>
          <w:b w:val="0"/>
          <w:i w:val="0"/>
          <w:strike w:val="0"/>
          <w:dstrike w:val="0"/>
          <w:emboss w:val="0"/>
          <w:imprint w:val="0"/>
          <w:outline w:val="0"/>
          <w:shadow w:val="0"/>
          <w:sz w:val="24"/>
          <w:szCs w:val="24"/>
          <w:u w:val="none"/>
        </w:rPr>
        <w:t xml:space="preserve">This study assessed the knowledge, attitudes, and practices of residents regarding solid waste management in the Mangu Community of the Wa Municipality in the Upper West Region of Ghana.</w:t>
      </w:r>
    </w:p>
    <w:p>
      <w:pPr>
        <w:pStyle w:val="Heading2"/>
        <w:spacing w:line="480" w:lineRule="auto"/>
        <w:ind w:left="720"/>
        <w:sectPr w:rsidR="00455D00" w:rsidRPr="00136D7B" w:rsidSect="00301E83">
          <w:pgSz w:w="12240" w:h="15840"/>
          <w:pgMar w:top="1440" w:right="1440" w:bottom="1440" w:left="1440" w:header="720" w:footer="720"/>
          <w:cols w:space="720"/>
        </w:sectPr>
      </w:pPr>
    </w:p>
    <w:p>
      <w:pPr>
        <w:pStyle w:val="Heading2"/>
        <w:spacing w:line="480" w:lineRule="auto"/>
        <w:ind w:left="720"/>
      </w:pPr>
      <w:bookmarkStart w:id="17" w:name="_Toc147923030"/>
      <w:r>
        <w:rPr>
          <w:rFonts w:ascii="Times New Roman"/>
          <w:b/>
          <w:i w:val="0"/>
          <w:strike w:val="0"/>
          <w:dstrike w:val="0"/>
          <w:emboss w:val="0"/>
          <w:imprint w:val="0"/>
          <w:outline w:val="0"/>
          <w:shadow w:val="0"/>
          <w:sz w:val="24"/>
          <w:szCs w:val="24"/>
          <w:u w:val="none"/>
        </w:rPr>
        <w:lastRenderedPageBreak/>
        <w:t xml:space="preserve">1.3 Research Questions</w:t>
      </w:r>
      <w:bookmarkEnd w:id="17"/>
    </w:p>
    <w:p>
      <w:pPr>
        <w:tabs>
          <w:tab w:val="left" w:leader="none" w:pos="6449"/>
        </w:tabs>
        <w:spacing w:after="0" w:line="480" w:lineRule="auto"/>
        <w:ind w:left="720"/>
        <w:jc w:val="both"/>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Main Research Question</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How are residents’ knowledge linked to their attitudes and practices of solid waste management in the Mangu community in the Wa Municipality?  </w:t>
      </w:r>
    </w:p>
    <w:p>
      <w:pPr>
        <w:spacing w:line="480" w:lineRule="auto"/>
        <w:ind w:left="720"/>
        <w:jc w:val="both"/>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Sub-research Questions</w:t>
      </w:r>
    </w:p>
    <w:p>
      <w:pPr>
        <w:pStyle w:val="ListParagraph"/>
        <w:numPr>
          <w:ilvl w:val="0"/>
          <w:numId w:val="3"/>
        </w:numPr>
        <w:spacing w:line="480" w:lineRule="auto"/>
        <w:ind w:left="144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How has residents’ knowledge influenced solid waste management in the Mangu community in the Wa Municipality?</w:t>
      </w:r>
    </w:p>
    <w:p>
      <w:pPr>
        <w:numPr>
          <w:ilvl w:val="0"/>
          <w:numId w:val="3"/>
        </w:numPr>
        <w:spacing w:line="480" w:lineRule="auto"/>
        <w:ind w:left="1440"/>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How has the attitude of residents in the Mangu community of Wa Municipality influenced solid waste management?</w:t>
      </w:r>
    </w:p>
    <w:p>
      <w:pPr>
        <w:numPr>
          <w:ilvl w:val="0"/>
          <w:numId w:val="3"/>
        </w:numPr>
        <w:spacing w:line="480" w:lineRule="auto"/>
        <w:ind w:left="1440"/>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solid waste management practices are employed by residents of the Mangu community?</w:t>
      </w:r>
    </w:p>
    <w:p>
      <w:pPr>
        <w:pStyle w:val="Heading2"/>
        <w:spacing w:line="480" w:lineRule="auto"/>
        <w:ind w:left="720"/>
      </w:pPr>
      <w:bookmarkStart w:id="18" w:name="_Toc147923031"/>
      <w:r>
        <w:rPr>
          <w:rFonts w:ascii="Times New Roman"/>
          <w:b/>
          <w:i w:val="0"/>
          <w:strike w:val="0"/>
          <w:dstrike w:val="0"/>
          <w:emboss w:val="0"/>
          <w:imprint w:val="0"/>
          <w:outline w:val="0"/>
          <w:shadow w:val="0"/>
          <w:sz w:val="24"/>
          <w:szCs w:val="24"/>
          <w:u w:val="none"/>
        </w:rPr>
        <w:t xml:space="preserve">1.4 Research Objectives</w:t>
      </w:r>
      <w:bookmarkEnd w:id="18"/>
    </w:p>
    <w:p>
      <w:pPr>
        <w:spacing w:after="0" w:line="480" w:lineRule="auto"/>
        <w:ind w:left="720"/>
        <w:jc w:val="both"/>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Main Research Objective</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To examine how residents’ knowledge is linked to their attitude toward and practice of solid waste management </w:t>
      </w:r>
      <w:r>
        <w:rPr>
          <w:rFonts w:hAnsi="Times New Roman" w:ascii="Times New Roman" w:eastAsia="Times New Roman" w:cs="Times New Roman"/>
          <w:b w:val="0"/>
          <w:i w:val="0"/>
          <w:strike w:val="0"/>
          <w:dstrike w:val="0"/>
          <w:emboss w:val="0"/>
          <w:imprint w:val="0"/>
          <w:outline w:val="0"/>
          <w:shadow w:val="0"/>
          <w:sz w:val="24"/>
          <w:szCs w:val="24"/>
          <w:u w:val="none"/>
        </w:rPr>
        <w:t xml:space="preserve">in the Mangu community of Wa Municipality</w:t>
      </w:r>
      <w:r>
        <w:rPr>
          <w:rFonts w:hAnsi="Times New Roman" w:ascii="Times New Roman" w:eastAsia="Calibri" w:cs="Times New Roman"/>
          <w:b w:val="0"/>
          <w:i w:val="0"/>
          <w:strike w:val="0"/>
          <w:dstrike w:val="0"/>
          <w:emboss w:val="0"/>
          <w:imprint w:val="0"/>
          <w:outline w:val="0"/>
          <w:shadow w:val="0"/>
          <w:sz w:val="24"/>
          <w:szCs w:val="24"/>
          <w:u w:val="none"/>
        </w:rPr>
        <w:t xml:space="preserve">.</w:t>
      </w:r>
    </w:p>
    <w:p>
      <w:pPr>
        <w:spacing w:line="480" w:lineRule="auto"/>
        <w:ind w:left="720"/>
        <w:jc w:val="both"/>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Sub-research Questions</w:t>
      </w:r>
    </w:p>
    <w:p>
      <w:pPr>
        <w:pStyle w:val="ListParagraph"/>
        <w:numPr>
          <w:ilvl w:val="0"/>
          <w:numId w:val="2"/>
        </w:numPr>
        <w:spacing w:line="480" w:lineRule="auto"/>
        <w:ind w:left="144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 assess the level of residents’ knowledge of solid waste management in the Mangu community of Wa Municipality.</w:t>
      </w:r>
    </w:p>
    <w:p>
      <w:pPr>
        <w:numPr>
          <w:ilvl w:val="0"/>
          <w:numId w:val="2"/>
        </w:numPr>
        <w:spacing w:line="480" w:lineRule="auto"/>
        <w:ind w:left="144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 examine residents’ attitudes toward solid waste management in the Mangu community of Wa Municipality.</w:t>
      </w:r>
    </w:p>
    <w:p>
      <w:pPr>
        <w:numPr>
          <w:ilvl w:val="0"/>
          <w:numId w:val="2"/>
        </w:numPr>
        <w:spacing w:line="480" w:lineRule="auto"/>
        <w:ind w:left="144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To investigate the solid waste management practices employed by residents of Mangu community</w:t>
      </w:r>
    </w:p>
    <w:p>
      <w:pPr>
        <w:pStyle w:val="Heading2"/>
        <w:spacing w:line="480" w:lineRule="auto"/>
        <w:ind w:left="720"/>
      </w:pPr>
      <w:bookmarkStart w:id="19" w:name="_Toc147923032"/>
      <w:r>
        <w:rPr>
          <w:rFonts w:ascii="Times New Roman"/>
          <w:b/>
          <w:i w:val="0"/>
          <w:strike w:val="0"/>
          <w:dstrike w:val="0"/>
          <w:emboss w:val="0"/>
          <w:imprint w:val="0"/>
          <w:outline w:val="0"/>
          <w:shadow w:val="0"/>
          <w:sz w:val="24"/>
          <w:szCs w:val="24"/>
          <w:u w:val="none"/>
        </w:rPr>
        <w:t xml:space="preserve">1.5 Significance of the Study</w:t>
      </w:r>
      <w:bookmarkEnd w:id="19"/>
    </w:p>
    <w:p>
      <w:pPr>
        <w:spacing w:line="480" w:lineRule="auto"/>
        <w:ind w:left="720"/>
        <w:jc w:val="both"/>
        <w:rPr>
          <w:rFonts w:hAnsi="Times New Roman" w:ascii="Times New Roman" w:eastAsia="Times New Roman" w:cs="Times New Roman"/>
          <w:bCs/>
          <w:sz w:val="24"/>
          <w:szCs w:val="24"/>
        </w:rPr>
      </w:pPr>
      <w:r>
        <w:rPr>
          <w:rFonts w:hAnsi="Times New Roman" w:ascii="Times New Roman" w:eastAsia="Times New Roman" w:cs="Times New Roman"/>
          <w:b w:val="0"/>
          <w:bCs/>
          <w:i w:val="0"/>
          <w:strike w:val="0"/>
          <w:dstrike w:val="0"/>
          <w:emboss w:val="0"/>
          <w:imprint w:val="0"/>
          <w:outline w:val="0"/>
          <w:shadow w:val="0"/>
          <w:sz w:val="24"/>
          <w:szCs w:val="24"/>
          <w:u w:val="none"/>
        </w:rPr>
        <w:t xml:space="preserve">The issues of improved waste management and sustainable natural environments have become a major developmental challenge in Ghana, especially in major cities in recent times. This issue has attracted the attention of institutions and individuals, making efforts to find lasting solutions to the problem. This study aimed to explore the </w:t>
      </w:r>
      <w:r>
        <w:rPr>
          <w:rFonts w:hAnsi="Times New Roman" w:ascii="Times New Roman" w:eastAsia="Calibri" w:cs="Times New Roman"/>
          <w:b w:val="0"/>
          <w:i w:val="0"/>
          <w:strike w:val="0"/>
          <w:dstrike w:val="0"/>
          <w:emboss w:val="0"/>
          <w:imprint w:val="0"/>
          <w:outline w:val="0"/>
          <w:shadow w:val="0"/>
          <w:sz w:val="24"/>
          <w:szCs w:val="24"/>
          <w:u w:val="none"/>
        </w:rPr>
        <w:t xml:space="preserve">knowledge, attitudes, and practices of residents regarding solid waste management. This is intended to drive </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appropriate strategies and recommendations to ensure proper solid waste management in the Mangu community in the Wa Municipality to achieve a sustainable development goal (11), which seeks to ensure sustainable cities and communities.</w:t>
      </w:r>
    </w:p>
    <w:p>
      <w:pPr>
        <w:tabs>
          <w:tab w:val="left" w:leader="none" w:pos="7410"/>
        </w:tabs>
        <w:spacing w:line="480" w:lineRule="auto"/>
        <w:ind w:left="720"/>
        <w:jc w:val="both"/>
        <w:rPr>
          <w:rFonts w:hAnsi="Times New Roman" w:ascii="Times New Roman" w:eastAsia="Times New Roman" w:cs="Times New Roman"/>
          <w:bCs/>
          <w:sz w:val="24"/>
          <w:szCs w:val="24"/>
        </w:rPr>
      </w:pPr>
      <w:r>
        <w:rPr>
          <w:rFonts w:hAnsi="Times New Roman" w:ascii="Times New Roman" w:eastAsia="Times New Roman" w:cs="Times New Roman"/>
          <w:b w:val="0"/>
          <w:bCs/>
          <w:i w:val="0"/>
          <w:strike w:val="0"/>
          <w:dstrike w:val="0"/>
          <w:emboss w:val="0"/>
          <w:imprint w:val="0"/>
          <w:outline w:val="0"/>
          <w:shadow w:val="0"/>
          <w:sz w:val="24"/>
          <w:szCs w:val="24"/>
          <w:u w:val="none"/>
        </w:rPr>
        <w:t xml:space="preserve">Despite the immensity of the problem of waste management in the country, very little research on the knowledge and attitudes of residents toward solid waste management has been conducted in the municipality. This study serves as a reference point to Municipal Assembly and Waste Management Institutions as far as policy implementations on waste management are concerned in communities. In this case, it gives them an in-depth understanding of the problems of solid waste management and the best possible strategies to mitigate the situation. Additionally, the study contributes to existing bodies of knowledge on solid waste management in relation to the environment, sanitation, and health, and also stimulates further research on the subject in other municipalities. The findings are useful to local administrators such as the Municipal Assembly, Environmental Health Agency, and Zoomlion’s Ghana, as they are utilised to address key solid waste management loopholes in the area. This study also helps stakeholders in the </w:t>
        <w:t xml:space="preserve">implementation of interventions that would reduce the burden of solid waste management in communities.</w:t>
      </w:r>
    </w:p>
    <w:p>
      <w:pPr>
        <w:pStyle w:val="Heading2"/>
        <w:spacing w:line="480" w:lineRule="auto"/>
        <w:ind w:left="720"/>
        <w:rPr>
          <w:color w:val="FF0000"/>
          <w:rFonts w:eastAsia="Calibri"/>
          <w:strike/>
        </w:rPr>
      </w:pPr>
      <w:bookmarkStart w:id="20" w:name="_Toc147923033"/>
      <w:r>
        <w:rPr>
          <w:rFonts w:ascii="Times New Roman"/>
          <w:b/>
          <w:i w:val="0"/>
          <w:strike w:val="0"/>
          <w:dstrike w:val="0"/>
          <w:emboss w:val="0"/>
          <w:imprint w:val="0"/>
          <w:outline w:val="0"/>
          <w:shadow w:val="0"/>
          <w:sz w:val="24"/>
          <w:szCs w:val="24"/>
          <w:u w:val="none"/>
        </w:rPr>
        <w:t xml:space="preserve">1.6 The Scope of the Study</w:t>
      </w:r>
      <w:bookmarkEnd w:id="20"/>
    </w:p>
    <w:p>
      <w:pPr>
        <w:spacing w:line="480" w:lineRule="auto"/>
        <w:ind w:left="720"/>
        <w:jc w:val="both"/>
        <w:rPr>
          <w:color w:val="000000"/>
          <w:rFonts w:hAnsi="Times New Roman" w:ascii="Times New Roman" w:eastAsia="Calibri" w:cs="Times New Roman"/>
          <w:sz w:val="24"/>
          <w:szCs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Geographically, this study was conducted in the Mangu community of the Wa Municipality of the Upper West Region of Ghana. This study was conducted among male and female household heads to determine the differences in their knowledge, attitudes, and practices of solid waste management. The Mangu community was chosen because it was observed to have challenges with solid waste management in the municipality.</w:t>
      </w:r>
    </w:p>
    <w:p>
      <w:pPr>
        <w:spacing w:line="480" w:lineRule="auto"/>
        <w:ind w:left="720"/>
        <w:jc w:val="both"/>
        <w:rPr>
          <w:color w:val="000000"/>
          <w:rFonts w:hAnsi="Times New Roman" w:ascii="Times New Roman" w:eastAsia="Calibri" w:cs="Times New Roman"/>
          <w:sz w:val="24"/>
          <w:szCs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Conceptually, the study assessed the knowledge, attitudes, and practices of residents in Mangu regarding solid waste management. The investigation also covered residents’ </w:t>
      </w:r>
      <w:r>
        <w:rPr>
          <w:rFonts w:hAnsi="Times New Roman" w:ascii="Times New Roman" w:eastAsia="Times New Roman" w:cs="Times New Roman"/>
          <w:b w:val="0"/>
          <w:i w:val="0"/>
          <w:strike w:val="0"/>
          <w:dstrike w:val="0"/>
          <w:emboss w:val="0"/>
          <w:imprint w:val="0"/>
          <w:outline w:val="0"/>
          <w:shadow w:val="0"/>
          <w:sz w:val="24"/>
          <w:szCs w:val="24"/>
          <w:u w:val="none"/>
        </w:rPr>
        <w:t xml:space="preserve">willingness to pay for solid waste collection and final disposal services because proper knowledge, attitude, and practices of residents regarding solid waste are a key step towards ensuring sustainable and cleaner cities in Ghana.  </w:t>
      </w:r>
    </w:p>
    <w:p>
      <w:pPr>
        <w:pStyle w:val="Heading2"/>
        <w:spacing w:line="480" w:lineRule="auto"/>
        <w:ind w:left="720"/>
        <w:rPr>
          <w:rFonts w:eastAsia="Calibri"/>
        </w:rPr>
      </w:pPr>
      <w:bookmarkStart w:id="21" w:name="_Toc147923034"/>
      <w:r>
        <w:rPr>
          <w:rFonts w:ascii="Times New Roman" w:eastAsia="Calibri"/>
          <w:b/>
          <w:i w:val="0"/>
          <w:strike w:val="0"/>
          <w:dstrike w:val="0"/>
          <w:emboss w:val="0"/>
          <w:imprint w:val="0"/>
          <w:outline w:val="0"/>
          <w:shadow w:val="0"/>
          <w:sz w:val="24"/>
          <w:szCs w:val="24"/>
          <w:u w:val="none"/>
        </w:rPr>
        <w:t xml:space="preserve">1.7 Organization of the Study</w:t>
      </w:r>
      <w:bookmarkEnd w:id="21"/>
    </w:p>
    <w:p>
      <w:pPr>
        <w:spacing w:after="0"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This study is organized into five (5) chapters. Chapter one contains the background, problem statement, research questions and goals, </w:t>
      </w:r>
      <w:r>
        <w:rPr>
          <w:rFonts w:hAnsi="Times New Roman" w:ascii="Times New Roman" w:eastAsia="Times New Roman" w:cs="Times New Roman"/>
          <w:b w:val="0"/>
          <w:i w:val="0"/>
          <w:strike w:val="0"/>
          <w:dstrike w:val="0"/>
          <w:emboss w:val="0"/>
          <w:imprint w:val="0"/>
          <w:outline w:val="0"/>
          <w:shadow w:val="0"/>
          <w:sz w:val="24"/>
          <w:szCs w:val="24"/>
          <w:u w:val="none"/>
        </w:rPr>
        <w:t xml:space="preserve">and the significance </w:t>
      </w:r>
      <w:r>
        <w:rPr>
          <w:rFonts w:hAnsi="Times New Roman" w:ascii="Times New Roman" w:eastAsia="Calibri" w:cs="Times New Roman"/>
          <w:b w:val="0"/>
          <w:i w:val="0"/>
          <w:strike w:val="0"/>
          <w:dstrike w:val="0"/>
          <w:emboss w:val="0"/>
          <w:imprint w:val="0"/>
          <w:outline w:val="0"/>
          <w:shadow w:val="0"/>
          <w:sz w:val="24"/>
          <w:szCs w:val="24"/>
          <w:u w:val="none"/>
        </w:rPr>
        <w:t xml:space="preserve">and scope of the study. Chapter two contains a literature review of concepts, empirical and theoretical foundations, and conceptual frameworks that guided the study and ends with a chapter summary. Chapter three deal with the research methodology. In particular, it provides information on the study profile, research philosophy, approach design, sampling, methods of data collection and analysis, data validity, reliability, and ethical considerations. In Chapter Four, the outcomes of the results are presented, analysed, and discussed with previous studies, and used as a basis for the separation from the theory </w:t>
        <w:t xml:space="preserve">and/or conceptual framework of the study. The fifth chapter contains a summary of the results, conclusions, and recommendations of the study as well as the contribution to knowledge and/or study limitations.</w:t>
      </w:r>
    </w:p>
    <w:p>
      <w:pPr>
        <w:tabs>
          <w:tab w:val="left" w:leader="none" w:pos="6045"/>
        </w:tabs>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br w:type="page"/>
      </w:r>
    </w:p>
    <w:p>
      <w:pPr>
        <w:pStyle w:val="Heading1"/>
        <w:ind w:left="720"/>
      </w:pPr>
      <w:bookmarkStart w:id="22" w:name="_Toc147923035"/>
      <w:r>
        <w:rPr>
          <w:rFonts w:ascii="Times New Roman"/>
          <w:b/>
          <w:i w:val="0"/>
          <w:strike w:val="0"/>
          <w:dstrike w:val="0"/>
          <w:emboss w:val="0"/>
          <w:imprint w:val="0"/>
          <w:outline w:val="0"/>
          <w:shadow w:val="0"/>
          <w:sz w:val="24"/>
          <w:szCs w:val="24"/>
          <w:u w:val="none"/>
        </w:rPr>
        <w:lastRenderedPageBreak/>
        <w:t xml:space="preserve">CHAPTER TWO</w:t>
      </w:r>
      <w:bookmarkEnd w:id="22"/>
    </w:p>
    <w:p>
      <w:pPr>
        <w:pStyle w:val="Heading1"/>
        <w:spacing w:line="480" w:lineRule="auto"/>
        <w:ind w:left="720"/>
        <w:rPr>
          <w:rFonts w:eastAsia="Calibri"/>
        </w:rPr>
      </w:pPr>
      <w:bookmarkStart w:id="23" w:name="_Toc147923036"/>
      <w:r>
        <w:rPr>
          <w:rFonts w:ascii="Times New Roman" w:eastAsia="Calibri"/>
          <w:b/>
          <w:i w:val="0"/>
          <w:strike w:val="0"/>
          <w:dstrike w:val="0"/>
          <w:emboss w:val="0"/>
          <w:imprint w:val="0"/>
          <w:outline w:val="0"/>
          <w:shadow w:val="0"/>
          <w:sz w:val="24"/>
          <w:szCs w:val="24"/>
          <w:u w:val="none"/>
        </w:rPr>
        <w:t xml:space="preserve">SOLID WASTE MANAGEMENT: KNOWLEDGE, ATTITUDE AND PRACTICE</w:t>
      </w:r>
      <w:bookmarkEnd w:id="23"/>
    </w:p>
    <w:p>
      <w:pPr>
        <w:pStyle w:val="Heading2"/>
        <w:spacing w:line="480" w:lineRule="auto"/>
        <w:ind w:left="720"/>
      </w:pPr>
      <w:bookmarkStart w:id="24" w:name="_Toc147923037"/>
      <w:r>
        <w:rPr>
          <w:rFonts w:ascii="Times New Roman"/>
          <w:b/>
          <w:i w:val="0"/>
          <w:strike w:val="0"/>
          <w:dstrike w:val="0"/>
          <w:emboss w:val="0"/>
          <w:imprint w:val="0"/>
          <w:outline w:val="0"/>
          <w:shadow w:val="0"/>
          <w:sz w:val="24"/>
          <w:szCs w:val="24"/>
          <w:u w:val="none"/>
        </w:rPr>
        <w:t xml:space="preserve">2.1 Introduction</w:t>
      </w:r>
      <w:bookmarkEnd w:id="24"/>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This chapter reviews the definition, types, and sources of solid waste, global trends in solid waste generation, solid waste management, g</w:t>
      </w:r>
      <w:r>
        <w:rPr>
          <w:rFonts w:hAnsi="Times New Roman" w:ascii="Times New Roman" w:cs="Times New Roman"/>
          <w:b w:val="0"/>
          <w:i w:val="0"/>
          <w:strike w:val="0"/>
          <w:dstrike w:val="0"/>
          <w:emboss w:val="0"/>
          <w:imprint w:val="0"/>
          <w:outline w:val="0"/>
          <w:shadow w:val="0"/>
          <w:sz w:val="24"/>
          <w:szCs w:val="24"/>
          <w:u w:val="none"/>
        </w:rPr>
        <w:t xml:space="preserve">lobal solid waste management practices, s</w:t>
      </w:r>
      <w:r>
        <w:rPr>
          <w:rFonts w:hAnsi="Times New Roman" w:ascii="Times New Roman" w:eastAsia="Times New Roman" w:cs="Times New Roman"/>
          <w:b w:val="0"/>
          <w:i w:val="0"/>
          <w:strike w:val="0"/>
          <w:dstrike w:val="0"/>
          <w:emboss w:val="0"/>
          <w:imprint w:val="0"/>
          <w:outline w:val="0"/>
          <w:shadow w:val="0"/>
          <w:sz w:val="24"/>
          <w:szCs w:val="24"/>
          <w:u w:val="none"/>
        </w:rPr>
        <w:t xml:space="preserve">olid waste management in Africa, solid waste management in Ghana, solid waste management challenges in Ghana, e</w:t>
      </w:r>
      <w:r>
        <w:rPr>
          <w:rFonts w:hAnsi="Times New Roman" w:ascii="Times New Roman" w:cs="Times New Roman"/>
          <w:b w:val="0"/>
          <w:i w:val="0"/>
          <w:strike w:val="0"/>
          <w:dstrike w:val="0"/>
          <w:emboss w:val="0"/>
          <w:imprint w:val="0"/>
          <w:outline w:val="0"/>
          <w:shadow w:val="0"/>
          <w:sz w:val="24"/>
          <w:szCs w:val="24"/>
          <w:u w:val="none"/>
        </w:rPr>
        <w:t xml:space="preserve">nvironmental and health risks of waste management, factors influencing household SWM, and k</w:t>
      </w:r>
      <w:r>
        <w:rPr>
          <w:rFonts w:hAnsi="Times New Roman" w:ascii="Times New Roman" w:eastAsia="Times New Roman" w:cs="Times New Roman"/>
          <w:b w:val="0"/>
          <w:i w:val="0"/>
          <w:strike w:val="0"/>
          <w:dstrike w:val="0"/>
          <w:emboss w:val="0"/>
          <w:imprint w:val="0"/>
          <w:outline w:val="0"/>
          <w:shadow w:val="0"/>
          <w:sz w:val="24"/>
          <w:szCs w:val="24"/>
          <w:u w:val="none"/>
        </w:rPr>
        <w:t xml:space="preserve">nowledge, attitude, and practice towards solid waste management. The research utilised the Theory of Planned Behaviour (TPB) and the KAP Model which underpins the study and conceptual framework, and concludes with a chapter summary.</w:t>
      </w:r>
    </w:p>
    <w:p>
      <w:pPr>
        <w:pStyle w:val="Heading2"/>
        <w:spacing w:line="480" w:lineRule="auto"/>
        <w:ind w:left="720"/>
      </w:pPr>
      <w:bookmarkStart w:id="25" w:name="_Toc147923038"/>
      <w:r>
        <w:rPr>
          <w:rFonts w:ascii="Times New Roman"/>
          <w:b/>
          <w:i w:val="0"/>
          <w:strike w:val="0"/>
          <w:dstrike w:val="0"/>
          <w:emboss w:val="0"/>
          <w:imprint w:val="0"/>
          <w:outline w:val="0"/>
          <w:shadow w:val="0"/>
          <w:sz w:val="24"/>
          <w:szCs w:val="24"/>
          <w:u w:val="none"/>
        </w:rPr>
        <w:t xml:space="preserve">2.2 Definition, Types and Sources of Solid Waste</w:t>
      </w:r>
      <w:bookmarkEnd w:id="25"/>
    </w:p>
    <w:p>
      <w:pPr>
        <w:spacing w:line="480" w:lineRule="auto"/>
        <w:ind w:left="720"/>
        <w:contextualSpacing w:val="1"/>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Waste is an unavoidable byproduct of most human activities and is an unwanted material, whether solid, liquid, gaseous, or radioactive, deposited on the environment in such a volume and composition likely to alter the environment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{"citationItems":[{"id":"ITEM-1","itemData":{"ISBN":"9788490225370","abstract":"This study departs from the reality of gender relations within the family institution which has to be dikhotomis, causing the pole inequality relations between men and women. Therefore, in this study wanted to dismantle the detail view of some theories, both social and feminist about gender relations in the family. Each of these theories (structural functional, conflict and feminist) has their own viewpoint about the pattern of gender relations in the family. However, simultaneously acknowledging that the social construction of culture remained significant influence on the division of roles are played by men (husbands) and women (wife) in the family institution. This means that the social construction of culture was instrumental in the creation of relations contribute between men and women equally or otherwise occurred inequality.","author":[{"dropping-particle":"","family":"Muiruri","given":"Joseph Mbiro","non-dropping-particle":"","parse-names":false,"suffix":""}],"container-title":"Braz Dent J.","id":"ITEM-1","issue":"1","issued":{"date-parts":[["2022"]]},"number-of-pages":"1-12","publisher":"University of Nairobi","title":"ASSESSMENT OF RESIDENTS’ KNOWLEDGE, ATTITUDE AND PRACTICES ON SOLID WASTE MANAGEMENT IN EASTLEIGH SOUTH WARD, NAIROBI, KENYA","type":"thesis","volume":"33"},"uris":["http://www.mendeley.com/documents/?uuid=94c8539a-5423-4f60-844a-da9488199fac"]}],"mendeley":{"formattedCitation":"(Muiruri, 2022)","plainTextFormattedCitation":"(Muiruri, 2022)","previouslyFormattedCitation":"(Muiruri, 2022)"},"properties":{"noteIndex":0},"schema":"https://github.com/citation-style-language/schema/raw/master/csl-citation.json"}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(Muiruri, 2022)</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For this study which focuses on solid waste management, solid waste refers to refuse, garbage, and sludge from commercial, residential, and industrial activities (Nyaguthii 2019). It is any material that comes from domestic, commercial, and industrial sources arising from human activities regarded as valueless to the people who possess it and is discarded as unusable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{"citationItems":[{"id":"ITEM-1","itemData":{"DOI":"10.1017/CBO9781107415324.004","ISBN":"9788578110796","ISSN":"1098-6596","PMID":"25246403","abstract":"The study aimed ensuring a clean environment in the Tamale Metropolis. It analysed the underlying factors affecting effective solid waste management in the metropolis and suggested possible measures to tackle the problem. The research gathered data from two main sources namely: secondary and primary sources. The three main techniques employed in gathering the primary data were: preliminary field investigation, questionnaire survey and face-to-face interview. The following key findings were established to be the factors affecting effective solid waste management in the Metropolis. These are: • Inadequate skip supply for storing waste. • Lack of routine collection of waste. • Poor methods of waste management. • Inadequate resources for waste management institutions to effectively collect the waste generated. In the light of these problems enumerated above, the research recommended the adequate supply of skips, regular collection of waste, use of Integrated Solid Waste Management (ISWM)","author":[{"dropping-particle":"","family":"Puopiel","given":"F.","non-dropping-particle":"","parse-names":false,"suffix":""}],"id":"ITEM-1","issued":{"date-parts":[["2010"]]},"number-of-pages":"93","title":"Solid Waste Management in Ghana: the Case of Tamale Metropolitan Area","type":"thesis"},"uris":["http://www.mendeley.com/documents/?uuid=86fa8a69-9699-4884-9e96-f5783d7b2fd6"]}],"mendeley":{"formattedCitation":"(Puopiel, 2010)","plainTextFormattedCitation":"(Puopiel, 2010)","previouslyFormattedCitation":"(Puopiel, 2010)"},"properties":{"noteIndex":0},"schema":"https://github.com/citation-style-language/schema/raw/master/csl-citation.json"}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(Puopiel, 2010)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Solid waste is a type of waste that is not liquid, such as plastic bags, broken bags, leftovers, and food scraps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{"citationItems":[{"id":"ITEM-1","itemData":{"DOI":"10.1177/11786302221117007","author":[{"dropping-particle":"","family":"Teferi","given":"Samuel Chane","non-dropping-particle":"","parse-names":false,"suffix":""}],"id":"ITEM-1","issued":{"date-parts":[["2022"]]},"title":"The Status of Household Solid Waste Management and its Associated Factors in Fiche Town , North Shewa","type":"article-journal"},"uris":["http://www.mendeley.com/documents/?uuid=91dbeae5-cd6c-4c51-b9f1-bc9c64ce8e02"]}],"mendeley":{"formattedCitation":"(Teferi, 2022)","plainTextFormattedCitation":"(Teferi, 2022)","previouslyFormattedCitation":"(Teferi, 2022)"},"properties":{"noteIndex":0},"schema":"https://github.com/citation-style-language/schema/raw/master/csl-citation.json"}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(Teferi, 2022)</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b w:val="0"/>
          <w:i w:val="0"/>
          <w:strike w:val="0"/>
          <w:dstrike w:val="0"/>
          <w:emboss w:val="0"/>
          <w:imprint w:val="0"/>
          <w:outline w:val="0"/>
          <w:shadow w:val="0"/>
          <w:sz w:val="24"/>
          <w:szCs w:val="24"/>
          <w:u w:val="none"/>
        </w:rPr>
        <w:t xml:space="preserve">Augustino et al. (2015) viewed solid waste as organic and inorganic waste materials resulting from human and animal activities and is no longer needed, but needs to be discarded due to its value loss to the possessor. </w:t>
      </w:r>
      <w:r>
        <w:rPr>
          <w:rFonts w:hAnsi="Times New Roman" w:ascii="Times New Roman" w:cs="Times New Roman"/>
          <w:b w:val="0"/>
          <w:i w:val="0"/>
          <w:strike w:val="0"/>
          <w:dstrike w:val="0"/>
          <w:emboss w:val="0"/>
          <w:imprint w:val="0"/>
          <w:outline w:val="0"/>
          <w:shadow w:val="0"/>
          <w:sz w:val="24"/>
          <w:szCs w:val="24"/>
          <w:u w:val="none"/>
        </w:rPr>
        <w:t xml:space="preserve">Similarly, solid waste is unwanted material or waste that is primarily generated from households and municipal services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-1","issue":"2","issued":{"date-parts":[["2018"]]},"page":"123-131","title":"Knowledge , attitude and practice of municipal solid waste management among highland residents in","type":"article-journal","volume":"32"},"uris":["http://www.mendeley.com/documents/?uuid=04e8b346-feaf-4fc3-8334-624a7ca0d29c"]}],"mendeley":{"formattedCitation":"(Laor et al., 2018)","plainTextFormattedCitation":"(Laor et al., 2018)","previouslyFormattedCitation":"(Laor et al., 2018)"},"properties":{"noteIndex":0},"schema":"https://github.com/citation-style-language/schema/raw/master/csl-citation.json"}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(Laor et al., 2018)</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This study refers to solid waste as any item regarded as valueless, unusable, and disposed of. These solid wastes are categorised based on their various sources. The subsequent section presents the types and sources of solid waste.</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With rising population growth, rapid urbanisation, and industrialisation, there has been a significant rise in the amount of solid waste generated worldwide. </w:t>
      </w:r>
      <w:r>
        <w:rPr>
          <w:rFonts w:hAnsi="Times New Roman" w:ascii="Times New Roman" w:cs="Times New Roman"/>
          <w:b w:val="0"/>
          <w:i w:val="0"/>
          <w:strike w:val="0"/>
          <w:dstrike w:val="0"/>
          <w:emboss w:val="0"/>
          <w:imprint w:val="0"/>
          <w:outline w:val="0"/>
          <w:shadow w:val="0"/>
          <w:sz w:val="24"/>
          <w:szCs w:val="24"/>
          <w:u w:val="none"/>
        </w:rPr>
        <w:t xml:space="preserve">The solid waste generated is broadly classified as biodegradable and non-biodegradable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10.1016/j.scitotenv.2020.138049","ISSN":"0048-9697","author":[{"dropping-particle":"","family":"Velvizhi","given":"G","non-dropping-particle":"","parse-names":false,"suffix":""},{"dropping-particle":"","family":"Shanthakumar","given":"S","non-dropping-particle":"","parse-names":false,"suffix":""},{"dropping-particle":"","family":"Das","given":"Bhaskar","non-dropping-particle":"","parse-names":false,"suffix":""},{"dropping-particle":"","family":"Pugazhendhi","given":"A","non-dropping-particle":"","parse-names":false,"suffix":""},{"dropping-particle":"","family":"Priya","given":"T Shanmuga","non-dropping-particle":"","parse-names":false,"suffix":""},{"dropping-particle":"","family":"Ashok","given":"B","non-dropping-particle":"","parse-names":false,"suffix":""},{"dropping-particle":"","family":"Nanthagopal","given":"K","non-dropping-particle":"","parse-names":false,"suffix":""},{"dropping-particle":"","family":"Vignesh","given":"R","non-dropping-particle":"","parse-names":false,"suffix":""},{"dropping-particle":"","family":"Karthick","given":"C","non-dropping-particle":"","parse-names":false,"suffix":""}],"container-title":"Science of the Total Environment","id":"ITEM-1","issued":{"date-parts":[["2020"]]},"page":"138049","publisher":"Elsevier B.V.","title":"Biodegradable and non-biodegradable fraction of municipal solid waste for multifaceted applications through a closed loop integrated re fi nery platform : Paving a path towards circular economy","type":"article-journal","volume":"731"},"uris":["http://www.mendeley.com/documents/?uuid=34fdc56a-5064-4088-9bca-acab95cfcebc"]},{"id":"ITEM-2","itemData":{"author":[{"dropping-particle":"","family":"Parkar","given":"Saima","non-dropping-particle":"","parse-names":false,"suffix":""},{"dropping-particle":"","family":"Mulukh","given":"Rutuja","non-dropping-particle":"","parse-names":false,"suffix":""},{"dropping-particle":"","family":"Narhari","given":"Gautami","non-dropping-particle":"","parse-names":false,"suffix":""},{"dropping-particle":"","family":"Kulkami","given":"Sunil","non-dropping-particle":"","parse-names":false,"suffix":""}],"id":"ITEM-2","issued":{"date-parts":[["2021"]]},"title":"An insight into treatment , reuse , recycle and disposal of biodegradable and non-biodegradable solid waste","type":"article-journal"},"uris":["http://www.mendeley.com/documents/?uuid=efed25fe-1094-4b8b-9235-c263ddfd45aa"]}],"mendeley":{"formattedCitation":"(Parkar et al., 2021; Velvizhi et al., 2020)","plainTextFormattedCitation":"(Parkar et al., 2021; Velvizhi et al., 2020)","previouslyFormattedCitation":"(Parkar et al., 2021; Velvizhi et al., 2020)"},"properties":{"noteIndex":0},"schema":"https://github.com/citation-style-language/schema/raw/master/csl-citation.json"}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(Parkar et al., 2021; Velvizhi et al., 2020)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Biodegradable solid waste refers to any organic waste which can be decomposed by the action of microorganisms, such as kitchen waste, garden waste, sanitary waste, and vegetable waste. On the other hand, non-biodegradable solid waste does not decompose by the action of microorganisms such as plastic, rubber, and metal waste containers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Parkar","given":"Saima","non-dropping-particle":"","parse-names":false,"suffix":""},{"dropping-particle":"","family":"Mulukh","given":"Rutuja","non-dropping-particle":"","parse-names":false,"suffix":""},{"dropping-particle":"","family":"Narhari","given":"Gautami","non-dropping-particle":"","parse-names":false,"suffix":""},{"dropping-particle":"","family":"Kulkami","given":"Sunil","non-dropping-particle":"","parse-names":false,"suffix":""}],"id":"ITEM-1","issued":{"date-parts":[["2021"]]},"title":"An insight into treatment , reuse , recycle and disposal of biodegradable and non-biodegradable solid waste","type":"article-journal"},"uris":["http://www.mendeley.com/documents/?uuid=efed25fe-1094-4b8b-9235-c263ddfd45aa"]}],"mendeley":{"formattedCitation":"(Parkar et al., 2021)","plainTextFormattedCitation":"(Parkar et al., 2021)","previouslyFormattedCitation":"(Parkar et al., 2021)"},"properties":{"noteIndex":0},"schema":"https://github.com/citation-style-language/schema/raw/master/csl-citation.json"}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(Parkar et al., 2021)</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According to Puopiel (2010), solid waste is considered combustible and noncombustible. Combustible materials include paper, plastics, yard debris, food waste, wood, textiles, disposable diapers, and other organics, whereas non-combustibles include glass, metal, bones, leather, and aluminum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{"citationItems":[{"id":"ITEM-1","itemData":{"DOI":"10.1017/CBO9781107415324.004","ISBN":"9788578110796","ISSN":"1098-6596","PMID":"25246403","abstract":"The study aimed ensuring a clean environment in the Tamale Metropolis. It analysed the underlying factors affecting effective solid waste management in the metropolis and suggested possible measures to tackle the problem. The research gathered data from two main sources namely: secondary and primary sources. The three main techniques employed in gathering the primary data were: preliminary field investigation, questionnaire survey and face-to-face interview. The following key findings were established to be the factors affecting effective solid waste management in the Metropolis. These are: • Inadequate skip supply for storing waste. • Lack of routine collection of waste. • Poor methods of waste management. • Inadequate resources for waste management institutions to effectively collect the waste generated. In the light of these problems enumerated above, the research recommended the adequate supply of skips, regular collection of waste, use of Integrated Solid Waste Management (ISWM)","author":[{"dropping-particle":"","family":"Puopiel","given":"F.","non-dropping-particle":"","parse-names":false,"suffix":""}],"id":"ITEM-1","issued":{"date-parts":[["2010"]]},"number-of-pages":"93","title":"Solid Waste Management in Ghana: the Case of Tamale Metropolitan Area","type":"thesis"},"uris":["http://www.mendeley.com/documents/?uuid=86fa8a69-9699-4884-9e96-f5783d7b2fd6"]}],"mendeley":{"formattedCitation":"(Puopiel, 2010)","plainTextFormattedCitation":"(Puopiel, 2010)","previouslyFormattedCitation":"(Puopiel, 2010)"},"properties":{"noteIndex":0},"schema":"https://github.com/citation-style-language/schema/raw/master/csl-citation.json"}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(Puopiel, 2010)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b w:val="0"/>
          <w:i w:val="0"/>
          <w:strike w:val="0"/>
          <w:dstrike w:val="0"/>
          <w:emboss w:val="0"/>
          <w:imprint w:val="0"/>
          <w:outline w:val="0"/>
          <w:shadow w:val="0"/>
          <w:sz w:val="24"/>
          <w:szCs w:val="24"/>
          <w:u w:val="none"/>
        </w:rPr>
        <w:t xml:space="preserve">These types of solid wastes are generated depending on the source.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{"citationItems":[{"id":"ITEM-1","itemData":{"DOI":"10.1177/11786302221117007","author":[{"dropping-particle":"","family":"Teferi","given":"Samuel Chane","non-dropping-particle":"","parse-names":false,"suffix":""}],"id":"ITEM-1","issued":{"date-parts":[["2022"]]},"title":"The Status of Household Solid Waste Management and its Associated Factors in Fiche Town , North Shewa","type":"article-journal"},"uris":["http://www.mendeley.com/documents/?uuid=91dbeae5-cd6c-4c51-b9f1-bc9c64ce8e02"]}],"mendeley":{"formattedCitation":"(Teferi, 2022)","manualFormatting":"Teferi(2022)","plainTextFormattedCitation":"(Teferi, 2022)","previouslyFormattedCitation":"(Teferi, 2022)"},"properties":{"noteIndex":0},"schema":"https://github.com/citation-style-language/schema/raw/master/csl-citation.json"}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Teferi(2022)</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stated that solid waste is generated from households, commercial shops, hotels, garages, agriculture, and facilities, such as schools, health facilities, prisons, streets, bus stops, and parks.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{"citationItems":[{"id":"ITEM-1","itemData":{"DOI":"10.1007/s11356-017-1009-8","ISSN":"16147499","PMID":"29282661","abstract":"In Hong Kong, problems involving solid waste management have become an urgent matter in recent years. To solve these problems, the Hong Kong government proposed three policies, namely, waste charging, landfill extension, and development of new incinerators. In this study, a large sample questionnaire survey was conducted to examine the knowledge and attitude of residents on the three policies, the amount of their daily waste disposal, and their willingness to pay (WTP). Results reveal that only 22.7% of respondents are aware of the earliest time that one of the landfills will be sated, and more than half of respondents support the three policies. However, more than one third of residents (36.1%) are unwilling to pay the minimum waste charge amount of HK$30 estimated by the Council for Sustainable Development in Hong Kong. Logit model results indicate that five key factors affect WTP, namely, knowledge of residents on the timing of landfill fullness, degree of support in waste charge policy, amount of daily waste disposal, age, and income. These results suggest that strong and rigorous promotional and educational programs are needed to improve the knowledge and positive attitude of residents towards recycling methods and the three policies. However, subsidy should be provided to low-income groups who cannot afford to pay the waste charge.","author":[{"dropping-particle":"","family":"Yeung","given":"Iris M.H.","non-dropping-particle":"","parse-names":false,"suffix":""},{"dropping-particle":"","family":"Chung","given":"William","non-dropping-particle":"","parse-names":false,"suffix":""}],"container-title":"Environmental Science and Pollution Research","id":"ITEM-1","issue":"8","issued":{"date-parts":[["2017"]]},"page":"7504-7517","publisher":"Environmental Science and Pollution Research","title":"Factors that affect the willingness of residents to pay for solid waste management in Hong Kong","type":"article-journal","volume":"25"},"uris":["http://www.mendeley.com/documents/?uuid=ac67e374-a806-4e12-b6ce-5afbadb8742a"]}],"mendeley":{"formattedCitation":"(Yeung &amp; Chung, 2017)","manualFormatting":"Yeung and Chung, (2017)","plainTextFormattedCitation":"(Yeung &amp; Chung, 2017)","previouslyFormattedCitation":"(Yeung &amp; Chung, 2017)"},"properties":{"noteIndex":0},"schema":"https://github.com/citation-style-language/schema/raw/master/csl-citation.json"}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Yeung and Chung (2017)</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categorised solid waste into waste types (food, plastic, paper, glass, metals, and e-waste) and waste sources (construction and municipal wastes, including domestic, commercial, and industrial wastes). Solid waste can also be classified as hazardous and non-hazardous, depending on the inherent dangers associated with its physical and chemical properties. </w:t>
      </w:r>
      <w:r>
        <w:rPr>
          <w:rFonts w:hAnsi="Times New Roman" w:ascii="Times New Roman" w:eastAsia="Times New Roman" w:cs="Times New Roman"/>
          <w:b w:val="0"/>
          <w:i w:val="0"/>
          <w:strike w:val="0"/>
          <w:dstrike w:val="0"/>
          <w:emboss w:val="0"/>
          <w:imprint w:val="0"/>
          <w:outline w:val="0"/>
          <w:shadow w:val="0"/>
          <w:sz w:val="24"/>
          <w:szCs w:val="24"/>
          <w:u w:val="none"/>
        </w:rPr>
        <w:t xml:space="preserve">Based on the literature, solid waste can be better classified by type, in relation to the sources of generation (see Table 1).</w:t>
      </w:r>
    </w:p>
    <w:p>
      <w:pPr>
        <w:pStyle w:val="Caption"/>
        <w:ind w:left="720"/>
        <w:rPr>
          <w:color w:val="auto"/>
          <w:rFonts w:hAnsi="Times New Roman" w:ascii="Times New Roman" w:cs="Times New Roman"/>
          <w:b/>
          <w:i w:val="0"/>
          <w:iCs w:val="0"/>
          <w:sz w:val="24"/>
        </w:rPr>
      </w:pPr>
      <w:bookmarkStart w:id="26" w:name="_Toc142340954"/>
      <w:bookmarkStart w:id="27" w:name="_Toc147923102"/>
      <w:r>
        <w:rPr>
          <w:color w:val="auto"/>
          <w:rFonts w:hAnsi="Times New Roman" w:ascii="Times New Roman" w:cs="Times New Roman"/>
          <w:b/>
          <w:i w:val="0"/>
          <w:iCs w:val="0"/>
          <w:strike w:val="0"/>
          <w:dstrike w:val="0"/>
          <w:emboss w:val="0"/>
          <w:imprint w:val="0"/>
          <w:outline w:val="0"/>
          <w:shadow w:val="0"/>
          <w:sz w:val="24"/>
          <w:szCs w:val="24"/>
          <w:u w:val="none"/>
        </w:rPr>
        <w:t xml:space="preserve">Table</w:t>
      </w:r>
      <w:r>
        <w:rPr>
          <w:color w:val="auto"/>
          <w:rFonts w:hAnsi="Times New Roman" w:ascii="Times New Roman" w:cs="Times New Roman"/>
          <w:b/>
          <w:i w:val="0"/>
          <w:iCs w:val="0"/>
          <w:sz w:val="24"/>
        </w:rPr>
        <w:fldChar w:fldCharType="begin"/>
      </w:r>
      <w:r>
        <w:rPr>
          <w:color w:val="auto"/>
          <w:rFonts w:hAnsi="Times New Roman" w:ascii="Times New Roman" w:cs="Times New Roman"/>
          <w:b/>
          <w:i w:val="0"/>
          <w:iCs w:val="0"/>
          <w:sz w:val="24"/>
        </w:rPr>
        <w:instrText xml:space="preserve"> SEQ Table \* ARABIC </w:instrText>
      </w:r>
      <w:r>
        <w:rPr>
          <w:color w:val="auto"/>
          <w:rFonts w:hAnsi="Times New Roman" w:ascii="Times New Roman" w:cs="Times New Roman"/>
          <w:b/>
          <w:i w:val="0"/>
          <w:iCs w:val="0"/>
          <w:sz w:val="24"/>
        </w:rPr>
        <w:fldChar w:fldCharType="separate"/>
      </w:r>
      <w:r>
        <w:rPr>
          <w:color w:val="auto"/>
          <w:rFonts w:hAnsi="Times New Roman" w:ascii="Times New Roman" w:cs="Times New Roman"/>
          <w:b/>
          <w:i w:val="0"/>
          <w:iCs w:val="0"/>
          <w:strike w:val="0"/>
          <w:dstrike w:val="0"/>
          <w:emboss w:val="0"/>
          <w:imprint w:val="0"/>
          <w:outline w:val="0"/>
          <w:shadow w:val="0"/>
          <w:sz w:val="24"/>
          <w:szCs w:val="24"/>
          <w:u w:val="none"/>
        </w:rPr>
        <w:t xml:space="preserve">1</w:t>
      </w:r>
      <w:r>
        <w:rPr>
          <w:color w:val="auto"/>
          <w:rFonts w:hAnsi="Times New Roman" w:ascii="Times New Roman" w:cs="Times New Roman"/>
          <w:b/>
          <w:i w:val="0"/>
          <w:iCs w:val="0"/>
          <w:sz w:val="24"/>
        </w:rPr>
        <w:fldChar w:fldCharType="end"/>
      </w:r>
      <w:r>
        <w:rPr>
          <w:color w:val="auto"/>
          <w:rFonts w:hAnsi="Times New Roman" w:ascii="Times New Roman" w:cs="Times New Roman"/>
          <w:b/>
          <w:i w:val="0"/>
          <w:iCs w:val="0"/>
          <w:strike w:val="0"/>
          <w:dstrike w:val="0"/>
          <w:emboss w:val="0"/>
          <w:imprint w:val="0"/>
          <w:outline w:val="0"/>
          <w:shadow w:val="0"/>
          <w:sz w:val="24"/>
          <w:szCs w:val="24"/>
          <w:u w:val="none"/>
        </w:rPr>
        <w:t xml:space="preserve">: Typical solid waste, generator and the associated sources</w:t>
      </w:r>
      <w:bookmarkEnd w:id="26"/>
    </w:p>
    <w:tbl>
      <w:tblPr>
        <w:tblStyle w:val="TableGrid"/>
        <w:tblW w:w="9445" w:type="dxa"/>
        <w:tblInd w:w="720" w:type="dxa"/>
        <w:tblLook w:val="04A0"/>
      </w:tblPr>
      <w:tblGrid>
        <w:gridCol w:w="2065"/>
        <w:gridCol w:w="3780"/>
        <w:gridCol w:w="3600"/>
      </w:tblGrid>
      <w:tr>
        <w:trPr>
          <w:trHeight w:val="431"/>
        </w:trPr>
        <w:tc>
          <w:tcPr>
            <w:tcW w:w="2065" w:type="dxa"/>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SOURCE</w:t>
            </w:r>
          </w:p>
        </w:tc>
        <w:tc>
          <w:tcPr>
            <w:tcW w:w="3780" w:type="dxa"/>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TYPICAL WASTE GENERATORS</w:t>
            </w:r>
          </w:p>
        </w:tc>
        <w:tc>
          <w:tcPr>
            <w:tcW w:w="3600" w:type="dxa"/>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TYPES OF SOLID WASTE</w:t>
            </w:r>
          </w:p>
        </w:tc>
      </w:tr>
      <w:tr>
        <w:trPr>
          <w:trHeight w:val="800"/>
        </w:trPr>
        <w:tc>
          <w:tcPr>
            <w:tcW w:w="2065" w:type="dxa"/>
          </w:tcPr>
          <w:p>
            <w:pPr>
              <w:rPr>
                <w:rFonts w:hAnsi="Times New Roman" w:ascii="Times New Roman" w:eastAsia="Times New Roman" w:cs="Times New Roman"/>
                <w:sz w:val="24"/>
                <w:szCs w:val="24"/>
              </w:rPr>
            </w:pPr>
          </w:p>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Residential</w:t>
            </w:r>
          </w:p>
        </w:tc>
        <w:tc>
          <w:tcPr>
            <w:tcW w:w="3780" w:type="dxa"/>
          </w:tcPr>
          <w:p>
            <w:pPr>
              <w:rPr>
                <w:rFonts w:hAnsi="Times New Roman" w:ascii="Times New Roman" w:eastAsia="Times New Roman" w:cs="Times New Roman"/>
                <w:sz w:val="24"/>
                <w:szCs w:val="24"/>
              </w:rPr>
            </w:pPr>
          </w:p>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Single and multifamily dwellings</w:t>
            </w:r>
          </w:p>
        </w:tc>
        <w:tc>
          <w:tcPr>
            <w:tcW w:w="360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Food wastes, rubbish, ashes, paper, cardboard, plastics, textiles, wood, metals, glass etc.</w:t>
            </w:r>
          </w:p>
        </w:tc>
      </w:tr>
      <w:tr>
        <w:trPr>
          <w:trHeight w:val="890"/>
        </w:trPr>
        <w:tc>
          <w:tcPr>
            <w:tcW w:w="2065" w:type="dxa"/>
          </w:tcPr>
          <w:p>
            <w:pPr>
              <w:rPr>
                <w:rFonts w:hAnsi="Times New Roman" w:ascii="Times New Roman" w:eastAsia="Times New Roman" w:cs="Times New Roman"/>
                <w:sz w:val="24"/>
                <w:szCs w:val="24"/>
              </w:rPr>
            </w:pPr>
          </w:p>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Commercial</w:t>
            </w:r>
          </w:p>
        </w:tc>
        <w:tc>
          <w:tcPr>
            <w:tcW w:w="378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Stores, restaurants, markets, office buildings, hotels, etc.</w:t>
            </w:r>
          </w:p>
        </w:tc>
        <w:tc>
          <w:tcPr>
            <w:tcW w:w="360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Food wastes, rubbish, paper, cardboard, plastics, wood, glass, metals, etc.</w:t>
            </w:r>
          </w:p>
        </w:tc>
      </w:tr>
      <w:tr>
        <w:trPr>
          <w:trHeight w:val="710"/>
        </w:trPr>
        <w:tc>
          <w:tcPr>
            <w:tcW w:w="2065" w:type="dxa"/>
          </w:tcPr>
          <w:p>
            <w:pPr>
              <w:rPr>
                <w:rFonts w:hAnsi="Times New Roman" w:ascii="Times New Roman" w:eastAsia="Times New Roman" w:cs="Times New Roman"/>
                <w:sz w:val="24"/>
                <w:szCs w:val="24"/>
              </w:rPr>
            </w:pPr>
          </w:p>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Industrial</w:t>
            </w:r>
          </w:p>
        </w:tc>
        <w:tc>
          <w:tcPr>
            <w:tcW w:w="378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Construction sites, fabrication, light and heavy manufacturing, refineries, power and chemical plants, mineral extraction and processing </w:t>
            </w:r>
          </w:p>
        </w:tc>
        <w:tc>
          <w:tcPr>
            <w:tcW w:w="360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Demolition and construction wastes, special wastes, hazardous wastes, housekeeping wastes, packaging, food wastes, process waste, etc.</w:t>
            </w:r>
          </w:p>
        </w:tc>
      </w:tr>
      <w:tr>
        <w:trPr>
          <w:trHeight w:val="710"/>
        </w:trPr>
        <w:tc>
          <w:tcPr>
            <w:tcW w:w="2065"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Institutional </w:t>
            </w:r>
          </w:p>
        </w:tc>
        <w:tc>
          <w:tcPr>
            <w:tcW w:w="378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Schools, hospitals, prisons, government centres</w:t>
            </w:r>
          </w:p>
        </w:tc>
        <w:tc>
          <w:tcPr>
            <w:tcW w:w="360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Plastics, papers, cardboard, wood, food wastes, glass etc.</w:t>
            </w:r>
          </w:p>
        </w:tc>
      </w:tr>
      <w:tr>
        <w:trPr>
          <w:trHeight w:val="710"/>
        </w:trPr>
        <w:tc>
          <w:tcPr>
            <w:tcW w:w="2065"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Construction &amp; Demolition </w:t>
            </w:r>
          </w:p>
        </w:tc>
        <w:tc>
          <w:tcPr>
            <w:tcW w:w="378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New construction sites, road repairs, renovation sites, demolition of buildings</w:t>
            </w:r>
          </w:p>
        </w:tc>
        <w:tc>
          <w:tcPr>
            <w:tcW w:w="360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Wood, steel, concrete, dirt, plastics, etc.</w:t>
            </w:r>
          </w:p>
        </w:tc>
      </w:tr>
      <w:tr>
        <w:trPr>
          <w:trHeight w:val="1007"/>
        </w:trPr>
        <w:tc>
          <w:tcPr>
            <w:tcW w:w="2065"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Municipal Services</w:t>
            </w:r>
          </w:p>
        </w:tc>
        <w:tc>
          <w:tcPr>
            <w:tcW w:w="378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Street cleaning, parks, landscaping, beaches, recreational areas, water &amp; wastewater treatment plants, etc.</w:t>
            </w:r>
          </w:p>
        </w:tc>
        <w:tc>
          <w:tcPr>
            <w:tcW w:w="360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Street sweeping, general waste from parks, beaches, and other recreational areas, </w:t>
            </w:r>
          </w:p>
        </w:tc>
      </w:tr>
      <w:tr>
        <w:trPr>
          <w:trHeight w:val="818"/>
        </w:trPr>
        <w:tc>
          <w:tcPr>
            <w:tcW w:w="2065"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Agriculture </w:t>
            </w:r>
          </w:p>
        </w:tc>
        <w:tc>
          <w:tcPr>
            <w:tcW w:w="378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Crops, orchards, vineyards, dairies, feedlots, farms.</w:t>
            </w:r>
          </w:p>
        </w:tc>
        <w:tc>
          <w:tcPr>
            <w:tcW w:w="3600" w:type="dxa"/>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 Spoiled food waste, animal droppings, fertilizer bags, chemical plastic bottles or containers, etc.</w:t>
            </w:r>
          </w:p>
        </w:tc>
      </w:tr>
    </w:tbl>
    <w:p>
      <w:pPr>
        <w:tabs>
          <w:tab w:val="left" w:leader="none" w:pos="1995"/>
        </w:tabs>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Source: Modified from Dongballe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{"citationItems":[{"id":"ITEM-1","itemData":{"abstract":"The perception of tourist about accessibility from Penelokan village to Toya Bungkah destination” has objective to known the tourist perceptions of accessibility in Toya Bungkah destination. Kinds data used are primary data and secondary data. The data was gain through observations, depth interviews, questionnaires, literature studies, and documentations. Sampling was gain by purposive sampling to option the data of accessibility. The respondents was choose by using quota sampling. Analyzed the perception of tourist by using attitude scale (Likert scale) to measure the results. The result of the research showed that the tourist perceptions of accessibility to Toya Bungkah were : Condition about access from Penelokan to Toya Bungkah get average score was 3.10 is good enough, Quality of access from Penelokan to Toya Bungkah get average score was 3.20 is good enough, Comfortable of access from Penelokan to Toya Bungkah get average score was 3.14 is good enough, Condition transportasion after arrived from Penelokan to Toya Bungkah get average score was 3,48 is good, View at around access the tourist can see from Penelokan to Toya Bungkah get average score was 4.08 is good, Safety with the path from Penelokan to Toya Bungkah get average score was 3.50 is good, Perception of the tourist about Toya Bungkah get average score was 3.76 is good.","author":[{"dropping-particle":"","family":"Dongballe","given":"Felix","non-dropping-particle":"","parse-names":false,"suffix":""}],"container-title":"www.udsspace.uds.edu.gh","id":"ITEM-1","issue":"March","issued":{"date-parts":[["2016"]]},"number-of-pages":"11-40","title":"SOLID WASTE MANAGEMENT IN THE WA MUNICIPALITY: CHALLENGES AND OPTIONS","type":"thesis","volume":"147"},"uris":["http://www.mendeley.com/documents/?uuid=4176dd0c-a168-4f20-a66f-a75fc6ccb89d"]}],"mendeley":{"formattedCitation":"(Dongballe, 2016)","plainTextFormattedCitation":"(Dongballe, 2016)","previouslyFormattedCitation":"(Dongballe, 2016)"},"properties":{"noteIndex":0},"schema":"https://github.com/citation-style-language/schema/raw/master/csl-citation.json"}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2016)</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pStyle w:val="Heading2"/>
        <w:spacing w:line="480" w:lineRule="auto"/>
        <w:ind w:left="720"/>
        <w:rPr>
          <w:rStyle w:val="Heading2Char"/>
        </w:rPr>
      </w:pPr>
      <w:bookmarkStart w:id="28" w:name="_Toc147923039"/>
      <w:r>
        <w:rPr>
          <w:rFonts w:ascii="Times New Roman"/>
          <w:b/>
          <w:i w:val="0"/>
          <w:strike w:val="0"/>
          <w:dstrike w:val="0"/>
          <w:emboss w:val="0"/>
          <w:imprint w:val="0"/>
          <w:outline w:val="0"/>
          <w:shadow w:val="0"/>
          <w:sz w:val="24"/>
          <w:szCs w:val="24"/>
          <w:u w:val="none"/>
        </w:rPr>
        <w:t xml:space="preserve">2.3 Global Trends in Solid Waste Generation</w:t>
      </w:r>
      <w:bookmarkEnd w:id="28"/>
    </w:p>
    <w:p>
      <w:pPr>
        <w:tabs>
          <w:tab w:val="left" w:leader="none" w:pos="1995"/>
        </w:tabs>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Solid waste generation continues to increase at both domestic and industrial levels around the world, resulting from rising consumption patterns caused by population growth, particularly in developed countries, where it is 6-times that of developing countries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{"citationItems":[{"id":"ITEM-1","itemData":{"ISBN":"9788490225370","abstract":"This study departs from the reality of gender relations within the family institution which has to be dikhotomis, causing the pole inequality relations between men and women. Therefore, in this study wanted to dismantle the detail view of some theories, both social and feminist about gender relations in the family. Each of these theories (structural functional, conflict and feminist) has their own viewpoint about the pattern of gender relations in the family. However, simultaneously acknowledging that the social construction of culture remained significant influence on the division of roles are played by men (husbands) and women (wife) in the family institution. This means that the social construction of culture was instrumental in the creation of relations contribute between men and women equally or otherwise occurred inequality.","author":[{"dropping-particle":"","family":"Muiruri","given":"Joseph Mbiro","non-dropping-particle":"","parse-names":false,"suffix":""}],"container-title":"Braz Dent J.","id":"ITEM-1","issue":"1","issued":{"date-parts":[["2022"]]},"number-of-pages":"1-12","publisher":"University of Nairobi","title":"ASSESSMENT OF RESIDENTS’ KNOWLEDGE, ATTITUDE AND PRACTICES ON SOLID WASTE MANAGEMENT IN EASTLEIGH SOUTH WARD, NAIROBI, KENYA","type":"thesis","volume":"33"},"uris":["http://www.mendeley.com/documents/?uuid=94c8539a-5423-4f60-844a-da9488199fac"]}],"mendeley":{"formattedCitation":"(Muiruri, 2022)","plainTextFormattedCitation":"(Muiruri, 2022)","previouslyFormattedCitation":"(Muiruri, 2022)"},"properties":{"noteIndex":0},"schema":"https://github.com/citation-style-language/schema/raw/master/csl-citation.json"}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(Muiruri, 2022)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tabs>
          <w:tab w:val="left" w:leader="none" w:pos="1995"/>
        </w:tabs>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Waste generation varies with affluence. However, international and national variations as well as generation rates within the same municipality can be significant. While other countries lack data on solid waste generation, developed nations have the most comprehensive and consistent. In Latin America and the Caribbean, the total amount of waste generated per-year is 160 million tones, with per capita values ranging from 0.1 to 14 kg/capita/ day, and an average of 1.1 kg/capita/day. The annual waste generation in East Asia and the Pacific Region is approximately 270 million tons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{"citationItems":[{"id":"ITEM-1","itemData":{"author":[{"dropping-particle":"","family":"World Bank","given":"","non-dropping-particle":"","parse-names":false,"suffix":""}],"id":"ITEM-1","issued":{"date-parts":[["2012"]]},"title":"What a waste: A Global Review of Solid Waste Management","type":"report"},"uris":["http://www.mendeley.com/documents/?uuid=9bfe70a5-9c64-4fa2-aaf0-8ed6095e484e"]}],"mendeley":{"formattedCitation":"(World Bank, 2012)","manualFormatting":"(see World Bank, 2012)","plainTextFormattedCitation":"(World Bank, 2012)","previouslyFormattedCitation":"(World Bank, 2012)"},"properties":{"noteIndex":0},"schema":"https://github.com/citation-style-language/schema/raw/master/csl-citation.json"}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World Bank, 2012)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This quantity is mainly influenced by waste generation in China, accounting for 70% of the regional total. Per capita waste generation ranges from 0.44 to 4.3 kg per person per day for the region, with an average of 0.95 kg/capita/day</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{"citationItems":[{"id":"ITEM-1","itemData":{"ISBN":"9788490225370","abstract":"This study departs from the reality of gender relations within the family institution which has to be dikhotomis, causing the pole inequality relations between men and women. Therefore, in this study wanted to dismantle the detail view of some theories, both social and feminist about gender relations in the family. Each of these theories (structural functional, conflict and feminist) has their own viewpoint about the pattern of gender relations in the family. However, simultaneously acknowledging that the social construction of culture remained significant influence on the division of roles are played by men (husbands) and women (wife) in the family institution. This means that the social construction of culture was instrumental in the creation of relations contribute between men and women equally or otherwise occurred inequality.","author":[{"dropping-particle":"","family":"Muiruri","given":"Joseph Mbiro","non-dropping-particle":"","parse-names":false,"suffix":""}],"container-title":"Braz Dent J.","id":"ITEM-1","issue":"1","issued":{"date-parts":[["2022"]]},"number-of-pages":"1-12","publisher":"University of Nairobi","title":"ASSESSMENT OF RESIDENTS’ KNOWLEDGE, ATTITUDE AND PRACTICES ON SOLID WASTE MANAGEMENT IN EASTLEIGH SOUTH WARD, NAIROBI, KENYA","type":"thesis","volume":"33"},"uris":["http://www.mendeley.com/documents/?uuid=94c8539a-5423-4f60-844a-da9488199fac"]},{"id":"ITEM-2","itemData":{"author":[{"dropping-particle":"","family":"World Bank","given":"","non-dropping-particle":"","parse-names":false,"suffix":""}],"id":"ITEM-2","issued":{"date-parts":[["2012"]]},"title":"What a waste: A Global Review of Solid Waste Management","type":"report"},"uris":["http://www.mendeley.com/documents/?uuid=9bfe70a5-9c64-4fa2-aaf0-8ed6095e484e"]}],"mendeley":{"formattedCitation":"(Muiruri, 2022; World Bank, 2012)","manualFormatting":"(see Muiruri, 2022; World Bank, 2012)","plainTextFormattedCitation":"(Muiruri, 2022; World Bank, 2012)","previouslyFormattedCitation":"(Muiruri, 2022; World Bank, 2012)"},"properties":{"noteIndex":0},"schema":"https://github.com/citation-style-language/schema/raw/master/csl-citation.json"}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(see Muiruri, 2022; World Bank, 2012)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According to the World Bank </w:t>
      </w:r>
      <w:r>
        <w:rPr>
          <w:rFonts w:hAnsi="Times New Roman" w:ascii="Times New Roman" w:cs="Times New Roman"/>
          <w:b w:val="0"/>
          <w:i w:val="0"/>
          <w:strike w:val="0"/>
          <w:dstrike w:val="0"/>
          <w:emboss w:val="0"/>
          <w:imprint w:val="0"/>
          <w:outline w:val="0"/>
          <w:shadow w:val="0"/>
          <w:sz w:val="24"/>
          <w:szCs w:val="24"/>
          <w:u w:val="none"/>
        </w:rPr>
        <w:t xml:space="preserve">global review on solid waste management report, </w:t>
      </w:r>
      <w:r>
        <w:rPr>
          <w:rFonts w:hAnsi="Times New Roman" w:ascii="Times New Roman" w:eastAsia="Times New Roman" w:cs="Times New Roman"/>
          <w:b w:val="0"/>
          <w:i w:val="0"/>
          <w:strike w:val="0"/>
          <w:dstrike w:val="0"/>
          <w:emboss w:val="0"/>
          <w:imprint w:val="0"/>
          <w:outline w:val="0"/>
          <w:shadow w:val="0"/>
          <w:sz w:val="24"/>
          <w:szCs w:val="24"/>
          <w:u w:val="none"/>
        </w:rPr>
        <w:t xml:space="preserve">South Asia, generates approximately 70 million tonnes of waste per-year, with per capita values ranging from 0.12 to 5.1 kg per person per-day and an average of 0.45 kg/capita/day, whereas Eastern and Central Asia, generates at least 93 million tons per-year, with per capita waste generation ranges from 0.29 to 2.1 kg per person per day, with an average of 1.1 kg/capita/day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{"citationItems":[{"id":"ITEM-1","itemData":{"author":[{"dropping-particle":"","family":"World Bank","given":"","non-dropping-particle":"","parse-names":false,"suffix":""}],"id":"ITEM-1","issued":{"date-parts":[["2012"]]},"title":"What a waste: A Global Review of Solid Waste Management","type":"report"},"uris":["http://www.mendeley.com/documents/?uuid=9bfe70a5-9c64-4fa2-aaf0-8ed6095e484e"]}],"mendeley":{"formattedCitation":"(World Bank, 2012)","plainTextFormattedCitation":"(World Bank, 2012)","previouslyFormattedCitation":"(World Bank, 2012)"},"properties":{"noteIndex":0},"schema":"https://github.com/citation-style-language/schema/raw/master/csl-citation.json"}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(World Bank, 2012)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Previous studies revealed that Africa, particularly Sub-Saharan Africa, generates 62 million tonnes of solid waste annually, with per capita waste generation ranges from 0.09 to 3.0 kg per-person per-day, with an average of 0.65 kg/capita/day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{"citationItems":[{"id":"ITEM-1","itemData":{"author":[{"dropping-particle":"","family":"World Bank","given":"","non-dropping-particle":"","parse-names":false,"suffix":""}],"id":"ITEM-1","issued":{"date-parts":[["2012"]]},"title":"What a waste: A Global Review of Solid Waste Management","type":"report"},"uris":["http://www.mendeley.com/documents/?uuid=9bfe70a5-9c64-4fa2-aaf0-8ed6095e484e"]},{"id":"ITEM-2","itemData":{"ISBN":"9788490225370","abstract":"This study departs from the reality of gender relations within the family institution which has to be dikhotomis, causing the pole inequality relations between men and women. Therefore, in this study wanted to dismantle the detail view of some theories, both social and feminist about gender relations in the family. Each of these theories (structural functional, conflict and feminist) has their own viewpoint about the pattern of gender relations in the family. However, simultaneously acknowledging that the social construction of culture remained significant influence on the division of roles are played by men (husbands) and women (wife) in the family institution. This means that the social construction of culture was instrumental in the creation of relations contribute between men and women equally or otherwise occurred inequality.","author":[{"dropping-particle":"","family":"Muiruri","given":"Joseph Mbiro","non-dropping-particle":"","parse-names":false,"suffix":""}],"container-title":"Braz Dent J.","id":"ITEM-2","issue":"1","issued":{"date-parts":[["2022"]]},"number-of-pages":"1-12","publisher":"University of Nairobi","title":"ASSESSMENT OF RESIDENTS’ KNOWLEDGE, ATTITUDE AND PRACTICES ON SOLID WASTE MANAGEMENT IN EASTLEIGH SOUTH WARD, NAIROBI, KENYA","type":"thesis","volume":"33"},"uris":["http://www.mendeley.com/documents/?uuid=94c8539a-5423-4f60-844a-da9488199fac"]}],"mendeley":{"formattedCitation":"(Muiruri, 2022; World Bank, 2012)","manualFormatting":"(see Muiruri, 2022; World Bank, 2012)","plainTextFormattedCitation":"(Muiruri, 2022; World Bank, 2012)","previouslyFormattedCitation":"(Muiruri, 2022; World Bank, 2012)"},"properties":{"noteIndex":0},"schema":"https://github.com/citation-style-language/schema/raw/master/csl-citation.json"}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(see Muiruri, 2022; World Bank, 2012)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.There is an expected increase in the global annual generation of municipal solid waste to reach 1.3 billion metric tons or 1.2 kilograms per-person every-day. Studies predict that, if current global trends continue, solid waste generation will increase five-fold by 2025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{"citationItems":[{"id":"ITEM-1","itemData":{"ISBN":"9781849711692","author":[{"dropping-particle":"","family":"UN-Habitat","given":"","non-dropping-particle":"","parse-names":false,"suffix":""}],"id":"ITEM-1","issued":{"date-parts":[["2010"]]},"title":"SOLID WASTE MANAGEMENT IN THE WORLD’S CITIES","type":"book"},"uris":["http://www.mendeley.com/documents/?uuid=0841442d-2021-4c00-b435-2c0cca20fb71"]},{"id":"ITEM-2","itemData":{"ISBN":"9788490225370","abstract":"This study departs from the reality of gender relations within the family institution which has to be dikhotomis, causing the pole inequality relations between men and women. Therefore, in this study wanted to dismantle the detail view of some theories, both social and feminist about gender relations in the family. Each of these theories (structural functional, conflict and feminist) has their own viewpoint about the pattern of gender relations in the family. However, simultaneously acknowledging that the social construction of culture remained significant influence on the division of roles are played by men (husbands) and women (wife) in the family institution. This means that the social construction of culture was instrumental in the creation of relations contribute between men and women equally or otherwise occurred inequality.","author":[{"dropping-particle":"","family":"Muiruri","given":"Joseph Mbiro","non-dropping-particle":"","parse-names":false,"suffix":""}],"container-title":"Braz Dent J.","id":"ITEM-2","issue":"1","issued":{"date-parts":[["2022"]]},"number-of-pages":"1-12","publisher":"University of Nairobi","title":"ASSESSMENT OF RESIDENTS’ KNOWLEDGE, ATTITUDE AND PRACTICES ON SOLID WASTE MANAGEMENT IN EASTLEIGH SOUTH WARD, NAIROBI, KENYA","type":"thesis","volume":"33"},"uris":["http://www.mendeley.com/documents/?uuid=94c8539a-5423-4f60-844a-da9488199fac"]}],"mendeley":{"formattedCitation":"(Muiruri, 2022; UN-Habitat, 2010)","manualFormatting":"(see Muiruri, 2022; UN-Habitat, 2010)","plainTextFormattedCitation":"(Muiruri, 2022; UN-Habitat, 2010)","previouslyFormattedCitation":"(Muiruri, 2022; UN-Habitat, 2010)"},"properties":{"noteIndex":0},"schema":"https://github.com/citation-style-language/schema/raw/master/csl-citation.json"}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(Muiruri, 2022; UN-Habitat, 2010)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tabs>
          <w:tab w:val="left" w:leader="none" w:pos="1995"/>
        </w:tabs>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Consequently, developed and developing countries have employed different methods to manage solid waste. While developed countries have established measures for minimizing household waste and subsequently disposing it in landfills, the poor and developing countries’ household waste accounts for more than 60% of all solid waste, with collection rates usually less than 70%, and the rest are dumped in unregulated landfills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{"citationItems":[{"id":"ITEM-1","itemData":{"ISBN":"9788490225370","abstract":"This study departs from the reality of gender relations within the family institution which has to be dikhotomis, causing the pole inequality relations between men and women. Therefore, in this study wanted to dismantle the detail view of some theories, both social and feminist about gender relations in the family. Each of these theories (structural functional, conflict and feminist) has their own viewpoint about the pattern of gender relations in the family. However, simultaneously acknowledging that the social construction of culture remained significant influence on the division of roles are played by men (husbands) and women (wife) in the family institution. This means that the social construction of culture was instrumental in the creation of relations contribute between men and women equally or otherwise occurred inequality.","author":[{"dropping-particle":"","family":"Muiruri","given":"Joseph Mbiro","non-dropping-particle":"","parse-names":false,"suffix":""}],"container-title":"Braz Dent J.","id":"ITEM-1","issue":"1","issued":{"date-parts":[["2022"]]},"number-of-pages":"1-12","publisher":"University of Nairobi","title":"ASSESSMENT OF RESIDENTS’ KNOWLEDGE, ATTITUDE AND PRACTICES ON SOLID WASTE MANAGEMENT IN EASTLEIGH SOUTH WARD, NAIROBI, KENYA","type":"thesis","volume":"33"},"uris":["http://www.mendeley.com/documents/?uuid=94c8539a-5423-4f60-844a-da9488199fac"]}],"mendeley":{"formattedCitation":"(Muiruri, 2022)","plainTextFormattedCitation":"(Muiruri, 2022)","previouslyFormattedCitation":"(Muiruri, 2022)"},"properties":{"noteIndex":0},"schema":"https://github.com/citation-style-language/schema/raw/master/csl-citation.json"}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(Muiruri, 2022)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pStyle w:val="Heading2"/>
        <w:spacing w:line="480" w:lineRule="auto"/>
        <w:ind w:left="720"/>
      </w:pPr>
      <w:bookmarkStart w:id="29" w:name="_Toc147923040"/>
      <w:r>
        <w:rPr>
          <w:rFonts w:ascii="Times New Roman"/>
          <w:b/>
          <w:i w:val="0"/>
          <w:strike w:val="0"/>
          <w:dstrike w:val="0"/>
          <w:emboss w:val="0"/>
          <w:imprint w:val="0"/>
          <w:outline w:val="0"/>
          <w:shadow w:val="0"/>
          <w:sz w:val="24"/>
          <w:szCs w:val="24"/>
          <w:u w:val="none"/>
        </w:rPr>
        <w:t xml:space="preserve">2.4 Solid Waste Management</w:t>
      </w:r>
      <w:bookmarkEnd w:id="29"/>
    </w:p>
    <w:p>
      <w:pPr>
        <w:spacing w:line="480" w:lineRule="auto"/>
        <w:ind w:left="720"/>
        <w:contextualSpacing w:val="1"/>
        <w:jc w:val="both"/>
        <w:rPr>
          <w:rFonts w:hAnsi="Times New Roman" w:ascii="Times New Roman" w:cs="Times New Roman"/>
          <w:sz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Solid waste management is understood to be a controlled way of handling waste materials from sources through recovery processes to disposal. It involves the control of the generation, storage, collection, transportation, processing, and disposal of solid waste with the aim of protecting environmental quality, human health, and preservation of natural resources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{"citationItems":[{"id":"ITEM-1","itemData":{"DOI":"10.5923/j.env.20150503.03","author":[{"dropping-particle":"","family":"Peprah","given":"Kenneth","non-dropping-particle":"","parse-names":false,"suffix":""},{"dropping-particle":"","family":"Amoah","given":"Samuel Twumasi","non-dropping-particle":"","parse-names":false,"suffix":""},{"dropping-particle":"","family":"Achana","given":"Godwin Thomas Wedam","non-dropping-particle":"","parse-names":false,"suffix":""}],"id":"ITEM-1","issue":"3","issued":{"date-parts":[["2015"]]},"page":"112-120","title":"Assessing ‘ 3Rs ’ Model in Relation to Municipal Solid Waste Management in Wa , Ghana","type":"article-journal","volume":"5"},"uris":["http://www.mendeley.com/documents/?uuid=2441083b-4c2c-4489-a3ba-b7ce4dd1cb84"]}],"mendeley":{"formattedCitation":"(Peprah et al., 2015)","plainTextFormattedCitation":"(Peprah et al., 2015)","previouslyFormattedCitation":"(Peprah et al., 2015)"},"properties":{"noteIndex":0},"schema":"https://github.com/citation-style-language/schema/raw/master/csl-citation.json"}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(Peprah et al., 2015)</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According to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{"citationItems":[{"id":"ITEM-1","itemData":{"author":[{"dropping-particle":"","family":"WHO","given":"","non-dropping-particle":"","parse-names":false,"suffix":""}],"id":"ITEM-1","issued":{"date-parts":[["2021"]]},"page":"0-7","title":"Compendium of WHO and other UN guidance on health and environment","type":"article-journal","volume":"2021"},"uris":["http://www.mendeley.com/documents/?uuid=94a1de7c-6b92-45c1-a977-b6c33ca91f64"]}],"mendeley":{"formattedCitation":"(WHO, 2021)","plainTextFormattedCitation":"(WHO, 2021)","previouslyFormattedCitation":"(WHO,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WHO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b/>
          <w:i w:val="0"/>
          <w:strike w:val="0"/>
          <w:dstrike w:val="0"/>
          <w:emboss w:val="0"/>
          <w:imprint w:val="0"/>
          <w:outline w:val="0"/>
          <w:shadow w:val="0"/>
          <w:sz w:val="24"/>
          <w:szCs w:val="24"/>
          <w:u w:val="none"/>
        </w:rPr>
        <w:t xml:space="preserve">s</w:t>
      </w:r>
      <w:r>
        <w:rPr>
          <w:rFonts w:hAnsi="Times New Roman" w:ascii="Times New Roman" w:eastAsia="Times New Roman" w:cs="Times New Roman"/>
          <w:b w:val="0"/>
          <w:i w:val="0"/>
          <w:strike w:val="0"/>
          <w:dstrike w:val="0"/>
          <w:emboss w:val="0"/>
          <w:imprint w:val="0"/>
          <w:outline w:val="0"/>
          <w:shadow w:val="0"/>
          <w:sz w:val="24"/>
          <w:szCs w:val="24"/>
          <w:u w:val="none"/>
        </w:rPr>
        <w:t xml:space="preserve">olid waste management starts with the generation, collection, transport, treatment, and final disposal of waste. It encompasses all the activities needed to handle solid waste, from inception to final disposal. These activities include collection, transfer, treatment, disposal, monitoring, and regulation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2019)","plainTextFormattedCitation":"(Nyaguthii, 2019)","previouslyFormattedCitation":"(Nyaguthii,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(Nyaguthii,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{"citationItems":[{"id":"ITEM-1","itemData":{"DOI":"10.1017/CBO9781107415324.004","ISBN":"9788578110796","ISSN":"1098-6596","PMID":"25246403","abstract":"The study aimed ensuring a clean environment in the Tamale Metropolis. It analysed the underlying factors affecting effective solid waste management in the metropolis and suggested possible measures to tackle the problem. The research gathered data from two main sources namely: secondary and primary sources. The three main techniques employed in gathering the primary data were: preliminary field investigation, questionnaire survey and face-to-face interview. The following key findings were established to be the factors affecting effective solid waste management in the Metropolis. These are: • Inadequate skip supply for storing waste. • Lack of routine collection of waste. • Poor methods of waste management. • Inadequate resources for waste management institutions to effectively collect the waste generated. In the light of these problems enumerated above, the research recommended the adequate supply of skips, regular collection of waste, use of Integrated Solid Waste Management (ISWM)","author":[{"dropping-particle":"","family":"Puopiel","given":"F.","non-dropping-particle":"","parse-names":false,"suffix":""}],"id":"ITEM-1","issued":{"date-parts":[["2010"]]},"number-of-pages":"93","title":"Solid Waste Management in Ghana: the Case of Tamale Metropolitan Area","type":"thesis"},"uris":["http://www.mendeley.com/documents/?uuid=86fa8a69-9699-4884-9e96-f5783d7b2fd6"]}],"mendeley":{"formattedCitation":"(Puopiel, 2010)","manualFormatting":"Puopiel (2010)","plainTextFormattedCitation":"(Puopiel, 2010)","previouslyFormattedCitation":"(Puopiel, 2010)"},"properties":{"noteIndex":0},"schema":"https://github.com/citation-style-language/schema/raw/master/csl-citation.json"}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Puopiel (2010)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point out six main elements of solid waste management which include; waste generation, waste storage, waste collection, transfer and transport, processing, recovery and recycling, and final disposal. This implies that when solid waste is generated, it is first stored in either dustbins or skips; then, it is collected and disposed of in landfills. In addition, when waste is collected, it can be transferred from small collection equipment, such as the tricycle, to a bigger truck for final disposal. On the other hand, waste collected can be processed and recovered for reuse</w:t>
        <w:t xml:space="preserv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{"citationItems":[{"id":"ITEM-1","itemData":{"DOI":"10.1017/CBO9781107415324.004","ISBN":"9788578110796","ISSN":"1098-6596","PMID":"25246403","abstract":"The study aimed ensuring a clean environment in the Tamale Metropolis. It analysed the underlying factors affecting effective solid waste management in the metropolis and suggested possible measures to tackle the problem. The research gathered data from two main sources namely: secondary and primary sources. The three main techniques employed in gathering the primary data were: preliminary field investigation, questionnaire survey and face-to-face interview. The following key findings were established to be the factors affecting effective solid waste management in the Metropolis. These are: • Inadequate skip supply for storing waste. • Lack of routine collection of waste. • Poor methods of waste management. • Inadequate resources for waste management institutions to effectively collect the waste generated. In the light of these problems enumerated above, the research recommended the adequate supply of skips, regular collection of waste, use of Integrated Solid Waste Management (ISWM)","author":[{"dropping-particle":"","family":"Puopiel","given":"F.","non-dropping-particle":"","parse-names":false,"suffix":""}],"id":"ITEM-1","issued":{"date-parts":[["2010"]]},"number-of-pages":"93","title":"Solid Waste Management in Ghana: the Case of Tamale Metropolitan Area","type":"thesis"},"uris":["http://www.mendeley.com/documents/?uuid=86fa8a69-9699-4884-9e96-f5783d7b2fd6"]}],"mendeley":{"formattedCitation":"(Puopiel, 2010)","plainTextFormattedCitation":"(Puopiel, 2010)","previouslyFormattedCitation":"(Puopiel, 2010)"},"properties":{"noteIndex":0},"schema":"https://github.com/citation-style-language/schema/raw/master/csl-citation.json"}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(Puopiel, 2010)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w:t>
      </w:r>
    </w:p>
    <w:p>
      <w:pPr>
        <w:spacing w:line="480" w:lineRule="auto"/>
        <w:ind w:left="720"/>
        <w:contextualSpacing w:val="1"/>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However, this study adopted a waste management hierarchy to assess residents’ knowledge, attitudes, and practices of solid waste management. The waste management hierarchy provides a model of potential options for solid waste management, including waste prevention (reduction), reuse, recycling, recovery, and disposal (Figure 1). The model indicates an order of preference for actions to reduce and manage waste, presented diagrammatically in the form of a pyramid</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{"citationItems":[{"id":"ITEM-1","itemData":{"DOI":"https://www.doi.org/ 10.5038/2640-6489.5.1.1081","author":[{"dropping-particle":"","family":"Mensah","given":"Ishmael","non-dropping-particle":"","parse-names":false,"suffix":""}],"container-title":"Journal of Global Business Insights, 5(1), 33-46.","id":"ITEM-1","issue":"1","issued":{"date-parts":[["2020"]]},"page":"33-46","title":"Waste management practices of small hotels in Accra : An application of the waste management hierarchy model","type":"article-journal","volume":"5"},"uris":["http://www.mendeley.com/documents/?uuid=9f0f31cf-7170-45ea-9e07-a435782f1f91"]},{"id":"ITEM-2","itemData":{"author":[{"dropping-particle":"","family":"Karunarathne","given":"Lakshi","non-dropping-particle":"","parse-names":false,"suffix":""}],"id":"ITEM-2","issue":"November","issued":{"date-parts":[["2015"]]},"title":"Municipal Solid Waste Management ( MSWM ) in Sri Lanka Municipal Solid Waste Management ( MSWM ) in Sri Lanka","type":"article-journal"},"uris":["http://www.mendeley.com/documents/?uuid=e98ca419-fd98-482f-9548-6c7818f3071e"]},{"id":"ITEM-3","itemData":{"DOI":"10.1016/j.wasman.2019.01.046","ISSN":"0956-053X","author":[{"dropping-particle":"","family":"Cole","given":"Christine","non-dropping-particle":"","parse-names":false,"suffix":""},{"dropping-particle":"","family":"Gnanapragasam","given":"Alex","non-dropping-particle":"","parse-names":false,"suffix":""},{"dropping-particle":"","family":"Cooper","given":"Tim","non-dropping-particle":"","parse-names":false,"suffix":""},{"dropping-particle":"","family":"Singh","given":"Jagdeep","non-dropping-particle":"","parse-names":false,"suffix":""}],"container-title":"Waste Management","id":"ITEM-3","issued":{"date-parts":[["2019"]]},"page":"417-427","publisher":"The Authors","title":"An assessment of achievements of the WEEE Directive in promoting movement up the waste hierarchy : experiences in the UK PrevenƟon Reuse Recycling Recovery Disposal","type":"article-journal","volume":"87"},"uris":["http://www.mendeley.com/documents/?uuid=3150a55a-d6bf-4cf8-9c18-2fdd65202cf8"]}],"mendeley":{"formattedCitation":"(Cole et al., 2019; Karunarathne, 2015; Mensah, 2020)","plainTextFormattedCitation":"(Cole et al., 2019; Karunarathne, 2015; Mensah, 2020)","previouslyFormattedCitation":"(Cole et al., 2019; Karunarathne, 2015; Mensah, 2020)"},"properties":{"noteIndex":0},"schema":"https://github.com/citation-style-language/schema/raw/master/csl-citation.json"}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(Cole et al., 2019; Karunarathne, 2015; Mensah, 2020)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w:t>
      </w:r>
    </w:p>
    <w:p>
      <w:pPr>
        <w:pStyle w:val="Heading2"/>
        <w:spacing w:line="480" w:lineRule="auto"/>
        <w:ind w:left="720"/>
      </w:pPr>
      <w:bookmarkStart w:id="30" w:name="_Toc147923041"/>
      <w:r>
        <w:rPr>
          <w:rFonts w:ascii="Times New Roman"/>
          <w:b/>
          <w:i w:val="0"/>
          <w:strike w:val="0"/>
          <w:dstrike w:val="0"/>
          <w:emboss w:val="0"/>
          <w:imprint w:val="0"/>
          <w:outline w:val="0"/>
          <w:shadow w:val="0"/>
          <w:sz w:val="24"/>
          <w:szCs w:val="24"/>
          <w:u w:val="none"/>
        </w:rPr>
        <w:t xml:space="preserve">2.4.1 Waste Prevention/Reduce</w:t>
      </w:r>
      <w:bookmarkEnd w:id="30"/>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first principle of the waste hierarchy is to prevent or reduce waste generation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10.1016/j.wasman.2019.01.046","ISSN":"0956-053X","author":[{"dropping-particle":"","family":"Cole","given":"Christine","non-dropping-particle":"","parse-names":false,"suffix":""},{"dropping-particle":"","family":"Gnanapragasam","given":"Alex","non-dropping-particle":"","parse-names":false,"suffix":""},{"dropping-particle":"","family":"Cooper","given":"Tim","non-dropping-particle":"","parse-names":false,"suffix":""},{"dropping-particle":"","family":"Singh","given":"Jagdeep","non-dropping-particle":"","parse-names":false,"suffix":""}],"container-title":"Waste Management","id":"ITEM-1","issued":{"date-parts":[["2019"]]},"page":"417-427","publisher":"The Authors","title":"An assessment of achievements of the WEEE Directive in promoting movement up the waste hierarchy : experiences in the UK PrevenƟon Reuse Recycling Recovery Disposal","type":"article-journal","volume":"87"},"uris":["http://www.mendeley.com/documents/?uuid=3150a55a-d6bf-4cf8-9c18-2fdd65202cf8"]},{"id":"ITEM-2","itemData":{"DOI":"10.1007/s13762-018-1768-x","ISBN":"0123456789","ISSN":"1735-2630","author":[{"dropping-particle":"","family":"Yakubu","given":"Y","non-dropping-particle":"","parse-names":false,"suffix":""},{"dropping-particle":"","family":"Zhou","given":"J","non-dropping-particle":"","parse-names":false,"suffix":""}],"container-title":"International Journal of Environmental Science and Technology","id":"ITEM-2","issue":"0123456789","issued":{"date-parts":[["2018"]]},"publisher":"Springer Berlin Heidelberg","title":"Novel approach to quantify municipal solid waste management hierarchy based on analytical hierarchy process","type":"article-journal"},"uris":["http://www.mendeley.com/documents/?uuid=0c61feb5-e9b6-4124-a2d1-a48022f9b9d3"]}],"mendeley":{"formattedCitation":"(Cole et al., 2019; Yakubu &amp; Zhou, 2018)","plainTextFormattedCitation":"(Cole et al., 2019; Yakubu &amp; Zhou, 2018)","previouslyFormattedCitation":"(Cole et al., 2019; Yakubu &amp; Zhou,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(Cole et al., 2019; Yakubu &amp; Zhou,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This method has been used to reduce the quantity of solid waste generated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10.1016/j.wasman.2019.01.046","ISSN":"0956-053X","author":[{"dropping-particle":"","family":"Cole","given":"Christine","non-dropping-particle":"","parse-names":false,"suffix":""},{"dropping-particle":"","family":"Gnanapragasam","given":"Alex","non-dropping-particle":"","parse-names":false,"suffix":""},{"dropping-particle":"","family":"Cooper","given":"Tim","non-dropping-particle":"","parse-names":false,"suffix":""},{"dropping-particle":"","family":"Singh","given":"Jagdeep","non-dropping-particle":"","parse-names":false,"suffix":""}],"container-title":"Waste Management","id":"ITEM-1","issued":{"date-parts":[["2019"]]},"page":"417-427","publisher":"The Authors","title":"An assessment of achievements of the WEEE Directive in promoting movement up the waste hierarchy : experiences in the UK PrevenƟon Reuse Recycling Recovery Disposal","type":"article-journal","volume":"87"},"uris":["http://www.mendeley.com/documents/?uuid=3150a55a-d6bf-4cf8-9c18-2fdd65202cf8"]}],"mendeley":{"formattedCitation":"(Cole et al., 2019)","plainTextFormattedCitation":"(Cole et al., 2019)","previouslyFormattedCitation":"(Cole et al.,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(Cole et al.,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It deals with processes to reduce the quantity of solid waste and the negative impacts of waste generated on the environment and human health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10.1007/s13762-018-1768-x","ISBN":"0123456789","ISSN":"1735-2630","author":[{"dropping-particle":"","family":"Yakubu","given":"Y","non-dropping-particle":"","parse-names":false,"suffix":""},{"dropping-particle":"","family":"Zhou","given":"J","non-dropping-particle":"","parse-names":false,"suffix":""}],"container-title":"International Journal of Environmental Science and Technology","id":"ITEM-1","issue":"0123456789","issued":{"date-parts":[["2018"]]},"publisher":"Springer Berlin Heidelberg","title":"Novel approach to quantify municipal solid waste management hierarchy based on analytical hierarchy process","type":"article-journal"},"uris":["http://www.mendeley.com/documents/?uuid=0c61feb5-e9b6-4124-a2d1-a48022f9b9d3"]}],"mendeley":{"formattedCitation":"(Yakubu &amp; Zhou, 2018)","plainTextFormattedCitation":"(Yakubu &amp; Zhou, 2018)","previouslyFormattedCitation":"(Yakubu &amp; Zhou,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(Yakubu &amp; Zhou,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{"citationItems":[{"id":"ITEM-1","itemData":{"author":[{"dropping-particle":"","family":"Karunarathne","given":"Lakshi","non-dropping-particle":"","parse-names":false,"suffix":""}],"id":"ITEM-1","issue":"November","issued":{"date-parts":[["2015"]]},"title":"Municipal Solid Waste Management ( MSWM ) in Sri Lanka Municipal Solid Waste Management ( MSWM ) in Sri Lanka","type":"article-journal"},"uris":["http://www.mendeley.com/documents/?uuid=e98ca419-fd98-482f-9548-6c7818f3071e"]}],"mendeley":{"formattedCitation":"(Karunarathne, 2015)","manualFormatting":"Karunarathne(2015)","plainTextFormattedCitation":"(Karunarathne, 2015)","previouslyFormattedCitation":"(Karunarathne, 2015)"},"properties":{"noteIndex":0},"schema":"https://github.com/citation-style-language/schema/raw/master/csl-citation.json"}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Karunarathne (2015)</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explained waste reduction in three perspectives; reducing the amount of raw materials and energy used per product by changing the design of the product or changing the production process, or reducing the quantity of production by extending the life of products or improving repair and maintenance technologies, or reducing the amount of disposed waste by decreasing the volume of waste or by selecting recyclable raw materials.</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Reduction also includes consumer behaviour, with waste avoidance practices, such as re-using items, repairing broken items, and resisting purchases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10.1016/j.wasman.2019.01.046","ISSN":"0956-053X","author":[{"dropping-particle":"","family":"Cole","given":"Christine","non-dropping-particle":"","parse-names":false,"suffix":""},{"dropping-particle":"","family":"Gnanapragasam","given":"Alex","non-dropping-particle":"","parse-names":false,"suffix":""},{"dropping-particle":"","family":"Cooper","given":"Tim","non-dropping-particle":"","parse-names":false,"suffix":""},{"dropping-particle":"","family":"Singh","given":"Jagdeep","non-dropping-particle":"","parse-names":false,"suffix":""}],"container-title":"Waste Management","id":"ITEM-1","issued":{"date-parts":[["2019"]]},"page":"417-427","publisher":"The Authors","title":"An assessment of achievements of the WEEE Directive in promoting movement up the waste hierarchy : experiences in the UK PrevenƟon Reuse Recycling Recovery Disposal","type":"article-journal","volume":"87"},"uris":["http://www.mendeley.com/documents/?uuid=3150a55a-d6bf-4cf8-9c18-2fdd65202cf8"]}],"mendeley":{"formattedCitation":"(Cole et al., 2019)","plainTextFormattedCitation":"(Cole et al., 2019)","previouslyFormattedCitation":"(Cole et al.,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(Cole et al.,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According to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{"citationItems":[{"id":"ITEM-1","itemData":{"DOI":"https://www.doi.org/ 10.5038/2640-6489.5.1.1081","author":[{"dropping-particle":"","family":"Mensah","given":"Ishmael","non-dropping-particle":"","parse-names":false,"suffix":""}],"container-title":"Journal of Global Business Insights, 5(1), 33-46.","id":"ITEM-1","issue":"1","issued":{"date-parts":[["2020"]]},"page":"33-46","title":"Waste management practices of small hotels in Accra : An application of the waste management hierarchy model","type":"article-journal","volume":"5"},"uris":["http://www.mendeley.com/documents/?uuid=9f0f31cf-7170-45ea-9e07-a435782f1f91"]}],"mendeley":{"formattedCitation":"(Mensah, 2020)","manualFormatting":"Mensah (2020)","plainTextFormattedCitation":"(Mensah, 2020)","previouslyFormattedCitation":"(Mensah,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Mensah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waste prevention means eliminating or reducing the amount or toxicity of waste, including recyclables, while waste reduction means reducing the amount of waste produced through greater efficiency in the use of resources. The most effective way to deal with solid waste is to prevent waste generation, a practice known as source reduction, which includes minimizing the use of raw materials in the production process and purchasing or consuming only the necessary amount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 10.5822/ 978-1-61091-756-8_20,","ISBN":"9781610917568","author":[{"dropping-particle":"","family":"Bhada-Tata","given":"Perinaz","non-dropping-particle":"","parse-names":false,"suffix":""},{"dropping-particle":"","family":"Hoornweg","given":"Daniel","non-dropping-particle":"","parse-names":false,"suffix":""}],"container-title":"Worldwatch Institute, State of the World","id":"ITEM-1","issued":{"date-parts":[["2016"]]},"page":"239-255","title":"Solid Waste and Climate Change","type":"article-journal"},"uris":["http://www.mendeley.com/documents/?uuid=88cc6e9d-83c0-432c-ab92-a565844a3964"]}],"mendeley":{"formattedCitation":"(Bhada-Tata &amp; Hoornweg, 2016)","plainTextFormattedCitation":"(Bhada-Tata &amp; Hoornweg, 2016)","previouslyFormattedCitation":"(Bhada-Tata &amp; Hoornweg, 2016)"},"properties":{"noteIndex":0},"schema":"https://github.com/citation-style-language/schema/raw/master/csl-citation.json"}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(Bhada-Tata &amp;Hoornweg, 2016)</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.This is an ideal situation, which means that no waste will be generated, or some classification of solid waste will be prevented if prevention works effectively within cities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10.1007/s13762-018-1768-x","ISBN":"0123456789","ISSN":"1735-2630","author":[{"dropping-particle":"","family":"Yakubu","given":"Y","non-dropping-particle":"","parse-names":false,"suffix":""},{"dropping-particle":"","family":"Zhou","given":"J","non-dropping-particle":"","parse-names":false,"suffix":""}],"container-title":"International Journal of Environmental Science and Technology","id":"ITEM-1","issue":"0123456789","issued":{"date-parts":[["2018"]]},"publisher":"Springer Berlin Heidelberg","title":"Novel approach to quantify municipal solid waste management hierarchy based on analytical hierarchy process","type":"article-journal"},"uris":["http://www.mendeley.com/documents/?uuid=0c61feb5-e9b6-4124-a2d1-a48022f9b9d3"]}],"mendeley":{"formattedCitation":"(Yakubu &amp; Zhou, 2018)","plainTextFormattedCitation":"(Yakubu &amp; Zhou, 2018)","previouslyFormattedCitation":"(Yakubu &amp; Zhou,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(Yakubu &amp; Zhou,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 reduction (R1) of solid waste comprises re-using items, bulk purchasing, reduction of packaging material, and product redesign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10.1007/s13762-018-1768-x","ISBN":"0123456789","ISSN":"1735-2630","author":[{"dropping-particle":"","family":"Yakubu","given":"Y","non-dropping-particle":"","parse-names":false,"suffix":""},{"dropping-particle":"","family":"Zhou","given":"J","non-dropping-particle":"","parse-names":false,"suffix":""}],"container-title":"International Journal of Environmental Science and Technology","id":"ITEM-1","issue":"0123456789","issued":{"date-parts":[["2018"]]},"publisher":"Springer Berlin Heidelberg","title":"Novel approach to quantify municipal solid waste management hierarchy based on analytical hierarchy process","type":"article-journal"},"uris":["http://www.mendeley.com/documents/?uuid=0c61feb5-e9b6-4124-a2d1-a48022f9b9d3"]}],"mendeley":{"formattedCitation":"(Yakubu &amp; Zhou, 2018)","plainTextFormattedCitation":"(Yakubu &amp; Zhou, 2018)","previouslyFormattedCitation":"(Yakubu &amp; Zhou,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(Yakubu &amp; Zhou,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.This can be achieved through careful selection of durable materials and incentivizing changes in consumer behavior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 10.5822/ 978-1-61091-756-8_20,","ISBN":"9781610917568","author":[{"dropping-particle":"","family":"Bhada-Tata","given":"Perinaz","non-dropping-particle":"","parse-names":false,"suffix":""},{"dropping-particle":"","family":"Hoornweg","given":"Daniel","non-dropping-particle":"","parse-names":false,"suffix":""}],"container-title":"Worldwatch Institute, State of the World","id":"ITEM-1","issued":{"date-parts":[["2016"]]},"page":"239-255","title":"Solid Waste and Climate Change","type":"article-journal"},"uris":["http://www.mendeley.com/documents/?uuid=88cc6e9d-83c0-432c-ab92-a565844a3964"]}],"mendeley":{"formattedCitation":"(Bhada-Tata &amp; Hoornweg, 2016)","plainTextFormattedCitation":"(Bhada-Tata &amp; Hoornweg, 2016)","previouslyFormattedCitation":"(Bhada-Tata &amp; Hoornweg, 2016)"},"properties":{"noteIndex":0},"schema":"https://github.com/citation-style-language/schema/raw/master/csl-citation.json"}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(Bhada-Tata &amp; Hoornweg, 2016)</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There are policies that affect behavioural changes towards solid waste generation and management. According to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 10.5822/ 978-1-61091-756-8_20,","ISBN":"9781610917568","author":[{"dropping-particle":"","family":"Bhada-Tata","given":"Perinaz","non-dropping-particle":"","parse-names":false,"suffix":""},{"dropping-particle":"","family":"Hoornweg","given":"Daniel","non-dropping-particle":"","parse-names":false,"suffix":""}],"container-title":"Worldwatch Institute, State of the World","id":"ITEM-1","issued":{"date-parts":[["2016"]]},"page":"239-255","title":"Solid Waste and Climate Change","type":"article-journal"},"uris":["http://www.mendeley.com/documents/?uuid=88cc6e9d-83c0-432c-ab92-a565844a3964"]}],"mendeley":{"formattedCitation":"(Bhada-Tata &amp; Hoornweg, 2016)","manualFormatting":"Bhada-Tata &amp; Hoornweg(2016)","plainTextFormattedCitation":"(Bhada-Tata &amp; Hoornweg, 2016)","previouslyFormattedCitation":"(Bhada-Tata &amp; Hoornweg, 2016)"},"properties":{"noteIndex":0},"schema":"https://github.com/citation-style-language/schema/raw/master/csl-citation.json"}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Bhada-Tata and Hoornweg (2016)</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these policies are successful in various cities which includes; bans on plastic bag usage and variable pricing for trash collection (commonly called “pay-as-you-throw” schemes). For instance, in South Korea, the amount of waste disposed of decreased by 18% in the first year after the introduction of a volume-based waste fee system, and the amount of recyclables collected increased 18 times within 20-years. Such policies have multiple co-benefits beyond the obvious benefits of extending the life of landfills and conserving resources, decreasing the costs of collection and disposal, providing employment opportunities, and mitigating climate change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 10.5822/ 978-1-61091-756-8_20,","ISBN":"9781610917568","author":[{"dropping-particle":"","family":"Bhada-Tata","given":"Perinaz","non-dropping-particle":"","parse-names":false,"suffix":""},{"dropping-particle":"","family":"Hoornweg","given":"Daniel","non-dropping-particle":"","parse-names":false,"suffix":""}],"container-title":"Worldwatch Institute, State of the World","id":"ITEM-1","issued":{"date-parts":[["2016"]]},"page":"239-255","title":"Solid Waste and Climate Change","type":"article-journal"},"uris":["http://www.mendeley.com/documents/?uuid=88cc6e9d-83c0-432c-ab92-a565844a3964"]}],"mendeley":{"formattedCitation":"(Bhada-Tata &amp; Hoornweg, 2016)","plainTextFormattedCitation":"(Bhada-Tata &amp; Hoornweg, 2016)","previouslyFormattedCitation":"(Bhada-Tata &amp; Hoornweg, 2016)"},"properties":{"noteIndex":0},"schema":"https://github.com/citation-style-language/schema/raw/master/csl-citation.json"}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(Bhada-Tata &amp;Hoornweg, 2016)</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.This is the most favoured treatment method for solid waste management because of its ability to protect the environment and human health, and provide economic returns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10.1007/s13762-018-1768-x","ISBN":"0123456789","ISSN":"1735-2630","author":[{"dropping-particle":"","family":"Yakubu","given":"Y","non-dropping-particle":"","parse-names":false,"suffix":""},{"dropping-particle":"","family":"Zhou","given":"J","non-dropping-particle":"","parse-names":false,"suffix":""}],"container-title":"International Journal of Environmental Science and Technology","id":"ITEM-1","issue":"0123456789","issued":{"date-parts":[["2018"]]},"publisher":"Springer Berlin Heidelberg","title":"Novel approach to quantify municipal solid waste management hierarchy based on analytical hierarchy process","type":"article-journal"},"uris":["http://www.mendeley.com/documents/?uuid=0c61feb5-e9b6-4124-a2d1-a48022f9b9d3"]}],"mendeley":{"formattedCitation":"(Yakubu &amp; Zhou, 2018)","plainTextFormattedCitation":"(Yakubu &amp; Zhou, 2018)","previouslyFormattedCitation":"(Yakubu &amp; Zhou,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(Yakubu &amp; Zhou,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pStyle w:val="Heading2"/>
        <w:spacing w:line="480" w:lineRule="auto"/>
        <w:ind w:left="720"/>
      </w:pPr>
      <w:bookmarkStart w:id="31" w:name="_Toc147923042"/>
      <w:r>
        <w:rPr>
          <w:rFonts w:ascii="Times New Roman"/>
          <w:b/>
          <w:i w:val="0"/>
          <w:strike w:val="0"/>
          <w:dstrike w:val="0"/>
          <w:emboss w:val="0"/>
          <w:imprint w:val="0"/>
          <w:outline w:val="0"/>
          <w:shadow w:val="0"/>
          <w:sz w:val="24"/>
          <w:szCs w:val="24"/>
          <w:u w:val="none"/>
        </w:rPr>
        <w:lastRenderedPageBreak/>
        <w:t xml:space="preserve">2.4.2 Waste Reuse</w:t>
      </w:r>
      <w:bookmarkEnd w:id="31"/>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Reuse is the process of re-using waste items back into use instead of discarding them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{"citationItems":[{"id":"ITEM-1","itemData":{"DOI":"https://www.doi.org/ 10.5038/2640-6489.5.1.1081","author":[{"dropping-particle":"","family":"Mensah","given":"Ishmael","non-dropping-particle":"","parse-names":false,"suffix":""}],"container-title":"Journal of Global Business Insights, 5(1), 33-46.","id":"ITEM-1","issue":"1","issued":{"date-parts":[["2020"]]},"page":"33-46","title":"Waste management practices of small hotels in Accra : An application of the waste management hierarchy model","type":"article-journal","volume":"5"},"uris":["http://www.mendeley.com/documents/?uuid=9f0f31cf-7170-45ea-9e07-a435782f1f91"]}],"mendeley":{"formattedCitation":"(Mensah, 2020)","plainTextFormattedCitation":"(Mensah, 2020)","previouslyFormattedCitation":"(Mensah,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(Mensah,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.The reuse (R2) of generated solid waste comprises the reutilisation of items rather than discarding them as waste and purchasing new ones</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10.1007/s13762-018-1768-x","ISBN":"0123456789","ISSN":"1735-2630","author":[{"dropping-particle":"","family":"Yakubu","given":"Y","non-dropping-particle":"","parse-names":false,"suffix":""},{"dropping-particle":"","family":"Zhou","given":"J","non-dropping-particle":"","parse-names":false,"suffix":""}],"container-title":"International Journal of Environmental Science and Technology","id":"ITEM-1","issue":"0123456789","issued":{"date-parts":[["2018"]]},"publisher":"Springer Berlin Heidelberg","title":"Novel approach to quantify municipal solid waste management hierarchy based on analytical hierarchy process","type":"article-journal"},"uris":["http://www.mendeley.com/documents/?uuid=0c61feb5-e9b6-4124-a2d1-a48022f9b9d3"]}],"mendeley":{"formattedCitation":"(Yakubu &amp; Zhou, 2018)","plainTextFormattedCitation":"(Yakubu &amp; Zhou, 2018)","previouslyFormattedCitation":"(Yakubu &amp; Zhou,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(Yakubu &amp; Zhou,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This refers to the selection of durable materials that can be used several times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 10.5822/ 978-1-61091-756-8_20,","ISBN":"9781610917568","author":[{"dropping-particle":"","family":"Bhada-Tata","given":"Perinaz","non-dropping-particle":"","parse-names":false,"suffix":""},{"dropping-particle":"","family":"Hoornweg","given":"Daniel","non-dropping-particle":"","parse-names":false,"suffix":""}],"container-title":"Worldwatch Institute, State of the World","id":"ITEM-1","issued":{"date-parts":[["2016"]]},"page":"239-255","title":"Solid Waste and Climate Change","type":"article-journal"},"uris":["http://www.mendeley.com/documents/?uuid=88cc6e9d-83c0-432c-ab92-a565844a3964"]}],"mendeley":{"formattedCitation":"(Bhada-Tata &amp; Hoornweg, 2016)","plainTextFormattedCitation":"(Bhada-Tata &amp; Hoornweg, 2016)","previouslyFormattedCitation":"(Bhada-Tata &amp; Hoornweg, 2016)"},"properties":{"noteIndex":0},"schema":"https://github.com/citation-style-language/schema/raw/master/csl-citation.json"}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(Bhada-Tata &amp;Hoornweg, 2016)</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Reuse is the repeated use of products, such as reusable cups, returnable bottles, used clothing, and re-using parts of dismantled products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{"citationItems":[{"id":"ITEM-1","itemData":{"author":[{"dropping-particle":"","family":"Karunarathne","given":"Lakshi","non-dropping-particle":"","parse-names":false,"suffix":""}],"id":"ITEM-1","issue":"November","issued":{"date-parts":[["2015"]]},"title":"Municipal Solid Waste Management ( MSWM ) in Sri Lanka Municipal Solid Waste Management ( MSWM ) in Sri Lanka","type":"article-journal"},"uris":["http://www.mendeley.com/documents/?uuid=e98ca419-fd98-482f-9548-6c7818f3071e"]}],"mendeley":{"formattedCitation":"(Karunarathne, 2015)","plainTextFormattedCitation":"(Karunarathne, 2015)","previouslyFormattedCitation":"(Karunarathne, 2015)"},"properties":{"noteIndex":0},"schema":"https://github.com/citation-style-language/schema/raw/master/csl-citation.json"}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(Karunarathne, 2015)</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.Reusable items for example may include plastic bottles or containers, rechargeable batteries and using durable shopping bags in place of plastic bags. Additionally, the introduction of fees and penalties for specific types of solid waste items may result in waste reuse.  A study by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 10.5822/ 978-1-61091-756-8_20,","ISBN":"9781610917568","author":[{"dropping-particle":"","family":"Bhada-Tata","given":"Perinaz","non-dropping-particle":"","parse-names":false,"suffix":""},{"dropping-particle":"","family":"Hoornweg","given":"Daniel","non-dropping-particle":"","parse-names":false,"suffix":""}],"container-title":"Worldwatch Institute, State of the World","id":"ITEM-1","issued":{"date-parts":[["2016"]]},"page":"239-255","title":"Solid Waste and Climate Change","type":"article-journal"},"uris":["http://www.mendeley.com/documents/?uuid=88cc6e9d-83c0-432c-ab92-a565844a3964"]}],"mendeley":{"formattedCitation":"(Bhada-Tata &amp; Hoornweg, 2016)","manualFormatting":"Bhada-Tata and Hoornweg (2016)","plainTextFormattedCitation":"(Bhada-Tata &amp; Hoornweg, 2016)","previouslyFormattedCitation":"(Bhada-Tata &amp; Hoornweg, 2016)"},"properties":{"noteIndex":0},"schema":"https://github.com/citation-style-language/schema/raw/master/csl-citation.json"}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Bhada-Tata and Hoornweg (2016)</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established that introduction a five percent tax on disposable plastic and paper bags in Washington, D.C. has reduced plastic bag consumption, encouraged residents to reuse, and raised revenue that was used to fund clean- ups in the local Anacostia River. Thus, reuse offers significant benefits by reducing the environmental impact of waste through the extension of product lifetime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10.1016/j.wasman.2019.01.046","ISSN":"0956-053X","author":[{"dropping-particle":"","family":"Cole","given":"Christine","non-dropping-particle":"","parse-names":false,"suffix":""},{"dropping-particle":"","family":"Gnanapragasam","given":"Alex","non-dropping-particle":"","parse-names":false,"suffix":""},{"dropping-particle":"","family":"Cooper","given":"Tim","non-dropping-particle":"","parse-names":false,"suffix":""},{"dropping-particle":"","family":"Singh","given":"Jagdeep","non-dropping-particle":"","parse-names":false,"suffix":""}],"container-title":"Waste Management","id":"ITEM-1","issued":{"date-parts":[["2019"]]},"page":"417-427","publisher":"The Authors","title":"An assessment of achievements of the WEEE Directive in promoting movement up the waste hierarchy : experiences in the UK PrevenƟon Reuse Recycling Recovery Disposal","type":"article-journal","volume":"87"},"uris":["http://www.mendeley.com/documents/?uuid=3150a55a-d6bf-4cf8-9c18-2fdd65202cf8"]}],"mendeley":{"formattedCitation":"(Cole et al., 2019)","plainTextFormattedCitation":"(Cole et al., 2019)","previouslyFormattedCitation":"(Cole et al.,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(Cole et al.,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pStyle w:val="Heading2"/>
        <w:spacing w:line="480" w:lineRule="auto"/>
        <w:ind w:left="720"/>
      </w:pPr>
      <w:bookmarkStart w:id="32" w:name="_Toc147923043"/>
      <w:r>
        <w:rPr>
          <w:rFonts w:ascii="Times New Roman"/>
          <w:b/>
          <w:i w:val="0"/>
          <w:strike w:val="0"/>
          <w:dstrike w:val="0"/>
          <w:emboss w:val="0"/>
          <w:imprint w:val="0"/>
          <w:outline w:val="0"/>
          <w:shadow w:val="0"/>
          <w:sz w:val="24"/>
          <w:szCs w:val="24"/>
          <w:u w:val="none"/>
        </w:rPr>
        <w:t xml:space="preserve">2.4.3 Waste Recycling and Composting</w:t>
      </w:r>
      <w:bookmarkEnd w:id="32"/>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Recycling is the processing of waste materials into new commodities with economic value, by which resources are conserved and waste is generally minimized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 10.5822/ 978-1-61091-756-8_20,","ISBN":"9781610917568","author":[{"dropping-particle":"","family":"Bhada-Tata","given":"Perinaz","non-dropping-particle":"","parse-names":false,"suffix":""},{"dropping-particle":"","family":"Hoornweg","given":"Daniel","non-dropping-particle":"","parse-names":false,"suffix":""}],"container-title":"Worldwatch Institute, State of the World","id":"ITEM-1","issued":{"date-parts":[["2016"]]},"page":"239-255","title":"Solid Waste and Climate Change","type":"article-journal"},"uris":["http://www.mendeley.com/documents/?uuid=88cc6e9d-83c0-432c-ab92-a565844a3964"]}],"mendeley":{"formattedCitation":"(Bhada-Tata &amp; Hoornweg, 2016)","plainTextFormattedCitation":"(Bhada-Tata &amp; Hoornweg, 2016)","previouslyFormattedCitation":"(Bhada-Tata &amp; Hoornweg, 2016)"},"properties":{"noteIndex":0},"schema":"https://github.com/citation-style-language/schema/raw/master/csl-citation.json"}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(Bhada-Tata &amp;Hoornweg, 2016)</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Recycling (R3) encompasses the process of collecting items that are not used, used, and reused, which are considered waste, sorting, pre</w:t>
      </w:r>
      <w:r>
        <w:rPr>
          <w:rFonts w:hAnsi="Times New Roman" w:ascii="Times New Roman" w:eastAsia="Times New Roman" w:cs="Times New Roman"/>
          <w:b w:val="0"/>
          <w:i w:val="0"/>
          <w:strike w:val="0"/>
          <w:dstrike w:val="0"/>
          <w:emboss w:val="0"/>
          <w:imprint w:val="0"/>
          <w:outline w:val="0"/>
          <w:shadow w:val="0"/>
          <w:sz w:val="24"/>
          <w:szCs w:val="24"/>
          <w:u w:val="none"/>
        </w:rPr>
        <w:noBreakHyphen/>
        <w:t xml:space="preserve">treatment, and processing into secondary raw materials or finished goods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10.1007/s13762-018-1768-x","ISBN":"0123456789","ISSN":"1735-2630","author":[{"dropping-particle":"","family":"Yakubu","given":"Y","non-dropping-particle":"","parse-names":false,"suffix":""},{"dropping-particle":"","family":"Zhou","given":"J","non-dropping-particle":"","parse-names":false,"suffix":""}],"container-title":"International Journal of Environmental Science and Technology","id":"ITEM-1","issue":"0123456789","issued":{"date-parts":[["2018"]]},"publisher":"Springer Berlin Heidelberg","title":"Novel approach to quantify municipal solid waste management hierarchy based on analytical hierarchy process","type":"article-journal"},"uris":["http://www.mendeley.com/documents/?uuid=0c61feb5-e9b6-4124-a2d1-a48022f9b9d3"]}],"mendeley":{"formattedCitation":"(Yakubu &amp; Zhou, 2018)","plainTextFormattedCitation":"(Yakubu &amp; Zhou, 2018)","previouslyFormattedCitation":"(Yakubu &amp; Zhou,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(Yakubu &amp; Zhou,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Recycling is viewed by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{"citationItems":[{"id":"ITEM-1","itemData":{"DOI":"https://www.doi.org/ 10.5038/2640-6489.5.1.1081","author":[{"dropping-particle":"","family":"Mensah","given":"Ishmael","non-dropping-particle":"","parse-names":false,"suffix":""}],"container-title":"Journal of Global Business Insights, 5(1), 33-46.","id":"ITEM-1","issue":"1","issued":{"date-parts":[["2020"]]},"page":"33-46","title":"Waste management practices of small hotels in Accra : An application of the waste management hierarchy model","type":"article-journal","volume":"5"},"uris":["http://www.mendeley.com/documents/?uuid=9f0f31cf-7170-45ea-9e07-a435782f1f91"]}],"mendeley":{"formattedCitation":"(Mensah, 2020)","manualFormatting":"Mensah (2020)","plainTextFormattedCitation":"(Mensah, 2020)","previouslyFormattedCitation":"(Mensah,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Mensah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as involving the transformation or reprocessing of waste materials into new products. In addition, recycling involves the use of all or parts of a used product as raw material in the same or other products by shredding, recovering valuable materials, or other proper measures</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{"citationItems":[{"id":"ITEM-1","itemData":{"author":[{"dropping-particle":"","family":"Karunarathne","given":"Lakshi","non-dropping-particle":"","parse-names":false,"suffix":""}],"id":"ITEM-1","issue":"November","issued":{"date-parts":[["2015"]]},"title":"Municipal Solid Waste Management ( MSWM ) in Sri Lanka Municipal Solid Waste Management ( MSWM ) in Sri Lanka","type":"article-journal"},"uris":["http://www.mendeley.com/documents/?uuid=e98ca419-fd98-482f-9548-6c7818f3071e"]}],"mendeley":{"formattedCitation":"(Karunarathne, 2015)","plainTextFormattedCitation":"(Karunarathne, 2015)","previouslyFormattedCitation":"(Karunarathne, 2015)"},"properties":{"noteIndex":0},"schema":"https://github.com/citation-style-language/schema/raw/master/csl-citation.json"}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(Karunarathne, 2015)</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 recycling of waste materials aids in waste reduction, ensures environmental cleanliness, preserves landfill space, and reduces greenhouse gas emissions. A policy that helps address the growing problem of solid waste is “Extended Producer Responsibility (EPR)”, which requires the producers of a product to maintain responsibility throughout its full life cycle. This policy encourages producers who have the most control over product design, production, and packaging to reduce toxicity and simplify product recycling. This can be established in both high-income and low-income countries, such as Ghana, at the local and national levels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 10.5822/ 978-1-61091-756-8_20,","ISBN":"9781610917568","author":[{"dropping-particle":"","family":"Bhada-Tata","given":"Perinaz","non-dropping-particle":"","parse-names":false,"suffix":""},{"dropping-particle":"","family":"Hoornweg","given":"Daniel","non-dropping-particle":"","parse-names":false,"suffix":""}],"container-title":"Worldwatch Institute, State of the World","id":"ITEM-1","issued":{"date-parts":[["2016"]]},"page":"239-255","title":"Solid Waste and Climate Change","type":"article-journal"},"uris":["http://www.mendeley.com/documents/?uuid=88cc6e9d-83c0-432c-ab92-a565844a3964"]}],"mendeley":{"formattedCitation":"(Bhada-Tata &amp; Hoornweg, 2016)","plainTextFormattedCitation":"(Bhada-Tata &amp; Hoornweg, 2016)","previouslyFormattedCitation":"(Bhada-Tata &amp; Hoornweg, 2016)"},"properties":{"noteIndex":0},"schema":"https://github.com/citation-style-language/schema/raw/master/csl-citation.json"}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(Bhada-Tata &amp;Hoornweg, 2016)</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Composting is another form of recycling that involves the use of organic materials as the main raw materials</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10.1007/s13762-018-1768-x","ISBN":"0123456789","ISSN":"1735-2630","author":[{"dropping-particle":"","family":"Yakubu","given":"Y","non-dropping-particle":"","parse-names":false,"suffix":""},{"dropping-particle":"","family":"Zhou","given":"J","non-dropping-particle":"","parse-names":false,"suffix":""}],"container-title":"International Journal of Environmental Science and Technology","id":"ITEM-1","issue":"0123456789","issued":{"date-parts":[["2018"]]},"publisher":"Springer Berlin Heidelberg","title":"Novel approach to quantify municipal solid waste management hierarchy based on analytical hierarchy process","type":"article-journal"},"uris":["http://www.mendeley.com/documents/?uuid=0c61feb5-e9b6-4124-a2d1-a48022f9b9d3"]}],"mendeley":{"formattedCitation":"(Yakubu &amp; Zhou, 2018)","plainTextFormattedCitation":"(Yakubu &amp; Zhou, 2018)","previouslyFormattedCitation":"(Yakubu &amp; Zhou,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(Yakubu &amp; Zhou,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Composting is the process of breaking down organic waste in the presence of oxygen into a nutrient-rich soil conditioner, over a period of weeks to months. This reduces the volume of organic waste by as much as 90%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 10.5822/ 978-1-61091-756-8_20,","ISBN":"9781610917568","author":[{"dropping-particle":"","family":"Bhada-Tata","given":"Perinaz","non-dropping-particle":"","parse-names":false,"suffix":""},{"dropping-particle":"","family":"Hoornweg","given":"Daniel","non-dropping-particle":"","parse-names":false,"suffix":""}],"container-title":"Worldwatch Institute, State of the World","id":"ITEM-1","issued":{"date-parts":[["2016"]]},"page":"239-255","title":"Solid Waste and Climate Change","type":"article-journal"},"uris":["http://www.mendeley.com/documents/?uuid=88cc6e9d-83c0-432c-ab92-a565844a3964"]}],"mendeley":{"formattedCitation":"(Bhada-Tata &amp; Hoornweg, 2016)","plainTextFormattedCitation":"(Bhada-Tata &amp; Hoornweg, 2016)","previouslyFormattedCitation":"(Bhada-Tata &amp; Hoornweg, 2016)"},"properties":{"noteIndex":0},"schema":"https://github.com/citation-style-language/schema/raw/master/csl-citation.json"}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(Bhada-Tata &amp;Hoornweg, 2016)</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p>
    <w:p>
      <w:pPr>
        <w:pStyle w:val="Heading2"/>
        <w:spacing w:line="480" w:lineRule="auto"/>
        <w:ind w:left="720"/>
      </w:pPr>
      <w:bookmarkStart w:id="33" w:name="_Toc147923044"/>
      <w:r>
        <w:rPr>
          <w:rFonts w:ascii="Times New Roman"/>
          <w:b/>
          <w:i w:val="0"/>
          <w:strike w:val="0"/>
          <w:dstrike w:val="0"/>
          <w:emboss w:val="0"/>
          <w:imprint w:val="0"/>
          <w:outline w:val="0"/>
          <w:shadow w:val="0"/>
          <w:sz w:val="24"/>
          <w:szCs w:val="24"/>
          <w:u w:val="none"/>
        </w:rPr>
        <w:t xml:space="preserve">2.4.4 Waste Recovery</w:t>
      </w:r>
      <w:bookmarkEnd w:id="33"/>
    </w:p>
    <w:p>
      <w:pPr>
        <w:spacing w:line="480" w:lineRule="auto"/>
        <w:ind w:left="720"/>
        <w:contextualSpacing w:val="1"/>
        <w:jc w:val="both"/>
        <w:rPr>
          <w:rFonts w:hAnsi="Times New Roman" w:ascii="Times New Roman" w:eastAsia="Times New Roman" w:cs="Times New Roman"/>
          <w:b/>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Although not all solid waste can be reduced, reused, or recycled, energy can be recovered from such waste instead of being dumped</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{"citationItems":[{"id":"ITEM-1","itemData":{"DOI":"https://www.doi.org/ 10.5038/2640-6489.5.1.1081","author":[{"dropping-particle":"","family":"Mensah","given":"Ishmael","non-dropping-particle":"","parse-names":false,"suffix":""}],"container-title":"Journal of Global Business Insights, 5(1), 33-46.","id":"ITEM-1","issue":"1","issued":{"date-parts":[["2020"]]},"page":"33-46","title":"Waste management practices of small hotels in Accra : An application of the waste management hierarchy model","type":"article-journal","volume":"5"},"uris":["http://www.mendeley.com/documents/?uuid=9f0f31cf-7170-45ea-9e07-a435782f1f91"]}],"mendeley":{"formattedCitation":"(Mensah, 2020)","plainTextFormattedCitation":"(Mensah, 2020)","previouslyFormattedCitation":"(Mensah,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(Mensah,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r>
        <w:rPr>
          <w:rFonts w:hAnsi="Times New Roman" w:ascii="Times New Roman" w:cs="Times New Roman"/>
          <w:b w:val="0"/>
          <w:i w:val="0"/>
          <w:strike w:val="0"/>
          <w:dstrike w:val="0"/>
          <w:emboss w:val="0"/>
          <w:imprint w:val="0"/>
          <w:outline w:val="0"/>
          <w:shadow w:val="0"/>
          <w:sz w:val="24"/>
          <w:szCs w:val="24"/>
          <w:u w:val="none"/>
        </w:rPr>
        <w:t xml:space="preserve">Recovery produces energy and materials from waste and includes incineration of residual waste that cannot be otherwise recycled, anaerobic digestion, gasification, and pyrolysis (Hoornweg&amp;Bhada-Tata, 2012).</w:t>
      </w:r>
    </w:p>
    <w:p>
      <w:pPr>
        <w:spacing w:line="480" w:lineRule="auto"/>
        <w:ind w:left="720"/>
        <w:contextualSpacing w:val="1"/>
        <w:jc w:val="both"/>
        <w:rPr>
          <w:rFonts w:hAnsi="Times New Roman" w:ascii="Times New Roman" w:eastAsia="Times New Roman" w:cs="Times New Roman"/>
          <w:b/>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The elements of processing and recovery comprise all the equipment, technologies, and facilities used to improve the efficiency of other functional elements and to recover usable materials, conversion products, or energy from solid waste. Separation operations have been planned to recover valuable resources from the mixed solid wastes delivered to transfer stations or solid waste processing plants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{"citationItems":[{"id":"ITEM-1","itemData":{"DOI":"10.1017/CBO9781107415324.004","ISBN":"9788578110796","ISSN":"1098-6596","PMID":"25246403","abstract":"The study aimed ensuring a clean environment in the Tamale Metropolis. It analysed the underlying factors affecting effective solid waste management in the metropolis and suggested possible measures to tackle the problem. The research gathered data from two main sources namely: secondary and primary sources. The three main techniques employed in gathering the primary data were: preliminary field investigation, questionnaire survey and face-to-face interview. The following key findings were established to be the factors affecting effective solid waste management in the Metropolis. These are: • Inadequate skip supply for storing waste. • Lack of routine collection of waste. • Poor methods of waste management. • Inadequate resources for waste management institutions to effectively collect the waste generated. In the light of these problems enumerated above, the research recommended the adequate supply of skips, regular collection of waste, use of Integrated Solid Waste Management (ISWM)","author":[{"dropping-particle":"","family":"Puopiel","given":"F.","non-dropping-particle":"","parse-names":false,"suffix":""}],"id":"ITEM-1","issued":{"date-parts":[["2010"]]},"number-of-pages":"93","title":"Solid Waste Management in Ghana: the Case of Tamale Metropolitan Area","type":"thesis"},"uris":["http://www.mendeley.com/documents/?uuid=86fa8a69-9699-4884-9e96-f5783d7b2fd6"]}],"mendeley":{"formattedCitation":"(Puopiel, 2010)","plainTextFormattedCitation":"(Puopiel, 2010)","previouslyFormattedCitation":"(Puopiel, 2010)"},"properties":{"noteIndex":0},"schema":"https://github.com/citation-style-language/schema/raw/master/csl-citation.json"}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(Puopiel, 2010)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b w:val="0"/>
          <w:i w:val="0"/>
          <w:strike w:val="0"/>
          <w:dstrike w:val="0"/>
          <w:emboss w:val="0"/>
          <w:imprint w:val="0"/>
          <w:outline w:val="0"/>
          <w:shadow w:val="0"/>
          <w:sz w:val="24"/>
          <w:szCs w:val="24"/>
          <w:u w:val="none"/>
        </w:rPr>
        <w:t xml:space="preserve">Sustainable waste management practices require optimization of the recovery of materials and energy from different waste streams to minimize the environmental impact while maximizing the utilization of potential material and energy sources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{"citationItems":[{"id":"ITEM-1","itemData":{"DOI":"https://www.doi.org/ 10.5038/2640-6489.5.1.1081","author":[{"dropping-particle":"","family":"Mensah","given":"Ishmael","non-dropping-particle":"","parse-names":false,"suffix":""}],"container-title":"Journal of Global Business Insights, 5(1), 33-46.","id":"ITEM-1","issue":"1","issued":{"date-parts":[["2020"]]},"page":"33-46","title":"Waste management practices of small hotels in Accra : An application of the waste management hierarchy model","type":"article-journal","volume":"5"},"uris":["http://www.mendeley.com/documents/?uuid=9f0f31cf-7170-45ea-9e07-a435782f1f91"]}],"mendeley":{"formattedCitation":"(Mensah, 2020)","plainTextFormattedCitation":"(Mensah, 2020)","previouslyFormattedCitation":"(Mensah,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(Mensah,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pStyle w:val="Heading2"/>
        <w:spacing w:line="480" w:lineRule="auto"/>
        <w:ind w:left="720"/>
        <w:rPr>
          <w:szCs w:val="24"/>
        </w:rPr>
      </w:pPr>
      <w:bookmarkStart w:id="34" w:name="_Toc147923045"/>
      <w:r>
        <w:rPr>
          <w:rFonts w:ascii="Times New Roman"/>
          <w:b/>
          <w:i w:val="0"/>
          <w:strike w:val="0"/>
          <w:dstrike w:val="0"/>
          <w:emboss w:val="0"/>
          <w:imprint w:val="0"/>
          <w:outline w:val="0"/>
          <w:shadow w:val="0"/>
          <w:sz w:val="24"/>
          <w:szCs w:val="24"/>
          <w:u w:val="none"/>
        </w:rPr>
        <w:t xml:space="preserve">2.4.5 Waste Disposal</w:t>
      </w:r>
      <w:bookmarkEnd w:id="34"/>
    </w:p>
    <w:p>
      <w:pPr>
        <w:spacing w:line="480" w:lineRule="auto"/>
        <w:ind w:left="720"/>
        <w:contextualSpacing w:val="1"/>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Waste disposal is the final and </w:t>
      </w:r>
      <w:r>
        <w:rPr>
          <w:rFonts w:hAnsi="Times New Roman" w:ascii="Times New Roman" w:eastAsia="Times New Roman" w:cs="Times New Roman"/>
          <w:b w:val="0"/>
          <w:i w:val="0"/>
          <w:strike w:val="0"/>
          <w:dstrike w:val="0"/>
          <w:emboss w:val="0"/>
          <w:imprint w:val="0"/>
          <w:outline w:val="0"/>
          <w:shadow w:val="0"/>
          <w:sz w:val="24"/>
          <w:szCs w:val="24"/>
          <w:u w:val="none"/>
        </w:rPr>
        <w:t xml:space="preserve">least preferred </w:t>
      </w:r>
      <w:r>
        <w:rPr>
          <w:rFonts w:hAnsi="Times New Roman" w:ascii="Times New Roman" w:cs="Times New Roman"/>
          <w:b w:val="0"/>
          <w:i w:val="0"/>
          <w:strike w:val="0"/>
          <w:dstrike w:val="0"/>
          <w:emboss w:val="0"/>
          <w:imprint w:val="0"/>
          <w:outline w:val="0"/>
          <w:shadow w:val="0"/>
          <w:sz w:val="24"/>
          <w:szCs w:val="24"/>
          <w:u w:val="none"/>
        </w:rPr>
        <w:t xml:space="preserve">stage of the solid waste management hierarchy. </w:t>
      </w:r>
      <w:r>
        <w:rPr>
          <w:rFonts w:hAnsi="Times New Roman" w:ascii="Times New Roman" w:eastAsia="Times New Roman" w:cs="Times New Roman"/>
          <w:b w:val="0"/>
          <w:i w:val="0"/>
          <w:strike w:val="0"/>
          <w:dstrike w:val="0"/>
          <w:emboss w:val="0"/>
          <w:imprint w:val="0"/>
          <w:outline w:val="0"/>
          <w:shadow w:val="0"/>
          <w:sz w:val="24"/>
          <w:szCs w:val="24"/>
          <w:u w:val="none"/>
        </w:rPr>
        <w:t xml:space="preserve">This involves the collection and disposal of waste at landfill sites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{"citationItems":[{"id":"ITEM-1","itemData":{"DOI":"https://www.doi.org/ 10.5038/2640-6489.5.1.1081","author":[{"dropping-particle":"","family":"Mensah","given":"Ishmael","non-dropping-particle":"","parse-names":false,"suffix":""}],"container-title":"Journal of Global Business Insights, 5(1), 33-46.","id":"ITEM-1","issue":"1","issued":{"date-parts":[["2020"]]},"page":"33-46","title":"Waste management practices of small hotels in Accra : An application of the waste management hierarchy model","type":"article-journal","volume":"5"},"uris":["http://www.mendeley.com/documents/?uuid=9f0f31cf-7170-45ea-9e07-a435782f1f91"]}],"mendeley":{"formattedCitation":"(Mensah, 2020)","plainTextFormattedCitation":"(Mensah, 2020)","previouslyFormattedCitation":"(Mensah,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(Mensah,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It</w:t>
      </w:r>
      <w:r>
        <w:rPr>
          <w:rFonts w:hAnsi="Times New Roman" w:ascii="Times New Roman" w:cs="Times New Roman"/>
          <w:b w:val="0"/>
          <w:i w:val="0"/>
          <w:strike w:val="0"/>
          <w:dstrike w:val="0"/>
          <w:emboss w:val="0"/>
          <w:imprint w:val="0"/>
          <w:outline w:val="0"/>
          <w:shadow w:val="0"/>
          <w:sz w:val="24"/>
          <w:szCs w:val="24"/>
          <w:u w:val="none"/>
        </w:rPr>
        <w:t xml:space="preserve"> also includes the disposal of solid waste in designated areas, such as dumping sites, landfills, incinerators, or energy recovery centres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{"citationItems":[{"id":"ITEM-1","itemData":{"ISBN":"9788490225370","abstract":"This study departs from the reality of gender relations within the family institution which has to be dikhotomis, causing the pole inequality relations between men and women. Therefore, in this study wanted to dismantle the detail view of some theories, both social and feminist about gender relations in the family. Each of these theories (structural functional, conflict and feminist) has their own viewpoint about the pattern of gender relations in the family. However, simultaneously acknowledging that the social construction of culture remained significant influence on the division of roles are played by men (husbands) and women (wife) in the family institution. This means that the social construction of culture was instrumental in the creation of relations contribute between men and women equally or otherwise occurred inequality.","author":[{"dropping-particle":"","family":"Muiruri","given":"Joseph Mbiro","non-dropping-particle":"","parse-names":false,"suffix":""}],"container-title":"Braz Dent J.","id":"ITEM-1","issue":"1","issued":{"date-parts":[["2022"]]},"number-of-pages":"1-12","publisher":"University of Nairobi","title":"ASSESSMENT OF RESIDENTS’ KNOWLEDGE, ATTITUDE AND PRACTICES ON SOLID WASTE MANAGEMENT IN EASTLEIGH SOUTH WARD, NAIROBI, KENYA","type":"thesis","volume":"33"},"uris":["http://www.mendeley.com/documents/?uuid=94c8539a-5423-4f60-844a-da9488199fac"]}],"mendeley":{"formattedCitation":"(Muiruri, 2022)","plainTextFormattedCitation":"(Muiruri, 2022)","previouslyFormattedCitation":"(Muiruri, 2022)"},"properties":{"noteIndex":0},"schema":"https://github.com/citation-style-language/schema/raw/master/csl-citation.json"}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(Muiruri, 2022)</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According to the literature, the final disposal of waste is the ultimate fate of all solid wastes, whether they are residential wastes or any other source, collected and transported directly to landfill sites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{"citationItems":[{"id":"ITEM-1","itemData":{"abstract":"The perception of tourist about accessibility from Penelokan village to Toya Bungkah destination” has objective to known the tourist perceptions of accessibility in Toya Bungkah destination. Kinds data used are primary data and secondary data. The data was gain through observations, depth interviews, questionnaires, literature studies, and documentations. Sampling was gain by purposive sampling to option the data of accessibility. The respondents was choose by using quota sampling. Analyzed the perception of tourist by using attitude scale (Likert scale) to measure the results. The result of the research showed that the tourist perceptions of accessibility to Toya Bungkah were : Condition about access from Penelokan to Toya Bungkah get average score was 3.10 is good enough, Quality of access from Penelokan to Toya Bungkah get average score was 3.20 is good enough, Comfortable of access from Penelokan to Toya Bungkah get average score was 3.14 is good enough, Condition transportasion after arrived from Penelokan to Toya Bungkah get average score was 3,48 is good, View at around access the tourist can see from Penelokan to Toya Bungkah get average score was 4.08 is good, Safety with the path from Penelokan to Toya Bungkah get average score was 3.50 is good, Perception of the tourist about Toya Bungkah get average score was 3.76 is good.","author":[{"dropping-particle":"","family":"Dongballe","given":"Felix","non-dropping-particle":"","parse-names":false,"suffix":""}],"container-title":"www.udsspace.uds.edu.gh","id":"ITEM-1","issue":"March","issued":{"date-parts":[["2016"]]},"number-of-pages":"11-40","title":"SOLID WASTE MANAGEMENT IN THE WA MUNICIPALITY: CHALLENGES AND OPTIONS","type":"thesis","volume":"147"},"uris":["http://www.mendeley.com/documents/?uuid=4176dd0c-a168-4f20-a66f-a75fc6ccb89d"]},{"id":"ITEM-2","itemData":{"DOI":"10.1017/CBO9781107415324.004","ISBN":"9788578110796","ISSN":"1098-6596","PMID":"25246403","abstract":"The study aimed ensuring a clean environment in the Tamale Metropolis. It analysed the underlying factors affecting effective solid waste management in the metropolis and suggested possible measures to tackle the problem. The research gathered data from two main sources namely: secondary and primary sources. The three main techniques employed in gathering the primary data were: preliminary field investigation, questionnaire survey and face-to-face interview. The following key findings were established to be the factors affecting effective solid waste management in the Metropolis. These are: • Inadequate skip supply for storing waste. • Lack of routine collection of waste. • Poor methods of waste management. • Inadequate resources for waste management institutions to effectively collect the waste generated. In the light of these problems enumerated above, the research recommended the adequate supply of skips, regular collection of waste, use of Integrated Solid Waste Management (ISWM)","author":[{"dropping-particle":"","family":"Puopiel","given":"F.","non-dropping-particle":"","parse-names":false,"suffix":""}],"id":"ITEM-2","issued":{"date-parts":[["2010"]]},"number-of-pages":"93","title":"Solid Waste Management in Ghana: the Case of Tamale Metropolitan Area","type":"thesis"},"uris":["http://www.mendeley.com/documents/?uuid=86fa8a69-9699-4884-9e96-f5783d7b2fd6"]}],"mendeley":{"formattedCitation":"(Dongballe, 2016; Puopiel, 2010)","plainTextFormattedCitation":"(Dongballe, 2016; Puopiel, 2010)","previouslyFormattedCitation":"(Dongballe, 2016; Puopiel, 2010)"},"properties":{"noteIndex":0},"schema":"https://github.com/citation-style-language/schema/raw/master/csl-citation.json"}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(Dongballe, 2016; Puopiel, 2010)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 landfill was described by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{"citationItems":[{"id":"ITEM-1","itemData":{"ISBN":"9788490225370","abstract":"This study departs from the reality of gender relations within the family institution which has to be dikhotomis, causing the pole inequality relations between men and women. Therefore, in this study wanted to dismantle the detail view of some theories, both social and feminist about gender relations in the family. Each of these theories (structural functional, conflict and feminist) has their own viewpoint about the pattern of gender relations in the family. However, simultaneously acknowledging that the social construction of culture remained significant influence on the division of roles are played by men (husbands) and women (wife) in the family institution. This means that the social construction of culture was instrumental in the creation of relations contribute between men and women equally or otherwise occurred inequality.","author":[{"dropping-particle":"","family":"Muiruri","given":"Joseph Mbiro","non-dropping-particle":"","parse-names":false,"suffix":""}],"container-title":"Braz Dent J.","id":"ITEM-1","issue":"1","issued":{"date-parts":[["2022"]]},"number-of-pages":"1-12","publisher":"University of Nairobi","title":"ASSESSMENT OF RESIDENTS’ KNOWLEDGE, ATTITUDE AND PRACTICES ON SOLID WASTE MANAGEMENT IN EASTLEIGH SOUTH WARD, NAIROBI, KENYA","type":"thesis","volume":"33"},"uris":["http://www.mendeley.com/documents/?uuid=94c8539a-5423-4f60-844a-da9488199fac"]}],"mendeley":{"formattedCitation":"(Muiruri, 2022)","manualFormatting":"Muiruri(2022)","plainTextFormattedCitation":"(Muiruri, 2022)","previouslyFormattedCitation":"(Muiruri, 2022)"},"properties":{"noteIndex":0},"schema":"https://github.com/citation-style-language/schema/raw/master/csl-citation.json"}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Muiruri (2022)</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as the final disposal site for all types of waste after recyclable elements have been separated for various uses, and other biodegradables have been taken from the garbage for use as compost, heat, electricity, or after incineration. </w:t>
      </w:r>
    </w:p>
    <w:p>
      <w:pPr>
        <w:spacing w:line="480" w:lineRule="auto"/>
        <w:ind w:left="720"/>
        <w:contextualSpacing w:val="1"/>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Figure 1 demonstrates the Traditional Waste Hierarchy and the New Waste Management paradigm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{"citationItems":[{"id":"ITEM-1","itemData":{"ISSN":"16915534","abstract":"Well-organised waste management is an essential part of sustainable development. The saving of resources and energy is everyoneís concern and environmental education is vital to guarantee a sustainable lifestyle in the long run. To find out what similarities and differences in views regarding waste management exist between grammar school pupils and comprehensive school pupils in England, questionnaires were designed and distributed in two schools in the same English city. The questionnaires aimed at quantifying and establishing studentsí knowledge, attitudes and behaviour regarding waste management. The results illustrate that students from the grammar school had higher levels of knowledge, were more likely to recycle and used more sources of information regarding waste management. Waste reduction was considered important by almost all students. However, students in both schools considered composting and waste reduction as less important than recycling and thereby did not fully agree with sustainable waste management. [ABSTRACT FROM AUTHOR]","author":[{"dropping-particle":"","family":"Essuman","given":"K. N.","non-dropping-particle":"","parse-names":false,"suffix":""}],"container-title":"Journal of Teacher Education for Sustainability","id":"ITEM-1","issue":"1","issued":{"date-parts":[["2017"]]},"page":"23-91","title":"‘Knowledge, attitudes and practices of coastal communities on waste management in Ghana’","type":"article-journal","volume":"17"},"uris":["http://www.mendeley.com/documents/?uuid=3876db4c-efda-43af-ba83-6657cc69d571"]}],"mendeley":{"formattedCitation":"(Essuman, 2017)","plainTextFormattedCitation":"(Essuman, 2017)","previouslyFormattedCitation":"(Essuman, 2017)"},"properties":{"noteIndex":0},"schema":"https://github.com/citation-style-language/schema/raw/master/csl-citation.json"}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(Essuman, 2017)</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This is performed in a planned manner to preserve the physical environment and promote public health. The waste management pyramid demonstrates how actions must be taken. From the new waste management paradigm, the first action must be taken to prevent waste generation, followed by reducing and re-using waste, recycling, waste recovery to energy, and waste disposal in landfills. Waste disposal in landfills is the last resort only when waste has not been prevented, diverted, or recovered in the preceding steps.  The New Waste Management Paradigm is the reverse of Traditional Waste Management Hierarchy.</w:t>
      </w:r>
    </w:p>
    <w:p>
      <w:pPr>
        <w:spacing w:line="480" w:lineRule="auto"/>
        <w:ind w:left="720"/>
        <w:contextualSpacing w:val="1"/>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Every household is responsible for ensuring a healthy environment by minimizing the quantity of solid waste generated. This responsibility has brought about a new waste management hierarchy with the objective of reducing the volume of waste generated in landfills. The New hierarchy emphasizes reduction, reuse, and recycling (3Rs). The hierarchy aids in reducing the environmental impact of solid waste and promoting quality of life.</w:t>
      </w:r>
    </w:p>
    <w:p>
      <w:pPr>
        <w:spacing w:line="480" w:lineRule="auto"/>
        <w:ind w:left="720"/>
        <w:contextualSpacing w:val="1"/>
        <w:jc w:val="both"/>
        <w:rPr>
          <w:rFonts w:hAnsi="Times New Roman" w:ascii="Times New Roman" w:cs="Times New Roman"/>
          <w:sz w:val="24"/>
        </w:rPr>
      </w:pPr>
    </w:p>
    <w:p>
      <w:pPr>
        <w:spacing w:line="480" w:lineRule="auto"/>
        <w:ind w:left="720"/>
        <w:contextualSpacing w:val="1"/>
        <w:jc w:val="both"/>
      </w:pPr>
      <w:r>
        <w:rPr>
          <w:rFonts w:hAnsi="Times New Roman" w:ascii="Times New Roman" w:cs="Times New Roman"/>
          <w:b w:val="0"/>
          <w:i w:val="0"/>
          <w:strike w:val="0"/>
          <w:dstrike w:val="0"/>
          <w:emboss w:val="0"/>
          <w:imprint w:val="0"/>
          <w:outline w:val="0"/>
          <w:shadow w:val="0"/>
          <w:sz w:val="24"/>
          <w:szCs w:val="24"/>
          <w:u w:val="none"/>
        </w:rPr>
        <w:lastRenderedPageBreak/>
        <w:drawing>
          <wp:inline>
            <wp:extent cx="5907197" cy="4761783"/>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ENJAMIN NAAH\Pictures\SWM (2).PNG"/>
                    <pic:cNvPicPr>
                      <a:picLocks noChangeAspect="1" noChangeArrowheads="1"/>
                    </pic:cNvPicPr>
                  </pic:nvPicPr>
                  <pic:blipFill>
                    <a:blip r:embed="rId12">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59142" cy="4803650"/>
                    </a:xfrm>
                    <a:prstGeom prst="rect">
                      <a:avLst/>
                    </a:prstGeom>
                    <a:noFill/>
                    <a:ln>
                      <a:noFill/>
                    </a:ln>
                  </pic:spPr>
                </pic:pic>
              </a:graphicData>
            </a:graphic>
          </wp:inline>
        </w:drawing>
      </w:r>
    </w:p>
    <w:p>
      <w:pPr>
        <w:pStyle w:val="Caption"/>
        <w:ind w:left="720"/>
        <w:jc w:val="both"/>
        <w:rPr>
          <w:color w:val="auto"/>
          <w:rFonts w:hAnsi="Times New Roman" w:ascii="Times New Roman" w:cs="Times New Roman"/>
          <w:b/>
          <w:bCs/>
          <w:i w:val="0"/>
          <w:sz w:val="24"/>
          <w:szCs w:val="24"/>
        </w:rPr>
      </w:pPr>
      <w:bookmarkStart w:id="35" w:name="_Toc142664168"/>
      <w:r>
        <w:rPr>
          <w:color w:val="auto"/>
          <w:rFonts w:hAnsi="Times New Roman" w:ascii="Times New Roman" w:cs="Times New Roman"/>
          <w:b/>
          <w:bCs/>
          <w:i w:val="0"/>
          <w:strike w:val="0"/>
          <w:dstrike w:val="0"/>
          <w:emboss w:val="0"/>
          <w:imprint w:val="0"/>
          <w:outline w:val="0"/>
          <w:shadow w:val="0"/>
          <w:sz w:val="24"/>
          <w:szCs w:val="24"/>
          <w:u w:val="none"/>
        </w:rPr>
        <w:t xml:space="preserve">Figure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Figure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1</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Solid waste management hierarchy</w:t>
      </w:r>
      <w:bookmarkEnd w:id="35"/>
    </w:p>
    <w:p>
      <w:pPr>
        <w:spacing w:line="480" w:lineRule="auto"/>
        <w:ind w:left="720"/>
        <w:contextualSpacing w:val="1"/>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Source: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{"citationItems":[{"id":"ITEM-1","itemData":{"ISSN":"16915534","abstract":"Well-organised waste management is an essential part of sustainable development. The saving of resources and energy is everyoneís concern and environmental education is vital to guarantee a sustainable lifestyle in the long run. To find out what similarities and differences in views regarding waste management exist between grammar school pupils and comprehensive school pupils in England, questionnaires were designed and distributed in two schools in the same English city. The questionnaires aimed at quantifying and establishing studentsí knowledge, attitudes and behaviour regarding waste management. The results illustrate that students from the grammar school had higher levels of knowledge, were more likely to recycle and used more sources of information regarding waste management. Waste reduction was considered important by almost all students. However, students in both schools considered composting and waste reduction as less important than recycling and thereby did not fully agree with sustainable waste management. [ABSTRACT FROM AUTHOR]","author":[{"dropping-particle":"","family":"Essuman","given":"K. N.","non-dropping-particle":"","parse-names":false,"suffix":""}],"container-title":"Journal of Teacher Education for Sustainability","id":"ITEM-1","issue":"1","issued":{"date-parts":[["2017"]]},"page":"23-91","title":"‘Knowledge, attitudes and practices of coastal communities on waste management in Ghana’","type":"article-journal","volume":"17"},"uris":["http://www.mendeley.com/documents/?uuid=3876db4c-efda-43af-ba83-6657cc69d571"]}],"mendeley":{"formattedCitation":"(Essuman, 2017)","manualFormatting":"See Essuman (2017; p:8)","plainTextFormattedCitation":"(Essuman, 2017)","previouslyFormattedCitation":"(Essuman, 2017)"},"properties":{"noteIndex":0},"schema":"https://github.com/citation-style-language/schema/raw/master/csl-citation.json"}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See Essuman (2017; </w:t>
      </w:r>
      <w:r>
        <w:rPr>
          <w:rFonts w:hAnsi="Times New Roman" w:ascii="Times New Roman" w:cs="Times New Roman"/>
          <w:b w:val="0"/>
          <w:i/>
          <w:strike w:val="0"/>
          <w:dstrike w:val="0"/>
          <w:emboss w:val="0"/>
          <w:imprint w:val="0"/>
          <w:outline w:val="0"/>
          <w:shadow w:val="0"/>
          <w:sz w:val="24"/>
          <w:szCs w:val="24"/>
          <w:u w:val="none"/>
        </w:rPr>
        <w:t xml:space="preserve">p:8</w:t>
      </w:r>
      <w:r>
        <w:rPr>
          <w:rFonts w:hAnsi="Times New Roman" w:ascii="Times New Roman" w:cs="Times New Roman"/>
          <w:b w:val="0"/>
          <w:i w:val="0"/>
          <w:strike w:val="0"/>
          <w:dstrike w:val="0"/>
          <w:emboss w:val="0"/>
          <w:imprint w:val="0"/>
          <w:outline w:val="0"/>
          <w:shadow w:val="0"/>
          <w:sz w:val="24"/>
          <w:szCs w:val="24"/>
          <w:u w:val="none"/>
        </w:rPr>
        <w:t xml:space="preserve">)</w:t>
      </w:r>
      <w:r>
        <w:rPr>
          <w:rFonts w:hAnsi="Times New Roman" w:ascii="Times New Roman" w:cs="Times New Roman"/>
          <w:sz w:val="24"/>
        </w:rPr>
        <w:fldChar w:fldCharType="end"/>
      </w:r>
    </w:p>
    <w:p>
      <w:pPr>
        <w:pStyle w:val="Heading2"/>
        <w:spacing w:line="480" w:lineRule="auto"/>
        <w:ind w:left="720"/>
      </w:pPr>
      <w:bookmarkStart w:id="36" w:name="_Toc147923046"/>
      <w:r>
        <w:rPr>
          <w:rFonts w:ascii="Times New Roman"/>
          <w:b/>
          <w:i w:val="0"/>
          <w:strike w:val="0"/>
          <w:dstrike w:val="0"/>
          <w:emboss w:val="0"/>
          <w:imprint w:val="0"/>
          <w:outline w:val="0"/>
          <w:shadow w:val="0"/>
          <w:sz w:val="24"/>
          <w:szCs w:val="24"/>
          <w:u w:val="none"/>
        </w:rPr>
        <w:t xml:space="preserve">2.5 Global Solid Waste Management Practices</w:t>
      </w:r>
      <w:bookmarkEnd w:id="36"/>
    </w:p>
    <w:p>
      <w:pPr>
        <w:spacing w:line="480" w:lineRule="auto"/>
        <w:ind w:left="720"/>
        <w:contextualSpacing w:val="1"/>
        <w:jc w:val="both"/>
        <w:rPr>
          <w:rFonts w:hAnsi="Times New Roman" w:ascii="Times New Roman" w:cs="Times New Roman"/>
          <w:b/>
          <w:sz w:val="24"/>
        </w:rPr>
      </w:pPr>
      <w:r>
        <w:rPr>
          <w:rFonts w:hAnsi="Times New Roman" w:ascii="Times New Roman" w:cs="Times New Roman"/>
          <w:b w:val="0"/>
          <w:i w:val="0"/>
          <w:strike w:val="0"/>
          <w:dstrike w:val="0"/>
          <w:emboss w:val="0"/>
          <w:imprint w:val="0"/>
          <w:outline w:val="0"/>
          <w:shadow w:val="0"/>
          <w:sz w:val="24"/>
          <w:szCs w:val="24"/>
          <w:u w:val="none"/>
        </w:rPr>
        <w:t xml:space="preserve">Solid waste management refers to the management of the chain of processes that starts with discharge/storage and extends through the collection, intermediate, treatment, and final disposal of waste materials, including hazardous and non-hazardous waste. Currently, global solid waste generation levels are approximately 1.3 billion tonnes per year, and are expected to rise to approximately 2.2 billion tonnes per year by 2025. This represents a significant increase in per capita waste generation rates, from 1.2kg to </w:t>
        <w:t xml:space="preserve">1.42kg per-person per-day in the next 15-years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{"citationItems":[{"id":"ITEM-1","itemData":{"author":[{"dropping-particle":"","family":"World Bank","given":"","non-dropping-particle":"","parse-names":false,"suffix":""}],"id":"ITEM-1","issued":{"date-parts":[["2012"]]},"title":"What a waste: A Global Review of Solid Waste Management","type":"report"},"uris":["http://www.mendeley.com/documents/?uuid=9bfe70a5-9c64-4fa2-aaf0-8ed6095e484e"]}],"mendeley":{"formattedCitation":"(World Bank, 2012)","plainTextFormattedCitation":"(World Bank, 2012)","previouslyFormattedCitation":"(World Bank, 2012)"},"properties":{"noteIndex":0},"schema":"https://github.com/citation-style-language/schema/raw/master/csl-citation.json"}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(World Bank, 2012)</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However, global averages of solid waste generation are broad estimates with varied rates by region, country, city, and even within cities. Municipal solid waste generation rates are influenced by public habits, economic development, the degree of industrialisation, and the local climate. Largely, the higher the economic development and rate of urbanisation, the greater the amount of solid waste generated. Income levels and urbanisation are highly correlated, and as disposable incomes and living standards increase, the consumption of goods and services correspondingly increases, thus increasing the amount of waste generated. </w:t>
        <w:t xml:space="preserve">According to the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{"citationItems":[{"id":"ITEM-1","itemData":{"author":[{"dropping-particle":"","family":"World Bank","given":"","non-dropping-particle":"","parse-names":false,"suffix":""}],"id":"ITEM-1","issued":{"date-parts":[["2012"]]},"title":"What a waste: A Global Review of Solid Waste Management","type":"report"},"uris":["http://www.mendeley.com/documents/?uuid=9bfe70a5-9c64-4fa2-aaf0-8ed6095e484e"]}],"mendeley":{"formattedCitation":"(World Bank, 2012)","plainTextFormattedCitation":"(World Bank, 2012)","previouslyFormattedCitation":"(World Bank, 2012)"},"properties":{"noteIndex":0},"schema":"https://github.com/citation-style-language/schema/raw/master/csl-citation.json"}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World Bank (2012)</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urban residents produce approximately twice as much waste as their rural counterparts do. Therefore, solid waste management begins by reducing solid waste generation to collection, transport, treatment, and disposal of waste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{"citationItems":[{"id":"ITEM-1","itemData":{"author":[{"dropping-particle":"","family":"WHO","given":"","non-dropping-particle":"","parse-names":false,"suffix":""}],"id":"ITEM-1","issued":{"date-parts":[["2021"]]},"page":"0-7","title":"Compendium of WHO and other UN guidance on health and environment","type":"article-journal","volume":"2021"},"uris":["http://www.mendeley.com/documents/?uuid=94a1de7c-6b92-45c1-a977-b6c33ca91f64"]}],"mendeley":{"formattedCitation":"(WHO, 2021)","plainTextFormattedCitation":"(WHO, 2021)","previouslyFormattedCitation":"(WHO, 2021)"},"properties":{"noteIndex":0},"schema":"https://github.com/citation-style-language/schema/raw/master/csl-citation.json"}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(WHO, 2021)</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.According to the World Health Organization, it is important to note that in solid waste management, the concept of "away" or "throwing away" waste does not exist. The complexities and integrated nature of materials and pollution are quickly apparent, with waste incineration presenting challenges to air pollution and ash disposal, and landfills requiring land availability and often facing opposition from neighbouring residents. Solving one problem can often introduce a new one, and poor execution can result in greater cost and complexity. As such, proper management of waste is necessary worldwide, and low-, middle-, and high-income countries have employed various pragmatic measures to manage solid waste in their respective regions.</w:t>
        <w:t xml:space="preserve"> (Table 2).</w:t>
      </w:r>
    </w:p>
    <w:p>
      <w:pPr>
        <w:pStyle w:val="Caption"/>
        <w:ind w:left="720"/>
        <w:jc w:val="both"/>
        <w:rPr>
          <w:color w:val="auto"/>
          <w:rFonts w:hAnsi="Times New Roman" w:ascii="Times New Roman" w:cs="Times New Roman"/>
          <w:b/>
          <w:i w:val="0"/>
          <w:iCs w:val="0"/>
          <w:sz w:val="24"/>
          <w:szCs w:val="24"/>
        </w:rPr>
      </w:pPr>
      <w:bookmarkStart w:id="37" w:name="_Toc142340955"/>
      <w:r>
        <w:rPr>
          <w:color w:val="auto"/>
          <w:rFonts w:hAnsi="Times New Roman" w:ascii="Times New Roman" w:cs="Times New Roman"/>
          <w:b/>
          <w:i w:val="0"/>
          <w:iCs w:val="0"/>
          <w:strike w:val="0"/>
          <w:dstrike w:val="0"/>
          <w:emboss w:val="0"/>
          <w:imprint w:val="0"/>
          <w:outline w:val="0"/>
          <w:shadow w:val="0"/>
          <w:sz w:val="24"/>
          <w:szCs w:val="24"/>
          <w:u w:val="none"/>
        </w:rPr>
        <w:br w:type="page"/>
      </w:r>
    </w:p>
    <w:p>
      <w:pPr>
        <w:pStyle w:val="Caption"/>
        <w:ind w:left="720"/>
        <w:jc w:val="both"/>
        <w:rPr>
          <w:color w:val="auto"/>
          <w:rFonts w:hAnsi="Times New Roman" w:ascii="Times New Roman" w:cs="Times New Roman"/>
          <w:b/>
          <w:i w:val="0"/>
          <w:iCs w:val="0"/>
          <w:sz w:val="24"/>
        </w:rPr>
      </w:pPr>
      <w:bookmarkStart w:id="38" w:name="_Toc147923103"/>
      <w:r>
        <w:rPr>
          <w:color w:val="auto"/>
          <w:rFonts w:hAnsi="Times New Roman" w:ascii="Times New Roman" w:cs="Times New Roman"/>
          <w:b/>
          <w:i w:val="0"/>
          <w:iCs w:val="0"/>
          <w:strike w:val="0"/>
          <w:dstrike w:val="0"/>
          <w:emboss w:val="0"/>
          <w:imprint w:val="0"/>
          <w:outline w:val="0"/>
          <w:shadow w:val="0"/>
          <w:sz w:val="24"/>
          <w:szCs w:val="24"/>
          <w:u w:val="none"/>
        </w:rPr>
        <w:lastRenderedPageBreak/>
        <w:t xml:space="preserve">Table</w:t>
      </w:r>
      <w:r>
        <w:rPr>
          <w:color w:val="auto"/>
          <w:rFonts w:hAnsi="Times New Roman" w:ascii="Times New Roman" w:cs="Times New Roman"/>
          <w:b/>
          <w:i w:val="0"/>
          <w:iCs w:val="0"/>
          <w:sz w:val="24"/>
        </w:rPr>
        <w:fldChar w:fldCharType="begin"/>
      </w:r>
      <w:r>
        <w:rPr>
          <w:color w:val="auto"/>
          <w:rFonts w:hAnsi="Times New Roman" w:ascii="Times New Roman" w:cs="Times New Roman"/>
          <w:b/>
          <w:i w:val="0"/>
          <w:iCs w:val="0"/>
          <w:sz w:val="24"/>
        </w:rPr>
        <w:instrText xml:space="preserve"> SEQ Table \* ARABIC </w:instrText>
      </w:r>
      <w:r>
        <w:rPr>
          <w:color w:val="auto"/>
          <w:rFonts w:hAnsi="Times New Roman" w:ascii="Times New Roman" w:cs="Times New Roman"/>
          <w:b/>
          <w:i w:val="0"/>
          <w:iCs w:val="0"/>
          <w:sz w:val="24"/>
        </w:rPr>
        <w:fldChar w:fldCharType="separate"/>
      </w:r>
      <w:r>
        <w:rPr>
          <w:color w:val="auto"/>
          <w:rFonts w:hAnsi="Times New Roman" w:ascii="Times New Roman" w:cs="Times New Roman"/>
          <w:b/>
          <w:i w:val="0"/>
          <w:iCs w:val="0"/>
          <w:strike w:val="0"/>
          <w:dstrike w:val="0"/>
          <w:emboss w:val="0"/>
          <w:imprint w:val="0"/>
          <w:outline w:val="0"/>
          <w:shadow w:val="0"/>
          <w:sz w:val="24"/>
          <w:szCs w:val="24"/>
          <w:u w:val="none"/>
        </w:rPr>
        <w:t xml:space="preserve">2</w:t>
      </w:r>
      <w:r>
        <w:rPr>
          <w:color w:val="auto"/>
          <w:rFonts w:hAnsi="Times New Roman" w:ascii="Times New Roman" w:cs="Times New Roman"/>
          <w:b/>
          <w:i w:val="0"/>
          <w:iCs w:val="0"/>
          <w:sz w:val="24"/>
        </w:rPr>
        <w:fldChar w:fldCharType="end"/>
      </w:r>
      <w:r>
        <w:rPr>
          <w:color w:val="auto"/>
          <w:rFonts w:hAnsi="Times New Roman" w:ascii="Times New Roman" w:cs="Times New Roman"/>
          <w:b/>
          <w:i w:val="0"/>
          <w:iCs w:val="0"/>
          <w:strike w:val="0"/>
          <w:dstrike w:val="0"/>
          <w:emboss w:val="0"/>
          <w:imprint w:val="0"/>
          <w:outline w:val="0"/>
          <w:shadow w:val="0"/>
          <w:sz w:val="24"/>
          <w:szCs w:val="24"/>
          <w:u w:val="none"/>
        </w:rPr>
        <w:t xml:space="preserve">: Comparison of solid waste management practices by income levels</w:t>
      </w:r>
      <w:bookmarkEnd w:id="37"/>
    </w:p>
    <w:tbl>
      <w:tblPr>
        <w:tblStyle w:val="TableGrid"/>
        <w:tblW w:w="9350" w:type="dxa"/>
        <w:tblInd w:w="607" w:type="dxa"/>
        <w:tblLook w:val="04A0"/>
      </w:tblPr>
      <w:tblGrid>
        <w:gridCol w:w="1483"/>
        <w:gridCol w:w="2562"/>
        <w:gridCol w:w="2520"/>
        <w:gridCol w:w="2785"/>
      </w:tblGrid>
      <w:tr>
        <w:tc>
          <w:tcPr>
            <w:tcW w:w="1483" w:type="dxa"/>
          </w:tcPr>
          <w:p>
            <w:pPr>
              <w:spacing w:line="480" w:lineRule="auto"/>
              <w:contextualSpacing w:val="1"/>
              <w:jc w:val="both"/>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t xml:space="preserve">Activity </w:t>
            </w:r>
          </w:p>
        </w:tc>
        <w:tc>
          <w:tcPr>
            <w:tcW w:w="2562" w:type="dxa"/>
          </w:tcPr>
          <w:p>
            <w:pPr>
              <w:spacing w:line="480" w:lineRule="auto"/>
              <w:contextualSpacing w:val="1"/>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t xml:space="preserve">Low-Income Countries</w:t>
            </w:r>
          </w:p>
        </w:tc>
        <w:tc>
          <w:tcPr>
            <w:tcW w:w="2520" w:type="dxa"/>
          </w:tcPr>
          <w:p>
            <w:pPr>
              <w:spacing w:line="480" w:lineRule="auto"/>
              <w:contextualSpacing w:val="1"/>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t xml:space="preserve">Middle-Income Countries</w:t>
            </w:r>
          </w:p>
        </w:tc>
        <w:tc>
          <w:tcPr>
            <w:tcW w:w="2785" w:type="dxa"/>
          </w:tcPr>
          <w:p>
            <w:pPr>
              <w:spacing w:line="480" w:lineRule="auto"/>
              <w:contextualSpacing w:val="1"/>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t xml:space="preserve">High-Income Countries</w:t>
            </w:r>
          </w:p>
        </w:tc>
      </w:tr>
      <w:tr>
        <w:tc>
          <w:tcPr>
            <w:tcW w:w="1483" w:type="dxa"/>
          </w:tcPr>
          <w:p>
            <w:pPr>
              <w:spacing w:line="480" w:lineRule="auto"/>
              <w:contextualSpacing w:val="1"/>
              <w:jc w:val="both"/>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t xml:space="preserve">Source reduction</w:t>
            </w:r>
          </w:p>
        </w:tc>
        <w:tc>
          <w:tcPr>
            <w:tcW w:w="2562"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No organized programs, but reuse and low per capita waste generation rates are common</w:t>
            </w:r>
          </w:p>
        </w:tc>
        <w:tc>
          <w:tcPr>
            <w:tcW w:w="2520"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Some discussion of source reduction, but rarely incorporated into an organized program</w:t>
            </w:r>
          </w:p>
        </w:tc>
        <w:tc>
          <w:tcPr>
            <w:tcW w:w="2785"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Organized education programs emphasise the ‘3Rs’; reduce, reuse and recycle. More producer responsibility &amp; focus on product design</w:t>
            </w:r>
          </w:p>
        </w:tc>
      </w:tr>
      <w:tr>
        <w:tc>
          <w:tcPr>
            <w:tcW w:w="1483" w:type="dxa"/>
          </w:tcPr>
          <w:p>
            <w:pPr>
              <w:spacing w:line="480" w:lineRule="auto"/>
              <w:contextualSpacing w:val="1"/>
              <w:jc w:val="both"/>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t xml:space="preserve">Waste collection</w:t>
            </w:r>
          </w:p>
        </w:tc>
        <w:tc>
          <w:tcPr>
            <w:tcW w:w="2562"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Sporadic and inefficient. Service is limited to high visibility areas, the wealthy and businesses willing to pay. High fraction of non compostable and compostable impact collection,- overall collection below 50%</w:t>
            </w:r>
          </w:p>
        </w:tc>
        <w:tc>
          <w:tcPr>
            <w:tcW w:w="2520"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Improved service and increased collection from residential areas. Larger vehicle fleet and more mechanization. Collection rate varies between 50 to 80%. Transfer stations are slowly incorporated into the SWM system.</w:t>
            </w:r>
          </w:p>
        </w:tc>
        <w:tc>
          <w:tcPr>
            <w:tcW w:w="2785"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Collection rate greater than 90%. Compactor trucks and highly mechanized vehicles and transfer stations are common. Waste volume a key consideration. Aging collection workers often a consideration in system design.</w:t>
            </w:r>
          </w:p>
        </w:tc>
      </w:tr>
      <w:tr>
        <w:tc>
          <w:tcPr>
            <w:tcW w:w="1483" w:type="dxa"/>
          </w:tcPr>
          <w:p>
            <w:pPr>
              <w:spacing w:line="480" w:lineRule="auto"/>
              <w:contextualSpacing w:val="1"/>
              <w:jc w:val="both"/>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t xml:space="preserve">Waste recycling </w:t>
            </w:r>
          </w:p>
        </w:tc>
        <w:tc>
          <w:tcPr>
            <w:tcW w:w="2562"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Although most recycling is through the informal sector and waste picking, recycling rates tend to be high both for local markets and for international markets and imports of materials for recycling, including hazardous goods such as e-waste and ship-breaking. Recycling markets are unregulated and include a number of ‘middlemen’. Large price fluctuations.</w:t>
            </w:r>
          </w:p>
        </w:tc>
        <w:tc>
          <w:tcPr>
            <w:tcW w:w="2520"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Informal sector still involved; some high technology sorting and processing facilities. Recycling rates are still relatively high. Materials are often imported for recycling. Recycling markets are somewhat more regulated. Material prices fluctuate considerably.</w:t>
            </w:r>
          </w:p>
        </w:tc>
        <w:tc>
          <w:tcPr>
            <w:tcW w:w="2785"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Recyclable material collection services and high technology sorting and processing facilities are common and regulated. Increasing attention towards long-term markets.</w:t>
            </w:r>
          </w:p>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Overall recycling rates higher than low and middle income. Informal recycling still exists (e.g. aluminum can collection.) Extended product responsibility common.</w:t>
            </w:r>
          </w:p>
        </w:tc>
      </w:tr>
      <w:tr>
        <w:tc>
          <w:tcPr>
            <w:tcW w:w="1483" w:type="dxa"/>
          </w:tcPr>
          <w:p>
            <w:pPr>
              <w:spacing w:line="480" w:lineRule="auto"/>
              <w:contextualSpacing w:val="1"/>
              <w:jc w:val="both"/>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lastRenderedPageBreak/>
              <w:t xml:space="preserve">Composting </w:t>
            </w:r>
          </w:p>
        </w:tc>
        <w:tc>
          <w:tcPr>
            <w:tcW w:w="2562"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Rarely undertaken formally even though the waste stream has a high percentage of organic material. Markets for, and awareness of, compost lacking.</w:t>
            </w:r>
          </w:p>
        </w:tc>
        <w:tc>
          <w:tcPr>
            <w:tcW w:w="2520"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Large composting plants are often unsuccessful due to contamination and operating costs (little waste separation); some small-scale composting projects at the community/ neighborhood level are more sustainable. Composting eligible for CDM projects but is not widespread. Increasing use of anaerobic digestion.</w:t>
            </w:r>
          </w:p>
        </w:tc>
        <w:tc>
          <w:tcPr>
            <w:tcW w:w="2785"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Becoming more popular at both backyard and large-scale facilities. Waste stream has a smaller portion of compostable than low- and middle-income countries. More source segregation makes composting easier. Anaerobic digestion increasing in popularity. Odor control critical.</w:t>
            </w:r>
          </w:p>
        </w:tc>
      </w:tr>
      <w:tr>
        <w:tc>
          <w:tcPr>
            <w:tcW w:w="1483" w:type="dxa"/>
          </w:tcPr>
          <w:p>
            <w:pPr>
              <w:spacing w:line="480" w:lineRule="auto"/>
              <w:contextualSpacing w:val="1"/>
              <w:jc w:val="both"/>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lastRenderedPageBreak/>
              <w:t xml:space="preserve">Incineration </w:t>
            </w:r>
          </w:p>
        </w:tc>
        <w:tc>
          <w:tcPr>
            <w:tcW w:w="2562"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Not common, and generally not successful because of high capital, technical, and operation costs, high moisture content in the waste, and high percentage of inserts.</w:t>
            </w:r>
          </w:p>
        </w:tc>
        <w:tc>
          <w:tcPr>
            <w:tcW w:w="2520"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Some incinerators are used, but experiencing financial and operational difficulties. Air pollution control equipment is not advanced and often by-passed. Little or no stack emissions monitoring. Governments include incineration as a possible waste disposal option but costs prohibitive. Facilities often driven by subsidies from OECD countries on behalf of equipment suppliers</w:t>
            </w:r>
          </w:p>
        </w:tc>
        <w:tc>
          <w:tcPr>
            <w:tcW w:w="2785"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Prevalent in areas with high land costs and low availability of land (e.g., islands). Most incinerators have some form of environmental controls and some type of energy recovery system. Governments regulate and monitor emissions. About three (or more) times the cost of landfilling per tonne.</w:t>
            </w:r>
          </w:p>
        </w:tc>
      </w:tr>
      <w:tr>
        <w:tc>
          <w:tcPr>
            <w:tcW w:w="1483" w:type="dxa"/>
          </w:tcPr>
          <w:p>
            <w:pPr>
              <w:spacing w:line="480" w:lineRule="auto"/>
              <w:contextualSpacing w:val="1"/>
              <w:jc w:val="both"/>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lastRenderedPageBreak/>
              <w:t xml:space="preserve">Landfilling/ Dumping</w:t>
            </w:r>
          </w:p>
        </w:tc>
        <w:tc>
          <w:tcPr>
            <w:tcW w:w="2562"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Low-technology sites usually open dumping of wastes. High polluting to nearby aquifers, water bodies, settlements. Often receive medical waste. Waste regularly burned. Significant health impacts on local residents and workers.</w:t>
            </w:r>
          </w:p>
        </w:tc>
        <w:tc>
          <w:tcPr>
            <w:tcW w:w="2520"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Some controlled and sanitary landfills with some environmental controls. Open dumping is still common. CDM projects for landfill gas are more common.</w:t>
            </w:r>
          </w:p>
        </w:tc>
        <w:tc>
          <w:tcPr>
            <w:tcW w:w="2785"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Sanitary landfills with a combination of liners, leak detection, leachate collection systems, and gas collection and treatment systems. Often problematic to open new landfills due to concerns of neighboring residents. Post closure use of sites increasingly important, e.g. golf courses and parks.</w:t>
            </w:r>
          </w:p>
        </w:tc>
      </w:tr>
      <w:tr>
        <w:tc>
          <w:tcPr>
            <w:tcW w:w="1483" w:type="dxa"/>
          </w:tcPr>
          <w:p>
            <w:pPr>
              <w:spacing w:line="480" w:lineRule="auto"/>
              <w:contextualSpacing w:val="1"/>
              <w:jc w:val="both"/>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t xml:space="preserve">Costs </w:t>
            </w:r>
          </w:p>
        </w:tc>
        <w:tc>
          <w:tcPr>
            <w:tcW w:w="2562"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t xml:space="preserve">Collection costs represent 80 to 90% of the municipal solid waste management budget. Waste fees are regulated by some local governments, but the fee collection system is inefficient. Only a small proportion of budget is allocated toward disposal</w:t>
            </w:r>
          </w:p>
        </w:tc>
        <w:tc>
          <w:tcPr>
            <w:tcW w:w="2520"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Collection costs represent 50% to 80% of the municipal solid waste management budget. Waste fees are regulated by some local and national governments, more innovation in fee collection, e.g. included in electricity or water bills. Expenditures on more mechanized collection fleets and disposal are higher than in low-income countries.</w:t>
            </w:r>
          </w:p>
        </w:tc>
        <w:tc>
          <w:tcPr>
            <w:tcW w:w="2785" w:type="dxa"/>
          </w:tcPr>
          <w:p>
            <w:pPr>
              <w:spacing w:line="480" w:lineRule="auto"/>
              <w:contextualSpacing w:val="1"/>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Collection costs can represent less than 10% of the budget. Large budget allocations to intermediate waste treatment facilities. Up front community participation reduces costs and increases options available to waste planners (e.g., recycling and composting).</w:t>
            </w:r>
          </w:p>
        </w:tc>
      </w:tr>
    </w:tbl>
    <w:p>
      <w:pPr>
        <w:spacing w:line="480" w:lineRule="auto"/>
        <w:ind w:left="720"/>
        <w:contextualSpacing w:val="1"/>
        <w:jc w:val="both"/>
        <w:rPr>
          <w:rFonts w:hAnsi="Times New Roman" w:ascii="Times New Roman" w:cs="Times New Roman"/>
          <w:sz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Source: Adopted from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{"citationItems":[{"id":"ITEM-1","itemData":{"author":[{"dropping-particle":"","family":"World Bank","given":"","non-dropping-particle":"","parse-names":false,"suffix":""}],"id":"ITEM-1","issued":{"date-parts":[["2012"]]},"title":"What a waste: A Global Review of Solid Waste Management","type":"report"},"uris":["http://www.mendeley.com/documents/?uuid=9bfe70a5-9c64-4fa2-aaf0-8ed6095e484e"]}],"mendeley":{"formattedCitation":"(World Bank, 2012)","plainTextFormattedCitation":"(World Bank, 2012)","previouslyFormattedCitation":"(World Bank, 2012)"},"properties":{"noteIndex":0},"schema":"https://github.com/citation-style-language/schema/raw/master/csl-citation.json"}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(World Bank, 2012)</w:t>
      </w:r>
      <w:r>
        <w:rPr>
          <w:rFonts w:hAnsi="Times New Roman" w:ascii="Times New Roman" w:cs="Times New Roman"/>
          <w:sz w:val="24"/>
        </w:rPr>
        <w:fldChar w:fldCharType="end"/>
      </w:r>
    </w:p>
    <w:p>
      <w:pPr>
        <w:pStyle w:val="Heading2"/>
        <w:spacing w:line="480" w:lineRule="auto"/>
        <w:ind w:left="720"/>
      </w:pPr>
      <w:bookmarkStart w:id="39" w:name="_Toc147923047"/>
      <w:r>
        <w:rPr>
          <w:rFonts w:ascii="Times New Roman"/>
          <w:b/>
          <w:i w:val="0"/>
          <w:strike w:val="0"/>
          <w:dstrike w:val="0"/>
          <w:emboss w:val="0"/>
          <w:imprint w:val="0"/>
          <w:outline w:val="0"/>
          <w:shadow w:val="0"/>
          <w:sz w:val="24"/>
          <w:szCs w:val="24"/>
          <w:u w:val="none"/>
        </w:rPr>
        <w:t xml:space="preserve">2.6 Solid Waste Management in Africa</w:t>
      </w:r>
      <w:bookmarkEnd w:id="39"/>
    </w:p>
    <w:p>
      <w:pPr>
        <w:spacing w:line="480" w:lineRule="auto"/>
        <w:ind w:left="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Recently, the USA, Germany, the Netherlands, and Japan have achieved significant success in municipal solid waste management through the establishment of strict regulations and using advanced techniques. Waste management in these countries has shifted from landfill-based waste management systems to more integrated systems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Kamarehie","given":"Bahram","non-dropping-particle":"","parse-names":false,"suffix":""},{"dropping-particle":"","family":"Jafari","given":"Ali","non-dropping-particle":"","parse-names":false,"suffix":""},{"dropping-particle":"","family":"Ghaderpoori","given":"Mansour","non-dropping-particle":"","parse-names":false,"suffix":""},{"dropping-particle":"","family":"Azimi","given":"Faramarz","non-dropping-particle":"","parse-names":false,"suffix":""},{"dropping-particle":"","family":"Faridan","given":"Mohammad","non-dropping-particle":"","parse-names":false,"suffix":""},{"dropping-particle":"","family":"Sharafi","given":"Kiomars","non-dropping-particle":"","parse-names":false,"suffix":""}],"id":"ITEM-1","issued":{"date-parts":[["2020"]]},"publisher":"Environmental Science and Pollution Research","title":"Qualitative and quantitative analysis of municipal solid waste in Iran for implementation of best waste management practice : a systematic review and meta-analysis","type":"article-journal"},"uris":["http://www.mendeley.com/documents/?uuid=d942808c-2713-4e6e-a25a-78b670e5f9bb"]}],"mendeley":{"formattedCitation":"(Kamarehie et al., 2020)","plainTextFormattedCitation":"(Kamarehie et al., 2020)","previouslyFormattedCitation":"(Kamarehie et al.,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(Kamarehie et al.,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However, in Africa, solid waste management faces serious challenges and depends largely on conventional collect-haul-dispose systems. Improper management of solid waste in most municipalities of developing countries has led to worsening human and animal health, ultimately contributing to economic and environmental losses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Kamarehie","given":"Bahram","non-dropping-particle":"","parse-names":false,"suffix":""},{"dropping-particle":"","family":"Jafari","given":"Ali","non-dropping-particle":"","parse-names":false,"suffix":""},{"dropping-particle":"","family":"Ghaderpoori","given":"Mansour","non-dropping-particle":"","parse-names":false,"suffix":""},{"dropping-particle":"","family":"Azimi","given":"Faramarz","non-dropping-particle":"","parse-names":false,"suffix":""},{"dropping-particle":"","family":"Faridan","given":"Mohammad","non-dropping-particle":"","parse-names":false,"suffix":""},{"dropping-particle":"","family":"Sharafi","given":"Kiomars","non-dropping-particle":"","parse-names":false,"suffix":""}],"id":"ITEM-1","issued":{"date-parts":[["2020"]]},"publisher":"Environmental Science and Pollution Research","title":"Qualitative and quantitative analysis of municipal solid waste in Iran for implementation of best waste management practice : a systematic review and meta-analysis","type":"article-journal"},"uris":["http://www.mendeley.com/documents/?uuid=d942808c-2713-4e6e-a25a-78b670e5f9bb"]}],"mendeley":{"formattedCitation":"(Kamarehie et al., 2020)","plainTextFormattedCitation":"(Kamarehie et al., 2020)","previouslyFormattedCitation":"(Kamarehie et al.,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(Kamarehie et al.,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Studies have found that solid waste is improperly managed in Ghana, a developing nation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{"citationItems":[{"id":"ITEM-1","itemData":{"DOI":"https://www.doi.org/ 10.5038/2640-6489.5.1.1081","author":[{"dropping-particle":"","family":"Mensah","given":"Ishmael","non-dropping-particle":"","parse-names":false,"suffix":""}],"container-title":"Journal of Global Business Insights, 5(1), 33-46.","id":"ITEM-1","issue":"1","issued":{"date-parts":[["2020"]]},"page":"33-46","title":"Waste management practices of small hotels in Accra : An application of the waste management hierarchy model","type":"article-journal","volume":"5"},"uris":["http://www.mendeley.com/documents/?uuid=9f0f31cf-7170-45ea-9e07-a435782f1f91"]},{"id":"ITEM-2","itemData":{"DOI":"10.1371/journal.pone.0248392","ISBN":"1111111111","ISSN":"19326203","PMID":"33705483","abstract":"Increased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ONE","id":"ITEM-2","issue":"3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municipality","type":"article-journal","volume":"16"},"uris":["http://www.mendeley.com/documents/?uuid=2a6fa111-a59d-4dfb-9ea4-6aac6e0d4d7a"]}],"mendeley":{"formattedCitation":"(Lissah et al., 2021; Mensah, 2020)","plainTextFormattedCitation":"(Lissah et al., 2021; Mensah, 2020)","previouslyFormattedCitation":"(Lissah et al., 2021; Mensah,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(Lissah et al., 2021; Mensah,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p>
    <w:p>
      <w:pPr>
        <w:spacing w:line="480" w:lineRule="auto"/>
        <w:ind w:left="720"/>
        <w:jc w:val="both"/>
        <w:rPr>
          <w:color w:val="333333"/>
          <w:rFonts w:hAnsi="Times New Roman" w:ascii="Times New Roman" w:cs="Times New Roman"/>
          <w:b/>
          <w:sz w:val="24"/>
          <w:szCs w:val="24"/>
          <w:shd w:val="clear" w:color="auto" w:fill="FCFCFC"/>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Solid waste management is a major concern worldwide, with the least developed countries, particularly Africa, being affected by ineffective waste management systems. In Sub-Saharan Africa, solid waste generation is estimated to be 62 million tons per annum, with per capita waste generation ranges from 0.09 to 3.0 kg per-person per-day, with an average of 0.65 kg/capita/day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{"citationItems":[{"id":"ITEM-1","itemData":{"ISBN":"9788490225370","abstract":"This study departs from the reality of gender relations within the family institution which has to be dikhotomis, causing the pole inequality relations between men and women. Therefore, in this study wanted to dismantle the detail view of some theories, both social and feminist about gender relations in the family. Each of these theories (structural functional, conflict and feminist) has their own viewpoint about the pattern of gender relations in the family. However, simultaneously acknowledging that the social construction of culture remained significant influence on the division of roles are played by men (husbands) and women (wife) in the family institution. This means that the social construction of culture was instrumental in the creation of relations contribute between men and women equally or otherwise occurred inequality.","author":[{"dropping-particle":"","family":"Muiruri","given":"Joseph Mbiro","non-dropping-particle":"","parse-names":false,"suffix":""}],"container-title":"Braz Dent J.","id":"ITEM-1","issue":"1","issued":{"date-parts":[["2022"]]},"number-of-pages":"1-12","publisher":"University of Nairobi","title":"ASSESSMENT OF RESIDENTS’ KNOWLEDGE, ATTITUDE AND PRACTICES ON SOLID WASTE MANAGEMENT IN EASTLEIGH SOUTH WARD, NAIROBI, KENYA","type":"thesis","volume":"33"},"uris":["http://www.mendeley.com/documents/?uuid=94c8539a-5423-4f60-844a-da9488199fac"]},{"id":"ITEM-2","itemData":{"DOI":"10.1371/journal.pone.0248392","ISBN":"1111111111","ISSN":"19326203","PMID":"33705483","abstract":"Increased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ONE","id":"ITEM-2","issue":"3 March","issued":{"date-parts":[["2021"]]},"page":"1-18","title":"Managing urban solid waste in Ghana: Perspectives and experiences of municipal waste company managers and supervisors in an urban municipality","type":"article-journal","volume":"16"},"uris":["http://www.mendeley.com/documents/?uuid=2a6fa111-a59d-4dfb-9ea4-6aac6e0d4d7a"]},{"id":"ITEM-3","itemData":{"author":[{"dropping-particle":"","family":"World Bank","given":"","non-dropping-particle":"","parse-names":false,"suffix":""}],"id":"ITEM-3","issued":{"date-parts":[["2012"]]},"title":"What a waste: A Global Review of Solid Waste Management","type":"report"},"uris":["http://www.mendeley.com/documents/?uuid=9bfe70a5-9c64-4fa2-aaf0-8ed6095e484e"]}],"mendeley":{"formattedCitation":"(Lissah et al., 2021; Muiruri, 2022; World Bank, 2012)","plainTextFormattedCitation":"(Lissah et al., 2021; Muiruri, 2022; World Bank, 2012)","previouslyFormattedCitation":"(Lissah et al., 2021; Muiruri, 2022; World Bank, 2012)"},"properties":{"noteIndex":0},"schema":"https://github.com/citation-style-language/schema/raw/master/csl-citation.json"}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(Lissah et al., 2021; Muiruri, 2022; World Bank, 2012)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Effective management of solid waste plays a pivotal role in combating the environmental and health challenges encountered by urban dwellers, particularly in sub-Saharan Africa. However, the effective and efficient management of solid waste is one of the major challenges faced by local government authorities, especially in urban settings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ONE","id":"ITEM-1","issue":"3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municipality","type":"article-journal","volume":"16"},"uris":["http://www.mendeley.com/documents/?uuid=2a6fa111-a59d-4dfb-9ea4-6aac6e0d4d7a"]}],"mendeley":{"formattedCitation":"(Lissah et al., 2021)","plainTextFormattedCitation":"(Lissah et al., 2021)","previouslyFormattedCitation":"(Lissah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(Lissah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 rise in population growth and urbanisation has amplified the generation of large quantities of solid waste across many municipalities in developing countries, outperforming the ability of local authorities to manage and dispose of solid waste in a sanitary manner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ONE","id":"ITEM-1","issue":"3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municipality","type":"article-journal","volume":"16"},"uris":["http://www.mendeley.com/documents/?uuid=2a6fa111-a59d-4dfb-9ea4-6aac6e0d4d7a"]}],"mendeley":{"formattedCitation":"(Lissah et al., 2021)","plainTextFormattedCitation":"(Lissah et al., 2021)","previouslyFormattedCitation":"(Lissah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(Lissah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Waste collection in most African countries is very low, and due to irregular waste collection, many people resort to improper waste disposal practices, such as indiscriminate dumping or open burning of waste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{"citationItems":[{"id":"ITEM-1","itemData":{"DOI":"10.1007/s10163-018-0728-3","ISBN":"0123456789","ISSN":"1611-8227","author":[{"dropping-particle":"","family":"Bundhoo","given":"Zumar M A","non-dropping-particle":"","parse-names":false,"suffix":""}],"container-title":"Journal of Material Cycles and Waste Management","id":"ITEM-1","issue":"0","issued":{"date-parts":[["2018"]]},"page":"0","publisher":"Springer Japan","title":"Solid waste management in least developed countries : current status and challenges faced","type":"article-journal","volume":"0"},"uris":["http://www.mendeley.com/documents/?uuid=5cca35c7-c463-49e5-a0a4-a027785c717e"]}],"mendeley":{"formattedCitation":"(Bundhoo, 2018)","plainTextFormattedCitation":"(Bundhoo, 2018)","previouslyFormattedCitation":"(Bundhoo,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(Bundhoo,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Although most sub-Saharan African countries’ expenditures range from 30 to 50% of their operational budgets on solid waste management, municipalities in low-income and middle-income countries such as Ghana only collect between 50 and 80% of the waste generated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ONE","id":"ITEM-1","issue":"3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municipality","type":"article-journal","volume":"16"},"uris":["http://www.mendeley.com/documents/?uuid=2a6fa111-a59d-4dfb-9ea4-6aac6e0d4d7a"]}],"mendeley":{"formattedCitation":"(Lissah et al., 2021)","plainTextFormattedCitation":"(Lissah et al., 2021)","previouslyFormattedCitation":"(Lissah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(Lissah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i w:val="0"/>
          <w:strike w:val="0"/>
          <w:dstrike w:val="0"/>
          <w:emboss w:val="0"/>
          <w:imprint w:val="0"/>
          <w:outline w:val="0"/>
          <w:shadow w:val="0"/>
          <w:sz w:val="24"/>
          <w:szCs w:val="24"/>
          <w:u w:val="none"/>
        </w:rPr>
        <w:t xml:space="preserve">. </w:t>
      </w:r>
      <w:r>
        <w:rPr>
          <w:rFonts w:hAnsi="Times New Roman" w:ascii="Times New Roman" w:eastAsia="Times New Roman" w:cs="Times New Roman"/>
          <w:b w:val="0"/>
          <w:i w:val="0"/>
          <w:strike w:val="0"/>
          <w:dstrike w:val="0"/>
          <w:emboss w:val="0"/>
          <w:imprint w:val="0"/>
          <w:outline w:val="0"/>
          <w:shadow w:val="0"/>
          <w:sz w:val="24"/>
          <w:szCs w:val="24"/>
          <w:u w:val="none"/>
        </w:rPr>
        <w:t xml:space="preserve">Sanitary landfills are almost non-existent in most developing countries, with some of the few landfills lacking effective leachate or gas collection systems. Recycling is carried out in some African countries, and the most common practice is to collect recyclables for exportation. Composting of solid waste occurs mainly on a small scale, while biogas plants present in low-income countries are mostly used for the treatment of animal manure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{"citationItems":[{"id":"ITEM-1","itemData":{"DOI":"10.1007/s10163-018-0728-3","ISBN":"0123456789","ISSN":"1611-8227","author":[{"dropping-particle":"","family":"Bundhoo","given":"Zumar M A","non-dropping-particle":"","parse-names":false,"suffix":""}],"container-title":"Journal of Material Cycles and Waste Management","id":"ITEM-1","issue":"0","issued":{"date-parts":[["2018"]]},"page":"0","publisher":"Springer Japan","title":"Solid waste management in least developed countries : current status and challenges faced","type":"article-journal","volume":"0"},"uris":["http://www.mendeley.com/documents/?uuid=5cca35c7-c463-49e5-a0a4-a027785c717e"]}],"mendeley":{"formattedCitation":"(Bundhoo, 2018)","plainTextFormattedCitation":"(Bundhoo, 2018)","previouslyFormattedCitation":"(Bundhoo,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(Bundhoo,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spacing w:line="480" w:lineRule="auto"/>
        <w:ind w:left="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There are two approaches to waste management in developing countries: formal and informal. The formal system is managed by the government, where MMDAs assume their responsibility to ensure safe, reliable, and cost-effective solid waste collection and disposal, which often involves large amounts of financial resources, making it difficult to deal with waste management concerns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{"citationItems":[{"id":"ITEM-1","itemData":{"author":[{"dropping-particle":"","family":"Baidoo","given":"Amina Hakeem","non-dropping-particle":"","parse-names":false,"suffix":""}],"id":"ITEM-1","issue":"February","issued":{"date-parts":[["2017"]]},"publisher":"UNIVERSITY OF CAPE COAST","title":"Assessing Municipal solid waste management in Mankessim in the Mfrantseman Municipality","type":"thesis"},"uris":["http://www.mendeley.com/documents/?uuid=d5141148-f981-422b-b6ec-f378b2e95ac5"]},{"id":"ITEM-2","itemData":{"ISSN":"16915534","abstract":"Well-organised waste management is an essential part of sustainable development. The saving of resources and energy is everyoneís concern and environmental education is vital to guarantee a sustainable lifestyle in the long run. To find out what similarities and differences in views regarding waste management exist between grammar school pupils and comprehensive school pupils in England, questionnaires were designed and distributed in two schools in the same English city. The questionnaires aimed at quantifying and establishing studentsí knowledge, attitudes and behaviour regarding waste management. The results illustrate that students from the grammar school had higher levels of knowledge, were more likely to recycle and used more sources of information regarding waste management. Waste reduction was considered important by almost all students. However, students in both schools considered composting and waste reduction as less important than recycling and thereby did not fully agree with sustainable waste management. [ABSTRACT FROM AUTHOR]","author":[{"dropping-particle":"","family":"Essuman","given":"K. N.","non-dropping-particle":"","parse-names":false,"suffix":""}],"container-title":"Journal of Teacher Education for Sustainability","id":"ITEM-2","issue":"1","issued":{"date-parts":[["2017"]]},"page":"23-91","title":"‘Knowledge, attitudes and practices of coastal communities on waste management in Ghana’","type":"article-journal","volume":"17"},"uris":["http://www.mendeley.com/documents/?uuid=3876db4c-efda-43af-ba83-6657cc69d571"]}],"mendeley":{"formattedCitation":"(Baidoo, 2017; Essuman, 2017)","plainTextFormattedCitation":"(Baidoo, 2017; Essuman, 2017)","previouslyFormattedCitation":"(Baidoo, 2017; Essuman, 2017)"},"properties":{"noteIndex":0},"schema":"https://github.com/citation-style-language/schema/raw/master/csl-citation.json"}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(Baidoo, 2017; Essuman, 2017)</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.The informal system is managed by individual or private service providers, including communities of scavengers and private associations, who understand the potential aspects of certain waste materials for domestic purposes, such as plastics, paper, bottles, and cans. In the discharge of their duties, private operators charge for their operation or services from residents which involves collecting, sorting, recycling, and selling waste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{"citationItems":[{"id":"ITEM-1","itemData":{"ISSN":"16915534","abstract":"Well-organised waste management is an essential part of sustainable development. The saving of resources and energy is everyoneís concern and environmental education is vital to guarantee a sustainable lifestyle in the long run. To find out what similarities and differences in views regarding waste management exist between grammar school pupils and comprehensive school pupils in England, questionnaires were designed and distributed in two schools in the same English city. The questionnaires aimed at quantifying and establishing studentsí knowledge, attitudes and behaviour regarding waste management. The results illustrate that students from the grammar school had higher levels of knowledge, were more likely to recycle and used more sources of information regarding waste management. Waste reduction was considered important by almost all students. However, students in both schools considered composting and waste reduction as less important than recycling and thereby did not fully agree with sustainable waste management. [ABSTRACT FROM AUTHOR]","author":[{"dropping-particle":"","family":"Essuman","given":"K. N.","non-dropping-particle":"","parse-names":false,"suffix":""}],"container-title":"Journal of Teacher Education for Sustainability","id":"ITEM-1","issue":"1","issued":{"date-parts":[["2017"]]},"page":"23-91","title":"‘Knowledge, attitudes and practices of coastal communities on waste management in Ghana’","type":"article-journal","volume":"17"},"uris":["http://www.mendeley.com/documents/?uuid=3876db4c-efda-43af-ba83-6657cc69d571"]},{"id":"ITEM-2","itemData":{"author":[{"dropping-particle":"","family":"Ministry of Sanitation and Water Resources","given":"","non-dropping-particle":"","parse-names":false,"suffix":""}],"id":"ITEM-2","issue":"June","issued":{"date-parts":[["2020"]]},"publisher-place":"Ghana","title":"National Solid Waste Management Strategy for Ghana","type":"report"},"uris":["http://www.mendeley.com/documents/?uuid=8235ef2c-342a-4d3e-99fa-5378e1cd4824"]}],"mendeley":{"formattedCitation":"(Essuman, 2017; Ministry of Sanitation and Water Resources, 2020)","manualFormatting":"(see Essuman, 2017; Ministry of Sanitation and Water Resources, 2020)","plainTextFormattedCitation":"(Essuman, 2017; Ministry of Sanitation and Water Resources, 2020)","previouslyFormattedCitation":"(Essuman, 2017; Ministry of Sanitation and Water Resources,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(see Essuman, 2017; Ministry of Sanitation and Water Resources,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 major challenges faced by the least developed countries in solid waste management include lack of funding, infrastructure, ineffective legislation, knowledge, and awareness of solid waste problems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{"citationItems":[{"id":"ITEM-1","itemData":{"DOI":"10.1007/s10163-018-0728-3","ISBN":"0123456789","ISSN":"1611-8227","author":[{"dropping-particle":"","family":"Bundhoo","given":"Zumar M A","non-dropping-particle":"","parse-names":false,"suffix":""}],"container-title":"Journal of Material Cycles and Waste Management","id":"ITEM-1","issue":"0","issued":{"date-parts":[["2018"]]},"page":"0","publisher":"Springer Japan","title":"Solid waste management in least developed countries : current status and challenges faced","type":"article-journal","volume":"0"},"uris":["http://www.mendeley.com/documents/?uuid=5cca35c7-c463-49e5-a0a4-a027785c717e"]}],"mendeley":{"formattedCitation":"(Bundhoo, 2018)","plainTextFormattedCitation":"(Bundhoo, 2018)","previouslyFormattedCitation":"(Bundhoo,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(Bundhoo,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r>
        <w:rPr>
          <w:color w:val="333333"/>
          <w:rFonts w:hAnsi="Times New Roman" w:ascii="Times New Roman" w:cs="Times New Roman"/>
          <w:b w:val="0"/>
          <w:i w:val="0"/>
          <w:strike w:val="0"/>
          <w:dstrike w:val="0"/>
          <w:emboss w:val="0"/>
          <w:imprint w:val="0"/>
          <w:outline w:val="0"/>
          <w:shadow w:val="0"/>
          <w:sz w:val="24"/>
          <w:szCs w:val="24"/>
          <w:u w:val="none"/>
          <w:shd w:val="clear" w:color="auto" w:fill="FCFCFC"/>
        </w:rPr>
        <w:t xml:space="preserve">Moreover, i</w:t>
      </w:r>
      <w:r>
        <w:rPr>
          <w:rFonts w:hAnsi="Times New Roman" w:ascii="Times New Roman" w:eastAsia="Times New Roman" w:cs="Times New Roman"/>
          <w:b w:val="0"/>
          <w:i w:val="0"/>
          <w:strike w:val="0"/>
          <w:dstrike w:val="0"/>
          <w:emboss w:val="0"/>
          <w:imprint w:val="0"/>
          <w:outline w:val="0"/>
          <w:shadow w:val="0"/>
          <w:sz w:val="24"/>
          <w:szCs w:val="24"/>
          <w:u w:val="none"/>
        </w:rPr>
        <w:t xml:space="preserve">n Africa, the problem of waste management is not only about the accumulation of waste in urban centres or streets but also the ineffectiveness of waste management authorities and the government to tackle the problem of waste appropriately. To better understand the problems of waste management, it is imperative to pay critical attention to the policy structure, implementation strategies, and economic framework of the country. For effective governance to address waste management problems, there is a need for adequate managerial and organizational structure, accountability, and transparency in decision-making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{"citationItems":[{"id":"ITEM-1","itemData":{"ISSN":"16915534","abstract":"Well-organised waste management is an essential part of sustainable development. The saving of resources and energy is everyoneís concern and environmental education is vital to guarantee a sustainable lifestyle in the long run. To find out what similarities and differences in views regarding waste management exist between grammar school pupils and comprehensive school pupils in England, questionnaires were designed and distributed in two schools in the same English city. The questionnaires aimed at quantifying and establishing studentsí knowledge, attitudes and behaviour regarding waste management. The results illustrate that students from the grammar school had higher levels of knowledge, were more likely to recycle and used more sources of information regarding waste management. Waste reduction was considered important by almost all students. However, students in both schools considered composting and waste reduction as less important than recycling and thereby did not fully agree with sustainable waste management. [ABSTRACT FROM AUTHOR]","author":[{"dropping-particle":"","family":"Essuman","given":"K. N.","non-dropping-particle":"","parse-names":false,"suffix":""}],"container-title":"Journal of Teacher Education for Sustainability","id":"ITEM-1","issue":"1","issued":{"date-parts":[["2017"]]},"page":"23-91","title":"‘Knowledge, attitudes and practices of coastal communities on waste management in Ghana’","type":"article-journal","volume":"17"},"uris":["http://www.mendeley.com/documents/?uuid=3876db4c-efda-43af-ba83-6657cc69d571"]},{"id":"ITEM-2","itemData":{"DOI":"https://www.doi.org/ 10.5038/2640-6489.5.1.1081","author":[{"dropping-particle":"","family":"Mensah","given":"Ishmael","non-dropping-particle":"","parse-names":false,"suffix":""}],"container-title":"Journal of Global Business Insights, 5(1), 33-46.","id":"ITEM-2","issue":"1","issued":{"date-parts":[["2020"]]},"page":"33-46","title":"Waste management practices of small hotels in Accra : An application of the waste management hierarchy model","type":"article-journal","volume":"5"},"uris":["http://www.mendeley.com/documents/?uuid=9f0f31cf-7170-45ea-9e07-a435782f1f91"]}],"mendeley":{"formattedCitation":"(Essuman, 2017; Mensah, 2020)","plainTextFormattedCitation":"(Essuman, 2017; Mensah, 2020)","previouslyFormattedCitation":"(Essuman, 2017; Mensah,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(Essuman, 2017; Mensah,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pStyle w:val="Heading2"/>
        <w:spacing w:line="480" w:lineRule="auto"/>
        <w:ind w:left="720"/>
      </w:pPr>
      <w:bookmarkStart w:id="40" w:name="_Toc147923048"/>
      <w:r>
        <w:rPr>
          <w:rFonts w:ascii="Times New Roman"/>
          <w:b/>
          <w:i w:val="0"/>
          <w:strike w:val="0"/>
          <w:dstrike w:val="0"/>
          <w:emboss w:val="0"/>
          <w:imprint w:val="0"/>
          <w:outline w:val="0"/>
          <w:shadow w:val="0"/>
          <w:sz w:val="24"/>
          <w:szCs w:val="24"/>
          <w:u w:val="none"/>
        </w:rPr>
        <w:lastRenderedPageBreak/>
        <w:t xml:space="preserve">2.7 Solid Waste Management in Ghana</w:t>
      </w:r>
      <w:bookmarkEnd w:id="40"/>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 Ghana, solid waste collection and transportation are delivered almost exclusively by private-sector providers. These providers vary in size, complexity, and service delivery model. Some are formalized and bid for local government contracts; however, the majority are informal and small-scale providers that deal directly with households. There are two dominant forms of waste collection in Ghana: primary and secondary. Primary collection includes door-to-door or kerb-based collection of small aggregations of waste. This is undertaken either by formal medium- to large-scale contractors working on behalf of the Metropolitan, Municipal, and District Assemblies (MMDAs) and serving registered, fee-paying households in designated zones, or by a plethora of small-scale informal service providers who roam the streets with low-capacity vehicles, service households, and commercial entities with a pay-as-you go service with no standard fees. The secondary collection, on the other hand, relates to large national-scaled waste evacuation services for waste deposited in communal skip containers or in public areas, such as street cleaning activities. Most of these activities are covered by the national Sanitation Improvement Package (SIP). The SIP is a service agreement for the provision and management of skips and waste management equipment for all MMDAs in Ghana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{"citationItems":[{"id":"ITEM-1","itemData":{"author":[{"dropping-particle":"","family":"Ministry of Sanitation and Water Resources","given":"","non-dropping-particle":"","parse-names":false,"suffix":""}],"id":"ITEM-1","issue":"June","issued":{"date-parts":[["2020"]]},"publisher-place":"Ghana","title":"National Solid Waste Management Strategy for Ghana","type":"report"},"uris":["http://www.mendeley.com/documents/?uuid=8235ef2c-342a-4d3e-99fa-5378e1cd4824"]}],"mendeley":{"formattedCitation":"(Ministry of Sanitation and Water Resources, 2020)","manualFormatting":"(see Ministry of Sanitation and Water Resources, 2020)","plainTextFormattedCitation":"(Ministry of Sanitation and Water Resources, 2020)","previouslyFormattedCitation":"(Ministry of Sanitation and Water Resources,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 Ministry of Sanitation and Water Resources,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spacing w:line="240" w:lineRule="auto"/>
        <w:ind w:left="720"/>
        <w:contextualSpacing w:val="1"/>
        <w:jc w:val="both"/>
        <w:rPr>
          <w:rFonts w:hAnsi="Times New Roman" w:ascii="Times New Roman" w:eastAsia="Times New Roman" w:cs="Times New Roman"/>
          <w:sz w:val="24"/>
          <w:szCs w:val="24"/>
        </w:rPr>
      </w:pP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 Ghana, there are relatively few, waste reduction, reuse, or recycling initiatives. Most waste recovery and recycling facilities are privately owned and centred in Accra, Tema, and Kumasi. As such, the majority of recyclables recovered from other MMDAs are sent to these urban centres, where processing and marketing capacity exists and where the recyclables can be processed to export standards.  As in many other lower-middle-income countries, the most common recycling activity in Ghana is the collection/aggregation and trade of common recyclable plastic sub</w:t>
        <w:t xml:space="preserve"> typologies (PET, HDPE, and PP), cardboard, glass, and metals. Commercial recycling activities range from highly advanced recycling and material recovery facilities managed under donor and public private partnership (PPP) arrangements to informal outdoor aggregation points near waste skips or on dumpsites, overseen by informal waste pickers. There are also several small-scale recycling centres across the country managed by small and medium-sized enterprises (SMEs).  What is notable about the recycling sector in Ghana is the absence of advanced and commercially sustainable recycling businesses that convert recyclables to export-grade quality. Such entities can contest the international export market and drive improved collection practices locally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{"citationItems":[{"id":"ITEM-1","itemData":{"author":[{"dropping-particle":"","family":"Ministry of Sanitation and Water Resources","given":"","non-dropping-particle":"","parse-names":false,"suffix":""}],"id":"ITEM-1","issue":"June","issued":{"date-parts":[["2020"]]},"publisher-place":"Ghana","title":"National Solid Waste Management Strategy for Ghana","type":"report"},"uris":["http://www.mendeley.com/documents/?uuid=8235ef2c-342a-4d3e-99fa-5378e1cd4824"]}],"mendeley":{"formattedCitation":"(Ministry of Sanitation and Water Resources, 2020)","manualFormatting":"(see Ministry of Sanitation and Water Resources, 2020)","plainTextFormattedCitation":"(Ministry of Sanitation and Water Resources, 2020)","previouslyFormattedCitation":"(Ministry of Sanitation and Water Resources,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(see Ministry of Sanitation and Water Resources,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 addition, the primary formalized channel for waste disposal in Ghana is through unmanaged landﬁll or dump sites. Most urban areas have one designated dumpsite, which is managed or maintained by a local government contractor. There are also a number of small and sophisticated material recovery facilities for recyclable waste. However, these are not heavily utilized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{"citationItems":[{"id":"ITEM-1","itemData":{"author":[{"dropping-particle":"","family":"Ministry of Sanitation and Water Resources","given":"","non-dropping-particle":"","parse-names":false,"suffix":""}],"id":"ITEM-1","issue":"June","issued":{"date-parts":[["2020"]]},"publisher-place":"Ghana","title":"National Solid Waste Management Strategy for Ghana","type":"report"},"uris":["http://www.mendeley.com/documents/?uuid=8235ef2c-342a-4d3e-99fa-5378e1cd4824"]}],"mendeley":{"formattedCitation":"(Ministry of Sanitation and Water Resources, 2020)","manualFormatting":"(see Ministry of Sanitation and Water Resources, 2020)","plainTextFormattedCitation":"(Ministry of Sanitation and Water Resources, 2020)","previouslyFormattedCitation":"(Ministry of Sanitation and Water Resources,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 Ministry of Sanitation and Water Resources,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p>
    <w:p>
      <w:pPr>
        <w:spacing w:line="480" w:lineRule="auto"/>
        <w:ind w:left="720"/>
        <w:jc w:val="both"/>
        <w:rPr>
          <w:rFonts w:hAnsi="TimesNewRomanPS-BoldMT" w:ascii="TimesNewRomanPS-BoldMT" w:cs="TimesNewRomanPS-BoldMT"/>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 the Upper West Region of Ghana, a study established that without structural interruptions to the current solid waste generation trends, Wa Municipal would experience a six-fold increase in solid waste generation by 2026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{"citationItems":[{"id":"ITEM-1","itemData":{"author":[{"dropping-particle":"","family":"Owusu-Sekyere","given":"E","non-dropping-particle":"","parse-names":false,"suffix":""},{"dropping-particle":"","family":"Amoah","given":"Twumasi S","non-dropping-particle":"","parse-names":false,"suffix":""},{"dropping-particle":"","family":"Wedam","given":"E A","non-dropping-particle":"","parse-names":false,"suffix":""}],"container-title":"UDS International Journal of Development [UDSIJD]","id":"ITEM-1","issue":"1","issued":{"date-parts":[["2017"]]},"page":"46-63","title":"Solid waste generation, planning and projection in Wa, Ghana","type":"article-journal","volume":"4"},"uris":["http://www.mendeley.com/documents/?uuid=42dc6ce3-f72b-4d26-97f9-040abc6cfcb3"]}],"mendeley":{"formattedCitation":"(Owusu-Sekyere et al., 2017)","plainTextFormattedCitation":"(Owusu-Sekyere et al., 2017)","previouslyFormattedCitation":"(Owusu-Sekyere et al., 2017)"},"properties":{"noteIndex":0},"schema":"https://github.com/citation-style-language/schema/raw/master/csl-citation.json"}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(Owusu-Sekyere et al., 2017)</w:t>
      </w:r>
      <w:r>
        <w:rPr>
          <w:rFonts w:hAnsi="Times New Roman" w:ascii="Times New Roman" w:cs="Times New Roman"/>
          <w:sz w:val="24"/>
          <w:szCs w:val="24"/>
        </w:rPr>
        <w:fldChar w:fldCharType="end"/>
      </w:r>
      <w:r>
        <w:rPr>
          <w:rFonts w:hAnsi="TimesNewRomanPS-BoldMT" w:ascii="TimesNewRomanPS-BoldMT" w:cs="TimesNewRomanPS-BoldMT"/>
          <w:b w:val="0"/>
          <w:i w:val="0"/>
          <w:strike w:val="0"/>
          <w:dstrike w:val="0"/>
          <w:emboss w:val="0"/>
          <w:imprint w:val="0"/>
          <w:outline w:val="0"/>
          <w:shadow w:val="0"/>
          <w:sz w:val="24"/>
          <w:szCs w:val="24"/>
          <w:u w:val="none"/>
        </w:rPr>
        <w:t xml:space="preserve">. This is because studies have revealed that there is poor solid waste management in Wa Municipality </w:t>
      </w:r>
      <w:r>
        <w:rPr>
          <w:rFonts w:hAnsi="TimesNewRomanPS-BoldMT" w:ascii="TimesNewRomanPS-BoldMT" w:cs="TimesNewRomanPS-BoldMT"/>
          <w:sz w:val="24"/>
          <w:szCs w:val="24"/>
        </w:rPr>
        <w:fldChar w:fldCharType="begin"/>
      </w:r>
      <w:r>
        <w:rPr>
          <w:rFonts w:hAnsi="TimesNewRomanPS-BoldMT" w:ascii="TimesNewRomanPS-BoldMT" w:cs="TimesNewRomanPS-BoldMT"/>
          <w:sz w:val="24"/>
          <w:szCs w:val="24"/>
        </w:rPr>
        <w:instrText xml:space="preserve">ADDIN CSL_CITATION {"citationItems":[{"id":"ITEM-1","itemData":{"DOI":"10.36005/jplm.v2i2.48","author":[{"dropping-particle":"","family":"Kosoe","given":"Enoch Akwasi","non-dropping-particle":"","parse-names":false,"suffix":""},{"dropping-particle":"","family":"Akanbang","given":"Bernard A A","non-dropping-particle":"","parse-names":false,"suffix":""},{"dropping-particle":"","family":"Ahmed","given":"Abubakari","non-dropping-particle":"","parse-names":false,"suffix":""}],"container-title":"Journal of Planning and Land Management","id":"ITEM-1","issued":{"date-parts":[["2023"]]},"page":"60-70","title":"Unpacking the processes and factors affecting household solid waste collection within a democratic decentralised governance system:Experiences from the Wa Municipality, Ghana","type":"article-journal"},"uris":["http://www.mendeley.com/documents/?uuid=2bc2c6c6-4c15-4efd-8ec1-d8a4ed4595e3"]},{"id":"ITEM-2","itemData":{"author":[{"dropping-particle":"","family":"Osumanu","given":"Issaka Kanton","non-dropping-particle":"","parse-names":false,"suffix":""},{"dropping-particle":"","family":"Kosoe","given":"Enoch Akwasi","non-dropping-particle":"","parse-names":false,"suffix":""},{"dropping-particle":"","family":"Ategeeng","given":"Frank","non-dropping-particle":"","parse-names":false,"suffix":""}],"id":"ITEM-2","issued":{"date-parts":[["2019"]]},"title":"Determinants of Open Defecation in the Wa Municipality of Ghana : Empirical Findings Highlighting Sociocultural and Economic Dynamics among Households","type":"article-journal","volume":"2019"},"uris":["http://www.mendeley.com/documents/?uuid=64454072-cee7-43a8-9f8d-cce94bb56c3e"]},{"id":"ITEM-3","itemData":{"DOI":"DOI//http://dx.doi.org/10.4314/gjds.v15i1.8 Abstract","author":[{"dropping-particle":"","family":"Kosoe","given":"Enoch Akwasi","non-dropping-particle":"","parse-names":false,"suffix":""},{"dropping-particle":"","family":"Osumanu","given":"Issaka Kanton","non-dropping-particle":"","parse-names":false,"suffix":""}],"container-title":"Ghana Journal of Development Studies, Vol. 15 (1) Introduction","id":"ITEM-3","issued":{"date-parts":[["2018"]]},"page":"151-172","title":"Entertaining Risks to Health : The State of Human Faecal Matter Managemnt in Wa , Ghana","type":"article-journal"},"uris":["http://www.mendeley.com/documents/?uuid=20aeffa7-8bbf-48de-8d79-5b6aa6359421"]}],"mendeley":{"formattedCitation":"(Kosoe et al., 2023; Kosoe &amp; Osumanu, 2018; Osumanu et al., 2019)","plainTextFormattedCitation":"(Kosoe et al., 2023; Kosoe &amp; Osumanu, 2018; Osumanu et al., 2019)","previouslyFormattedCitation":"(Kosoe et al., 2023; Kosoe &amp; Osumanu, 2018; Osumanu et al., 2019)"},"properties":{"noteIndex":0},"schema":"https://github.com/citation-style-language/schema/raw/master/csl-citation.json"}</w:instrText>
      </w:r>
      <w:r>
        <w:rPr>
          <w:rFonts w:hAnsi="TimesNewRomanPS-BoldMT" w:ascii="TimesNewRomanPS-BoldMT" w:cs="TimesNewRomanPS-BoldMT"/>
          <w:sz w:val="24"/>
          <w:szCs w:val="24"/>
        </w:rPr>
        <w:fldChar w:fldCharType="separate"/>
      </w:r>
      <w:r>
        <w:rPr>
          <w:rFonts w:hAnsi="TimesNewRomanPS-BoldMT" w:ascii="TimesNewRomanPS-BoldMT" w:cs="TimesNewRomanPS-BoldMT"/>
          <w:b w:val="0"/>
          <w:i w:val="0"/>
          <w:strike w:val="0"/>
          <w:dstrike w:val="0"/>
          <w:emboss w:val="0"/>
          <w:imprint w:val="0"/>
          <w:outline w:val="0"/>
          <w:shadow w:val="0"/>
          <w:sz w:val="24"/>
          <w:szCs w:val="24"/>
          <w:u w:val="none"/>
        </w:rPr>
        <w:t xml:space="preserve">(Kosoe et al., 2023; Kosoe&amp;Osumanu, 2018; Osumanu et al., 2019)</w:t>
      </w:r>
      <w:r>
        <w:rPr>
          <w:rFonts w:hAnsi="TimesNewRomanPS-BoldMT" w:ascii="TimesNewRomanPS-BoldMT" w:cs="TimesNewRomanPS-BoldMT"/>
          <w:sz w:val="24"/>
          <w:szCs w:val="24"/>
        </w:rPr>
        <w:fldChar w:fldCharType="end"/>
      </w:r>
      <w:r>
        <w:rPr>
          <w:rFonts w:hAnsi="TimesNewRomanPS-BoldMT" w:ascii="TimesNewRomanPS-BoldMT" w:cs="TimesNewRomanPS-BoldMT"/>
          <w:b w:val="0"/>
          <w:i w:val="0"/>
          <w:strike w:val="0"/>
          <w:dstrike w:val="0"/>
          <w:emboss w:val="0"/>
          <w:imprint w:val="0"/>
          <w:outline w:val="0"/>
          <w:shadow w:val="0"/>
          <w:sz w:val="24"/>
          <w:szCs w:val="24"/>
          <w:u w:val="none"/>
        </w:rPr>
        <w:t xml:space="preserve">. A study by </w:t>
      </w:r>
      <w:r>
        <w:rPr>
          <w:rFonts w:hAnsi="TimesNewRomanPS-BoldMT" w:ascii="TimesNewRomanPS-BoldMT" w:cs="TimesNewRomanPS-BoldMT"/>
          <w:sz w:val="24"/>
          <w:szCs w:val="24"/>
        </w:rPr>
        <w:fldChar w:fldCharType="begin"/>
      </w:r>
      <w:r>
        <w:rPr>
          <w:rFonts w:hAnsi="TimesNewRomanPS-BoldMT" w:ascii="TimesNewRomanPS-BoldMT" w:cs="TimesNewRomanPS-BoldMT"/>
          <w:sz w:val="24"/>
          <w:szCs w:val="24"/>
        </w:rPr>
        <w:instrText xml:space="preserve">ADDIN CSL_CITATION {"citationItems":[{"id":"ITEM-1","itemData":{"DOI":"10.36005/jplm.v2i2.48","author":[{"dropping-particle":"","family":"Kosoe","given":"Enoch Akwasi","non-dropping-particle":"","parse-names":false,"suffix":""},{"dropping-particle":"","family":"Akanbang","given":"Bernard A A","non-dropping-particle":"","parse-names":false,"suffix":""},{"dropping-particle":"","family":"Ahmed","given":"Abubakari","non-dropping-particle":"","parse-names":false,"suffix":""}],"container-title":"Journal of Planning and Land Management","id":"ITEM-1","issued":{"date-parts":[["2023"]]},"page":"60-70","title":"Unpacking the processes and factors affecting household solid waste collection within a democratic decentralised governance system:Experiences from the Wa Municipality, Ghana","type":"article-journal"},"uris":["http://www.mendeley.com/documents/?uuid=2bc2c6c6-4c15-4efd-8ec1-d8a4ed4595e3"]}],"mendeley":{"formattedCitation":"(Kosoe et al., 2023)","manualFormatting":"Kosoe et al. (2023)","plainTextFormattedCitation":"(Kosoe et al., 2023)","previouslyFormattedCitation":"(Kosoe et al., 2023)"},"properties":{"noteIndex":0},"schema":"https://github.com/citation-style-language/schema/raw/master/csl-citation.json"}</w:instrText>
      </w:r>
      <w:r>
        <w:rPr>
          <w:rFonts w:hAnsi="TimesNewRomanPS-BoldMT" w:ascii="TimesNewRomanPS-BoldMT" w:cs="TimesNewRomanPS-BoldMT"/>
          <w:sz w:val="24"/>
          <w:szCs w:val="24"/>
        </w:rPr>
        <w:fldChar w:fldCharType="separate"/>
      </w:r>
      <w:r>
        <w:rPr>
          <w:rFonts w:hAnsi="TimesNewRomanPS-BoldMT" w:ascii="TimesNewRomanPS-BoldMT" w:cs="TimesNewRomanPS-BoldMT"/>
          <w:b w:val="0"/>
          <w:i w:val="0"/>
          <w:strike w:val="0"/>
          <w:dstrike w:val="0"/>
          <w:emboss w:val="0"/>
          <w:imprint w:val="0"/>
          <w:outline w:val="0"/>
          <w:shadow w:val="0"/>
          <w:sz w:val="24"/>
          <w:szCs w:val="24"/>
          <w:u w:val="none"/>
        </w:rPr>
        <w:t xml:space="preserve">Kosoe et al. (2023)</w:t>
      </w:r>
      <w:r>
        <w:rPr>
          <w:rFonts w:hAnsi="TimesNewRomanPS-BoldMT" w:ascii="TimesNewRomanPS-BoldMT" w:cs="TimesNewRomanPS-BoldMT"/>
          <w:sz w:val="24"/>
          <w:szCs w:val="24"/>
        </w:rPr>
        <w:fldChar w:fldCharType="end"/>
      </w:r>
      <w:r>
        <w:rPr>
          <w:rFonts w:hAnsi="TimesNewRomanPS-BoldMT" w:ascii="TimesNewRomanPS-BoldMT" w:cs="TimesNewRomanPS-BoldMT"/>
          <w:b w:val="0"/>
          <w:i w:val="0"/>
          <w:strike w:val="0"/>
          <w:dstrike w:val="0"/>
          <w:emboss w:val="0"/>
          <w:imprint w:val="0"/>
          <w:outline w:val="0"/>
          <w:shadow w:val="0"/>
          <w:sz w:val="24"/>
          <w:szCs w:val="24"/>
          <w:u w:val="none"/>
        </w:rPr>
        <w:t xml:space="preserve"> discovered </w:t>
      </w:r>
      <w:r>
        <w:rPr>
          <w:rFonts w:hAnsi="Times New Roman" w:ascii="Times New Roman" w:cs="Times New Roman"/>
          <w:b w:val="0"/>
          <w:i w:val="0"/>
          <w:strike w:val="0"/>
          <w:dstrike w:val="0"/>
          <w:emboss w:val="0"/>
          <w:imprint w:val="0"/>
          <w:outline w:val="0"/>
          <w:shadow w:val="0"/>
          <w:sz w:val="24"/>
          <w:szCs w:val="24"/>
          <w:u w:val="none"/>
        </w:rPr>
        <w:t xml:space="preserve">arrangements for financing the local government, partisan politics in the local government, and weaknesses in skills and logistics as  factors affecting the effective collection and management of solid waste in the Wa Muncicpality.</w:t>
      </w:r>
    </w:p>
    <w:p>
      <w:pPr>
        <w:pStyle w:val="Heading2"/>
        <w:spacing w:line="480" w:lineRule="auto"/>
        <w:ind w:left="720"/>
      </w:pPr>
      <w:bookmarkStart w:id="41" w:name="_Toc147923049"/>
      <w:r>
        <w:rPr>
          <w:rFonts w:ascii="Times New Roman"/>
          <w:b/>
          <w:i w:val="0"/>
          <w:strike w:val="0"/>
          <w:dstrike w:val="0"/>
          <w:emboss w:val="0"/>
          <w:imprint w:val="0"/>
          <w:outline w:val="0"/>
          <w:shadow w:val="0"/>
          <w:sz w:val="24"/>
          <w:szCs w:val="24"/>
          <w:u w:val="none"/>
        </w:rPr>
        <w:t xml:space="preserve">2.8 Solid Waste Management Challenge in Ghana</w:t>
      </w:r>
      <w:bookmarkEnd w:id="41"/>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Ghana is currently facing a solid waste management crisis. Of the more than 12,710 tons of solid waste generated daily, only 10% is collected and disposed at designated dumping sites in Ghana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ONE","id":"ITEM-1","issue":"3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municipality","type":"article-journal","volume":"16"},"uris":["http://www.mendeley.com/documents/?uuid=2a6fa111-a59d-4dfb-9ea4-6aac6e0d4d7a"]}],"mendeley":{"formattedCitation":"(Lissah et al., 2021)","plainTextFormattedCitation":"(Lissah et al., 2021)","previouslyFormattedCitation":"(Lissah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(Lissah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It has been asserted that in all urban areas of Ghana, solid waste is indiscriminately thrown in the streets, drains, or the sea, crudely dumped at unapproved dumpsites, or burned on-site. These challenges are most acute in larger cities and reﬂect extremely poor behaviour control by households, commercial businesses, and solid waste management service providers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{"citationItems":[{"id":"ITEM-1","itemData":{"author":[{"dropping-particle":"","family":"Ministry of Sanitation and Water Resources","given":"","non-dropping-particle":"","parse-names":false,"suffix":""}],"id":"ITEM-1","issue":"June","issued":{"date-parts":[["2020"]]},"publisher-place":"Ghana","title":"National Solid Waste Management Strategy for Ghana","type":"report"},"uris":["http://www.mendeley.com/documents/?uuid=8235ef2c-342a-4d3e-99fa-5378e1cd4824"]}],"mendeley":{"formattedCitation":"(Ministry of Sanitation and Water Resources, 2020)","manualFormatting":"(see Ministry of Sanitation and Water Resources, 2020)","plainTextFormattedCitation":"(Ministry of Sanitation and Water Resources, 2020)","previouslyFormattedCitation":"(Ministry of Sanitation and Water Resources,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 Ministry of Sanitation and Water Resources,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ONE","id":"ITEM-1","issue":"3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municipality","type":"article-journal","volume":"16"},"uris":["http://www.mendeley.com/documents/?uuid=2a6fa111-a59d-4dfb-9ea4-6aac6e0d4d7a"]}],"mendeley":{"formattedCitation":"(Lissah et al., 2021)","manualFormatting":"Lissah et al.(2021)","plainTextFormattedCitation":"(Lissah et al., 2021)","previouslyFormattedCitation":"(Lissah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Lissah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stated that a major challenge of solid waste management in Ghana is the collection and disposal process, which are labor-intensive and often not effective. Similar to the 2020 National Solid Waste Management Strategy for Ghana, the challenges of solid waste management relate to poor behaviour and practices, which are compounded by inadequate, ineffective, or unaﬀordable service delivery arrangements. In most cases, waste transfer stations are poorly located, inadequate in number, and irregularly emptied. Although r</w:t>
        <w:t xml:space="preserve">egular door-to-door collection services are widespread, especially within metropolitan assemblies, private sector service providers choose who they serve because of their poorly deﬁned roots or unenforced zoning. This often leaves the poorest and most marginalized households underserved and left them with the choice of either engaging an informal provider or dumping waste at unauthorized sites. Besides, most ‘managed’ dumpsites and landﬁlls across the Ghana are operated in a ‘semi-controlled’ or an ‘uncontrolled’ manner. The sites are mostly not fenced and are open to </w:t>
        <w:t xml:space="preserve">the public, with no leachate control or treatment measures in place, and with limited arrangements for waste compaction or fire control. This results in part from weaknesses in procurement, contracting, and oversight of private providers by local government authorities, institutional conﬂicts related to overlapping or incoherent functional responsibilities, and limited overall investment in local government capacity, monitoring, and evaluation. Furthermore, the limited availability of data on service provider performance, service quality, and household knowledge, attitudes, and practices on solid waste management limits informed policy debate and weakens accountability mechanisms between households, service providers, and local and national governments</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{"citationItems":[{"id":"ITEM-1","itemData":{"author":[{"dropping-particle":"","family":"Ministry of Sanitation and Water Resources","given":"","non-dropping-particle":"","parse-names":false,"suffix":""}],"id":"ITEM-1","issue":"June","issued":{"date-parts":[["2020"]]},"publisher-place":"Ghana","title":"National Solid Waste Management Strategy for Ghana","type":"report"},"uris":["http://www.mendeley.com/documents/?uuid=8235ef2c-342a-4d3e-99fa-5378e1cd4824"]}],"mendeley":{"formattedCitation":"(Ministry of Sanitation and Water Resources, 2020)","manualFormatting":"(see Ministry of Sanitation and Water Resources, 2020)","plainTextFormattedCitation":"(Ministry of Sanitation and Water Resources, 2020)","previouslyFormattedCitation":"(Ministry of Sanitation and Water Resources,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 Ministry of Sanitation and Water Resources,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Given this situation, the solid waste management sector in Ghana requires a dedicated strategy to address the identiﬁed key challenges.</w:t>
      </w:r>
    </w:p>
    <w:p>
      <w:pPr>
        <w:pStyle w:val="Heading2"/>
        <w:spacing w:line="480" w:lineRule="auto"/>
        <w:ind w:left="720"/>
      </w:pPr>
      <w:bookmarkStart w:id="42" w:name="_Toc147923050"/>
      <w:r>
        <w:rPr>
          <w:rFonts w:ascii="Times New Roman"/>
          <w:b/>
          <w:i w:val="0"/>
          <w:strike w:val="0"/>
          <w:dstrike w:val="0"/>
          <w:emboss w:val="0"/>
          <w:imprint w:val="0"/>
          <w:outline w:val="0"/>
          <w:shadow w:val="0"/>
          <w:sz w:val="24"/>
          <w:szCs w:val="24"/>
          <w:u w:val="none"/>
        </w:rPr>
        <w:t xml:space="preserve">2.9 Environmental and Health Risks of Solid Waste</w:t>
      </w:r>
      <w:bookmarkEnd w:id="42"/>
    </w:p>
    <w:p>
      <w:pPr>
        <w:spacing w:line="480" w:lineRule="auto"/>
        <w:ind w:left="720"/>
        <w:contextualSpacing w:val="1"/>
        <w:jc w:val="both"/>
        <w:rPr>
          <w:rFonts w:hAnsi="Times New Roman" w:ascii="Times New Roman" w:eastAsia="Times New Roman" w:cs="Times New Roman"/>
          <w:b/>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 healthy environment results in good health and promotes quality of life. To improve environmental protection and promote quality of life, a high level of knowledge, attitude, and practice of effective household waste collection and disposal are needed. However, lack or inadequacy of knowledge, attitude, and practice about the proper ways of waste collection and disposal results in improper disposal which has an immediate impact on human health </w:t>
      </w:r>
      <w:r>
        <w:rPr>
          <w:rFonts w:hAnsi="Times New Roman" w:ascii="Times New Roman" w:eastAsia="Times New Roman" w:cs="Times New Roman"/>
          <w:b/>
          <w:sz w:val="24"/>
          <w:szCs w:val="24"/>
        </w:rPr>
        <w:fldChar w:fldCharType="begin"/>
      </w:r>
      <w:r>
        <w:rPr>
          <w:rFonts w:hAnsi="Times New Roman" w:ascii="Times New Roman" w:eastAsia="Times New Roman" w:cs="Times New Roman"/>
          <w:b/>
          <w:sz w:val="24"/>
          <w:szCs w:val="24"/>
        </w:rPr>
        <w:instrText xml:space="preserve">ADDIN CSL_CITATION {"citationItems":[{"id":"ITEM-1","itemData":{"author":[{"dropping-particle":"","family":"Tukiman","given":"Noor F I","non-dropping-particle":"","parse-names":false,"suffix":""},{"dropping-particle":"","family":"Seman","given":"Noor A A","non-dropping-particle":"","parse-names":false,"suffix":""},{"dropping-particle":"","family":"Mustaffa","given":"Siti A","non-dropping-particle":"","parse-names":false,"suffix":""}],"id":"ITEM-1","issue":"2","issued":{"date-parts":[["2021"]]},"page":"881-892","title":"A Study of E-Waste Disposal Management Awareness among Local Community based on KAP Model","type":"article-journal","volume":"2"},"uris":["http://www.mendeley.com/documents/?uuid=52106b7c-51c4-4ba5-9744-cf5240d58b17"]}],"mendeley":{"formattedCitation":"(Tukiman et al., 2021)","manualFormatting":"(Tukimanet al., 2021)","plainTextFormattedCitation":"(Tukiman et al., 2021)","previouslyFormattedCitation":"(Tukiman et al., 2021)"},"properties":{"noteIndex":0},"schema":"https://github.com/citation-style-language/schema/raw/master/csl-citation.json"}</w:instrText>
      </w:r>
      <w:r>
        <w:rPr>
          <w:rFonts w:hAnsi="Times New Roman" w:ascii="Times New Roman" w:eastAsia="Times New Roman" w:cs="Times New Roman"/>
          <w:b/>
          <w:sz w:val="24"/>
          <w:szCs w:val="24"/>
        </w:rPr>
        <w:fldChar w:fldCharType="separate"/>
      </w:r>
      <w:r>
        <w:rPr>
          <w:rFonts w:hAnsi="Times New Roman" w:ascii="Times New Roman" w:eastAsia="Times New Roman" w:cs="Times New Roman"/>
          <w:b/>
          <w:i w:val="0"/>
          <w:strike w:val="0"/>
          <w:dstrike w:val="0"/>
          <w:emboss w:val="0"/>
          <w:imprint w:val="0"/>
          <w:outline w:val="0"/>
          <w:shadow w:val="0"/>
          <w:sz w:val="24"/>
          <w:szCs w:val="24"/>
          <w:u w:val="none"/>
        </w:rPr>
        <w:t xml:space="preserve">(</w:t>
      </w:r>
      <w:r>
        <w:rPr>
          <w:rFonts w:hAnsi="Times New Roman" w:ascii="Times New Roman" w:eastAsia="Times New Roman" w:cs="Times New Roman"/>
          <w:b w:val="0"/>
          <w:i w:val="0"/>
          <w:strike w:val="0"/>
          <w:dstrike w:val="0"/>
          <w:emboss w:val="0"/>
          <w:imprint w:val="0"/>
          <w:outline w:val="0"/>
          <w:shadow w:val="0"/>
          <w:sz w:val="24"/>
          <w:szCs w:val="24"/>
          <w:u w:val="none"/>
        </w:rPr>
        <w:t xml:space="preserve">Tukiman et al., 2021)</w:t>
      </w:r>
      <w:r>
        <w:rPr>
          <w:rFonts w:hAnsi="Times New Roman" w:ascii="Times New Roman" w:eastAsia="Times New Roman" w:cs="Times New Roman"/>
          <w:b/>
          <w:sz w:val="24"/>
          <w:szCs w:val="24"/>
        </w:rPr>
        <w:fldChar w:fldCharType="end"/>
      </w:r>
      <w:r>
        <w:rPr>
          <w:rFonts w:hAnsi="Times New Roman" w:ascii="Times New Roman" w:eastAsia="Times New Roman" w:cs="Times New Roman"/>
          <w:b/>
          <w:i w:val="0"/>
          <w:strike w:val="0"/>
          <w:dstrike w:val="0"/>
          <w:emboss w:val="0"/>
          <w:imprint w:val="0"/>
          <w:outline w:val="0"/>
          <w:shadow w:val="0"/>
          <w:sz w:val="24"/>
          <w:szCs w:val="24"/>
          <w:u w:val="none"/>
        </w:rPr>
        <w:t xml:space="preserve">.</w:t>
      </w:r>
      <w:r>
        <w:rPr>
          <w:rFonts w:hAnsi="Times New Roman" w:ascii="Times New Roman" w:eastAsia="Times New Roman" w:cs="Times New Roman"/>
          <w:b w:val="0"/>
          <w:i w:val="0"/>
          <w:strike w:val="0"/>
          <w:dstrike w:val="0"/>
          <w:emboss w:val="0"/>
          <w:imprint w:val="0"/>
          <w:outline w:val="0"/>
          <w:shadow w:val="0"/>
          <w:sz w:val="24"/>
          <w:szCs w:val="24"/>
          <w:u w:val="none"/>
        </w:rPr>
        <w:t xml:space="preserve">The approaches and practices of solid waste management have the greatest impact on human health and the environment. A good solid waste arrangement translates into good health; thus, if things are correctly done, citizens will be comfortable in life, but where the system approach is wrong, things get seriously worse and escalate the problem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{"citationItems":[{"id":"ITEM-1","itemData":{"ISBN":"9781849711692","author":[{"dropping-particle":"","family":"UN-Habitat","given":"","non-dropping-particle":"","parse-names":false,"suffix":""}],"id":"ITEM-1","issued":{"date-parts":[["2010"]]},"title":"SOLID WASTE MANAGEMENT IN THE WORLD’S CITIES","type":"book"},"uris":["http://www.mendeley.com/documents/?uuid=0841442d-2021-4c00-b435-2c0cca20fb71"]}],"mendeley":{"formattedCitation":"(UN-Habitat, 2010)","plainTextFormattedCitation":"(UN-Habitat, 2010)","previouslyFormattedCitation":"(UN-Habitat, 2010)"},"properties":{"noteIndex":0},"schema":"https://github.com/citation-style-language/schema/raw/master/csl-citation.json"}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(UN-Habitat, 2010)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This means that good solid waste management practices mean that resources are efficiently utilised to reduce waste. </w:t>
      </w:r>
    </w:p>
    <w:p>
      <w:pPr>
        <w:spacing w:line="480" w:lineRule="auto"/>
        <w:ind w:left="720"/>
        <w:contextualSpacing w:val="1"/>
        <w:jc w:val="both"/>
        <w:rPr>
          <w:rFonts w:hAnsi="Times New Roman" w:ascii="Times New Roman" w:eastAsia="Times New Roman" w:cs="Times New Roman"/>
          <w:b/>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However, solid waste management differs from region to region which calls for diverse practices; however, with the aid of the waste management hierarchy, good practices can be enhanced. In Africa, countries are challenged to implement a new paradigm for solid waste management. Practices of the old hierarchy system, where emphasis is placed on waste to be disposed at dumpsites or landfills, still hold, which causes significant harm to public health and the environment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{"citationItems":[{"id":"ITEM-1","itemData":{"ISSN":"16915534","abstract":"Well-organised waste management is an essential part of sustainable development. The saving of resources and energy is everyoneís concern and environmental education is vital to guarantee a sustainable lifestyle in the long run. To find out what similarities and differences in views regarding waste management exist between grammar school pupils and comprehensive school pupils in England, questionnaires were designed and distributed in two schools in the same English city. The questionnaires aimed at quantifying and establishing studentsí knowledge, attitudes and behaviour regarding waste management. The results illustrate that students from the grammar school had higher levels of knowledge, were more likely to recycle and used more sources of information regarding waste management. Waste reduction was considered important by almost all students. However, students in both schools considered composting and waste reduction as less important than recycling and thereby did not fully agree with sustainable waste management. [ABSTRACT FROM AUTHOR]","author":[{"dropping-particle":"","family":"Essuman","given":"K. N.","non-dropping-particle":"","parse-names":false,"suffix":""}],"container-title":"Journal of Teacher Education for Sustainability","id":"ITEM-1","issue":"1","issued":{"date-parts":[["2017"]]},"page":"23-91","title":"‘Knowledge, attitudes and practices of coastal communities on waste management in Ghana’","type":"article-journal","volume":"17"},"uris":["http://www.mendeley.com/documents/?uuid=3876db4c-efda-43af-ba83-6657cc69d571"]}],"mendeley":{"formattedCitation":"(Essuman, 2017)","plainTextFormattedCitation":"(Essuman, 2017)","previouslyFormattedCitation":"(Essuman, 2017)"},"properties":{"noteIndex":0},"schema":"https://github.com/citation-style-language/schema/raw/master/csl-citation.json"}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(Essuman, 2017)</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According to WHO (2021), improperly managed solid waste poses environmental pollution, such as water, air, and land pollution, as well as health threats.  Public health concerns form the basis of solid waste management programs which are central to ensuring the quality health of the public. Hence, solid waste that is not properly collected and disposed of can be a breeding ground for insects, pests, and scavenging animals, and thus, can be passed on as contaminated air and water-borne diseases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{"citationItems":[{"id":"ITEM-1","itemData":{"ISBN":"9781849711692","author":[{"dropping-particle":"","family":"UN-Habitat","given":"","non-dropping-particle":"","parse-names":false,"suffix":""}],"id":"ITEM-1","issued":{"date-parts":[["2010"]]},"title":"SOLID WASTE MANAGEMENT IN THE WORLD’S CITIES","type":"book"},"uris":["http://www.mendeley.com/documents/?uuid=0841442d-2021-4c00-b435-2c0cca20fb71"]},{"id":"ITEM-2","itemData":{"author":[{"dropping-particle":"","family":"WHO","given":"","non-dropping-particle":"","parse-names":false,"suffix":""}],"id":"ITEM-2","issued":{"date-parts":[["2021"]]},"page":"0-7","title":"Compendium of WHO and other UN guidance on health and environment","type":"article-journal","volume":"2021"},"uris":["http://www.mendeley.com/documents/?uuid=94a1de7c-6b92-45c1-a977-b6c33ca91f64"]}],"mendeley":{"formattedCitation":"(UN-Habitat, 2010; WHO, 2021)","plainTextFormattedCitation":"(UN-Habitat, 2010; WHO, 2021)","previouslyFormattedCitation":"(UN-Habitat, 2010; WHO,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(UN-Habitat, 2010; WHO,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Similarly, inappropriate disposal of municipal solid waste causes all types of pollution, including air, soil, and water. The indiscriminate disposal of waste contaminates surface and groundwater supplies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Srigirisetty","given":"Sunil","non-dropping-particle":"","parse-names":false,"suffix":""},{"dropping-particle":"","family":"Jayasri","given":"Thadivalasa","non-dropping-particle":"","parse-names":false,"suffix":""},{"dropping-particle":"","family":"Netaji","given":"Chitti","non-dropping-particle":"","parse-names":false,"suffix":""}],"container-title":"INTERNATIONAL JOURNAL OF CURRENT ENGINEERING AND SCIENTIFIC RESEARCH (IJCESR)","id":"ITEM-1","issue":"6","issued":{"date-parts":[["2017"]]},"page":"26-33","title":"Open dumping of Municipal solid waste: Impact on groundwater and soil","type":"article-journal"},"uris":["http://www.mendeley.com/documents/?uuid=767e1976-d369-4b92-8078-567ddd0f88d7"]}],"mendeley":{"formattedCitation":"(Srigirisetty et al., 2017)","plainTextFormattedCitation":"(Srigirisetty et al., 2017)","previouslyFormattedCitation":"(Srigirisetty et al., 2017)"},"properties":{"noteIndex":0},"schema":"https://github.com/citation-style-language/schema/raw/master/csl-citation.json"}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(Srigirisetty et al., 2017)</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Groundwater is contaminated by leaching from unscientifically managed dumping yards. A leachate is a liquid that seeps from solid wastes or other objects and has extracts with dissolved or suspended materials from it. A study has proven that leachate from dumped solid waste has a significant effect on the chemical and geotechnical properties of the soil which can modify soil properties and significantly alter soil behavior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Srigirisetty","given":"Sunil","non-dropping-particle":"","parse-names":false,"suffix":""},{"dropping-particle":"","family":"Jayasri","given":"Thadivalasa","non-dropping-particle":"","parse-names":false,"suffix":""},{"dropping-particle":"","family":"Netaji","given":"Chitti","non-dropping-particle":"","parse-names":false,"suffix":""}],"container-title":"INTERNATIONAL JOURNAL OF CURRENT ENGINEERING AND SCIENTIFIC RESEARCH (IJCESR)","id":"ITEM-1","issue":"6","issued":{"date-parts":[["2017"]]},"page":"26-33","title":"Open dumping of Municipal solid waste: Impact on groundwater and soil","type":"article-journal"},"uris":["http://www.mendeley.com/documents/?uuid=767e1976-d369-4b92-8078-567ddd0f88d7"]}],"mendeley":{"formattedCitation":"(Srigirisetty et al., 2017)","plainTextFormattedCitation":"(Srigirisetty et al., 2017)","previouslyFormattedCitation":"(Srigirisetty et al., 2017)"},"properties":{"noteIndex":0},"schema":"https://github.com/citation-style-language/schema/raw/master/csl-citation.json"}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(Srigirisetty et al., 2017)</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In Municipalities, solid waste blocks drain, creating stagnant water for insect breeding and is the major contributor to most urban flooding across the globe, largely during rainy seasons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Srigirisetty","given":"Sunil","non-dropping-particle":"","parse-names":false,"suffix":""},{"dropping-particle":"","family":"Jayasri","given":"Thadivalasa","non-dropping-particle":"","parse-names":false,"suffix":""},{"dropping-particle":"","family":"Netaji","given":"Chitti","non-dropping-particle":"","parse-names":false,"suffix":""}],"container-title":"INTERNATIONAL JOURNAL OF CURRENT ENGINEERING AND SCIENTIFIC RESEARCH (IJCESR)","id":"ITEM-1","issue":"6","issued":{"date-parts":[["2017"]]},"page":"26-33","title":"Open dumping of Municipal solid waste: Impact on groundwater and soil","type":"article-journal"},"uris":["http://www.mendeley.com/documents/?uuid=767e1976-d369-4b92-8078-567ddd0f88d7"]},{"id":"ITEM-2","itemData":{"abstract":"The perception of tourist about accessibility from Penelokan village to Toya Bungkah destination” has objective to known the tourist perceptions of accessibility in Toya Bungkah destination. Kinds data used are primary data and secondary data. The data was gain through observations, depth interviews, questionnaires, literature studies, and documentations. Sampling was gain by purposive sampling to option the data of accessibility. The respondents was choose by using quota sampling. Analyzed the perception of tourist by using attitude scale (Likert scale) to measure the results. The result of the research showed that the tourist perceptions of accessibility to Toya Bungkah were : Condition about access from Penelokan to Toya Bungkah get average score was 3.10 is good enough, Quality of access from Penelokan to Toya Bungkah get average score was 3.20 is good enough, Comfortable of access from Penelokan to Toya Bungkah get average score was 3.14 is good enough, Condition transportasion after arrived from Penelokan to Toya Bungkah get average score was 3,48 is good, View at around access the tourist can see from Penelokan to Toya Bungkah get average score was 4.08 is good, Safety with the path from Penelokan to Toya Bungkah get average score was 3.50 is good, Perception of the tourist about Toya Bungkah get average score was 3.76 is good.","author":[{"dropping-particle":"","family":"Dongballe","given":"Felix","non-dropping-particle":"","parse-names":false,"suffix":""}],"container-title":"www.udsspace.uds.edu.gh","id":"ITEM-2","issue":"March","issued":{"date-parts":[["2016"]]},"number-of-pages":"11-40","title":"SOLID WASTE MANAGEMENT IN THE WA MUNICIPALITY: CHALLENGES AND OPTIONS","type":"thesis","volume":"147"},"uris":["http://www.mendeley.com/documents/?uuid=4176dd0c-a168-4f20-a66f-a75fc6ccb89d"]}],"mendeley":{"formattedCitation":"(Dongballe, 2016; Srigirisetty et al., 2017)","plainTextFormattedCitation":"(Dongballe, 2016; Srigirisetty et al., 2017)","previouslyFormattedCitation":"(Dongballe, 2016; Srigirisetty et al., 2017)"},"properties":{"noteIndex":0},"schema":"https://github.com/citation-style-language/schema/raw/master/csl-citation.json"}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(Dongballe, 2016; Srigirisetty et al., 2017)</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Accordingly, ill-treated solid waste can harbor disease-carrying pathogens, become air and water pollutants, and pose serious health hazards to professionals in waste collection and processing and the general public. Improper management of solid waste also contributes to other forms of pollution that increase threats to human health. Rainwater falling on dumped debris will wash salts and organic materials into nearby streams or onto groundwater, a process known as leaching. Some of the diseases associated with solid waste management are cholera, dysentery, typhoid fever, diarrhoea, tuberculosis, and malaria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{"citationItems":[{"id":"ITEM-1","itemData":{"abstract":"The perception of tourist about accessibility from Penelokan village to Toya Bungkah destination” has objective to known the tourist perceptions of accessibility in Toya Bungkah destination. Kinds data used are primary data and secondary data. The data was gain through observations, depth interviews, questionnaires, literature studies, and documentations. Sampling was gain by purposive sampling to option the data of accessibility. The respondents was choose by using quota sampling. Analyzed the perception of tourist by using attitude scale (Likert scale) to measure the results. The result of the research showed that the tourist perceptions of accessibility to Toya Bungkah were : Condition about access from Penelokan to Toya Bungkah get average score was 3.10 is good enough, Quality of access from Penelokan to Toya Bungkah get average score was 3.20 is good enough, Comfortable of access from Penelokan to Toya Bungkah get average score was 3.14 is good enough, Condition transportasion after arrived from Penelokan to Toya Bungkah get average score was 3,48 is good, View at around access the tourist can see from Penelokan to Toya Bungkah get average score was 4.08 is good, Safety with the path from Penelokan to Toya Bungkah get average score was 3.50 is good, Perception of the tourist about Toya Bungkah get average score was 3.76 is good.","author":[{"dropping-particle":"","family":"Dongballe","given":"Felix","non-dropping-particle":"","parse-names":false,"suffix":""}],"container-title":"www.udsspace.uds.edu.gh","id":"ITEM-1","issue":"March","issued":{"date-parts":[["2016"]]},"number-of-pages":"11-40","title":"SOLID WASTE MANAGEMENT IN THE WA MUNICIPALITY: CHALLENGES AND OPTIONS","type":"thesis","volume":"147"},"uris":["http://www.mendeley.com/documents/?uuid=4176dd0c-a168-4f20-a66f-a75fc6ccb89d"]}],"mendeley":{"formattedCitation":"(Dongballe, 2016)","plainTextFormattedCitation":"(Dongballe, 2016)","previouslyFormattedCitation":"(Dongballe, 2016)"},"properties":{"noteIndex":0},"schema":"https://github.com/citation-style-language/schema/raw/master/csl-citation.json"}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(Dongballe, 2016)</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A study has established that in municipalities where solid waste is often not collected, the incidence of diarrhoea is twice as high and acute respiratory infections is six times higher than in cities where waste is regularly collected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{"citationItems":[{"id":"ITEM-1","itemData":{"ISBN":"9781849711692","author":[{"dropping-particle":"","family":"UN-Habitat","given":"","non-dropping-particle":"","parse-names":false,"suffix":""}],"id":"ITEM-1","issued":{"date-parts":[["2010"]]},"title":"SOLID WASTE MANAGEMENT IN THE WORLD’S CITIES","type":"book"},"uris":["http://www.mendeley.com/documents/?uuid=0841442d-2021-4c00-b435-2c0cca20fb71"]}],"mendeley":{"formattedCitation":"(UN-Habitat, 2010)","plainTextFormattedCitation":"(UN-Habitat, 2010)","previouslyFormattedCitation":"(UN-Habitat, 2010)"},"properties":{"noteIndex":0},"schema":"https://github.com/citation-style-language/schema/raw/master/csl-citation.json"}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(UN-Habitat, 2010)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This is because the environment is negatively impacted when waste is improperly managed in cities. Thus, previous studies have established that solid waste in low- and middle-income countries is mostly improperly dumped, especially in low-lying areas and adjacent land slums. That is, waste is usually mixed with infectious medical and hazardous waste which is harmful not only to the environment, but also to waste pickers. Hence, solid waste affects the environment through the contamination of groundwater and surface water via leachate, as well as air pollution from the burning of solid waste that is not properly collected and disposed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{"citationItems":[{"id":"ITEM-1","itemData":{"ISSN":"16915534","abstract":"Well-organised waste management is an essential part of sustainable development. The saving of resources and energy is everyoneís concern and environmental education is vital to guarantee a sustainable lifestyle in the long run. To find out what similarities and differences in views regarding waste management exist between grammar school pupils and comprehensive school pupils in England, questionnaires were designed and distributed in two schools in the same English city. The questionnaires aimed at quantifying and establishing studentsí knowledge, attitudes and behaviour regarding waste management. The results illustrate that students from the grammar school had higher levels of knowledge, were more likely to recycle and used more sources of information regarding waste management. Waste reduction was considered important by almost all students. However, students in both schools considered composting and waste reduction as less important than recycling and thereby did not fully agree with sustainable waste management. [ABSTRACT FROM AUTHOR]","author":[{"dropping-particle":"","family":"Essuman","given":"K. N.","non-dropping-particle":"","parse-names":false,"suffix":""}],"container-title":"Journal of Teacher Education for Sustainability","id":"ITEM-1","issue":"1","issued":{"date-parts":[["2017"]]},"page":"23-91","title":"‘Knowledge, attitudes and practices of coastal communities on waste management in Ghana’","type":"article-journal","volume":"17"},"uris":["http://www.mendeley.com/documents/?uuid=3876db4c-efda-43af-ba83-6657cc69d571"]}],"mendeley":{"formattedCitation":"(Essuman, 2017)","plainTextFormattedCitation":"(Essuman, 2017)","previouslyFormattedCitation":"(Essuman, 2017)"},"properties":{"noteIndex":0},"schema":"https://github.com/citation-style-language/schema/raw/master/csl-citation.json"}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of (Essuman, 2017)</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This explains how the open burning of solid waste contributes significantly to municipal air pollution. </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In developing countries, such as Ghana, open disposal of waste is very common because of the low budget available for waste collection, treatment, and final disposal, which also poses serious threats to groundwater. The use of polluted water for bathing, food irrigation, and drinking can also expose individuals to diseased organisms and other contaminants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Srigirisetty","given":"Sunil","non-dropping-particle":"","parse-names":false,"suffix":""},{"dropping-particle":"","family":"Jayasri","given":"Thadivalasa","non-dropping-particle":"","parse-names":false,"suffix":""},{"dropping-particle":"","family":"Netaji","given":"Chitti","non-dropping-particle":"","parse-names":false,"suffix":""}],"container-title":"INTERNATIONAL JOURNAL OF CURRENT ENGINEERING AND SCIENTIFIC RESEARCH (IJCESR)","id":"ITEM-1","issue":"6","issued":{"date-parts":[["2017"]]},"page":"26-33","title":"Open dumping of Municipal solid waste: Impact on groundwater and soil","type":"article-journal"},"uris":["http://www.mendeley.com/documents/?uuid=767e1976-d369-4b92-8078-567ddd0f88d7"]}],"mendeley":{"formattedCitation":"(Srigirisetty et al., 2017)","plainTextFormattedCitation":"(Srigirisetty et al., 2017)","previouslyFormattedCitation":"(Srigirisetty et al., 2017)"},"properties":{"noteIndex":0},"schema":"https://github.com/citation-style-language/schema/raw/master/csl-citation.json"}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(Srigirisetty et al., 2017)</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Therefore, this study is necessary to assess residents’ knowledge, attitudes, and practices regarding solid waste management in the Mangu community of Wa Municipality in the Upper West Region of Ghana. The findings of this study will inform policymakers to undertake pragmatic strategies towards the proper management of solid waste in the Mangu community and municipality as a whole to ensure a sustainable city. </w:t>
      </w:r>
    </w:p>
    <w:p>
      <w:pPr>
        <w:pStyle w:val="Heading2"/>
        <w:spacing w:line="480" w:lineRule="auto"/>
        <w:ind w:left="720"/>
      </w:pPr>
      <w:bookmarkStart w:id="43" w:name="_Toc147923051"/>
      <w:r>
        <w:rPr>
          <w:rFonts w:ascii="Times New Roman"/>
          <w:b/>
          <w:i w:val="0"/>
          <w:strike w:val="0"/>
          <w:dstrike w:val="0"/>
          <w:emboss w:val="0"/>
          <w:imprint w:val="0"/>
          <w:outline w:val="0"/>
          <w:shadow w:val="0"/>
          <w:sz w:val="24"/>
          <w:szCs w:val="24"/>
          <w:u w:val="none"/>
        </w:rPr>
        <w:t xml:space="preserve">2.10 Factors Influencing Households SWM</w:t>
      </w:r>
      <w:bookmarkEnd w:id="43"/>
      <w:r>
        <w:rPr>
          <w:rFonts w:ascii="Times New Roman"/>
          <w:b/>
          <w:i w:val="0"/>
          <w:strike w:val="0"/>
          <w:dstrike w:val="0"/>
          <w:emboss w:val="0"/>
          <w:imprint w:val="0"/>
          <w:outline w:val="0"/>
          <w:shadow w:val="0"/>
          <w:sz w:val="24"/>
          <w:szCs w:val="24"/>
          <w:u w:val="none"/>
        </w:rPr>
        <w:tab/>
      </w:r>
    </w:p>
    <w:p>
      <w:pPr>
        <w:spacing w:line="480" w:lineRule="auto"/>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Solid waste management remains a pressing issue in both developed and developing countries. Globally, 2.01 billion tons of municipal solid waste is generated, of which 33% remains uncollected, and the total quantity is expected to rise to 3.40 billion tons by 2050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10.1016/j.resconrec.2021.105727","ISSN":"0921-3449","author":[{"dropping-particle":"","family":"Guo","given":"Wei","non-dropping-particle":"","parse-names":false,"suffix":""},{"dropping-particle":"","family":"Xi","given":"Beidou","non-dropping-particle":"","parse-names":false,"suffix":""},{"dropping-particle":"","family":"Huang","given":"Caihong","non-dropping-particle":"","parse-names":false,"suffix":""},{"dropping-particle":"","family":"Li","given":"Jiaxi","non-dropping-particle":"","parse-names":false,"suffix":""},{"dropping-particle":"","family":"Tang","given":"Zhurui","non-dropping-particle":"","parse-names":false,"suffix":""},{"dropping-particle":"","family":"Li","given":"Wei","non-dropping-particle":"","parse-names":false,"suffix":""},{"dropping-particle":"","family":"Ma","given":"Caiyun","non-dropping-particle":"","parse-names":false,"suffix":""},{"dropping-particle":"","family":"Wu","given":"Weixia","non-dropping-particle":"","parse-names":false,"suffix":""}],"container-title":"Resources, Conservation &amp; Recycling","id":"ITEM-1","issue":"March","issued":{"date-parts":[["2021"]]},"page":"105727","publisher":"Elsevier B.V.","title":"Resources , Conservation &amp; Recycling Solid waste management in China : Policy and driving factors in 2004 – 2019","type":"article-journal","volume":"173"},"uris":["http://www.mendeley.com/documents/?uuid=d07af794-77a7-4c33-a05c-b5ea62fa701f"]}],"mendeley":{"formattedCitation":"(Guo et al., 2021)","manualFormatting":"(see Guo et al., 2021)","plainTextFormattedCitation":"(Guo et al., 2021)","previouslyFormattedCitation":"(Guo et al., 2021)"},"properties":{"noteIndex":0},"schema":"https://github.com/citation-style-language/schema/raw/master/csl-citation.json"}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(Guo et al., 2021)</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In Sub-Saharan Africa, 62 million tons of municipal solid waste is generated per annum with 0.65kg per-person per-day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{"citationItems":[{"id":"ITEM-1","itemData":{"DOI":"10.1080/23311843.2020.1807275","ISSN":"23311843","abstract":"Households which are the primary producers of solid waste and suffer from the effects of uncollected solid waste should be able to participate in improving SWM. Accordingly, the contribution of urban dwellers on SWM service plays a great role for better improvement of SWM at the community. Therefore, this study aims to estimate households’ willingness to pay for improved solid waste management services and analyze its determinant using binary logit econometrics model. A total of 350 randomly selected households were interviewed to address the objective of this study. The study was used both descriptive and econometrics analysis. Finally, the survey result indicated that 86.3% of sample households were willing to pay for improved solid waste management services. Following this, the one and one half bounded contingent valuation result revealed that the mean willingness to pay is 13.10 ETB[Money official Exchange rate of 1$ = 31.45 Ethiopian Birr (ETB)]/month with the total willingness to pay of 494587ETB/month which is much higher than the amount of money collected by Bahir Dar city municipality (335,000 ETB/month). Additionally, the model result demonstrated that educational level of the household, monthly aggregate income, and quantity of waste generated per week, access to solid waste management services and respondents’ responsibility on solid waste management had significant positive effect on households’ willingness to pay unlike sex of household head and number of children in the household. The municipality of Bahir Dar city should consider these significant variables to design and implement improved solid waste management services.","author":[{"dropping-particle":"","family":"Tassie","given":"Kassahun","non-dropping-particle":"","parse-names":false,"suffix":""},{"dropping-particle":"","family":"Endalew","given":"Birara","non-dropping-particle":"","parse-names":false,"suffix":""}],"container-title":"Cogent Environmental Science","id":"ITEM-1","issue":"1","issued":{"date-parts":[["2020"]]},"title":"Willingness to pay for improved solid waste management services and associated factors among urban households: One and one half bounded contingent valuation study in Bahir Dar city, Ethiopia","type":"article-journal","volume":"6"},"uris":["http://www.mendeley.com/documents/?uuid=0eadef37-a26b-40de-a974-540702c6c12b"]}],"mendeley":{"formattedCitation":"(Tassie &amp; Endalew, 2020)","plainTextFormattedCitation":"(Tassie &amp; Endalew, 2020)","previouslyFormattedCitation":"(Tassie &amp; Endalew, 2020)"},"properties":{"noteIndex":0},"schema":"https://github.com/citation-style-language/schema/raw/master/csl-citation.json"}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(Tassie&amp;Endalew, 2020)</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and larger proportions are improperly managed. For instance, in Ghana, over 12,710 tons of solid waste are generated daily, with only 10% collected and disposed of at designated dumping sites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{"citationItems":[{"id":"ITEM-1","itemData":{"DOI":"10.1371/journal.pone.0248392","ISBN":"1111111111","ISSN":"19326203","PMID":"33705483","abstract":"Increased population growth and rapid urbanization have resulted in the generation of large quantities of solid waste across major urban cities in Ghana, outstripping local authorities’ ability to manage and dispose of waste in a sanitary manner. This study explored the perspectives and experiences of municipal waste company managers and supervisors in the Ho municipality of Ghana on solid waste management practices. A qualitative inquiry was conducted by adopting a phenomenological approach, using in-depth interviews and focus group discussions for data collection. A total of 35 participants, made up of 12 managers and 23 supervisors took part in the study. Transcribed data were imported into NVivo 11.0 software for coding. Content analysis was applied to analyze all transcribed data using processes of induction and deduction. The results showed that organizational capacity, resources, and expertise; community factors such as socio-cultural beliefs and a low sense of responsibility towards solid waste management among urban residents; contextual factors such as regulations, and weak enforcement all influence and shape the level of efficiency and effectiveness of solid waste management practices in the study setting. The findings suggest that policy frameworks and procedures implemented to curb poor urban waste management practices should be systematic and thorough in order to tackle the issue of solid waste in the study setting and Ghana in general. The nature of the identified issues and challenges requires multidimensional and multilevel interventions to provide sustainable solutions for managing urban waste in Ghana.","author":[{"dropping-particle":"","family":"Lissah","given":"Samuel Yaw","non-dropping-particle":"","parse-names":false,"suffix":""},{"dropping-particle":"","family":"Ayanore","given":"Martin Amogre","non-dropping-particle":"","parse-names":false,"suffix":""},{"dropping-particle":"","family":"Krugu","given":"John K.","non-dropping-particle":"","parse-names":false,"suffix":""},{"dropping-particle":"","family":"Aberese-Ako","given":"Matilda","non-dropping-particle":"","parse-names":false,"suffix":""},{"dropping-particle":"","family":"Ruiter","given":"Robert A.C.","non-dropping-particle":"","parse-names":false,"suffix":""}],"container-title":"PLoS ONE","id":"ITEM-1","issue":"3 March","issued":{"date-parts":[["2021"]]},"page":"1-18","title":"Managing urban solid waste in Ghana: Perspectives and experiences of municipal waste company managers and supervisors in an urban municipality","type":"article-journal","volume":"16"},"uris":["http://www.mendeley.com/documents/?uuid=2a6fa111-a59d-4dfb-9ea4-6aac6e0d4d7a"]}],"mendeley":{"formattedCitation":"(Lissah et al., 2021)","plainTextFormattedCitation":"(Lissah et al., 2021)","previouslyFormattedCitation":"(Lissah et al., 2021)"},"properties":{"noteIndex":0},"schema":"https://github.com/citation-style-language/schema/raw/master/csl-citation.json"}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(Lissah et al., 2021)</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w:t>
      </w:r>
    </w:p>
    <w:p>
      <w:pPr>
        <w:spacing w:line="480" w:lineRule="auto"/>
        <w:ind w:left="720"/>
        <w:jc w:val="both"/>
        <w:rPr>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However, there is a low capacity for solid waste collection and disposal services across countries </w:t>
      </w:r>
      <w:r>
        <w:rPr>
          <w:color w:val="000000"/>
          <w:rFonts w:hAnsi="Times New Roman" w:ascii="Times New Roman" w:cs="Times New Roman"/>
          <w:sz w:val="24"/>
          <w:szCs w:val="24"/>
        </w:rPr>
        <w:fldChar w:fldCharType="begin"/>
      </w:r>
      <w:r>
        <w:rPr>
          <w:color w:val="000000"/>
          <w:rFonts w:hAnsi="Times New Roman" w:ascii="Times New Roman" w:cs="Times New Roman"/>
          <w:sz w:val="24"/>
          <w:szCs w:val="24"/>
        </w:rPr>
        <w:instrText xml:space="preserve">ADDIN CSL_CITATION {"citationItems":[{"id":"ITEM-1","itemData":{"DOI":"10.1007/s10163-020-01129-9","ISSN":"1611-8227","author":[{"dropping-particle":"","family":"Chikowore","given":"Noleen","non-dropping-particle":"","parse-names":false,"suffix":""}],"container-title":"Journal of Material Cycles and Waste Management","id":"ITEM-1","issue":"1","issued":{"date-parts":[["2020"]]},"page":"386-393","publisher":"Springer Japan","title":"Factors influencing household waste management practices in Zimbabwe","type":"article-journal","volume":"23"},"uris":["http://www.mendeley.com/documents/?uuid=8267d303-0829-4f8c-9ec4-f3a6901967d0"]}],"mendeley":{"formattedCitation":"(Chikowore, 2020)","plainTextFormattedCitation":"(Chikowore, 2020)","previouslyFormattedCitation":"(Chikowore, 2020)"},"properties":{"noteIndex":0},"schema":"https://github.com/citation-style-language/schema/raw/master/csl-citation.json"}</w:instrText>
      </w:r>
      <w:r>
        <w:rPr>
          <w:color w:val="000000"/>
          <w:rFonts w:hAnsi="Times New Roman" w:ascii="Times New Roman" w:cs="Times New Roman"/>
          <w:sz w:val="24"/>
          <w:szCs w:val="24"/>
        </w:rPr>
        <w:fldChar w:fldCharType="separate"/>
      </w:r>
      <w:r>
        <w:rPr>
          <w:color w:val="000000"/>
          <w:rFonts w:hAnsi="Times New Roman" w:ascii="Times New Roman" w:cs="Times New Roman"/>
          <w:b w:val="0"/>
          <w:i w:val="0"/>
          <w:strike w:val="0"/>
          <w:dstrike w:val="0"/>
          <w:emboss w:val="0"/>
          <w:imprint w:val="0"/>
          <w:outline w:val="0"/>
          <w:shadow w:val="0"/>
          <w:sz w:val="24"/>
          <w:szCs w:val="24"/>
          <w:u w:val="none"/>
        </w:rPr>
        <w:t xml:space="preserve">(Chikowore, 2020)</w:t>
      </w:r>
      <w:r>
        <w:rPr>
          <w:color w:val="000000"/>
          <w:rFonts w:hAnsi="Times New Roman" w:ascii="Times New Roman" w:cs="Times New Roman"/>
          <w:sz w:val="24"/>
          <w:szCs w:val="24"/>
        </w:rPr>
        <w:fldChar w:fldCharType="end"/>
      </w:r>
      <w:r>
        <w:rPr>
          <w:color w:val="000000"/>
          <w:rFonts w:hAnsi="Times New Roman" w:ascii="Times New Roman" w:cs="Times New Roman"/>
          <w:b w:val="0"/>
          <w:i w:val="0"/>
          <w:strike w:val="0"/>
          <w:dstrike w:val="0"/>
          <w:emboss w:val="0"/>
          <w:imprint w:val="0"/>
          <w:outline w:val="0"/>
          <w:shadow w:val="0"/>
          <w:sz w:val="24"/>
          <w:szCs w:val="24"/>
          <w:u w:val="none"/>
        </w:rPr>
        <w:t xml:space="preserve">. This has made the open dumping of solid waste a common practice among households in most developing countries  </w:t>
      </w:r>
      <w:r>
        <w:rPr>
          <w:color w:val="000000"/>
          <w:rFonts w:hAnsi="Times New Roman" w:ascii="Times New Roman" w:cs="Times New Roman"/>
          <w:sz w:val="24"/>
          <w:szCs w:val="24"/>
        </w:rPr>
        <w:fldChar w:fldCharType="begin"/>
      </w:r>
      <w:r>
        <w:rPr>
          <w:color w:val="000000"/>
          <w:rFonts w:hAnsi="Times New Roman" w:ascii="Times New Roman" w:cs="Times New Roman"/>
          <w:sz w:val="24"/>
          <w:szCs w:val="24"/>
        </w:rPr>
        <w:instrText xml:space="preserve">ADDIN CSL_CITATION {"citationItems":[{"id":"ITEM-1","itemData":{"author":[{"dropping-particle":"","family":"Srigirisetty","given":"Sunil","non-dropping-particle":"","parse-names":false,"suffix":""},{"dropping-particle":"","family":"Jayasri","given":"Thadivalasa","non-dropping-particle":"","parse-names":false,"suffix":""},{"dropping-particle":"","family":"Netaji","given":"Chitti","non-dropping-particle":"","parse-names":false,"suffix":""}],"container-title":"INTERNATIONAL JOURNAL OF CURRENT ENGINEERING AND SCIENTIFIC RESEARCH (IJCESR)","id":"ITEM-1","issue":"6","issued":{"date-parts":[["2017"]]},"page":"26-33","title":"Open dumping of Municipal solid waste: Impact on groundwater and soil","type":"article-journal"},"uris":["http://www.mendeley.com/documents/?uuid=767e1976-d369-4b92-8078-567ddd0f88d7"]},{"id":"ITEM-2","itemData":{"DOI":"10.1007/s10163-020-01129-9","ISSN":"1611-8227","author":[{"dropping-particle":"","family":"Chikowore","given":"Noleen","non-dropping-particle":"","parse-names":false,"suffix":""}],"container-title":"Journal of Material Cycles and Waste Management","id":"ITEM-2","issue":"1","issued":{"date-parts":[["2020"]]},"page":"386-393","publisher":"Springer Japan","title":"Factors influencing household waste management practices in Zimbabwe","type":"article-journal","volume":"23"},"uris":["http://www.mendeley.com/documents/?uuid=8267d303-0829-4f8c-9ec4-f3a6901967d0"]}],"mendeley":{"formattedCitation":"(Chikowore, 2020; Srigirisetty et al., 2017)","plainTextFormattedCitation":"(Chikowore, 2020; Srigirisetty et al., 2017)","previouslyFormattedCitation":"(Chikowore, 2020; Srigirisetty et al., 2017)"},"properties":{"noteIndex":0},"schema":"https://github.com/citation-style-language/schema/raw/master/csl-citation.json"}</w:instrText>
      </w:r>
      <w:r>
        <w:rPr>
          <w:color w:val="000000"/>
          <w:rFonts w:hAnsi="Times New Roman" w:ascii="Times New Roman" w:cs="Times New Roman"/>
          <w:sz w:val="24"/>
          <w:szCs w:val="24"/>
        </w:rPr>
        <w:fldChar w:fldCharType="separate"/>
      </w:r>
      <w:r>
        <w:rPr>
          <w:color w:val="000000"/>
          <w:rFonts w:hAnsi="Times New Roman" w:ascii="Times New Roman" w:cs="Times New Roman"/>
          <w:b w:val="0"/>
          <w:i w:val="0"/>
          <w:strike w:val="0"/>
          <w:dstrike w:val="0"/>
          <w:emboss w:val="0"/>
          <w:imprint w:val="0"/>
          <w:outline w:val="0"/>
          <w:shadow w:val="0"/>
          <w:sz w:val="24"/>
          <w:szCs w:val="24"/>
          <w:u w:val="none"/>
        </w:rPr>
        <w:t xml:space="preserve">(Chikowore, 2020; Srigirisetty et al., 2017)</w:t>
      </w:r>
      <w:r>
        <w:rPr>
          <w:color w:val="000000"/>
          <w:rFonts w:hAnsi="Times New Roman" w:ascii="Times New Roman" w:cs="Times New Roman"/>
          <w:sz w:val="24"/>
          <w:szCs w:val="24"/>
        </w:rPr>
        <w:fldChar w:fldCharType="end"/>
      </w:r>
      <w:r>
        <w:rPr>
          <w:color w:val="000000"/>
          <w:rFonts w:hAnsi="Times New Roman" w:ascii="Times New Roman" w:cs="Times New Roman"/>
          <w:b w:val="0"/>
          <w:i w:val="0"/>
          <w:strike w:val="0"/>
          <w:dstrike w:val="0"/>
          <w:emboss w:val="0"/>
          <w:imprint w:val="0"/>
          <w:outline w:val="0"/>
          <w:shadow w:val="0"/>
          <w:sz w:val="24"/>
          <w:szCs w:val="24"/>
          <w:u w:val="none"/>
        </w:rPr>
        <w:t xml:space="preserve">, leading to loss of aesthetics, negative environmental impacts, and public health concerns </w:t>
      </w:r>
      <w:r>
        <w:rPr>
          <w:color w:val="000000"/>
          <w:rFonts w:hAnsi="Times New Roman" w:ascii="Times New Roman" w:cs="Times New Roman"/>
          <w:sz w:val="24"/>
          <w:szCs w:val="24"/>
        </w:rPr>
        <w:fldChar w:fldCharType="begin"/>
      </w:r>
      <w:r>
        <w:rPr>
          <w:color w:val="000000"/>
          <w:rFonts w:hAnsi="Times New Roman" w:ascii="Times New Roman" w:cs="Times New Roman"/>
          <w:sz w:val="24"/>
          <w:szCs w:val="24"/>
        </w:rPr>
        <w:instrText xml:space="preserve">ADDIN CSL_CITATION {"citationItems":[{"id":"ITEM-1","itemData":{"DOI":"10.1007/s10163-020-01129-9","ISSN":"1611-8227","author":[{"dropping-particle":"","family":"Chikowore","given":"Noleen","non-dropping-particle":"","parse-names":false,"suffix":""}],"container-title":"Journal of Material Cycles and Waste Management","id":"ITEM-1","issue":"1","issued":{"date-parts":[["2020"]]},"page":"386-393","publisher":"Springer Japan","title":"Factors influencing household waste management practices in Zimbabwe","type":"article-journal","volume":"23"},"uris":["http://www.mendeley.com/documents/?uuid=8267d303-0829-4f8c-9ec4-f3a6901967d0"]}],"mendeley":{"formattedCitation":"(Chikowore, 2020)","plainTextFormattedCitation":"(Chikowore, 2020)","previouslyFormattedCitation":"(Chikowore, 2020)"},"properties":{"noteIndex":0},"schema":"https://github.com/citation-style-language/schema/raw/master/csl-citation.json"}</w:instrText>
      </w:r>
      <w:r>
        <w:rPr>
          <w:color w:val="000000"/>
          <w:rFonts w:hAnsi="Times New Roman" w:ascii="Times New Roman" w:cs="Times New Roman"/>
          <w:sz w:val="24"/>
          <w:szCs w:val="24"/>
        </w:rPr>
        <w:fldChar w:fldCharType="separate"/>
      </w:r>
      <w:r>
        <w:rPr>
          <w:color w:val="000000"/>
          <w:rFonts w:hAnsi="Times New Roman" w:ascii="Times New Roman" w:cs="Times New Roman"/>
          <w:b w:val="0"/>
          <w:i w:val="0"/>
          <w:strike w:val="0"/>
          <w:dstrike w:val="0"/>
          <w:emboss w:val="0"/>
          <w:imprint w:val="0"/>
          <w:outline w:val="0"/>
          <w:shadow w:val="0"/>
          <w:sz w:val="24"/>
          <w:szCs w:val="24"/>
          <w:u w:val="none"/>
        </w:rPr>
        <w:t xml:space="preserve">(Chikowore, 2020)</w:t>
      </w:r>
      <w:r>
        <w:rPr>
          <w:color w:val="000000"/>
          <w:rFonts w:hAnsi="Times New Roman" w:ascii="Times New Roman" w:cs="Times New Roman"/>
          <w:sz w:val="24"/>
          <w:szCs w:val="24"/>
        </w:rPr>
        <w:fldChar w:fldCharType="end"/>
      </w:r>
      <w:r>
        <w:rPr>
          <w:color w:val="000000"/>
          <w:rFonts w:hAnsi="Times New Roman" w:ascii="Times New Roman" w:cs="Times New Roman"/>
          <w:b w:val="0"/>
          <w:i w:val="0"/>
          <w:strike w:val="0"/>
          <w:dstrike w:val="0"/>
          <w:emboss w:val="0"/>
          <w:imprint w:val="0"/>
          <w:outline w:val="0"/>
          <w:shadow w:val="0"/>
          <w:sz w:val="24"/>
          <w:szCs w:val="24"/>
          <w:u w:val="none"/>
        </w:rPr>
        <w:t xml:space="preserve">. The indiscriminate dumping of solid waste contaminates surface and groundwater supplies and increases health risks </w:t>
      </w:r>
      <w:r>
        <w:rPr>
          <w:color w:val="000000"/>
          <w:rFonts w:hAnsi="Times New Roman" w:ascii="Times New Roman" w:cs="Times New Roman"/>
          <w:sz w:val="24"/>
          <w:szCs w:val="24"/>
        </w:rPr>
        <w:fldChar w:fldCharType="begin"/>
      </w:r>
      <w:r>
        <w:rPr>
          <w:color w:val="000000"/>
          <w:rFonts w:hAnsi="Times New Roman" w:ascii="Times New Roman" w:cs="Times New Roman"/>
          <w:sz w:val="24"/>
          <w:szCs w:val="24"/>
        </w:rPr>
        <w:instrText xml:space="preserve">ADDIN CSL_CITATION {"citationItems":[{"id":"ITEM-1","itemData":{"author":[{"dropping-particle":"","family":"Srigirisetty","given":"Sunil","non-dropping-particle":"","parse-names":false,"suffix":""},{"dropping-particle":"","family":"Jayasri","given":"Thadivalasa","non-dropping-particle":"","parse-names":false,"suffix":""},{"dropping-particle":"","family":"Netaji","given":"Chitti","non-dropping-particle":"","parse-names":false,"suffix":""}],"container-title":"INTERNATIONAL JOURNAL OF CURRENT ENGINEERING AND SCIENTIFIC RESEARCH (IJCESR)","id":"ITEM-1","issue":"6","issued":{"date-parts":[["2017"]]},"page":"26-33","title":"Open dumping of Municipal solid waste: Impact on groundwater and soil","type":"article-journal"},"uris":["http://www.mendeley.com/documents/?uuid=767e1976-d369-4b92-8078-567ddd0f88d7"]}],"mendeley":{"formattedCitation":"(Srigirisetty et al., 2017)","plainTextFormattedCitation":"(Srigirisetty et al., 2017)","previouslyFormattedCitation":"(Srigirisetty et al., 2017)"},"properties":{"noteIndex":0},"schema":"https://github.com/citation-style-language/schema/raw/master/csl-citation.json"}</w:instrText>
      </w:r>
      <w:r>
        <w:rPr>
          <w:color w:val="000000"/>
          <w:rFonts w:hAnsi="Times New Roman" w:ascii="Times New Roman" w:cs="Times New Roman"/>
          <w:sz w:val="24"/>
          <w:szCs w:val="24"/>
        </w:rPr>
        <w:fldChar w:fldCharType="separate"/>
      </w:r>
      <w:r>
        <w:rPr>
          <w:color w:val="000000"/>
          <w:rFonts w:hAnsi="Times New Roman" w:ascii="Times New Roman" w:cs="Times New Roman"/>
          <w:b w:val="0"/>
          <w:i w:val="0"/>
          <w:strike w:val="0"/>
          <w:dstrike w:val="0"/>
          <w:emboss w:val="0"/>
          <w:imprint w:val="0"/>
          <w:outline w:val="0"/>
          <w:shadow w:val="0"/>
          <w:sz w:val="24"/>
          <w:szCs w:val="24"/>
          <w:u w:val="none"/>
        </w:rPr>
        <w:t xml:space="preserve">(Srigirisetty et al., 2017)</w:t>
      </w:r>
      <w:r>
        <w:rPr>
          <w:color w:val="000000"/>
          <w:rFonts w:hAnsi="Times New Roman" w:ascii="Times New Roman" w:cs="Times New Roman"/>
          <w:sz w:val="24"/>
          <w:szCs w:val="24"/>
        </w:rPr>
        <w:fldChar w:fldCharType="end"/>
      </w:r>
      <w:r>
        <w:rPr>
          <w:color w:val="000000"/>
          <w:rFonts w:hAnsi="Times New Roman" w:ascii="Times New Roman" w:cs="Times New Roman"/>
          <w:b w:val="0"/>
          <w:i w:val="0"/>
          <w:strike w:val="0"/>
          <w:dstrike w:val="0"/>
          <w:emboss w:val="0"/>
          <w:imprint w:val="0"/>
          <w:outline w:val="0"/>
          <w:shadow w:val="0"/>
          <w:sz w:val="24"/>
          <w:szCs w:val="24"/>
          <w:u w:val="none"/>
        </w:rPr>
        <w:t xml:space="preserve">. The open disposal of solid waste causes significant environmental pollution and hazards. Studies indicate that open dumping of solid waste causes various types of pollution, such as air, soil, and surface water pollution, due to leachate and materials carried by runoff </w:t>
      </w:r>
      <w:r>
        <w:rPr>
          <w:color w:val="000000"/>
          <w:rFonts w:hAnsi="Times New Roman" w:ascii="Times New Roman" w:cs="Times New Roman"/>
          <w:sz w:val="24"/>
          <w:szCs w:val="24"/>
        </w:rPr>
        <w:fldChar w:fldCharType="begin"/>
      </w:r>
      <w:r>
        <w:rPr>
          <w:color w:val="000000"/>
          <w:rFonts w:hAnsi="Times New Roman" w:ascii="Times New Roman" w:cs="Times New Roman"/>
          <w:sz w:val="24"/>
          <w:szCs w:val="24"/>
        </w:rPr>
        <w:instrText xml:space="preserve">ADDIN CSL_CITATION {"citationItems":[{"id":"ITEM-1","itemData":{"DOI":"10.1016/j.resconrec.2021.105727","ISSN":"0921-3449","author":[{"dropping-particle":"","family":"Guo","given":"Wei","non-dropping-particle":"","parse-names":false,"suffix":""},{"dropping-particle":"","family":"Xi","given":"Beidou","non-dropping-particle":"","parse-names":false,"suffix":""},{"dropping-particle":"","family":"Huang","given":"Caihong","non-dropping-particle":"","parse-names":false,"suffix":""},{"dropping-particle":"","family":"Li","given":"Jiaxi","non-dropping-particle":"","parse-names":false,"suffix":""},{"dropping-particle":"","family":"Tang","given":"Zhurui","non-dropping-particle":"","parse-names":false,"suffix":""},{"dropping-particle":"","family":"Li","given":"Wei","non-dropping-particle":"","parse-names":false,"suffix":""},{"dropping-particle":"","family":"Ma","given":"Caiyun","non-dropping-particle":"","parse-names":false,"suffix":""},{"dropping-particle":"","family":"Wu","given":"Weixia","non-dropping-particle":"","parse-names":false,"suffix":""}],"container-title":"Resources, Conservation &amp; Recycling","id":"ITEM-1","issue":"March","issued":{"date-parts":[["2021"]]},"page":"105727","publisher":"Elsevier B.V.","title":"Resources , Conservation &amp; Recycling Solid waste management in China : Policy and driving factors in 2004 – 2019","type":"article-journal","volume":"173"},"uris":["http://www.mendeley.com/documents/?uuid=d07af794-77a7-4c33-a05c-b5ea62fa701f"]},{"id":"ITEM-2","itemData":{"author":[{"dropping-particle":"","family":"Srigirisetty","given":"Sunil","non-dropping-particle":"","parse-names":false,"suffix":""},{"dropping-particle":"","family":"Jayasri","given":"Thadivalasa","non-dropping-particle":"","parse-names":false,"suffix":""},{"dropping-particle":"","family":"Netaji","given":"Chitti","non-dropping-particle":"","parse-names":false,"suffix":""}],"container-title":"INTERNATIONAL JOURNAL OF CURRENT ENGINEERING AND SCIENTIFIC RESEARCH (IJCESR)","id":"ITEM-2","issue":"6","issued":{"date-parts":[["2017"]]},"page":"26-33","title":"Open dumping of Municipal solid waste: Impact on groundwater and soil","type":"article-journal"},"uris":["http://www.mendeley.com/documents/?uuid=767e1976-d369-4b92-8078-567ddd0f88d7"]},{"id":"ITEM-3","itemData":{"DOI":"10.1007/s10163-020-01129-9","ISSN":"1611-8227","author":[{"dropping-particle":"","family":"Chikowore","given":"Noleen","non-dropping-particle":"","parse-names":false,"suffix":""}],"container-title":"Journal of Material Cycles and Waste Management","id":"ITEM-3","issue":"1","issued":{"date-parts":[["2020"]]},"page":"386-393","publisher":"Springer Japan","title":"Factors influencing household waste management practices in Zimbabwe","type":"article-journal","volume":"23"},"uris":["http://www.mendeley.com/documents/?uuid=8267d303-0829-4f8c-9ec4-f3a6901967d0"]}],"mendeley":{"formattedCitation":"(Chikowore, 2020; Guo et al., 2021; Srigirisetty et al., 2017)","plainTextFormattedCitation":"(Chikowore, 2020; Guo et al., 2021; Srigirisetty et al., 2017)","previouslyFormattedCitation":"(Chikowore, 2020; Guo et al., 2021; Srigirisetty et al., 2017)"},"properties":{"noteIndex":0},"schema":"https://github.com/citation-style-language/schema/raw/master/csl-citation.json"}</w:instrText>
      </w:r>
      <w:r>
        <w:rPr>
          <w:color w:val="000000"/>
          <w:rFonts w:hAnsi="Times New Roman" w:ascii="Times New Roman" w:cs="Times New Roman"/>
          <w:sz w:val="24"/>
          <w:szCs w:val="24"/>
        </w:rPr>
        <w:fldChar w:fldCharType="separate"/>
      </w:r>
      <w:r>
        <w:rPr>
          <w:color w:val="000000"/>
          <w:rFonts w:hAnsi="Times New Roman" w:ascii="Times New Roman" w:cs="Times New Roman"/>
          <w:b w:val="0"/>
          <w:i w:val="0"/>
          <w:strike w:val="0"/>
          <w:dstrike w:val="0"/>
          <w:emboss w:val="0"/>
          <w:imprint w:val="0"/>
          <w:outline w:val="0"/>
          <w:shadow w:val="0"/>
          <w:sz w:val="24"/>
          <w:szCs w:val="24"/>
          <w:u w:val="none"/>
        </w:rPr>
        <w:t xml:space="preserve">(Chikowore, 2020; Guo et al., 2021; Srigirisetty et al., 2017)</w:t>
      </w:r>
      <w:r>
        <w:rPr>
          <w:color w:val="000000"/>
          <w:rFonts w:hAnsi="Times New Roman" w:ascii="Times New Roman" w:cs="Times New Roman"/>
          <w:sz w:val="24"/>
          <w:szCs w:val="24"/>
        </w:rPr>
        <w:fldChar w:fldCharType="end"/>
      </w:r>
      <w:r>
        <w:rPr>
          <w:color w:val="000000"/>
          <w:rFonts w:hAnsi="Times New Roman" w:ascii="Times New Roman" w:cs="Times New Roman"/>
          <w:b w:val="0"/>
          <w:i w:val="0"/>
          <w:strike w:val="0"/>
          <w:dstrike w:val="0"/>
          <w:emboss w:val="0"/>
          <w:imprint w:val="0"/>
          <w:outline w:val="0"/>
          <w:shadow w:val="0"/>
          <w:sz w:val="24"/>
          <w:szCs w:val="24"/>
          <w:u w:val="none"/>
        </w:rPr>
        <w:t xml:space="preserve">. In addition, b</w:t>
      </w:r>
      <w:r>
        <w:rPr>
          <w:rFonts w:hAnsi="Times New Roman" w:ascii="Times New Roman" w:cs="Times New Roman"/>
          <w:b w:val="0"/>
          <w:i w:val="0"/>
          <w:strike w:val="0"/>
          <w:dstrike w:val="0"/>
          <w:emboss w:val="0"/>
          <w:imprint w:val="0"/>
          <w:outline w:val="0"/>
          <w:shadow w:val="0"/>
          <w:sz w:val="24"/>
          <w:szCs w:val="24"/>
          <w:u w:val="none"/>
        </w:rPr>
        <w:t xml:space="preserve">urning and dumping of solid waste are preferred by some households representing several socioeconomic subgroups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{"citationItems":[{"id":"ITEM-1","itemData":{"DOI":"10.1016/j.wasman.2020.06.028","ISSN":"0956-053X","author":[{"dropping-particle":"","family":"Kumara","given":"Ajantha Sisira","non-dropping-particle":"","parse-names":false,"suffix":""},{"dropping-particle":"","family":"Pallegedara","given":"Asankha","non-dropping-particle":"","parse-names":false,"suffix":""}],"container-title":"Waste Management","id":"ITEM-1","issued":{"date-parts":[["2020"]]},"page":"62-71","publisher":"Elsevier Ltd","title":"Household waste disposal mechanisms in Sri Lanka : Nation-wide survey evidence for their trends and determinants","type":"article-journal","volume":"114"},"uris":["http://www.mendeley.com/documents/?uuid=a0b1fe0e-c49d-44f5-b7ae-692a1cfc184a"]}],"mendeley":{"formattedCitation":"(Kumara &amp; Pallegedara, 2020)","plainTextFormattedCitation":"(Kumara &amp; Pallegedara, 2020)","previouslyFormattedCitation":"(Kumara &amp; Pallegedara, 2020)"},"properties":{"noteIndex":0},"schema":"https://github.com/citation-style-language/schema/raw/master/csl-citation.json"}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(Kumara &amp; Pallegedara, 2020)</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According to </w:t>
      </w:r>
      <w:r>
        <w:rPr>
          <w:color w:val="000000"/>
          <w:rFonts w:hAnsi="Times New Roman" w:ascii="Times New Roman" w:cs="Times New Roman"/>
          <w:sz w:val="24"/>
          <w:szCs w:val="24"/>
        </w:rPr>
        <w:fldChar w:fldCharType="begin"/>
      </w:r>
      <w:r>
        <w:rPr>
          <w:color w:val="000000"/>
          <w:rFonts w:hAnsi="Times New Roman" w:ascii="Times New Roman" w:cs="Times New Roman"/>
          <w:sz w:val="24"/>
          <w:szCs w:val="24"/>
        </w:rPr>
        <w:instrText xml:space="preserve">ADDIN CSL_CITATION {"citationItems":[{"id":"ITEM-1","itemData":{"DOI":"10.1007/s10163-020-01129-9","ISSN":"1611-8227","author":[{"dropping-particle":"","family":"Chikowore","given":"Noleen","non-dropping-particle":"","parse-names":false,"suffix":""}],"container-title":"Journal of Material Cycles and Waste Management","id":"ITEM-1","issue":"1","issued":{"date-parts":[["2020"]]},"page":"386-393","publisher":"Springer Japan","title":"Factors influencing household waste management practices in Zimbabwe","type":"article-journal","volume":"23"},"uris":["http://www.mendeley.com/documents/?uuid=8267d303-0829-4f8c-9ec4-f3a6901967d0"]}],"mendeley":{"formattedCitation":"(Chikowore, 2020)","plainTextFormattedCitation":"(Chikowore, 2020)","previouslyFormattedCitation":"(Chikowore, 2020)"},"properties":{"noteIndex":0},"schema":"https://github.com/citation-style-language/schema/raw/master/csl-citation.json"}</w:instrText>
      </w:r>
      <w:r>
        <w:rPr>
          <w:color w:val="000000"/>
          <w:rFonts w:hAnsi="Times New Roman" w:ascii="Times New Roman" w:cs="Times New Roman"/>
          <w:sz w:val="24"/>
          <w:szCs w:val="24"/>
        </w:rPr>
        <w:fldChar w:fldCharType="separate"/>
      </w:r>
      <w:r>
        <w:rPr>
          <w:color w:val="000000"/>
          <w:rFonts w:hAnsi="Times New Roman" w:ascii="Times New Roman" w:cs="Times New Roman"/>
          <w:b w:val="0"/>
          <w:i w:val="0"/>
          <w:strike w:val="0"/>
          <w:dstrike w:val="0"/>
          <w:emboss w:val="0"/>
          <w:imprint w:val="0"/>
          <w:outline w:val="0"/>
          <w:shadow w:val="0"/>
          <w:sz w:val="24"/>
          <w:szCs w:val="24"/>
          <w:u w:val="none"/>
        </w:rPr>
        <w:t xml:space="preserve">Chikowore (2020)</w:t>
      </w:r>
      <w:r>
        <w:rPr>
          <w:color w:val="000000"/>
          <w:rFonts w:hAnsi="Times New Roman" w:ascii="Times New Roman" w:cs="Times New Roman"/>
          <w:sz w:val="24"/>
          <w:szCs w:val="24"/>
        </w:rPr>
        <w:fldChar w:fldCharType="end"/>
      </w:r>
      <w:r>
        <w:rPr>
          <w:color w:val="000000"/>
          <w:rFonts w:hAnsi="Times New Roman" w:ascii="Times New Roman" w:cs="Times New Roman"/>
          <w:b w:val="0"/>
          <w:i w:val="0"/>
          <w:strike w:val="0"/>
          <w:dstrike w:val="0"/>
          <w:emboss w:val="0"/>
          <w:imprint w:val="0"/>
          <w:outline w:val="0"/>
          <w:shadow w:val="0"/>
          <w:sz w:val="24"/>
          <w:szCs w:val="24"/>
          <w:u w:val="none"/>
        </w:rPr>
        <w:t xml:space="preserve">, most residents tend to burn their solid waste, which exposes them to dangerous chemicals and the inhalation of toxic fumes which generate odor that cause headaches, discomfort, and respiratory concerns to local inhabitants.</w:t>
      </w:r>
    </w:p>
    <w:p>
      <w:pPr>
        <w:spacing w:line="480" w:lineRule="auto"/>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Globally, policymakers have identified prevention/reduction, reuse, and recycling (3Rs) of waste as the proper method of solid waste management to achieve sustainable development goal 12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{"citationItems":[{"id":"ITEM-1","itemData":{"DOI":"10.1016/j.wasman.2020.06.028","ISSN":"0956-053X","author":[{"dropping-particle":"","family":"Kumara","given":"Ajantha Sisira","non-dropping-particle":"","parse-names":false,"suffix":""},{"dropping-particle":"","family":"Pallegedara","given":"Asankha","non-dropping-particle":"","parse-names":false,"suffix":""}],"container-title":"Waste Management","id":"ITEM-1","issued":{"date-parts":[["2020"]]},"page":"62-71","publisher":"Elsevier Ltd","title":"Household waste disposal mechanisms in Sri Lanka : Nation-wide survey evidence for their trends and determinants","type":"article-journal","volume":"114"},"uris":["http://www.mendeley.com/documents/?uuid=a0b1fe0e-c49d-44f5-b7ae-692a1cfc184a"]},{"id":"ITEM-2","itemData":{"DOI":"10.1007/s10661-021-09633-7","ISBN":"0123456789","ISSN":"1573-2959","author":[{"dropping-particle":"","family":"Zhao","given":"Yuhuan","non-dropping-particle":"","parse-names":false,"suffix":""},{"dropping-particle":"","family":"Diunugala","given":"Hemantha P","non-dropping-particle":"","parse-names":false,"suffix":""},{"dropping-particle":"","family":"Mombeuil","given":"Claudel","non-dropping-particle":"","parse-names":false,"suffix":""}],"container-title":"Environmental Monitoring and Assessment","id":"ITEM-2","issued":{"date-parts":[["2021"]]},"publisher":"Springer International Publishing","title":"Factors affecting household solid waste generation and management in Sri Lanka : an empirical study","type":"article-journal"},"uris":["http://www.mendeley.com/documents/?uuid=46e0b9d3-e93b-4061-919d-951e9f8960e1"]}],"mendeley":{"formattedCitation":"(Kumara &amp; Pallegedara, 2020; Zhao et al., 2021)","plainTextFormattedCitation":"(Kumara &amp; Pallegedara, 2020; Zhao et al., 2021)","previouslyFormattedCitation":"(Kumara &amp; Pallegedara, 2020; Zhao et al., 2021)"},"properties":{"noteIndex":0},"schema":"https://github.com/citation-style-language/schema/raw/master/csl-citation.json"}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(Kumara &amp; Pallegedara, 2020; Zhao et al., 2021)</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Households are one of the principal generators of municipal solid waste worldwide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{"citationItems":[{"id":"ITEM-1","itemData":{"DOI":"10.1016/j.wasman.2020.06.028","ISSN":"0956-053X","author":[{"dropping-particle":"","family":"Kumara","given":"Ajantha Sisira","non-dropping-particle":"","parse-names":false,"suffix":""},{"dropping-particle":"","family":"Pallegedara","given":"Asankha","non-dropping-particle":"","parse-names":false,"suffix":""}],"container-title":"Waste Management","id":"ITEM-1","issued":{"date-parts":[["2020"]]},"page":"62-71","publisher":"Elsevier Ltd","title":"Household waste disposal mechanisms in Sri Lanka : Nation-wide survey evidence for their trends and determinants","type":"article-journal","volume":"114"},"uris":["http://www.mendeley.com/documents/?uuid=a0b1fe0e-c49d-44f5-b7ae-692a1cfc184a"]},{"id":"ITEM-2","itemData":{"DOI":"10.1016/j.jenvman.2019.110055","ISSN":"0301-4797","author":[{"dropping-particle":"","family":"Alhassan","given":"Hamdiyah","non-dropping-particle":"","parse-names":false,"suffix":""},{"dropping-particle":"","family":"Adjei","given":"Paul","non-dropping-particle":"","parse-names":false,"suffix":""},{"dropping-particle":"","family":"Owusu-sekyere","given":"Ebenezer","non-dropping-particle":"","parse-names":false,"suffix":""}],"container-title":"Journal of Environmental Management","id":"ITEM-2","issue":"August 2019","issued":{"date-parts":[["2020"]]},"page":"110055","publisher":"Elsevier Ltd","title":"Households ’ source separation behaviour and solid waste disposal options in Ghana ’ s Millennium City","type":"article-journal","volume":"259"},"uris":["http://www.mendeley.com/documents/?uuid=09490657-26e3-4baa-a73e-d401c6524c1b"]}],"mendeley":{"formattedCitation":"(Alhassan et al., 2020; Kumara &amp; Pallegedara, 2020)","plainTextFormattedCitation":"(Alhassan et al., 2020; Kumara &amp; Pallegedara, 2020)","previouslyFormattedCitation":"(Alhassan et al., 2020; Kumara &amp; Pallegedara, 2020)"},"properties":{"noteIndex":0},"schema":"https://github.com/citation-style-language/schema/raw/master/csl-citation.json"}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(Alhassan et al., 2020; Kumara &amp; Pallegedara, 2020)</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Therefore, households’ commitment to proper solid waste management practices and solid waste disposal behaviour remains crucial for achieving sustainable waste management policy targets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{"citationItems":[{"id":"ITEM-1","itemData":{"DOI":"10.1016/j.wasman.2020.06.028","ISSN":"0956-053X","author":[{"dropping-particle":"","family":"Kumara","given":"Ajantha Sisira","non-dropping-particle":"","parse-names":false,"suffix":""},{"dropping-particle":"","family":"Pallegedara","given":"Asankha","non-dropping-particle":"","parse-names":false,"suffix":""}],"container-title":"Waste Management","id":"ITEM-1","issued":{"date-parts":[["2020"]]},"page":"62-71","publisher":"Elsevier Ltd","title":"Household waste disposal mechanisms in Sri Lanka : Nation-wide survey evidence for their trends and determinants","type":"article-journal","volume":"114"},"uris":["http://www.mendeley.com/documents/?uuid=a0b1fe0e-c49d-44f5-b7ae-692a1cfc184a"]}],"mendeley":{"formattedCitation":"(Kumara &amp; Pallegedara, 2020)","plainTextFormattedCitation":"(Kumara &amp; Pallegedara, 2020)","previouslyFormattedCitation":"(Kumara &amp; Pallegedara, 2020)"},"properties":{"noteIndex":0},"schema":"https://github.com/citation-style-language/schema/raw/master/csl-citation.json"}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(Kumara &amp; Pallegedara, 2020)</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As a result, scholars have endeavoured to examine whether socioeconomic factors influence households’ solid waste management behavior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10.1177/0734242X18817717","author":[{"dropping-particle":"","family":"Adzawla","given":"William","non-dropping-particle":"","parse-names":false,"suffix":""},{"dropping-particle":"","family":"Tahidu","given":"Adam","non-dropping-particle":"","parse-names":false,"suffix":""},{"dropping-particle":"","family":"Mustapha","given":"Salisu","non-dropping-particle":"","parse-names":false,"suffix":""},{"dropping-particle":"","family":"Azumah","given":"Shaibu B","non-dropping-particle":"","parse-names":false,"suffix":""}],"container-title":"Waste Management &amp; Research 37(1) Supplemen","id":"ITEM-1","issued":{"date-parts":[["2019"]]},"title":"Do socioeconomic factors influence households ’ solid waste disposal systems ? Evidence from Ghana","type":"article-journal"},"uris":["http://www.mendeley.com/documents/?uuid=25cb1b9e-7e7e-4846-b3cd-7363f6ff592a"]}],"mendeley":{"formattedCitation":"(Adzawla et al., 2019)","plainTextFormattedCitation":"(Adzawla et al., 2019)","previouslyFormattedCitation":"(Adzawla et al., 2019)"},"properties":{"noteIndex":0},"schema":"https://github.com/citation-style-language/schema/raw/master/csl-citation.json"}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(Adzawla et al., 2019)</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E</w:t>
      </w:r>
      <w:r>
        <w:rPr>
          <w:rFonts w:hAnsi="Times New Roman" w:ascii="Times New Roman" w:eastAsia="Times New Roman" w:cs="Times New Roman"/>
          <w:b w:val="0"/>
          <w:i w:val="0"/>
          <w:strike w:val="0"/>
          <w:dstrike w:val="0"/>
          <w:emboss w:val="0"/>
          <w:imprint w:val="0"/>
          <w:outline w:val="0"/>
          <w:shadow w:val="0"/>
          <w:sz w:val="24"/>
          <w:szCs w:val="24"/>
          <w:u w:val="none"/>
        </w:rPr>
        <w:t xml:space="preserve">vidence has shown that several factors influence household solid waste management practices. However, these factors vary from country to country, region to region, or municipality to another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10.1007/s10661-021-09633-7","ISBN":"0123456789","ISSN":"1573-2959","author":[{"dropping-particle":"","family":"Zhao","given":"Yuhuan","non-dropping-particle":"","parse-names":false,"suffix":""},{"dropping-particle":"","family":"Diunugala","given":"Hemantha P","non-dropping-particle":"","parse-names":false,"suffix":""},{"dropping-particle":"","family":"Mombeuil","given":"Claudel","non-dropping-particle":"","parse-names":false,"suffix":""}],"container-title":"Environmental Monitoring and Assessment","id":"ITEM-1","issued":{"date-parts":[["2021"]]},"publisher":"Springer International Publishing","title":"Factors affecting household solid waste generation and management in Sri Lanka : an empirical study","type":"article-journal"},"uris":["http://www.mendeley.com/documents/?uuid=46e0b9d3-e93b-4061-919d-951e9f8960e1"]},{"id":"ITEM-2","itemData":{"DOI":"10.1016/j.jenvman.2019.110055","ISSN":"0301-4797","author":[{"dropping-particle":"","family":"Alhassan","given":"Hamdiyah","non-dropping-particle":"","parse-names":false,"suffix":""},{"dropping-particle":"","family":"Adjei","given":"Paul","non-dropping-particle":"","parse-names":false,"suffix":""},{"dropping-particle":"","family":"Owusu-sekyere","given":"Ebenezer","non-dropping-particle":"","parse-names":false,"suffix":""}],"container-title":"Journal of Environmental Management","id":"ITEM-2","issue":"August 2019","issued":{"date-parts":[["2020"]]},"page":"110055","publisher":"Elsevier Ltd","title":"Households ’ source separation behaviour and solid waste disposal options in Ghana ’ s Millennium City","type":"article-journal","volume":"259"},"uris":["http://www.mendeley.com/documents/?uuid=09490657-26e3-4baa-a73e-d401c6524c1b"]}],"mendeley":{"formattedCitation":"(Alhassan et al., 2020; Zhao et al., 2021)","plainTextFormattedCitation":"(Alhassan et al., 2020; Zhao et al., 2021)","previouslyFormattedCitation":"(Alhassan et al., 2020; Zhao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(Alhassan et al., 2020; Zhao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It has been established that demographic and socioeconomic elements are the main contributing factors influencing households’ behaviour towards solid waste management across countries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10.1016/j.jenvman.2019.110055","ISSN":"0301-4797","author":[{"dropping-particle":"","family":"Alhassan","given":"Hamdiyah","non-dropping-particle":"","parse-names":false,"suffix":""},{"dropping-particle":"","family":"Adjei","given":"Paul","non-dropping-particle":"","parse-names":false,"suffix":""},{"dropping-particle":"","family":"Owusu-sekyere","given":"Ebenezer","non-dropping-particle":"","parse-names":false,"suffix":""}],"container-title":"Journal of Environmental Management","id":"ITEM-1","issue":"August 2019","issued":{"date-parts":[["2020"]]},"page":"110055","publisher":"Elsevier Ltd","title":"Households ’ source separation behaviour and solid waste disposal options in Ghana ’ s Millennium City","type":"article-journal","volume":"259"},"uris":["http://www.mendeley.com/documents/?uuid=09490657-26e3-4baa-a73e-d401c6524c1b"]},{"id":"ITEM-2","itemData":{"DOI":"10.1007/s10661-021-09633-7","ISBN":"0123456789","ISSN":"1573-2959","author":[{"dropping-particle":"","family":"Zhao","given":"Yuhuan","non-dropping-particle":"","parse-names":false,"suffix":""},{"dropping-particle":"","family":"Diunugala","given":"Hemantha P","non-dropping-particle":"","parse-names":false,"suffix":""},{"dropping-particle":"","family":"Mombeuil","given":"Claudel","non-dropping-particle":"","parse-names":false,"suffix":""}],"container-title":"Environmental Monitoring and Assessment","id":"ITEM-2","issued":{"date-parts":[["2021"]]},"publisher":"Springer International Publishing","title":"Factors affecting household solid waste generation and management in Sri Lanka : an empirical study","type":"article-journal"},"uris":["http://www.mendeley.com/documents/?uuid=46e0b9d3-e93b-4061-919d-951e9f8960e1"]},{"id":"ITEM-3","itemData":{"DOI":"10.1016/j.wasman.2020.06.028","ISSN":"0956-053X","author":[{"dropping-particle":"","family":"Kumara","given":"Ajantha Sisira","non-dropping-particle":"","parse-names":false,"suffix":""},{"dropping-particle":"","family":"Pallegedara","given":"Asankha","non-dropping-particle":"","parse-names":false,"suffix":""}],"container-title":"Waste Management","id":"ITEM-3","issued":{"date-parts":[["2020"]]},"page":"62-71","publisher":"Elsevier Ltd","title":"Household waste disposal mechanisms in Sri Lanka : Nation-wide survey evidence for their trends and determinants","type":"article-journal","volume":"114"},"uris":["http://www.mendeley.com/documents/?uuid=a0b1fe0e-c49d-44f5-b7ae-692a1cfc184a"]},{"id":"ITEM-4","itemData":{"DOI":"10.1177/0734242X18817717","author":[{"dropping-particle":"","family":"Adzawla","given":"William","non-dropping-particle":"","parse-names":false,"suffix":""},{"dropping-particle":"","family":"Tahidu","given":"Adam","non-dropping-particle":"","parse-names":false,"suffix":""},{"dropping-particle":"","family":"Mustapha","given":"Salisu","non-dropping-particle":"","parse-names":false,"suffix":""},{"dropping-particle":"","family":"Azumah","given":"Shaibu B","non-dropping-particle":"","parse-names":false,"suffix":""}],"container-title":"Waste Management &amp; Research 37(1) Supplemen","id":"ITEM-4","issued":{"date-parts":[["2019"]]},"title":"Do socioeconomic factors influence households ’ solid waste disposal systems ? Evidence from Ghana","type":"article-journal"},"uris":["http://www.mendeley.com/documents/?uuid=25cb1b9e-7e7e-4846-b3cd-7363f6ff592a"]}],"mendeley":{"formattedCitation":"(Adzawla et al., 2019; Alhassan et al., 2020; Kumara &amp; Pallegedara, 2020; Zhao et al., 2021)","plainTextFormattedCitation":"(Adzawla et al., 2019; Alhassan et al., 2020; Kumara &amp; Pallegedara, 2020; Zhao et al., 2021)","previouslyFormattedCitation":"(Adzawla et al., 2019; Alhassan et al., 2020; Kumara &amp; Pallegedara, 2020; Zhao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(Adzawla et al., 2019; Alhassan et al., 2020; Kumara &amp; Pallegedara, 2020; Zhao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 above studies investigated the </w:t>
      </w:r>
      <w:r>
        <w:rPr>
          <w:rFonts w:hAnsi="Times New Roman" w:ascii="Times New Roman" w:cs="Times New Roman"/>
          <w:b w:val="0"/>
          <w:i w:val="0"/>
          <w:strike w:val="0"/>
          <w:dstrike w:val="0"/>
          <w:emboss w:val="0"/>
          <w:imprint w:val="0"/>
          <w:outline w:val="0"/>
          <w:shadow w:val="0"/>
          <w:sz w:val="24"/>
          <w:szCs w:val="24"/>
          <w:u w:val="none"/>
        </w:rPr>
        <w:t xml:space="preserve">influence of education, income, age, family size, and gender on residents’ knowledge, awareness, attitudes, and practices towards solid waste management.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{"citationItems":[{"id":"ITEM-1","itemData":{"author":[{"dropping-particle":"","family":"Vistharakula","given":"Usha Rani","non-dropping-particle":"","parse-names":false,"suffix":""},{"dropping-particle":"","family":"Lakshmi","given":"Velivelli Vijaya","non-dropping-particle":"","parse-names":false,"suffix":""},{"dropping-particle":"","family":"Ramala","given":"Geetha Reddy","non-dropping-particle":"","parse-names":false,"suffix":""}],"container-title":"The Pharma Innovation Journal","id":"ITEM-1","issue":"5","issued":{"date-parts":[["2021"]]},"page":"545-550","title":"Knowledge , attitude , practice and socio-economic factors influence on households waste management practices","type":"article-journal","volume":"10"},"uris":["http://www.mendeley.com/documents/?uuid=e2fbac7c-5213-40bd-8574-7094dd9ff8fd"]}],"mendeley":{"formattedCitation":"(Vistharakula et al., 2021)","manualFormatting":"Vistharakula et al.(2021)","plainTextFormattedCitation":"(Vistharakula et al., 2021)","previouslyFormattedCitation":"(Vistharakula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Vistharakula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discovered that </w:t>
      </w:r>
      <w:r>
        <w:rPr>
          <w:rFonts w:hAnsi="Times New Roman" w:ascii="Times New Roman" w:cs="Times New Roman"/>
          <w:b w:val="0"/>
          <w:i w:val="0"/>
          <w:strike w:val="0"/>
          <w:dstrike w:val="0"/>
          <w:emboss w:val="0"/>
          <w:imprint w:val="0"/>
          <w:outline w:val="0"/>
          <w:shadow w:val="0"/>
          <w:sz w:val="24"/>
          <w:szCs w:val="24"/>
          <w:u w:val="none"/>
        </w:rPr>
        <w:t xml:space="preserve">socioeconomic factors and other variables have strong influence on the waste management practices among households.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10.1007/s10661-021-09633-7","ISBN":"0123456789","ISSN":"1573-2959","author":[{"dropping-particle":"","family":"Zhao","given":"Yuhuan","non-dropping-particle":"","parse-names":false,"suffix":""},{"dropping-particle":"","family":"Diunugala","given":"Hemantha P","non-dropping-particle":"","parse-names":false,"suffix":""},{"dropping-particle":"","family":"Mombeuil","given":"Claudel","non-dropping-particle":"","parse-names":false,"suffix":""}],"container-title":"Environmental Monitoring and Assessment","id":"ITEM-1","issued":{"date-parts":[["2021"]]},"publisher":"Springer International Publishing","title":"Factors affecting household solid waste generation and management in Sri Lanka : an empirical study","type":"article-journal"},"uris":["http://www.mendeley.com/documents/?uuid=46e0b9d3-e93b-4061-919d-951e9f8960e1"]}],"mendeley":{"formattedCitation":"(Zhao et al., 2021)","manualFormatting":"Zhao et al. (2021)","plainTextFormattedCitation":"(Zhao et al., 2021)","previouslyFormattedCitation":"(Zhao et al., 2021)"},"properties":{"noteIndex":0},"schema":"https://github.com/citation-style-language/schema/raw/master/csl-citation.json"}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Zhao et al. (2021)</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found that socioeconomic factors such as family size and monthly income significantly and positively influence municipal solid waste management, whereas occupation significantly and negatively influences SWM. Higher household income has been found to positively influence solid waste management behaviours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{"citationItems":[{"id":"ITEM-1","itemData":{"DOI":"10.1007/s10163-020-01129-9","ISSN":"1611-8227","author":[{"dropping-particle":"","family":"Chikowore","given":"Noleen","non-dropping-particle":"","parse-names":false,"suffix":""}],"container-title":"Journal of Material Cycles and Waste Management","id":"ITEM-1","issue":"1","issued":{"date-parts":[["2020"]]},"page":"386-393","publisher":"Springer Japan","title":"Factors influencing household waste management practices in Zimbabwe","type":"article-journal","volume":"23"},"uris":["http://www.mendeley.com/documents/?uuid=8267d303-0829-4f8c-9ec4-f3a6901967d0"]}],"mendeley":{"formattedCitation":"(Chikowore, 2020)","plainTextFormattedCitation":"(Chikowore, 2020)","previouslyFormattedCitation":"(Chikowore, 2020)"},"properties":{"noteIndex":0},"schema":"https://github.com/citation-style-language/schema/raw/master/csl-citation.json"}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(Chikowore, 2020)</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Thus, h</w:t>
      </w:r>
      <w:r>
        <w:rPr>
          <w:rFonts w:hAnsi="Times New Roman" w:ascii="Times New Roman" w:eastAsia="Times New Roman" w:cs="Times New Roman"/>
          <w:b w:val="0"/>
          <w:i w:val="0"/>
          <w:strike w:val="0"/>
          <w:dstrike w:val="0"/>
          <w:emboss w:val="0"/>
          <w:imprint w:val="0"/>
          <w:outline w:val="0"/>
          <w:shadow w:val="0"/>
          <w:sz w:val="24"/>
          <w:szCs w:val="24"/>
          <w:u w:val="none"/>
        </w:rPr>
        <w:t xml:space="preserve">igher-income households generally have better solid waste management practices because of their ability to afford waste collection services or invest in waste-reduction technologies. However,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10.1177/0734242X18790800","author":[{"dropping-particle":"","family":"Seng","given":"Bandith","non-dropping-particle":"","parse-names":false,"suffix":""},{"dropping-particle":"","family":"Fujiwara","given":"Takeshi","non-dropping-particle":"","parse-names":false,"suffix":""},{"dropping-particle":"","family":"Spoann","given":"Vin","non-dropping-particle":"","parse-names":false,"suffix":""}],"container-title":"sagepub.com/journals-permissions","id":"ITEM-1","issued":{"date-parts":[["2018"]]},"title":"Households ’ knowledge , attitudes , and practices toward solid waste management in suburbs of Phnom Penh , Cambodia","type":"article-journal"},"uris":["http://www.mendeley.com/documents/?uuid=6a90d699-1e7d-4d58-bcfb-fe5598c073a6"]}],"mendeley":{"formattedCitation":"(Seng et al., 2018)","manualFormatting":"Seng et al.(2018)","plainTextFormattedCitation":"(Seng et al., 2018)","previouslyFormattedCitation":"(Seng et al., 2018)"},"properties":{"noteIndex":0},"schema":"https://github.com/citation-style-language/schema/raw/master/csl-citation.json"}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Seng et al. (2018)</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argued that </w:t>
      </w:r>
      <w:r>
        <w:rPr>
          <w:rFonts w:hAnsi="Times New Roman" w:ascii="Times New Roman" w:cs="Times New Roman"/>
          <w:b w:val="0"/>
          <w:i w:val="0"/>
          <w:strike w:val="0"/>
          <w:dstrike w:val="0"/>
          <w:emboss w:val="0"/>
          <w:imprint w:val="0"/>
          <w:outline w:val="0"/>
          <w:shadow w:val="0"/>
          <w:sz w:val="24"/>
          <w:szCs w:val="24"/>
          <w:u w:val="none"/>
        </w:rPr>
        <w:t xml:space="preserve">income is a decisive economic factor in residents’ knowledge and attitudes regarding SWM. </w:t>
      </w:r>
    </w:p>
    <w:p>
      <w:pPr>
        <w:spacing w:line="480" w:lineRule="auto"/>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 addition, </w:t>
      </w:r>
      <w:r>
        <w:rPr>
          <w:rFonts w:hAnsi="Times New Roman" w:ascii="Times New Roman" w:eastAsia="Times New Roman" w:cs="Times New Roman"/>
          <w:b w:val="0"/>
          <w:i w:val="0"/>
          <w:strike w:val="0"/>
          <w:dstrike w:val="0"/>
          <w:emboss w:val="0"/>
          <w:imprint w:val="0"/>
          <w:outline w:val="0"/>
          <w:shadow w:val="0"/>
          <w:sz w:val="24"/>
          <w:szCs w:val="24"/>
          <w:u w:val="none"/>
        </w:rPr>
        <w:t xml:space="preserve">earlier studies have indicated that gender, age, and education are significant factors influencing household solid waste management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10.1177/0734242X18817717","author":[{"dropping-particle":"","family":"Adzawla","given":"William","non-dropping-particle":"","parse-names":false,"suffix":""},{"dropping-particle":"","family":"Tahidu","given":"Adam","non-dropping-particle":"","parse-names":false,"suffix":""},{"dropping-particle":"","family":"Mustapha","given":"Salisu","non-dropping-particle":"","parse-names":false,"suffix":""},{"dropping-particle":"","family":"Azumah","given":"Shaibu B","non-dropping-particle":"","parse-names":false,"suffix":""}],"container-title":"Waste Management &amp; Research 37(1) Supplemen","id":"ITEM-1","issued":{"date-parts":[["2019"]]},"title":"Do socioeconomic factors influence households ’ solid waste disposal systems ? Evidence from Ghana","type":"article-journal"},"uris":["http://www.mendeley.com/documents/?uuid=25cb1b9e-7e7e-4846-b3cd-7363f6ff592a"]},{"id":"ITEM-2","itemData":{"DOI":"10.1016/j.wasman.2020.06.028","ISSN":"0956-053X","author":[{"dropping-particle":"","family":"Kumara","given":"Ajantha Sisira","non-dropping-particle":"","parse-names":false,"suffix":""},{"dropping-particle":"","family":"Pallegedara","given":"Asankha","non-dropping-particle":"","parse-names":false,"suffix":""}],"container-title":"Waste Management","id":"ITEM-2","issued":{"date-parts":[["2020"]]},"page":"62-71","publisher":"Elsevier Ltd","title":"Household waste disposal mechanisms in Sri Lanka : Nation-wide survey evidence for their trends and determinants","type":"article-journal","volume":"114"},"uris":["http://www.mendeley.com/documents/?uuid=a0b1fe0e-c49d-44f5-b7ae-692a1cfc184a"]}],"mendeley":{"formattedCitation":"(Adzawla et al., 2019; Kumara &amp; Pallegedara, 2020)","plainTextFormattedCitation":"(Adzawla et al., 2019; Kumara &amp; Pallegedara, 2020)","previouslyFormattedCitation":"(Adzawla et al., 2019; Kumara &amp; Pallegedara,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(Kumara &amp; Pallegedara, 2019; Kumara &amp; Pallegedara,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Similarly,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 http:/dx.doi.org/10.14303/jrest.2014.021","author":[{"dropping-particle":"","family":"Adeolu","given":"A T","non-dropping-particle":"","parse-names":false,"suffix":""},{"dropping-particle":"","family":"Enesi","given":"D O","non-dropping-particle":"","parse-names":false,"suffix":""},{"dropping-particle":"","family":"Adeolu","given":"M O","non-dropping-particle":"","parse-names":false,"suffix":""}],"container-title":"Journal of Research in Environmental Science and Toxicology","id":"ITEM-1","issue":"5","issued":{"date-parts":[["2014"]]},"page":"66-73","title":"Assessment of Secondary School Students ’ Knowledge , Attitude and Practice towards Waste Management in Ibadan , Oyo State , Nigeria","type":"article-journal","volume":"3"},"uris":["http://www.mendeley.com/documents/?uuid=415be017-3699-4e38-918d-b490c8a62297"]}],"mendeley":{"formattedCitation":"(Adeolu et al., 2014)","manualFormatting":"Adeolu et al. (2014)","plainTextFormattedCitation":"(Adeolu et al., 2014)","previouslyFormattedCitation":"(Adeolu et al., 2014)"},"properties":{"noteIndex":0},"schema":"https://github.com/citation-style-language/schema/raw/master/csl-citation.json"}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Adeolu et al. (2014)</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disclosed that e</w:t>
      </w:r>
      <w:r>
        <w:rPr>
          <w:rFonts w:hAnsi="Times New Roman" w:ascii="Times New Roman" w:cs="Times New Roman"/>
          <w:b w:val="0"/>
          <w:i w:val="0"/>
          <w:strike w:val="0"/>
          <w:dstrike w:val="0"/>
          <w:emboss w:val="0"/>
          <w:imprint w:val="0"/>
          <w:outline w:val="0"/>
          <w:shadow w:val="0"/>
          <w:sz w:val="24"/>
          <w:szCs w:val="24"/>
          <w:u w:val="none"/>
        </w:rPr>
        <w:t xml:space="preserve">ducational status, age, and gender, among others, were factors influencing solid waste management in secondary schools in Ibadan, while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{"citationItems":[{"id":"ITEM-1","itemData":{"DOI":"10.1007/s10163-020-01129-9","ISSN":"1611-8227","author":[{"dropping-particle":"","family":"Chikowore","given":"Noleen","non-dropping-particle":"","parse-names":false,"suffix":""}],"container-title":"Journal of Material Cycles and Waste Management","id":"ITEM-1","issue":"1","issued":{"date-parts":[["2020"]]},"page":"386-393","publisher":"Springer Japan","title":"Factors influencing household waste management practices in Zimbabwe","type":"article-journal","volume":"23"},"uris":["http://www.mendeley.com/documents/?uuid=8267d303-0829-4f8c-9ec4-f3a6901967d0"]}],"mendeley":{"formattedCitation":"(Chikowore, 2020)","manualFormatting":"Chikowore (2020)","plainTextFormattedCitation":"(Chikowore, 2020)","previouslyFormattedCitation":"(Chikowore, 2020)"},"properties":{"noteIndex":0},"schema":"https://github.com/citation-style-language/schema/raw/master/csl-citation.json"}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Chikowore (2020)</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disclosed that age and gender did not have any significant influence on the choice of solid waste disposal option among residents in Botswana. </w:t>
      </w:r>
    </w:p>
    <w:p>
      <w:pPr>
        <w:spacing w:line="480" w:lineRule="auto"/>
        <w:ind w:left="720"/>
        <w:jc w:val="both"/>
        <w:rPr>
          <w:rFonts w:hAnsi="Times New Roman" w:ascii="Times New Roman" w:cs="Times New Roman"/>
          <w:sz w:val="24"/>
          <w:szCs w:val="24"/>
        </w:rPr>
      </w:pP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10.1177/0734242X18790800","author":[{"dropping-particle":"","family":"Seng","given":"Bandith","non-dropping-particle":"","parse-names":false,"suffix":""},{"dropping-particle":"","family":"Fujiwara","given":"Takeshi","non-dropping-particle":"","parse-names":false,"suffix":""},{"dropping-particle":"","family":"Spoann","given":"Vin","non-dropping-particle":"","parse-names":false,"suffix":""}],"container-title":"sagepub.com/journals-permissions","id":"ITEM-1","issued":{"date-parts":[["2018"]]},"title":"Households ’ knowledge , attitudes , and practices toward solid waste management in suburbs of Phnom Penh , Cambodia","type":"article-journal"},"uris":["http://www.mendeley.com/documents/?uuid=6a90d699-1e7d-4d58-bcfb-fe5598c073a6"]}],"mendeley":{"formattedCitation":"(Seng et al., 2018)","manualFormatting":"Seng et al.(2018)","plainTextFormattedCitation":"(Seng et al., 2018)","previouslyFormattedCitation":"(Seng et al., 2018)"},"properties":{"noteIndex":0},"schema":"https://github.com/citation-style-language/schema/raw/master/csl-citation.json"}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Seng et al. (2018)</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established that educational level and knowledge of health effects positively influence knowledge of solid waste management. They added that a</w:t>
      </w:r>
      <w:r>
        <w:rPr>
          <w:rFonts w:hAnsi="Times New Roman" w:ascii="Times New Roman" w:eastAsia="Times New Roman" w:cs="Times New Roman"/>
          <w:b w:val="0"/>
          <w:i w:val="0"/>
          <w:strike w:val="0"/>
          <w:dstrike w:val="0"/>
          <w:emboss w:val="0"/>
          <w:imprint w:val="0"/>
          <w:outline w:val="0"/>
          <w:shadow w:val="0"/>
          <w:sz w:val="24"/>
          <w:szCs w:val="24"/>
          <w:u w:val="none"/>
        </w:rPr>
        <w:t xml:space="preserve">wareness of the importance of proper waste management and its impact on the environment and public health can influence household practices. Hence, they proposed that educational campaigns and public outreach programs could help improve waste management behaviours. Studies</w:t>
      </w:r>
      <w:r>
        <w:rPr>
          <w:rFonts w:hAnsi="Times New Roman" w:ascii="Times New Roman" w:cs="Times New Roman"/>
          <w:b w:val="0"/>
          <w:i w:val="0"/>
          <w:strike w:val="0"/>
          <w:dstrike w:val="0"/>
          <w:emboss w:val="0"/>
          <w:imprint w:val="0"/>
          <w:outline w:val="0"/>
          <w:shadow w:val="0"/>
          <w:sz w:val="24"/>
          <w:szCs w:val="24"/>
          <w:u w:val="none"/>
        </w:rPr>
        <w:t xml:space="preserve"> have also established that demographic and socioeconomic factors influence household solid waste reduction, reuse, and recycling behavior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{"citationItems":[{"id":"ITEM-1","itemData":{"DOI":"10.1016/j.resconrec.2018.10.017","ISSN":"18790658","abstract":"The present study was conducted with the aim of surveying the knowledge, attitude and practice (KAP) of 1750 females from Kermanshah city in Iran on separation and reduction in source, recycling, harmful effects of solid waste mismanagement on the environment and human health. Also, the relationship between the demographic characteristics of individuals (age, occupation, education, family size, and marital status) and solid waste management was evaluated. The results indicated that Kermanshahi women had satisfactory levels for knowledge (79%) and attitude (86%) on solid waste management. However, 77% of the people showed a poor performance. The present study revealed that females with academic education and public employment as well as young females had a greater KAP, while they had less satisfaction with the waste collection systems. The women's practice showed that 48.33% had received waste management training on TV, 24% as face-to-face, 32.21% by brochures, 2.66% through newspapers, and 1.99 via radio. Also, 83% of females emphasized the role of internet in raising their knowledge and attitude. According to this study, increasing the participation, education, raising the knowledge of individuals, providing appropriate facilities and equipment and implementing coordinated coherent programs of recycling by the governmental and private sectors played a very important role in solid waste management. With more emphasis on educational aspects, especially through municipalities and by creating participatory and encouraging programs among the families and the municipality, it is possible to improve the practice of citizens by improving their knowledge, while taking effective steps for promoting this environmental activity.","author":[{"dropping-particle":"","family":"Almasi","given":"Ali","non-dropping-particle":"","parse-names":false,"suffix":""},{"dropping-particle":"","family":"Mohammadi","given":"Mitra","non-dropping-particle":"","parse-names":false,"suffix":""},{"dropping-particle":"","family":"Azizi","given":"Ali","non-dropping-particle":"","parse-names":false,"suffix":""},{"dropping-particle":"","family":"Berizi","given":"Zohreh","non-dropping-particle":"","parse-names":false,"suffix":""},{"dropping-particle":"","family":"Shamsi","given":"Khadije","non-dropping-particle":"","parse-names":false,"suffix":""},{"dropping-particle":"","family":"Shahbazi","given":"Ali","non-dropping-particle":"","parse-names":false,"suffix":""},{"dropping-particle":"","family":"Mosavi","given":"Seyyed Alireza","non-dropping-particle":"","parse-names":false,"suffix":""}],"container-title":"Resources, Conservation and Recycling","id":"ITEM-1","issue":"October 2018","issued":{"date-parts":[["2019"]]},"page":"329-338","publisher":"Elsevier","title":"Assessing the knowledge, attitude and practice of the kermanshahi women towards reducing, recycling and reusing of municipal solid waste","type":"article-journal","volume":"141"},"uris":["http://www.mendeley.com/documents/?uuid=c3436ea4-4ddc-4385-9359-0641d66b0895"]},{"id":"ITEM-2","itemData":{"DOI":"10.1016/j.resconrec.2021.105727","ISSN":"0921-3449","author":[{"dropping-particle":"","family":"Guo","given":"Wei","non-dropping-particle":"","parse-names":false,"suffix":""},{"dropping-particle":"","family":"Xi","given":"Beidou","non-dropping-particle":"","parse-names":false,"suffix":""},{"dropping-particle":"","family":"Huang","given":"Caihong","non-dropping-particle":"","parse-names":false,"suffix":""},{"dropping-particle":"","family":"Li","given":"Jiaxi","non-dropping-particle":"","parse-names":false,"suffix":""},{"dropping-particle":"","family":"Tang","given":"Zhurui","non-dropping-particle":"","parse-names":false,"suffix":""},{"dropping-particle":"","family":"Li","given":"Wei","non-dropping-particle":"","parse-names":false,"suffix":""},{"dropping-particle":"","family":"Ma","given":"Caiyun","non-dropping-particle":"","parse-names":false,"suffix":""},{"dropping-particle":"","family":"Wu","given":"Weixia","non-dropping-particle":"","parse-names":false,"suffix":""}],"container-title":"Resources, Conservation &amp; Recycling","id":"ITEM-2","issue":"March","issued":{"date-parts":[["2021"]]},"page":"105727","publisher":"Elsevier B.V.","title":"Resources , Conservation &amp; Recycling Solid waste management in China : Policy and driving factors in 2004 – 2019","type":"article-journal","volume":"173"},"uris":["http://www.mendeley.com/documents/?uuid=d07af794-77a7-4c33-a05c-b5ea62fa701f"]},{"id":"ITEM-3","itemData":{"DOI":"10.1371/journal.pone.0278181","ISBN":"1111111111","ISSN":"19326203","PMID":"36763645","abstract":"Improper solid waste management in urban and semi-urban cities of developing countries is the source of environmental pollution and public health concern. This study aimed to assess the households’ knowledge, attitudes and practices of solid waste management and associated factors in Gelemso town. A community-based cross-sectional study design was used to assess the households’ KAP of SWM in Gelemso town. A systematic random sampling technique was used to recruit 390 households from Gelemso town and data was collected using a structured questionnaire. Data analysis was carried out using SPSS version 22.0 software. Bivariate and multivariate analyses were used to predict the improper SWM practices. From 390 households included in the study, 61.3% of them were females. Generally, most households had correct knowledge and positive attitudes towards SWM but poor practice was observed in the study area. About 96% of the households considered solid waste as a source of environmental pollution and close to 92% of them replied that solid waste can be used for compost preparation. Majority (87.4%) of the households “strongly agreed” about the potential risk associated with improper solid waste disposal and nearly 80% of them also “strongly agreed” that proper SWM is crucial to create a healthy environment in the community. Nearly 80% had practiced improper SWM. Logistic regression analyses indicated that lack of experience in sorting solid waste, ways of removal, knowledge about reduce, reuse and recycle, absence of adequate solid waste landfills, and lack of door-to-door waste collections services were identified as the major contributing factors for the improper SWM practice in Gelemso town. In conclusion, the majority of the households had practiced improper SWM, such as disposing of solid waste in the backyard, along the roadsides, in gully and burned. These malpractices can significantly affect the environment and public health of the residents.","author":[{"dropping-particle":"","family":"Eshete","given":"Hailu","non-dropping-particle":"","parse-names":false,"suffix":""},{"dropping-particle":"","family":"Desalegn","given":"Asnake","non-dropping-particle":"","parse-names":false,"suffix":""},{"dropping-particle":"","family":"Tigu","given":"Fitsum","non-dropping-particle":"","parse-names":false,"suffix":""}],"container-title":"PLoS ONE","id":"ITEM-3","issue":"2 February","issued":{"date-parts":[["2023"]]},"page":"1-13","title":"Knowledge, attitudes and practices on household solid waste management and associated factors in Gelemso town, Ethiopia","type":"article-journal","volume":"18"},"uris":["http://www.mendeley.com/documents/?uuid=e20f8a83-ea78-4c32-a3b3-913ba607efbc"]}],"mendeley":{"formattedCitation":"(Almasi et al., 2019; Eshete et al., 2023; Guo et al., 2021)","plainTextFormattedCitation":"(Almasi et al., 2019; Eshete et al., 2023; Guo et al., 2021)","previouslyFormattedCitation":"(Almasi et al., 2019; Eshete et al., 2023; Guo et al., 2021)"},"properties":{"noteIndex":0},"schema":"https://github.com/citation-style-language/schema/raw/master/csl-citation.json"}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(Almasi et al., 2019; Eshete et al., 2023; Guo et al., 2021)</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Logic regression analyses specified that lack of experience in sorting solid waste, ways of removal, knowledge about reduction, reuse, and recycling, lack of adequate solid waste landfills, and lack of door-to-door solid waste collection services were identified as the major contributing factors for improper SWM practices in Gelemso Town </w:t>
      </w:r>
      <w:r>
        <w:rPr>
          <w:rFonts w:hAnsi="Times New Roman" w:ascii="Times New Roman" w:cs="Times New Roman"/>
          <w:bCs/>
          <w:sz w:val="24"/>
          <w:szCs w:val="24"/>
        </w:rPr>
        <w:fldChar w:fldCharType="begin"/>
      </w:r>
      <w:r>
        <w:rPr>
          <w:rFonts w:hAnsi="Times New Roman" w:ascii="Times New Roman" w:cs="Times New Roman"/>
          <w:bCs/>
          <w:sz w:val="24"/>
          <w:szCs w:val="24"/>
        </w:rPr>
        <w:instrText xml:space="preserve">ADDIN CSL_CITATION {"citationItems":[{"id":"ITEM-1","itemData":{"DOI":"10.1371/journal.pone.0278181","ISBN":"1111111111","ISSN":"19326203","PMID":"36763645","abstract":"Improper solid waste management in urban and semi-urban cities of developing countries is the source of environmental pollution and public health concern. This study aimed to assess the households’ knowledge, attitudes and practices of solid waste management and associated factors in Gelemso town. A community-based cross-sectional study design was used to assess the households’ KAP of SWM in Gelemso town. A systematic random sampling technique was used to recruit 390 households from Gelemso town and data was collected using a structured questionnaire. Data analysis was carried out using SPSS version 22.0 software. Bivariate and multivariate analyses were used to predict the improper SWM practices. From 390 households included in the study, 61.3% of them were females. Generally, most households had correct knowledge and positive attitudes towards SWM but poor practice was observed in the study area. About 96% of the households considered solid waste as a source of environmental pollution and close to 92% of them replied that solid waste can be used for compost preparation. Majority (87.4%) of the households “strongly agreed” about the potential risk associated with improper solid waste disposal and nearly 80% of them also “strongly agreed” that proper SWM is crucial to create a healthy environment in the community. Nearly 80% had practiced improper SWM. Logistic regression analyses indicated that lack of experience in sorting solid waste, ways of removal, knowledge about reduce, reuse and recycle, absence of adequate solid waste landfills, and lack of door-to-door waste collections services were identified as the major contributing factors for the improper SWM practice in Gelemso town. In conclusion, the majority of the households had practiced improper SWM, such as disposing of solid waste in the backyard, along the roadsides, in gully and burned. These malpractices can significantly affect the environment and public health of the residents.","author":[{"dropping-particle":"","family":"Eshete","given":"Hailu","non-dropping-particle":"","parse-names":false,"suffix":""},{"dropping-particle":"","family":"Desalegn","given":"Asnake","non-dropping-particle":"","parse-names":false,"suffix":""},{"dropping-particle":"","family":"Tigu","given":"Fitsum","non-dropping-particle":"","parse-names":false,"suffix":""}],"container-title":"PLoS ONE","id":"ITEM-1","issue":"2 February","issued":{"date-parts":[["2023"]]},"page":"1-13","title":"Knowledge, attitudes and practices on household solid waste management and associated factors in Gelemso town, Ethiopia","type":"article-journal","volume":"18"},"uris":["http://www.mendeley.com/documents/?uuid=e20f8a83-ea78-4c32-a3b3-913ba607efbc"]}],"mendeley":{"formattedCitation":"(Eshete et al., 2023)","plainTextFormattedCitation":"(Eshete et al., 2023)","previouslyFormattedCitation":"(Eshete et al., 2023)"},"properties":{"noteIndex":0},"schema":"https://github.com/citation-style-language/schema/raw/master/csl-citation.json"}</w:instrText>
      </w:r>
      <w:r>
        <w:rPr>
          <w:rFonts w:hAnsi="Times New Roman" w:ascii="Times New Roman" w:cs="Times New Roman"/>
          <w:bCs/>
          <w:sz w:val="24"/>
          <w:szCs w:val="24"/>
        </w:rPr>
        <w:fldChar w:fldCharType="separate"/>
      </w:r>
      <w:r>
        <w:rPr>
          <w:rFonts w:hAnsi="Times New Roman" w:ascii="Times New Roman" w:cs="Times New Roman"/>
          <w:b w:val="0"/>
          <w:bCs/>
          <w:i w:val="0"/>
          <w:strike w:val="0"/>
          <w:dstrike w:val="0"/>
          <w:emboss w:val="0"/>
          <w:imprint w:val="0"/>
          <w:outline w:val="0"/>
          <w:shadow w:val="0"/>
          <w:sz w:val="24"/>
          <w:szCs w:val="24"/>
          <w:u w:val="none"/>
        </w:rPr>
        <w:t xml:space="preserve">(Eshete et al., 2023)</w:t>
      </w:r>
      <w:r>
        <w:rPr>
          <w:rFonts w:hAnsi="Times New Roman" w:ascii="Times New Roman" w:cs="Times New Roman"/>
          <w:bCs/>
          <w:sz w:val="24"/>
          <w:szCs w:val="24"/>
        </w:rPr>
        <w:fldChar w:fldCharType="end"/>
      </w:r>
      <w:r>
        <w:rPr>
          <w:rFonts w:hAnsi="Times New Roman" w:ascii="Times New Roman" w:cs="Times New Roman"/>
          <w:b w:val="0"/>
          <w:bCs/>
          <w:i w:val="0"/>
          <w:strike w:val="0"/>
          <w:dstrike w:val="0"/>
          <w:emboss w:val="0"/>
          <w:imprint w:val="0"/>
          <w:outline w:val="0"/>
          <w:shadow w:val="0"/>
          <w:sz w:val="24"/>
          <w:szCs w:val="24"/>
          <w:u w:val="none"/>
        </w:rPr>
        <w:t xml:space="preserve">. In addition, a number of hypothesised socioeconomic factors have been established that drive households into a certain solid waste management behaviour. For instance, the education of households regarding solid waste management is significant in increasing their decisions to collect waste other than open dumping or burning. The characteristics of buildings and location of households also influence waste disposal systems in Ghana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10.1177/0734242X18817717","author":[{"dropping-particle":"","family":"Adzawla","given":"William","non-dropping-particle":"","parse-names":false,"suffix":""},{"dropping-particle":"","family":"Tahidu","given":"Adam","non-dropping-particle":"","parse-names":false,"suffix":""},{"dropping-particle":"","family":"Mustapha","given":"Salisu","non-dropping-particle":"","parse-names":false,"suffix":""},{"dropping-particle":"","family":"Azumah","given":"Shaibu B","non-dropping-particle":"","parse-names":false,"suffix":""}],"container-title":"Waste Management &amp; Research 37(1) Supplemen","id":"ITEM-1","issued":{"date-parts":[["2019"]]},"title":"Do socioeconomic factors influence households ’ solid waste disposal systems ? Evidence from Ghana","type":"article-journal"},"uris":["http://www.mendeley.com/documents/?uuid=25cb1b9e-7e7e-4846-b3cd-7363f6ff592a"]}],"mendeley":{"formattedCitation":"(Adzawla et al., 2019)","plainTextFormattedCitation":"(Adzawla et al., 2019)","previouslyFormattedCitation":"(Adzawla et al., 2019)"},"properties":{"noteIndex":0},"schema":"https://github.com/citation-style-language/schema/raw/master/csl-citation.json"}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(Adzawla et al., 2019)</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Likewise,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{"citationItems":[{"id":"ITEM-1","itemData":{"DOI":"10.1007/s10661-017-5810-0","author":[{"dropping-particle":"","family":"Al-khateeb","given":"Ammar J","non-dropping-particle":"","parse-names":false,"suffix":""},{"dropping-particle":"","family":"Al-sari","given":"Majed I","non-dropping-particle":"","parse-names":false,"suffix":""},{"dropping-particle":"","family":"Al-Khatib","given":"Issam A","non-dropping-particle":"","parse-names":false,"suffix":""},{"dropping-particle":"","family":"Anayah","given":"Fathi","non-dropping-particle":"","parse-names":false,"suffix":""}],"container-title":"Springer International Publishing Switzerland","id":"ITEM-1","issued":{"date-parts":[["2017"]]},"publisher":"Environmental Monitoring and Assessment","title":"Factors affecting the sustainability of solid waste management system — the case of Palestine","type":"article-journal"},"uris":["http://www.mendeley.com/documents/?uuid=7223be48-ef26-486c-93da-a33299d135c3"]}],"mendeley":{"formattedCitation":"(Al-khateeb et al., 2017)","manualFormatting":"Al-khateeb et al. (2017)","plainTextFormattedCitation":"(Al-khateeb et al., 2017)","previouslyFormattedCitation":"(Al-khateeb et al., 2017)"},"properties":{"noteIndex":0},"schema":"https://github.com/citation-style-language/schema/raw/master/csl-citation.json"}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Al-khateeb et al. (2017)</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established that both socioeconomic status and housing characteristics affect not only the quantity of municipal solid waste generated, but also the proper management of waste. This study revealed that human characteristics also affect society and household behaviour regarding SWM. Knowledge, awareness status, and attitudes determine individual behaviour and the ability to change this behaviour. In addition, people willingness to pay for solid waste management services depends on their attitudes and dwellings.</w:t>
        <w:t xml:space="preserve">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{"citationItems":[{"id":"ITEM-1","itemData":{"DOI":"10.1007/s10661-017-5810-0","author":[{"dropping-particle":"","family":"Al-khateeb","given":"Ammar J","non-dropping-particle":"","parse-names":false,"suffix":""},{"dropping-particle":"","family":"Al-sari","given":"Majed I","non-dropping-particle":"","parse-names":false,"suffix":""},{"dropping-particle":"","family":"Al-Khatib","given":"Issam A","non-dropping-particle":"","parse-names":false,"suffix":""},{"dropping-particle":"","family":"Anayah","given":"Fathi","non-dropping-particle":"","parse-names":false,"suffix":""}],"container-title":"Springer International Publishing Switzerland","id":"ITEM-1","issued":{"date-parts":[["2017"]]},"publisher":"Environmental Monitoring and Assessment","title":"Factors affecting the sustainability of solid waste management system — the case of Palestine","type":"article-journal"},"uris":["http://www.mendeley.com/documents/?uuid=7223be48-ef26-486c-93da-a33299d135c3"]}],"mendeley":{"formattedCitation":"(Al-khateeb et al., 2017)","manualFormatting":"Al-khateeb et al. (2017)","plainTextFormattedCitation":"(Al-khateeb et al., 2017)","previouslyFormattedCitation":"(Al-khateeb et al., 2017)"},"properties":{"noteIndex":0},"schema":"https://github.com/citation-style-language/schema/raw/master/csl-citation.json"}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Al-khateeb et al. (2017)</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disclosed that, the place of residence and dwelling premises are significant factors influencing attitudes toward solid waste separation at the source; the place of residence and age are the significant factors explaining behaviour regarding reuse and/or recycling; while the dwelling premises, gender, educational level and individuals who received education on waste management are the significant factors affecting residents willingness to pay for an improved service of SWM. Similarly,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{"citationItems":[{"id":"ITEM-1","itemData":{"DOI":"10.1007/s10163-020-01129-9","ISSN":"1611-8227","author":[{"dropping-particle":"","family":"Chikowore","given":"Noleen","non-dropping-particle":"","parse-names":false,"suffix":""}],"container-title":"Journal of Material Cycles and Waste Management","id":"ITEM-1","issue":"1","issued":{"date-parts":[["2020"]]},"page":"386-393","publisher":"Springer Japan","title":"Factors influencing household waste management practices in Zimbabwe","type":"article-journal","volume":"23"},"uris":["http://www.mendeley.com/documents/?uuid=8267d303-0829-4f8c-9ec4-f3a6901967d0"]}],"mendeley":{"formattedCitation":"(Chikowore, 2020)","manualFormatting":"Chikowore(2020)","plainTextFormattedCitation":"(Chikowore, 2020)","previouslyFormattedCitation":"(Chikowore, 2020)"},"properties":{"noteIndex":0},"schema":"https://github.com/citation-style-language/schema/raw/master/csl-citation.json"}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Chikowore’s (2020)</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chi-square test of independence revealed a strong significant association between gender and willingness to pay for fortnight waste collection services.</w:t>
      </w:r>
    </w:p>
    <w:p>
      <w:pPr>
        <w:spacing w:line="480" w:lineRule="auto"/>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Notably, in the literature, public involvement is crucial for the achievement of any environmental and health program because without public participation, environmental and health projects may not be attained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{"citationItems":[{"id":"ITEM-1","itemData":{"DOI":"10.1016/j.resconrec.2018.10.017","ISSN":"18790658","abstract":"The present study was conducted with the aim of surveying the knowledge, attitude and practice (KAP) of 1750 females from Kermanshah city in Iran on separation and reduction in source, recycling, harmful effects of solid waste mismanagement on the environment and human health. Also, the relationship between the demographic characteristics of individuals (age, occupation, education, family size, and marital status) and solid waste management was evaluated. The results indicated that Kermanshahi women had satisfactory levels for knowledge (79%) and attitude (86%) on solid waste management. However, 77% of the people showed a poor performance. The present study revealed that females with academic education and public employment as well as young females had a greater KAP, while they had less satisfaction with the waste collection systems. The women's practice showed that 48.33% had received waste management training on TV, 24% as face-to-face, 32.21% by brochures, 2.66% through newspapers, and 1.99 via radio. Also, 83% of females emphasized the role of internet in raising their knowledge and attitude. According to this study, increasing the participation, education, raising the knowledge of individuals, providing appropriate facilities and equipment and implementing coordinated coherent programs of recycling by the governmental and private sectors played a very important role in solid waste management. With more emphasis on educational aspects, especially through municipalities and by creating participatory and encouraging programs among the families and the municipality, it is possible to improve the practice of citizens by improving their knowledge, while taking effective steps for promoting this environmental activity.","author":[{"dropping-particle":"","family":"Almasi","given":"Ali","non-dropping-particle":"","parse-names":false,"suffix":""},{"dropping-particle":"","family":"Mohammadi","given":"Mitra","non-dropping-particle":"","parse-names":false,"suffix":""},{"dropping-particle":"","family":"Azizi","given":"Ali","non-dropping-particle":"","parse-names":false,"suffix":""},{"dropping-particle":"","family":"Berizi","given":"Zohreh","non-dropping-particle":"","parse-names":false,"suffix":""},{"dropping-particle":"","family":"Shamsi","given":"Khadije","non-dropping-particle":"","parse-names":false,"suffix":""},{"dropping-particle":"","family":"Shahbazi","given":"Ali","non-dropping-particle":"","parse-names":false,"suffix":""},{"dropping-particle":"","family":"Mosavi","given":"Seyyed Alireza","non-dropping-particle":"","parse-names":false,"suffix":""}],"container-title":"Resources, Conservation and Recycling","id":"ITEM-1","issue":"October 2018","issued":{"date-parts":[["2019"]]},"page":"329-338","publisher":"Elsevier","title":"Assessing the knowledge, attitude and practice of the kermanshahi women towards reducing, recycling and reusing of municipal solid waste","type":"article-journal","volume":"141"},"uris":["http://www.mendeley.com/documents/?uuid=c3436ea4-4ddc-4385-9359-0641d66b0895"]}],"mendeley":{"formattedCitation":"(Almasi et al., 2019)","plainTextFormattedCitation":"(Almasi et al., 2019)","previouslyFormattedCitation":"(Almasi et al., 2019)"},"properties":{"noteIndex":0},"schema":"https://github.com/citation-style-language/schema/raw/master/csl-citation.json"}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(Almasi et al., 2019)</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Hence,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{"citationItems":[{"id":"ITEM-1","itemData":{"DOI":"10.1016/j.resconrec.2018.10.017","ISSN":"18790658","abstract":"The present study was conducted with the aim of surveying the knowledge, attitude and practice (KAP) of 1750 females from Kermanshah city in Iran on separation and reduction in source, recycling, harmful effects of solid waste mismanagement on the environment and human health. Also, the relationship between the demographic characteristics of individuals (age, occupation, education, family size, and marital status) and solid waste management was evaluated. The results indicated that Kermanshahi women had satisfactory levels for knowledge (79%) and attitude (86%) on solid waste management. However, 77% of the people showed a poor performance. The present study revealed that females with academic education and public employment as well as young females had a greater KAP, while they had less satisfaction with the waste collection systems. The women's practice showed that 48.33% had received waste management training on TV, 24% as face-to-face, 32.21% by brochures, 2.66% through newspapers, and 1.99 via radio. Also, 83% of females emphasized the role of internet in raising their knowledge and attitude. According to this study, increasing the participation, education, raising the knowledge of individuals, providing appropriate facilities and equipment and implementing coordinated coherent programs of recycling by the governmental and private sectors played a very important role in solid waste management. With more emphasis on educational aspects, especially through municipalities and by creating participatory and encouraging programs among the families and the municipality, it is possible to improve the practice of citizens by improving their knowledge, while taking effective steps for promoting this environmental activity.","author":[{"dropping-particle":"","family":"Almasi","given":"Ali","non-dropping-particle":"","parse-names":false,"suffix":""},{"dropping-particle":"","family":"Mohammadi","given":"Mitra","non-dropping-particle":"","parse-names":false,"suffix":""},{"dropping-particle":"","family":"Azizi","given":"Ali","non-dropping-particle":"","parse-names":false,"suffix":""},{"dropping-particle":"","family":"Berizi","given":"Zohreh","non-dropping-particle":"","parse-names":false,"suffix":""},{"dropping-particle":"","family":"Shamsi","given":"Khadije","non-dropping-particle":"","parse-names":false,"suffix":""},{"dropping-particle":"","family":"Shahbazi","given":"Ali","non-dropping-particle":"","parse-names":false,"suffix":""},{"dropping-particle":"","family":"Mosavi","given":"Seyyed Alireza","non-dropping-particle":"","parse-names":false,"suffix":""}],"container-title":"Resources, Conservation and Recycling","id":"ITEM-1","issue":"October 2018","issued":{"date-parts":[["2019"]]},"page":"329-338","publisher":"Elsevier","title":"Assessing the knowledge, attitude and practice of the kermanshahi women towards reducing, recycling and reusing of municipal solid waste","type":"article-journal","volume":"141"},"uris":["http://www.mendeley.com/documents/?uuid=c3436ea4-4ddc-4385-9359-0641d66b0895"]}],"mendeley":{"formattedCitation":"(Almasi et al., 2019)","plainTextFormattedCitation":"(Almasi et al., 2019)","previouslyFormattedCitation":"(Almasi et al., 2019)"},"properties":{"noteIndex":0},"schema":"https://github.com/citation-style-language/schema/raw/master/csl-citation.json"}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Almasi et al. (2019)</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reported that the only means to attract public interest and participation is to study the knowledge, attitudes, and general practices toward solid waste prevention, reduction, reuse, and recycling.</w:t>
      </w:r>
    </w:p>
    <w:p>
      <w:pPr>
        <w:spacing w:after="0" w:line="480" w:lineRule="auto"/>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Thus, to ensure all-encompassing solid waste management, it is vital to explore the socioeconomic factors influencing households’ choices regarding solid waste management practices. This study explores the relationship between socio-demographic characteristics such as age, gender, family size, income status, employment status, and educational attainment of residents towards solid waste prevention, reduction, reuse, and recycling, and final disposal options, as well as residents’ willingness to pay for waste management services. This study further examined residents’ knowledge, attitudes, and </w:t>
        <w:t xml:space="preserve">practices regarding solid waste management behaviourand their relationships in the study area.</w:t>
      </w:r>
    </w:p>
    <w:p>
      <w:pPr>
        <w:pStyle w:val="Heading2"/>
        <w:spacing w:line="480" w:lineRule="auto"/>
        <w:ind w:left="720"/>
      </w:pPr>
      <w:bookmarkStart w:id="44" w:name="_Toc147923052"/>
      <w:r>
        <w:rPr>
          <w:rFonts w:ascii="Times New Roman"/>
          <w:b/>
          <w:i w:val="0"/>
          <w:strike w:val="0"/>
          <w:dstrike w:val="0"/>
          <w:emboss w:val="0"/>
          <w:imprint w:val="0"/>
          <w:outline w:val="0"/>
          <w:shadow w:val="0"/>
          <w:sz w:val="24"/>
          <w:szCs w:val="24"/>
          <w:u w:val="none"/>
        </w:rPr>
        <w:t xml:space="preserve">2.11 Knowledge on Solid Waste Management</w:t>
      </w:r>
      <w:bookmarkEnd w:id="44"/>
    </w:p>
    <w:p>
      <w:pPr>
        <w:spacing w:line="480" w:lineRule="auto"/>
        <w:ind w:left="720"/>
        <w:jc w:val="both"/>
        <w:rPr>
          <w:rFonts w:hAnsi="Calibri" w:ascii="Calibri" w:eastAsia="Times New Roman" w:cs="Times New Roman"/>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 good knowledge base is indispensable for understanding the environment and its related problems. Knowledge consists of information, facts, descriptions, and skills acquired through education or experience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2019)","plainTextFormattedCitation":"(Nyaguthii, 2019)","previouslyFormattedCitation":"(Nyaguthii,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(Nyaguthii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{"citationItems":[{"id":"ITEM-1","itemData":{"author":[{"dropping-particle":"","family":"Gopi","given":"M","non-dropping-particle":"","parse-names":false,"suffix":""}],"container-title":"Asian Journal of Multidisciplinary Research &amp; Review (AJMRR)","id":"ITEM-1","issue":"3","issued":{"date-parts":[["2022"]]},"page":"64-86","title":"KNOWLEDGE , ATTITUDE AND PRACTICE IN SOLID WASTE MANAGEMENT AMONG URBAN HOUSEHOLDS IN KUTHUPARAMBA – KANNUR DISTRICT KERALA","type":"article-journal","volume":"Volume 3 I"},"uris":["http://www.mendeley.com/documents/?uuid=99486b21-5bff-4bdb-8c5d-4d4db40e3ffc"]}],"mendeley":{"formattedCitation":"(Gopi, 2022)","manualFormatting":"Gopi(2022)","plainTextFormattedCitation":"(Gopi, 2022)","previouslyFormattedCitation":"(Gopi, 2022)"},"properties":{"noteIndex":0},"schema":"https://github.com/citation-style-language/schema/raw/master/csl-citation.json"}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Gopi (2022)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posited that the knowledge of the populace concerning solid waste management influences their practice. According to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2019)","manualFormatting":"Nyaguthii (2019)","plainTextFormattedCitation":"(Nyaguthii, 2019)","previouslyFormattedCitation":"(Nyaguthii,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Nyaguthii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knowledge changes attitudes, beliefs, values, and norms, and increases people’s awareness of friendly environmental practices. This pertains to a positive attitude towards solid waste management, while attitude refers to the acquisition of positive values and concerns about the environment. It has been affirmed that residents without thorough knowledge of the consequences of improper waste management may dispose of waste indiscriminately because they do not know its ill effects it may create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{"citationItems":[{"id":"ITEM-1","itemData":{"author":[{"dropping-particle":"","family":"Gopi","given":"M","non-dropping-particle":"","parse-names":false,"suffix":""}],"container-title":"Asian Journal of Multidisciplinary Research &amp; Review (AJMRR)","id":"ITEM-1","issue":"3","issued":{"date-parts":[["2022"]]},"page":"64-86","title":"KNOWLEDGE , ATTITUDE AND PRACTICE IN SOLID WASTE MANAGEMENT AMONG URBAN HOUSEHOLDS IN KUTHUPARAMBA – KANNUR DISTRICT KERALA","type":"article-journal","volume":"Volume 3 I"},"uris":["http://www.mendeley.com/documents/?uuid=99486b21-5bff-4bdb-8c5d-4d4db40e3ffc"]}],"mendeley":{"formattedCitation":"(Gopi, 2022)","plainTextFormattedCitation":"(Gopi, 2022)","previouslyFormattedCitation":"(Gopi, 2022)"},"properties":{"noteIndex":0},"schema":"https://github.com/citation-style-language/schema/raw/master/csl-citation.json"}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(Gopi, 2022)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In addition, good knowledge influences citizens’ trust in and acceptance of solid waste management authorities and their perceptions of environmental risk. Public trust in solid waste management authorities is considered a major factor shaping public acceptance of solid waste disposal and management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2019)","manualFormatting":"Nyaguthii, 2019)","plainTextFormattedCitation":"(Nyaguthii, 2019)","previouslyFormattedCitation":"(Nyaguthii,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Nyaguthii,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Effective public outreach by local authorities is therefore very important to increase knowledge and awareness among residents. While some scholars have found that residents have satisfactory knowledge of solid-waste management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{"citationItems":[{"id":"ITEM-1","itemData":{"DOI":"10.1016/j.resconrec.2018.10.017","ISSN":"18790658","abstract":"The present study was conducted with the aim of surveying the knowledge, attitude and practice (KAP) of 1750 females from Kermanshah city in Iran on separation and reduction in source, recycling, harmful effects of solid waste mismanagement on the environment and human health. Also, the relationship between the demographic characteristics of individuals (age, occupation, education, family size, and marital status) and solid waste management was evaluated. The results indicated that Kermanshahi women had satisfactory levels for knowledge (79%) and attitude (86%) on solid waste management. However, 77% of the people showed a poor performance. The present study revealed that females with academic education and public employment as well as young females had a greater KAP, while they had less satisfaction with the waste collection systems. The women's practice showed that 48.33% had received waste management training on TV, 24% as face-to-face, 32.21% by brochures, 2.66% through newspapers, and 1.99 via radio. Also, 83% of females emphasized the role of internet in raising their knowledge and attitude. According to this study, increasing the participation, education, raising the knowledge of individuals, providing appropriate facilities and equipment and implementing coordinated coherent programs of recycling by the governmental and private sectors played a very important role in solid waste management. With more emphasis on educational aspects, especially through municipalities and by creating participatory and encouraging programs among the families and the municipality, it is possible to improve the practice of citizens by improving their knowledge, while taking effective steps for promoting this environmental activity.","author":[{"dropping-particle":"","family":"Almasi","given":"Ali","non-dropping-particle":"","parse-names":false,"suffix":""},{"dropping-particle":"","family":"Mohammadi","given":"Mitra","non-dropping-particle":"","parse-names":false,"suffix":""},{"dropping-particle":"","family":"Azizi","given":"Ali","non-dropping-particle":"","parse-names":false,"suffix":""},{"dropping-particle":"","family":"Berizi","given":"Zohreh","non-dropping-particle":"","parse-names":false,"suffix":""},{"dropping-particle":"","family":"Shamsi","given":"Khadije","non-dropping-particle":"","parse-names":false,"suffix":""},{"dropping-particle":"","family":"Shahbazi","given":"Ali","non-dropping-particle":"","parse-names":false,"suffix":""},{"dropping-particle":"","family":"Mosavi","given":"Seyyed Alireza","non-dropping-particle":"","parse-names":false,"suffix":""}],"container-title":"Resources, Conservation and Recycling","id":"ITEM-1","issue":"October 2018","issued":{"date-parts":[["2019"]]},"page":"329-338","publisher":"Elsevier","title":"Assessing the knowledge, attitude and practice of the kermanshahi women towards reducing, recycling and reusing of municipal solid waste","type":"article-journal","volume":"141"},"uris":["http://www.mendeley.com/documents/?uuid=c3436ea4-4ddc-4385-9359-0641d66b0895"]},{"id":"ITEM-2","itemData":{"DOI":"10.1371/journal.pone.0278181","ISBN":"1111111111","ISSN":"19326203","PMID":"36763645","abstract":"Improper solid waste management in urban and semi-urban cities of developing countries is the source of environmental pollution and public health concern. This study aimed to assess the households’ knowledge, attitudes and practices of solid waste management and associated factors in Gelemso town. A community-based cross-sectional study design was used to assess the households’ KAP of SWM in Gelemso town. A systematic random sampling technique was used to recruit 390 households from Gelemso town and data was collected using a structured questionnaire. Data analysis was carried out using SPSS version 22.0 software. Bivariate and multivariate analyses were used to predict the improper SWM practices. From 390 households included in the study, 61.3% of them were females. Generally, most households had correct knowledge and positive attitudes towards SWM but poor practice was observed in the study area. About 96% of the households considered solid waste as a source of environmental pollution and close to 92% of them replied that solid waste can be used for compost preparation. Majority (87.4%) of the households “strongly agreed” about the potential risk associated with improper solid waste disposal and nearly 80% of them also “strongly agreed” that proper SWM is crucial to create a healthy environment in the community. Nearly 80% had practiced improper SWM. Logistic regression analyses indicated that lack of experience in sorting solid waste, ways of removal, knowledge about reduce, reuse and recycle, absence of adequate solid waste landfills, and lack of door-to-door waste collections services were identified as the major contributing factors for the improper SWM practice in Gelemso town. In conclusion, the majority of the households had practiced improper SWM, such as disposing of solid waste in the backyard, along the roadsides, in gully and burned. These malpractices can significantly affect the environment and public health of the residents.","author":[{"dropping-particle":"","family":"Eshete","given":"Hailu","non-dropping-particle":"","parse-names":false,"suffix":""},{"dropping-particle":"","family":"Desalegn","given":"Asnake","non-dropping-particle":"","parse-names":false,"suffix":""},{"dropping-particle":"","family":"Tigu","given":"Fitsum","non-dropping-particle":"","parse-names":false,"suffix":""}],"container-title":"PLoS ONE","id":"ITEM-2","issue":"2 February","issued":{"date-parts":[["2023"]]},"page":"1-13","title":"Knowledge, attitudes and practices on household solid waste management and associated factors in Gelemso town, Ethiopia","type":"article-journal","volume":"18"},"uris":["http://www.mendeley.com/documents/?uuid=e20f8a83-ea78-4c32-a3b3-913ba607efbc"]}],"mendeley":{"formattedCitation":"(Almasi et al., 2019; Eshete et al., 2023)","manualFormatting":"(see Almasi et al., 2019; Eshete et al., 2023)","plainTextFormattedCitation":"(Almasi et al., 2019; Eshete et al., 2023)","previouslyFormattedCitation":"(Almasi et al., 2019; Eshete et al., 2023)"},"properties":{"noteIndex":0},"schema":"https://github.com/citation-style-language/schema/raw/master/csl-citation.json"}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(Almasi et al., 2019; Eshete et al., 2023)</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others have established low levels of knowledge of solid-waste management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{"citationItems":[{"id":"ITEM-1","itemData":{"DOI":"10.1186/s12889-019-7551-1","ISSN":"14712458","PMID":"31510950","abstract":"Background: Improper solid waste management (SWM) is a major public health and environmental concern in the urban areas of many developing countries such as Asella Town. The aim of this study was to assess the status of SWM in Asella town. Methods: A community-based cross-sectional study design was used to assess the status of improper SWM and associated factors in Asella town. From the total of eight kebeles (smallest administrative unit in Ethiopia) four kebeles were randomly selected using lottery method. The sample size was 413 households. The households were proportionally allocated to each randomly selected kebeles. The data was collected by pretested questionnaire in the local language. Data was entered using statistical software Epi Info version seven and transferred to SPSS version 21. Descriptive data analysis was done to summarize the socioeconomic status of the respondents. Chi-square was used to show the association between the status of solid waste management and different variables. Binary logistic regression was used to determine the potential factors for improper SWM. Result: 332 (82.8%), had improper solid waste management practice. Lack of adequate knowledge about solid waste management and not having access to door to door solid waste collection could have contributed to the reported improper solid waste practice. Participants who didn't have access to door to door solid waste collection service were about three times more likely to practice improper solid waste management when compared to those who had access (AOR = 2.873, 95 CI (1.565,5.273) P = 0.001). Conclusion: The study finding showed that, the majority of the residents practiced improper solid waste management. Lack of adequate knowledge about solid waste management and not having access to door to door solid waste collection could have contributed to the reported improper solid waste practice. Therefore, there is a need to enhance the awareness of the community about proper SWM and to improve the door to door solid waste collection service by the town municipality.","author":[{"dropping-particle":"","family":"Lema","given":"Gorfnesh","non-dropping-particle":"","parse-names":false,"suffix":""},{"dropping-particle":"","family":"Mesfun","given":"Million Getachew","non-dropping-particle":"","parse-names":false,"suffix":""},{"dropping-particle":"","family":"Eshete","given":"Amade","non-dropping-particle":"","parse-names":false,"suffix":""},{"dropping-particle":"","family":"Abdeta","given":"Gizachew","non-dropping-particle":"","parse-names":false,"suffix":""}],"container-title":"BMC Public Health","id":"ITEM-1","issue":"1","issued":{"date-parts":[["2019"]]},"page":"1-7","publisher":"BMC Public Health","title":"Assessment of status of solid waste management in Asella town, Ethiopia","type":"article-journal","volume":"19"},"uris":["http://www.mendeley.com/documents/?uuid=de0f4630-31a1-41e4-99b0-5b7b1e090ff3"]},{"id":"ITEM-2","itemData":{"DOI":"10.33828/sei.v28.i2.7","abstract":"This study focused on assessment of colleges of education students' knowledge and attitudes towards solid waste management in the North-Central zone of Nigeria. The cross-sectional survey design was adopted. A Students' Knowledge and Attitudes towards Solid Waste Management Questionnaire was used to collect data from 1,800 students. The findings indicated that the students had a low knowledge level of solid waste management but their attitudes towards it were positive. A significant relationship was found between students' knowledge and their attitudes towards solid waste management. Furthermore, gender was shown not to have any significant influence on knowledge and attitudes of students towards solid waste management. It was concluded that although students had low knowledge of solid waste management, their attitudes towards it were positive. It was recommended that environmental education issues, especially, solid waste management should be incorporated into colleges of education curricula and properly taught for in-depth knowledge acquisition.","author":[{"dropping-particle":"","family":"Dung","given":"Mohammed Dauda","non-dropping-particle":"","parse-names":false,"suffix":""},{"dropping-particle":"","family":"Mankilik","given":"Mangut","non-dropping-particle":"","parse-names":false,"suffix":""},{"dropping-particle":"","family":"Ozoji","given":"Bernadette Ebele","non-dropping-particle":"","parse-names":false,"suffix":""}],"container-title":"Science Education International","id":"ITEM-2","issue":"2","issued":{"date-parts":[["2017"]]},"page":"141-146","title":"Assessment of College Students' Knowledge and Attitudes Towards Solid Waste Management in North Central Zone of Nigeria","type":"article-journal","volume":"28"},"uris":["http://www.mendeley.com/documents/?uuid=b0181a31-7175-4aa9-bcd3-892380594187"]}],"mendeley":{"formattedCitation":"(Dung et al., 2017; Lema et al., 2019)","manualFormatting":"(see Dung et al., 2017; Lema et al., 2019)","plainTextFormattedCitation":"(Dung et al., 2017; Lema et al., 2019)","previouslyFormattedCitation":"(Dung et al., 2017; Lema et al.,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(Dung et al., 2017; Lema et al.,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pStyle w:val="Heading2"/>
        <w:spacing w:line="480" w:lineRule="auto"/>
        <w:ind w:left="720"/>
        <w:rPr>
          <w:szCs w:val="24"/>
        </w:rPr>
      </w:pPr>
      <w:bookmarkStart w:id="45" w:name="_Toc147923053"/>
      <w:r>
        <w:rPr>
          <w:rFonts w:ascii="Times New Roman"/>
          <w:b/>
          <w:i w:val="0"/>
          <w:strike w:val="0"/>
          <w:dstrike w:val="0"/>
          <w:emboss w:val="0"/>
          <w:imprint w:val="0"/>
          <w:outline w:val="0"/>
          <w:shadow w:val="0"/>
          <w:sz w:val="24"/>
          <w:szCs w:val="24"/>
          <w:u w:val="none"/>
        </w:rPr>
        <w:lastRenderedPageBreak/>
        <w:t xml:space="preserve">2.12 Attitude towards Solid Waste Management</w:t>
      </w:r>
      <w:bookmarkEnd w:id="45"/>
    </w:p>
    <w:p>
      <w:pPr>
        <w:spacing w:line="480" w:lineRule="auto"/>
        <w:ind w:left="720"/>
        <w:jc w:val="both"/>
        <w:rPr>
          <w:rFonts w:hAnsi="Times New Roman" w:ascii="Times New Roman" w:cs="Times New Roman"/>
          <w:b/>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Attitude refers to the ways in which you think or feel about something or someone, a feeling or way of thinking that affects person behaviours to their feelings toward the environment, as well as any preconceived ideas they may have towards it. According to nationwide studies in developing countries, many community members have poor attitudes toward solid waste management which can be affected by their level of knowledge and awareness of waste management</w:t>
      </w:r>
      <w:r>
        <w:rPr>
          <w:rFonts w:hAnsi="Times New Roman" w:ascii="Times New Roman" w:cs="Times New Roman"/>
          <w:b/>
          <w:i w:val="0"/>
          <w:strike w:val="0"/>
          <w:dstrike w:val="0"/>
          <w:emboss w:val="0"/>
          <w:imprint w:val="0"/>
          <w:outline w:val="0"/>
          <w:shadow w:val="0"/>
          <w:sz w:val="24"/>
          <w:szCs w:val="24"/>
          <w:u w:val="none"/>
        </w:rPr>
        <w:t xml:space="preserve">.</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attitude of citizens towards solid waste disposal is very important. The way the solid waste is handled, where it is disposed of, and how it is handled becomes part of the attitude one must have towards waste management (Gopi, 2022). Negative attitudes and behaviours that influence SWM in developing countries’ urban areas include littering, minimal social intervention to prevent the behaviour, imposed penalties, or enforcement measures to halt this behaviour. A study by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2019)","plainTextFormattedCitation":"(Nyaguthii, 2019)","previouslyFormattedCitation":"(Nyaguthii,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Nyaguthii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found that the attitude and behaviour towards SWM are also caused by a lack of waste collection or inappropriately located bins. Thus, residents’ attitudes towards SWM reduce their responsibility for the environment because they are rarely involved in decision-making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2019)","plainTextFormattedCitation":"(Nyaguthii, 2019)","previouslyFormattedCitation":"(Nyaguthii,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(Nyaguthii,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Increasing accessibility to recycling centres may change residents’ attitudes towards solid waste management. Awareness generation among people using multiple strategies would have a strong impact on promoting positive attitudes among people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{"citationItems":[{"id":"ITEM-1","itemData":{"author":[{"dropping-particle":"","family":"Gopi","given":"M","non-dropping-particle":"","parse-names":false,"suffix":""}],"container-title":"Asian Journal of Multidisciplinary Research &amp; Review (AJMRR)","id":"ITEM-1","issue":"3","issued":{"date-parts":[["2022"]]},"page":"64-86","title":"KNOWLEDGE , ATTITUDE AND PRACTICE IN SOLID WASTE MANAGEMENT AMONG URBAN HOUSEHOLDS IN KUTHUPARAMBA – KANNUR DISTRICT KERALA","type":"article-journal","volume":"Volume 3 I"},"uris":["http://www.mendeley.com/documents/?uuid=99486b21-5bff-4bdb-8c5d-4d4db40e3ffc"]}],"mendeley":{"formattedCitation":"(Gopi, 2022)","plainTextFormattedCitation":"(Gopi, 2022)","previouslyFormattedCitation":"(Gopi, 2022)"},"properties":{"noteIndex":0},"schema":"https://github.com/citation-style-language/schema/raw/master/csl-citation.json"}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(Gopi, 2022)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p>
    <w:p>
      <w:pPr>
        <w:spacing w:line="480" w:lineRule="auto"/>
        <w:ind w:left="720"/>
        <w:contextualSpacing w:val="1"/>
        <w:jc w:val="both"/>
        <w:rPr>
          <w:color w:val="FF0000"/>
          <w:rFonts w:hAnsi="Times New Roman" w:ascii="Times New Roman" w:eastAsia="Times New Roman" w:cs="Times New Roman"/>
          <w:strike/>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However, attitudes towards SWM differ across socioeconomic groups. This can be explained by the fact that a large proportion of residents in urban areas in developing countries are absorbed by the requirements for basic food and shelter. Residents who are satisfied with their basic needs are more environmentally conscious and hence sensitive to SWM. This implies that the KAP on SWM differs across socioeconomic classes in urban areas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2019)","plainTextFormattedCitation":"(Nyaguthii, 2019)","previouslyFormattedCitation":"(Nyaguthii,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(Nyaguthii,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For instance,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{"citationItems":[{"id":"ITEM-1","itemData":{"DOI":"10.1016/j.resconrec.2018.10.017","ISSN":"18790658","abstract":"The present study was conducted with the aim of surveying the knowledge, attitude and practice (KAP) of 1750 females from Kermanshah city in Iran on separation and reduction in source, recycling, harmful effects of solid waste mismanagement on the environment and human health. Also, the relationship between the demographic characteristics of individuals (age, occupation, education, family size, and marital status) and solid waste management was evaluated. The results indicated that Kermanshahi women had satisfactory levels for knowledge (79%) and attitude (86%) on solid waste management. However, 77% of the people showed a poor performance. The present study revealed that females with academic education and public employment as well as young females had a greater KAP, while they had less satisfaction with the waste collection systems. The women's practice showed that 48.33% had received waste management training on TV, 24% as face-to-face, 32.21% by brochures, 2.66% through newspapers, and 1.99 via radio. Also, 83% of females emphasized the role of internet in raising their knowledge and attitude. According to this study, increasing the participation, education, raising the knowledge of individuals, providing appropriate facilities and equipment and implementing coordinated coherent programs of recycling by the governmental and private sectors played a very important role in solid waste management. With more emphasis on educational aspects, especially through municipalities and by creating participatory and encouraging programs among the families and the municipality, it is possible to improve the practice of citizens by improving their knowledge, while taking effective steps for promoting this environmental activity.","author":[{"dropping-particle":"","family":"Almasi","given":"Ali","non-dropping-particle":"","parse-names":false,"suffix":""},{"dropping-particle":"","family":"Mohammadi","given":"Mitra","non-dropping-particle":"","parse-names":false,"suffix":""},{"dropping-particle":"","family":"Azizi","given":"Ali","non-dropping-particle":"","parse-names":false,"suffix":""},{"dropping-particle":"","family":"Berizi","given":"Zohreh","non-dropping-particle":"","parse-names":false,"suffix":""},{"dropping-particle":"","family":"Shamsi","given":"Khadije","non-dropping-particle":"","parse-names":false,"suffix":""},{"dropping-particle":"","family":"Shahbazi","given":"Ali","non-dropping-particle":"","parse-names":false,"suffix":""},{"dropping-particle":"","family":"Mosavi","given":"Seyyed Alireza","non-dropping-particle":"","parse-names":false,"suffix":""}],"container-title":"Resources, Conservation and Recycling","id":"ITEM-1","issue":"October 2018","issued":{"date-parts":[["2019"]]},"page":"329-338","publisher":"Elsevier","title":"Assessing the knowledge, attitude and practice of the kermanshahi women towards reducing, recycling and reusing of municipal solid waste","type":"article-journal","volume":"141"},"uris":["http://www.mendeley.com/documents/?uuid=c3436ea4-4ddc-4385-9359-0641d66b0895"]}],"mendeley":{"formattedCitation":"(Almasi et al., 2019)","manualFormatting":"Almasi et al. (2019)","plainTextFormattedCitation":"(Almasi et al., 2019)","previouslyFormattedCitation":"(Almasi et al., 2019)"},"properties":{"noteIndex":0},"schema":"https://github.com/citation-style-language/schema/raw/master/csl-citation.json"}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Almasi et al. (2019)</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found that women in Kermanshahi have satisfactory levels of attitude towards solid waste management compared to men. While other scholars have discovered residents’ positive attitudes towards solid waste management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{"citationItems":[{"id":"ITEM-1","itemData":{"DOI":"10.1371/journal.pone.0278181","ISBN":"1111111111","ISSN":"19326203","PMID":"36763645","abstract":"Improper solid waste management in urban and semi-urban cities of developing countries is the source of environmental pollution and public health concern. This study aimed to assess the households’ knowledge, attitudes and practices of solid waste management and associated factors in Gelemso town. A community-based cross-sectional study design was used to assess the households’ KAP of SWM in Gelemso town. A systematic random sampling technique was used to recruit 390 households from Gelemso town and data was collected using a structured questionnaire. Data analysis was carried out using SPSS version 22.0 software. Bivariate and multivariate analyses were used to predict the improper SWM practices. From 390 households included in the study, 61.3% of them were females. Generally, most households had correct knowledge and positive attitudes towards SWM but poor practice was observed in the study area. About 96% of the households considered solid waste as a source of environmental pollution and close to 92% of them replied that solid waste can be used for compost preparation. Majority (87.4%) of the households “strongly agreed” about the potential risk associated with improper solid waste disposal and nearly 80% of them also “strongly agreed” that proper SWM is crucial to create a healthy environment in the community. Nearly 80% had practiced improper SWM. Logistic regression analyses indicated that lack of experience in sorting solid waste, ways of removal, knowledge about reduce, reuse and recycle, absence of adequate solid waste landfills, and lack of door-to-door waste collections services were identified as the major contributing factors for the improper SWM practice in Gelemso town. In conclusion, the majority of the households had practiced improper SWM, such as disposing of solid waste in the backyard, along the roadsides, in gully and burned. These malpractices can significantly affect the environment and public health of the residents.","author":[{"dropping-particle":"","family":"Eshete","given":"Hailu","non-dropping-particle":"","parse-names":false,"suffix":""},{"dropping-particle":"","family":"Desalegn","given":"Asnake","non-dropping-particle":"","parse-names":false,"suffix":""},{"dropping-particle":"","family":"Tigu","given":"Fitsum","non-dropping-particle":"","parse-names":false,"suffix":""}],"container-title":"PLoS ONE","id":"ITEM-1","issue":"2 February","issued":{"date-parts":[["2023"]]},"page":"1-13","title":"Knowledge, attitudes and practices on household solid waste management and associated factors in Gelemso town, Ethiopia","type":"article-journal","volume":"18"},"uris":["http://www.mendeley.com/documents/?uuid=e20f8a83-ea78-4c32-a3b3-913ba607efbc"]},{"id":"ITEM-2","itemData":{"DOI":"10.33828/sei.v28.i2.7","abstract":"This study focused on assessment of colleges of education students' knowledge and attitudes towards solid waste management in the North-Central zone of Nigeria. The cross-sectional survey design was adopted. A Students' Knowledge and Attitudes towards Solid Waste Management Questionnaire was used to collect data from 1,800 students. The findings indicated that the students had a low knowledge level of solid waste management but their attitudes towards it were positive. A significant relationship was found between students' knowledge and their attitudes towards solid waste management. Furthermore, gender was shown not to have any significant influence on knowledge and attitudes of students towards solid waste management. It was concluded that although students had low knowledge of solid waste management, their attitudes towards it were positive. It was recommended that environmental education issues, especially, solid waste management should be incorporated into colleges of education curricula and properly taught for in-depth knowledge acquisition.","author":[{"dropping-particle":"","family":"Dung","given":"Mohammed Dauda","non-dropping-particle":"","parse-names":false,"suffix":""},{"dropping-particle":"","family":"Mankilik","given":"Mangut","non-dropping-particle":"","parse-names":false,"suffix":""},{"dropping-particle":"","family":"Ozoji","given":"Bernadette Ebele","non-dropping-particle":"","parse-names":false,"suffix":""}],"container-title":"Science Education International","id":"ITEM-2","issue":"2","issued":{"date-parts":[["2017"]]},"page":"141-146","title":"Assessment of College Students' Knowledge and Attitudes Towards Solid Waste Management in North Central Zone of Nigeria","type":"article-journal","volume":"28"},"uris":["http://www.mendeley.com/documents/?uuid=b0181a31-7175-4aa9-bcd3-892380594187"]}],"mendeley":{"formattedCitation":"(Dung et al., 2017; Eshete et al., 2023)","plainTextFormattedCitation":"(Dung et al., 2017; Eshete et al., 2023)","previouslyFormattedCitation":"(Dung et al., 2017; Eshete et al., 2023)"},"properties":{"noteIndex":0},"schema":"https://github.com/citation-style-language/schema/raw/master/csl-citation.json"}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(Dung et al., 2017; Eshete et al., 2023)</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others have established negative attitudes among residents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-1","issue":"2","issued":{"date-parts":[["2018"]]},"page":"123-131","title":"Knowledge , attitude and practice of municipal solid waste management among highland residents in","type":"article-journal","volume":"32"},"uris":["http://www.mendeley.com/documents/?uuid=04e8b346-feaf-4fc3-8334-624a7ca0d29c"]},{"id":"ITEM-2","itemData":{"ISBN":"9788490225370","abstract":"This study departs from the reality of gender relations within the family institution which has to be dikhotomis, causing the pole inequality relations between men and women. Therefore, in this study wanted to dismantle the detail view of some theories, both social and feminist about gender relations in the family. Each of these theories (structural functional, conflict and feminist) has their own viewpoint about the pattern of gender relations in the family. However, simultaneously acknowledging that the social construction of culture remained significant influence on the division of roles are played by men (husbands) and women (wife) in the family institution. This means that the social construction of culture was instrumental in the creation of relations contribute between men and women equally or otherwise occurred inequality.","author":[{"dropping-particle":"","family":"Muiruri","given":"Joseph Mbiro","non-dropping-particle":"","parse-names":false,"suffix":""}],"container-title":"Braz Dent J.","id":"ITEM-2","issue":"1","issued":{"date-parts":[["2022"]]},"number-of-pages":"1-12","publisher":"University of Nairobi","title":"ASSESSMENT OF RESIDENTS’ KNOWLEDGE, ATTITUDE AND PRACTICES ON SOLID WASTE MANAGEMENT IN EASTLEIGH SOUTH WARD, NAIROBI, KENYA","type":"thesis","volume":"33"},"uris":["http://www.mendeley.com/documents/?uuid=94c8539a-5423-4f60-844a-da9488199fac"]}],"mendeley":{"formattedCitation":"(Laor et al., 2018; Muiruri, 2022)","plainTextFormattedCitation":"(Laor et al., 2018; Muiruri, 2022)","previouslyFormattedCitation":"(Laor et al., 2018; Muiruri, 2022)"},"properties":{"noteIndex":0},"schema":"https://github.com/citation-style-language/schema/raw/master/csl-citation.json"}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(Laor et al., 2018; Muiruri, 2022)</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The negative attitude toward solid waste disposal can be more practical in Ghana and the study area, in particular, where solid waste disposal is not one’s business, and it is somebody’s work attitude among residents (if I do not litter, somebody will not get work to do) (Muiruri, 2022).</w:t>
      </w:r>
    </w:p>
    <w:p>
      <w:pPr>
        <w:pStyle w:val="Heading2"/>
        <w:spacing w:line="480" w:lineRule="auto"/>
        <w:ind w:left="720"/>
      </w:pPr>
      <w:bookmarkStart w:id="46" w:name="_Toc147923054"/>
      <w:r>
        <w:rPr>
          <w:rFonts w:ascii="Times New Roman"/>
          <w:b/>
          <w:i w:val="0"/>
          <w:strike w:val="0"/>
          <w:dstrike w:val="0"/>
          <w:emboss w:val="0"/>
          <w:imprint w:val="0"/>
          <w:outline w:val="0"/>
          <w:shadow w:val="0"/>
          <w:sz w:val="24"/>
          <w:szCs w:val="24"/>
          <w:u w:val="none"/>
        </w:rPr>
        <w:t xml:space="preserve">2.13 Practice toward Solid Waste Management</w:t>
      </w:r>
      <w:bookmarkEnd w:id="46"/>
    </w:p>
    <w:p>
      <w:pPr>
        <w:spacing w:line="480" w:lineRule="auto"/>
        <w:ind w:left="720"/>
        <w:contextualSpacing w:val="1"/>
        <w:jc w:val="both"/>
        <w:rPr>
          <w:color w:val="2E2E2E"/>
          <w:rFonts w:hAnsi="Georgia" w:ascii="Georgia"/>
        </w:rPr>
      </w:pPr>
      <w:r>
        <w:rPr>
          <w:color w:val="2E2E2E"/>
          <w:rFonts w:hAnsi="Times New Roman" w:ascii="Times New Roman" w:cs="Times New Roman"/>
          <w:b w:val="0"/>
          <w:i w:val="0"/>
          <w:strike w:val="0"/>
          <w:dstrike w:val="0"/>
          <w:emboss w:val="0"/>
          <w:imprint w:val="0"/>
          <w:outline w:val="0"/>
          <w:shadow w:val="0"/>
          <w:sz w:val="24"/>
          <w:szCs w:val="24"/>
          <w:u w:val="none"/>
        </w:rPr>
        <w:t xml:space="preserve">The practice of dealing with solid waste is diverse and harmful to both humans and the environment. Worldwide, indiscriminate dumping of waste and irregular collection of waste often result in incidences of illnesses such as diarrhoea and respiratory infections </w:t>
      </w:r>
      <w:r>
        <w:rPr>
          <w:color w:val="2E2E2E"/>
          <w:rFonts w:hAnsi="Times New Roman" w:ascii="Times New Roman" w:cs="Times New Roman"/>
          <w:sz w:val="24"/>
        </w:rPr>
        <w:fldChar w:fldCharType="begin"/>
      </w:r>
      <w:r>
        <w:rPr>
          <w:color w:val="2E2E2E"/>
          <w:rFonts w:hAnsi="Times New Roman" w:ascii="Times New Roman" w:cs="Times New Roman"/>
          <w:sz w:val="24"/>
        </w:rPr>
        <w:instrText xml:space="preserve">ADDIN CSL_CITATION {"citationItems":[{"id":"ITEM-1","itemData":{"ISBN":"9781849711692","author":[{"dropping-particle":"","family":"UN-Habitat","given":"","non-dropping-particle":"","parse-names":false,"suffix":""}],"id":"ITEM-1","issued":{"date-parts":[["2010"]]},"title":"SOLID WASTE MANAGEMENT IN THE WORLD’S CITIES","type":"book"},"uris":["http://www.mendeley.com/documents/?uuid=0841442d-2021-4c00-b435-2c0cca20fb71"]}],"mendeley":{"formattedCitation":"(UN-Habitat, 2010)","plainTextFormattedCitation":"(UN-Habitat, 2010)","previouslyFormattedCitation":"(UN-Habitat, 2010)"},"properties":{"noteIndex":0},"schema":"https://github.com/citation-style-language/schema/raw/master/csl-citation.json"}</w:instrText>
      </w:r>
      <w:r>
        <w:rPr>
          <w:color w:val="2E2E2E"/>
          <w:rFonts w:hAnsi="Times New Roman" w:ascii="Times New Roman" w:cs="Times New Roman"/>
          <w:sz w:val="24"/>
        </w:rPr>
        <w:fldChar w:fldCharType="separate"/>
      </w:r>
      <w:r>
        <w:rPr>
          <w:color w:val="2E2E2E"/>
          <w:rFonts w:hAnsi="Times New Roman" w:ascii="Times New Roman" w:cs="Times New Roman"/>
          <w:b w:val="0"/>
          <w:i w:val="0"/>
          <w:strike w:val="0"/>
          <w:dstrike w:val="0"/>
          <w:emboss w:val="0"/>
          <w:imprint w:val="0"/>
          <w:outline w:val="0"/>
          <w:shadow w:val="0"/>
          <w:sz w:val="24"/>
          <w:szCs w:val="24"/>
          <w:u w:val="none"/>
        </w:rPr>
        <w:t xml:space="preserve">(UN-Habitat, 2010)</w:t>
      </w:r>
      <w:r>
        <w:rPr>
          <w:color w:val="2E2E2E"/>
          <w:rFonts w:hAnsi="Times New Roman" w:ascii="Times New Roman" w:cs="Times New Roman"/>
          <w:sz w:val="24"/>
        </w:rPr>
        <w:fldChar w:fldCharType="end"/>
      </w:r>
      <w:r>
        <w:rPr>
          <w:color w:val="2E2E2E"/>
          <w:rFonts w:hAnsi="Times New Roman" w:ascii="Times New Roman" w:cs="Times New Roman"/>
          <w:b w:val="0"/>
          <w:i w:val="0"/>
          <w:strike w:val="0"/>
          <w:dstrike w:val="0"/>
          <w:emboss w:val="0"/>
          <w:imprint w:val="0"/>
          <w:outline w:val="0"/>
          <w:shadow w:val="0"/>
          <w:sz w:val="24"/>
          <w:szCs w:val="24"/>
          <w:u w:val="none"/>
        </w:rPr>
        <w:t xml:space="preserve">. In most cities, garbage is often dumped in low-lying and adjacent areas, such as slums. This threatens </w:t>
      </w:r>
      <w:r>
        <w:rPr>
          <w:rFonts w:hAnsi="Times New Roman" w:ascii="Times New Roman" w:cs="Times New Roman"/>
          <w:b w:val="0"/>
          <w:i w:val="0"/>
          <w:strike w:val="0"/>
          <w:dstrike w:val="0"/>
          <w:emboss w:val="0"/>
          <w:imprint w:val="0"/>
          <w:outline w:val="0"/>
          <w:shadow w:val="0"/>
          <w:sz w:val="24"/>
          <w:szCs w:val="24"/>
          <w:u w:val="none"/>
        </w:rPr>
        <w:t xml:space="preserve">the environment and is hazardous to the inhabitants.</w:t>
      </w:r>
      <w:r>
        <w:rPr>
          <w:rFonts w:hAnsi="Georgia" w:ascii="Georgia"/>
          <w:b w:val="0"/>
          <w:i w:val="0"/>
          <w:strike w:val="0"/>
          <w:dstrike w:val="0"/>
          <w:emboss w:val="0"/>
          <w:imprint w:val="0"/>
          <w:outline w:val="0"/>
          <w:shadow w:val="0"/>
          <w:sz w:val="22"/>
          <w:szCs w:val="22"/>
          <w:u w:val="none"/>
        </w:rPr>
        <w:t xml:space="preserve"> Solid waste management practices, especially in developing countries, emphasise old hierarchy systems that rely on dumpsites which pose harm to public health and the environment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2019)","plainTextFormattedCitation":"(Nyaguthii, 2019)","previouslyFormattedCitation":"(Nyaguthii, 2019)"},"properties":{"noteIndex":0},"schema":"https://github.com/citation-style-language/schema/raw/master/csl-citation.json"}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(Nyaguthii, 2019)</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The practice of waste management is greatly influenced by the knowledge and attitude of citizens, coupled with inadequate space within households</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{"citationItems":[{"id":"ITEM-1","itemData":{"author":[{"dropping-particle":"","family":"Gopi","given":"M","non-dropping-particle":"","parse-names":false,"suffix":""}],"container-title":"Asian Journal of Multidisciplinary Research &amp; Review (AJMRR)","id":"ITEM-1","issue":"3","issued":{"date-parts":[["2022"]]},"page":"64-86","title":"KNOWLEDGE , ATTITUDE AND PRACTICE IN SOLID WASTE MANAGEMENT AMONG URBAN HOUSEHOLDS IN KUTHUPARAMBA – KANNUR DISTRICT KERALA","type":"article-journal","volume":"Volume 3 I"},"uris":["http://www.mendeley.com/documents/?uuid=99486b21-5bff-4bdb-8c5d-4d4db40e3ffc"]}],"mendeley":{"formattedCitation":"(Gopi, 2022)","plainTextFormattedCitation":"(Gopi, 2022)","previouslyFormattedCitation":"(Gopi, 2022)"},"properties":{"noteIndex":0},"schema":"https://github.com/citation-style-language/schema/raw/master/csl-citation.json"}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(Gopi, 2022)</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Consequently, some studies have established a positive attitude toward solid waste management practices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{"citationItems":[{"id":"ITEM-1","itemData":{"DOI":"10.1016/j.resconrec.2015.06.014","ISSN":"18790658","abstract":"Abstract A questionnaire survey consisting of 2400 householders was performed on Abadan residents to evaluate their knowledge, attitudes, and practices (KAP) towards solid waste (SW) reduction, source separation and recycling, collection and willingness to pay (WTP) for SW services. The study has also covered the relationship between demographic variables and KAP towards SW management. The data analyzed suggests that the studied community had a very positive attitude to take part in SW source separation and recycling plans. However, the respondents not only showed low intimate knowledge of different steps of SW management, but were also weak to take practices about these steps. The KAP of SW source separation and recycling was influenced by demographic factors of age, education level, gender and occupation. It was further found that education level and occupation were two significant factors affecting residents' WTP (χ&lt;sup&gt;2&lt;/sup&gt; = 24.083, p-value &lt;0.0001). In conclusion our study found that providing public with MSW infrastructures and improving citizens' awareness about SW source separation and recycling to promote SW recycling programs hold great promise for developing effective public campaigns and behavior-changing interventions. This has important implications in that the usual KAP of public proved inadequate in the case of SW source separation and recycling. The implementation of needs-based training programmes considering females as one of the main audience groups and determination of municipality needs are thereby highly advocated.","author":[{"dropping-particle":"","family":"Babaei","given":"Ali Akbar","non-dropping-particle":"","parse-names":false,"suffix":""},{"dropping-particle":"","family":"Alavi","given":"Nadali","non-dropping-particle":"","parse-names":false,"suffix":""},{"dropping-particle":"","family":"Goudarzi","given":"Gholamreza","non-dropping-particle":"","parse-names":false,"suffix":""},{"dropping-particle":"","family":"Teymouri","given":"Pari","non-dropping-particle":"","parse-names":false,"suffix":""},{"dropping-particle":"","family":"Ahmadi","given":"Kambiz","non-dropping-particle":"","parse-names":false,"suffix":""},{"dropping-particle":"","family":"Rafiee","given":"Mohammad","non-dropping-particle":"","parse-names":false,"suffix":""}],"container-title":"Resources, Conservation and Recycling","id":"ITEM-1","issued":{"date-parts":[["2015"]]},"page":"94-100","publisher":"Elsevier B.V.","title":"Household recycling knowledge, attitudes and practices towards solid waste management","type":"article-journal","volume":"102"},"uris":["http://www.mendeley.com/documents/?uuid=05af0dba-90f4-40a4-a80c-82233fcc220d"]},{"id":"ITEM-2","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-2","issue":"2","issued":{"date-parts":[["2018"]]},"page":"123-131","title":"Knowledge , attitude and practice of municipal solid waste management among highland residents in","type":"article-journal","volume":"32"},"uris":["http://www.mendeley.com/documents/?uuid=04e8b346-feaf-4fc3-8334-624a7ca0d29c"]},{"id":"ITEM-3","itemData":{"DOI":"10.1177/11786302221117007","author":[{"dropping-particle":"","family":"Teferi","given":"Samuel Chane","non-dropping-particle":"","parse-names":false,"suffix":""}],"id":"ITEM-3","issued":{"date-parts":[["2022"]]},"title":"The Status of Household Solid Waste Management and its Associated Factors in Fiche Town , North Shewa","type":"article-journal"},"uris":["http://www.mendeley.com/documents/?uuid=91dbeae5-cd6c-4c51-b9f1-bc9c64ce8e02"]}],"mendeley":{"formattedCitation":"(Babaei et al., 2015; Laor et al., 2018; Teferi, 2022)","plainTextFormattedCitation":"(Babaei et al., 2015; Laor et al., 2018; Teferi, 2022)","previouslyFormattedCitation":"(Babaei et al., 2015; Laor et al., 2018; Teferi, 2022)"},"properties":{"noteIndex":0},"schema":"https://github.com/citation-style-language/schema/raw/master/csl-citation.json"}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(Babaei et al., 2015; Laor et al., 2018; Teferi, 2022)</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In contrast, other scholars have discovered poor solid-waste management practices among residents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{"citationItems":[{"id":"ITEM-1","itemData":{"DOI":"10.1186/s12889-019-7551-1","ISSN":"14712458","PMID":"31510950","abstract":"Background: Improper solid waste management (SWM) is a major public health and environmental concern in the urban areas of many developing countries such as Asella Town. The aim of this study was to assess the status of SWM in Asella town. Methods: A community-based cross-sectional study design was used to assess the status of improper SWM and associated factors in Asella town. From the total of eight kebeles (smallest administrative unit in Ethiopia) four kebeles were randomly selected using lottery method. The sample size was 413 households. The households were proportionally allocated to each randomly selected kebeles. The data was collected by pretested questionnaire in the local language. Data was entered using statistical software Epi Info version seven and transferred to SPSS version 21. Descriptive data analysis was done to summarize the socioeconomic status of the respondents. Chi-square was used to show the association between the status of solid waste management and different variables. Binary logistic regression was used to determine the potential factors for improper SWM. Result: 332 (82.8%), had improper solid waste management practice. Lack of adequate knowledge about solid waste management and not having access to door to door solid waste collection could have contributed to the reported improper solid waste practice. Participants who didn't have access to door to door solid waste collection service were about three times more likely to practice improper solid waste management when compared to those who had access (AOR = 2.873, 95 CI (1.565,5.273) P = 0.001). Conclusion: The study finding showed that, the majority of the residents practiced improper solid waste management. Lack of adequate knowledge about solid waste management and not having access to door to door solid waste collection could have contributed to the reported improper solid waste practice. Therefore, there is a need to enhance the awareness of the community about proper SWM and to improve the door to door solid waste collection service by the town municipality.","author":[{"dropping-particle":"","family":"Lema","given":"Gorfnesh","non-dropping-particle":"","parse-names":false,"suffix":""},{"dropping-particle":"","family":"Mesfun","given":"Million Getachew","non-dropping-particle":"","parse-names":false,"suffix":""},{"dropping-particle":"","family":"Eshete","given":"Amade","non-dropping-particle":"","parse-names":false,"suffix":""},{"dropping-particle":"","family":"Abdeta","given":"Gizachew","non-dropping-particle":"","parse-names":false,"suffix":""}],"container-title":"BMC Public Health","id":"ITEM-1","issue":"1","issued":{"date-parts":[["2019"]]},"page":"1-7","publisher":"BMC Public Health","title":"Assessment of status of solid waste management in Asella town, Ethiopia","type":"article-journal","volume":"19"},"uris":["http://www.mendeley.com/documents/?uuid=de0f4630-31a1-41e4-99b0-5b7b1e090ff3"]},{"id":"ITEM-2","itemData":{"DOI":"10.5251/ajsms.2012.3.2.83.92","ISSN":"21561540","abstract":"he paper examined the relationship between individual background (sex, age and social class) and the level of awareness, knowledge and practices of solid waste management in Port- Harcourt city residents. It defines solid waste management as the process of collecting, storing, treatment and disposal of solid wastes in such a way that they are harmless to humans, plants, animals, the ecology and the environment generally. The objective of this research is to ascertain the relationship between individual background (sex, age and social class) and the level of awareness, knowledge and practices of solid waste management in Port-Harcourt city residents. The research question addressed the extent of relationship between individual background (sex, age and social class) and the level of awareness, knowledge and practices of solid waste management in Port-Harcourt city residents. This research is based on Ajzen (1991) theory of planned behaviour which states that attitude towards behaviour, subjective norm, and perceived behavioural control, has influence in predicting the behavioural intention and actual behaviour of individuals when participatory decisions are voluntary and under an individual control. The research assumes that the background (sex, age and social class) of Port-Harcourt city residents influences their attitude, subjective norm and perceived behavioural control thus determining the behavioural intention/actual behaviour i.e. level of awareness, knowledge and practices of solid waste management. 800 Port-Harcourt city residents were randomly surveyed from the two local government areas of the city (Port-Harcourt city and Obio/Akpor LGAs) using structured questionnaire. Data collected were subjected to percentage, mean, standard deviation, t-test and chi-square statistical analyses. Findings revealed that Port-Harcourt city residents from the sampled zones are aware of solid waste management problems in their environment but possessed poor waste management practices. The study showed that the propensity for solid waste management practices differed by background (sex, social class and age) of residents. Significant relationships were observed between respondents’ sex, age and social class and their level of awareness, knowledge and practices of solid waste management. This research therefore recommends among others: sensitization of Port-Harcourt city residents on the dangers of poor solid waste management, provision of near-by solid waste coll…","author":[{"dropping-particle":"","family":"Agwu","given":"M.","non-dropping-particle":"","parse-names":false,"suffix":""}],"container-title":"American Journal of Social and Management Sciences","id":"ITEM-2","issue":"2","issued":{"date-parts":[["2012"]]},"page":"83-92","title":"Issues and Challenges of Solid Waste Management Practices in Port-Harcourt City, Nigeria- a behavioural perspective","type":"article-journal","volume":"3"},"uris":["http://www.mendeley.com/documents/?uuid=8cd86e03-a788-458a-ab36-ec7833265a7d"]},{"id":"ITEM-3","itemData":{"DOI":"10.1371/journal.pone.0278181","ISBN":"1111111111","ISSN":"19326203","PMID":"36763645","abstract":"Improper solid waste management in urban and semi-urban cities of developing countries is the source of environmental pollution and public health concern. This study aimed to assess the households’ knowledge, attitudes and practices of solid waste management and associated factors in Gelemso town. A community-based cross-sectional study design was used to assess the households’ KAP of SWM in Gelemso town. A systematic random sampling technique was used to recruit 390 households from Gelemso town and data was collected using a structured questionnaire. Data analysis was carried out using SPSS version 22.0 software. Bivariate and multivariate analyses were used to predict the improper SWM practices. From 390 households included in the study, 61.3% of them were females. Generally, most households had correct knowledge and positive attitudes towards SWM but poor practice was observed in the study area. About 96% of the households considered solid waste as a source of environmental pollution and close to 92% of them replied that solid waste can be used for compost preparation. Majority (87.4%) of the households “strongly agreed” about the potential risk associated with improper solid waste disposal and nearly 80% of them also “strongly agreed” that proper SWM is crucial to create a healthy environment in the community. Nearly 80% had practiced improper SWM. Logistic regression analyses indicated that lack of experience in sorting solid waste, ways of removal, knowledge about reduce, reuse and recycle, absence of adequate solid waste landfills, and lack of door-to-door waste collections services were identified as the major contributing factors for the improper SWM practice in Gelemso town. In conclusion, the majority of the households had practiced improper SWM, such as disposing of solid waste in the backyard, along the roadsides, in gully and burned. These malpractices can significantly affect the environment and public health of the residents.","author":[{"dropping-particle":"","family":"Eshete","given":"Hailu","non-dropping-particle":"","parse-names":false,"suffix":""},{"dropping-particle":"","family":"Desalegn","given":"Asnake","non-dropping-particle":"","parse-names":false,"suffix":""},{"dropping-particle":"","family":"Tigu","given":"Fitsum","non-dropping-particle":"","parse-names":false,"suffix":""}],"container-title":"PLoS ONE","id":"ITEM-3","issue":"2 February","issued":{"date-parts":[["2023"]]},"page":"1-13","title":"Knowledge, attitudes and practices on household solid waste management and associated factors in Gelemso town, Ethiopia","type":"article-journal","volume":"18"},"uris":["http://www.mendeley.com/documents/?uuid=e20f8a83-ea78-4c32-a3b3-913ba607efbc"]}],"mendeley":{"formattedCitation":"(Agwu, 2012; Eshete et al., 2023; Lema et al., 2019)","plainTextFormattedCitation":"(Agwu, 2012; Eshete et al., 2023; Lema et al., 2019)","previouslyFormattedCitation":"(Agwu, 2012; Eshete et al., 2023; Lema et al., 2019)"},"properties":{"noteIndex":0},"schema":"https://github.com/citation-style-language/schema/raw/master/csl-citation.json"}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(Agwu 2012; Eshete et al. 2023; Lema et al. 2019)</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In urban areas, the busy life and lack of space within the household lead to improper solid waste management. According to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{"citationItems":[{"id":"ITEM-1","itemData":{"author":[{"dropping-particle":"","family":"Gopi","given":"M","non-dropping-particle":"","parse-names":false,"suffix":""}],"container-title":"Asian Journal of Multidisciplinary Research &amp; Review (AJMRR)","id":"ITEM-1","issue":"3","issued":{"date-parts":[["2022"]]},"page":"64-86","title":"KNOWLEDGE , ATTITUDE AND PRACTICE IN SOLID WASTE MANAGEMENT AMONG URBAN HOUSEHOLDS IN KUTHUPARAMBA – KANNUR DISTRICT KERALA","type":"article-journal","volume":"Volume 3 I"},"uris":["http://www.mendeley.com/documents/?uuid=99486b21-5bff-4bdb-8c5d-4d4db40e3ffc"]}],"mendeley":{"formattedCitation":"(Gopi, 2022)","plainTextFormattedCitation":"(Gopi, 2022)","previouslyFormattedCitation":"(Gopi, 2022)"},"properties":{"noteIndex":0},"schema":"https://github.com/citation-style-language/schema/raw/master/csl-citation.json"}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Gopi (2022)</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burning waste and dumping it into public spaces are the major practices for handling waste in urban areas. In addition, </w:t>
      </w:r>
      <w:r>
        <w:rPr>
          <w:rFonts w:hAnsi="Times New Roman" w:ascii="Times New Roman" w:cs="Times New Roman"/>
          <w:sz w:val="24"/>
        </w:rPr>
        <w:fldChar w:fldCharType="begin"/>
      </w:r>
      <w:r>
        <w:rPr>
          <w:rFonts w:hAnsi="Times New Roman" w:ascii="Times New Roman" w:cs="Times New Roman"/>
          <w:sz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2019)","manualFormatting":"Nyaguthii (2019)","plainTextFormattedCitation":"(Nyaguthii, 2019)","previouslyFormattedCitation":"(Nyaguthii, 2019)"},"properties":{"noteIndex":0},"schema":"https://github.com/citation-style-language/schema/raw/master/csl-citation.json"}</w:instrText>
      </w:r>
      <w:r>
        <w:rPr>
          <w:rFonts w:hAnsi="Times New Roman" w:ascii="Times New Roman" w:cs="Times New Roman"/>
          <w:sz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Nyaguthii (2019)</w:t>
      </w:r>
      <w:r>
        <w:rPr>
          <w:rFonts w:hAnsi="Times New Roman" w:ascii="Times New Roman" w:cs="Times New Roman"/>
          <w:sz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discovered p</w:t>
      </w:r>
      <w:r>
        <w:rPr>
          <w:rFonts w:hAnsi="Georgia" w:ascii="Georgia"/>
          <w:b w:val="0"/>
          <w:i w:val="0"/>
          <w:strike w:val="0"/>
          <w:dstrike w:val="0"/>
          <w:emboss w:val="0"/>
          <w:imprint w:val="0"/>
          <w:outline w:val="0"/>
          <w:shadow w:val="0"/>
          <w:sz w:val="22"/>
          <w:szCs w:val="22"/>
          <w:u w:val="none"/>
        </w:rPr>
        <w:t xml:space="preserve">oor solid waste disposal practices, such as indiscriminate dumping, burying, and open burning of solid waste, and good knowledge of solid waste management may lead to a good attitude and result in good practices to ensure good health and environmental sustainability. However, a deficiency in knowledge and attitude results in poor solid waste management practices that threaten human health and the environment. This study explores the knowledge, attitudes, and practices of residents in the Mangu community of Wa Municipality on solid waste management.</w:t>
      </w:r>
    </w:p>
    <w:p>
      <w:pPr>
        <w:pStyle w:val="Heading2"/>
        <w:spacing w:line="480" w:lineRule="auto"/>
        <w:ind w:left="720"/>
      </w:pPr>
      <w:bookmarkStart w:id="47" w:name="_Toc147923055"/>
      <w:r>
        <w:rPr>
          <w:rFonts w:ascii="Times New Roman"/>
          <w:b/>
          <w:i w:val="0"/>
          <w:strike w:val="0"/>
          <w:dstrike w:val="0"/>
          <w:emboss w:val="0"/>
          <w:imprint w:val="0"/>
          <w:outline w:val="0"/>
          <w:shadow w:val="0"/>
          <w:sz w:val="24"/>
          <w:szCs w:val="24"/>
          <w:u w:val="none"/>
        </w:rPr>
        <w:t xml:space="preserve">2.14 Theoretical Perspectives</w:t>
      </w:r>
      <w:bookmarkEnd w:id="47"/>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There are broad base theories in the literature that provide opportunities for conceptualising solid waste management worldwide. However, for the purpose of this study, the Theory of Planned Behaviour (TPB) and the Knowledge, Attitude and Practice (KAP) model were used to underpin solid waste management in the study context. The Theory of Planned Behaviour (TPB), developed by Ajzen in 1991, has become a key outline for understanding and predicting human behaviour. This theory provides a reliable framework for researchers to investigate the factors that influence human behaviour and has been successfully applied in many studies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{"citationItems":[{"id":"ITEM-1","itemData":{"author":[{"dropping-particle":"","family":"Masoumidezfouli","given":"Zahrasadaat","non-dropping-particle":"","parse-names":false,"suffix":""}],"id":"ITEM-1","issued":{"date-parts":[["2019"]]},"publisher":"UNIVERSITY OF MALAYA","title":"AN INVESTIGATION ON KNOWLEDGE, ATTITUDE AND PRACTICE AMONG STUDENTS OF UNIVERSITY MALAYA TOWARDS SOLID WASTE MANAGEMENT","type":"thesis"},"uris":["http://www.mendeley.com/documents/?uuid=50c37498-b8c7-4682-9101-9c0af4391ab2"]},{"id":"ITEM-2","itemData":{"DOI":"https://doi.org/10.5964/ejop.v16i3.3107","author":[{"dropping-particle":"","family":"Bosnjak","given":"Michael","non-dropping-particle":"","parse-names":false,"suffix":""},{"dropping-particle":"","family":"Ajzen","given":"Icek","non-dropping-particle":"","parse-names":false,"suffix":""},{"dropping-particle":"","family":"Schmidt","given":"Peter","non-dropping-particle":"","parse-names":false,"suffix":""}],"container-title":"Europe's Journal of Psychology ejop.psychopen.eu | 1841-0413","id":"ITEM-2","issue":"April 2020","issued":{"date-parts":[["2020"]]},"title":"Editorial The Theory of Planned Behavior : Selected Recent Advances and Applications","type":"article-journal","volume":"Vol. 16(3)"},"uris":["http://www.mendeley.com/documents/?uuid=09a8d74e-4847-42d5-bd1d-eb7c99708574"]}],"mendeley":{"formattedCitation":"(Bosnjak et al., 2020; Masoumidezfouli, 2019)","plainTextFormattedCitation":"(Bosnjak et al., 2020; Masoumidezfouli, 2019)","previouslyFormattedCitation":"(Bosnjak et al., 2020; Masoumidezfouli,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(Bosnjak et al., 2020; Masoumidezfouli,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 theory assumes that human behaviour is a direct result of intention, and it is guided by three types of beliefs: behavioural beliefs, normative beliefs, and control beliefs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{"citationItems":[{"id":"ITEM-1","itemData":{"author":[{"dropping-particle":"","family":"Ajzen","given":"Icek","non-dropping-particle":"","parse-names":false,"suffix":""}],"id":"ITEM-1","issued":{"date-parts":[["1991"]]},"title":"The Theory of Planned Behavior","type":"article-journal"},"uris":["http://www.mendeley.com/documents/?uuid=87a37c51-7238-45ad-bd93-09423104c484"]}],"mendeley":{"formattedCitation":"(Ajzen, 1991)","plainTextFormattedCitation":"(Ajzen, 1991)","previouslyFormattedCitation":"(Ajzen, 1991)"},"properties":{"noteIndex":0},"schema":"https://github.com/citation-style-language/schema/raw/master/csl-citation.json"}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(Ajzen, 1991)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Situating the Theory of Planned Behaviour (TPB) within the context of this study, it is believed that behavioural beliefs produce either a favourable or unfavourable attitude toward the behaviour. Normative beliefs also result in perceived social pressure, subjective norms, and control beliefs which give rise to perceived behavioural control or self-efficacy. The effects of attitude toward behaviour and subjective norms on intention are moderated by the perception of behavioural control. As a general rule, the more favourable the attitude and subjective norm and the greater the perceived control, the stronger the individual’s intention to perform the behaviour in question</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{"citationItems":[{"id":"ITEM-1","itemData":{"author":[{"dropping-particle":"","family":"Ajzen","given":"Icek","non-dropping-particle":"","parse-names":false,"suffix":""}],"id":"ITEM-1","issued":{"date-parts":[["1991"]]},"title":"The Theory of Planned Behavior","type":"article-journal"},"uris":["http://www.mendeley.com/documents/?uuid=87a37c51-7238-45ad-bd93-09423104c484"]},{"id":"ITEM-2","itemData":{"DOI":"10.1002/hbe2.195","author":[{"dropping-particle":"","family":"Ajzen","given":"Icek","non-dropping-particle":"","parse-names":false,"suffix":""}],"id":"ITEM-2","issue":"April","issued":{"date-parts":[["2020"]]},"page":"1-11","title":"The theory of planned behavior : Frequently asked questions","type":"article-journal"},"uris":["http://www.mendeley.com/documents/?uuid=31594f3a-a8ec-4b7c-ac0c-555920500366"]}],"mendeley":{"formattedCitation":"(Ajzen, 1991, 2020)","plainTextFormattedCitation":"(Ajzen, 1991, 2020)","previouslyFormattedCitation":"(Ajzen, 1991, 2020)"},"properties":{"noteIndex":0},"schema":"https://github.com/citation-style-language/schema/raw/master/csl-citation.json"}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(Ajzen, 1991, 2020)</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KAP Model on the other hand was introduced by Schwartz in 1976 which is a mixed method that provides access to solicit for both quantitative and qualitative information. The basic principle of the KAP Model is that knowledge forms an attitude, and both knowledge and attitude are building blocks for practice. KAP Model surveys are used for three main purposes: as a diagnostic tool for describing  the current population’s knowledge, attitude, and practice, to provide insights on the current situation for designing specific interventions, and as a tool to evaluate the effectiveness of certain interventions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{"citationItems":[{"id":"ITEM-1","itemData":{"author":[{"dropping-particle":"","family":"Tukiman","given":"Noor F I","non-dropping-particle":"","parse-names":false,"suffix":""},{"dropping-particle":"","family":"Seman","given":"Noor A A","non-dropping-particle":"","parse-names":false,"suffix":""},{"dropping-particle":"","family":"Mustaffa","given":"Siti A","non-dropping-particle":"","parse-names":false,"suffix":""}],"id":"ITEM-1","issue":"2","issued":{"date-parts":[["2021"]]},"page":"881-892","title":"A Study of E-Waste Disposal Management Awareness among Local Community based on KAP Model","type":"article-journal","volume":"2"},"uris":["http://www.mendeley.com/documents/?uuid=52106b7c-51c4-4ba5-9744-cf5240d58b17"]}],"mendeley":{"formattedCitation":"(Tukiman et al., 2021)","plainTextFormattedCitation":"(Tukiman et al., 2021)","previouslyFormattedCitation":"(Tukiman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(Tukiman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This study is aligned with the views of these theories because solid waste management involves investigating the knowledge levels of the people regarding the likelihood consequences of improper waste management, their attitude towards solid waste management, and their practices of solid waste management. This aim was to implement targeted interventions to reduce solid waste generation, reduce diseases and costs of solid waste management, ensure environmental hygiene, and promote sustainable cities.</w:t>
      </w:r>
    </w:p>
    <w:p>
      <w:pPr>
        <w:pStyle w:val="Heading2"/>
        <w:spacing w:line="480" w:lineRule="auto"/>
        <w:ind w:left="720"/>
      </w:pPr>
      <w:bookmarkStart w:id="48" w:name="_Toc147923056"/>
      <w:r>
        <w:rPr>
          <w:rFonts w:ascii="Times New Roman"/>
          <w:b/>
          <w:i w:val="0"/>
          <w:strike w:val="0"/>
          <w:dstrike w:val="0"/>
          <w:emboss w:val="0"/>
          <w:imprint w:val="0"/>
          <w:outline w:val="0"/>
          <w:shadow w:val="0"/>
          <w:sz w:val="24"/>
          <w:szCs w:val="24"/>
          <w:u w:val="none"/>
        </w:rPr>
        <w:lastRenderedPageBreak/>
        <w:t xml:space="preserve">2.14.1 Theory of Planned Behaviour</w:t>
      </w:r>
      <w:bookmarkEnd w:id="48"/>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theory of planned behaviour (TPB) underpins this study. This theory formulates a framework for understanding human actions (Ajzen, 2002). </w:t>
      </w:r>
      <w:r>
        <w:rPr>
          <w:rFonts w:hAnsi="Times New Roman" w:ascii="Times New Roman" w:cs="Times New Roman"/>
          <w:b w:val="0"/>
          <w:i w:val="0"/>
          <w:strike w:val="0"/>
          <w:dstrike w:val="0"/>
          <w:emboss w:val="0"/>
          <w:imprint w:val="0"/>
          <w:outline w:val="0"/>
          <w:shadow w:val="0"/>
          <w:sz w:val="24"/>
          <w:szCs w:val="24"/>
          <w:u w:val="none"/>
        </w:rPr>
        <w:t xml:space="preserve">TPB has been successfully used to explain and predict behaviour in a multitude of behavioural domains </w:t>
      </w:r>
      <w:r>
        <w:rPr>
          <w:rFonts w:hAnsi="Times New Roman" w:ascii="Times New Roman" w:cs="Times New Roman"/>
          <w:sz w:val="24"/>
          <w:szCs w:val="16"/>
        </w:rPr>
        <w:fldChar w:fldCharType="begin"/>
      </w:r>
      <w:r>
        <w:rPr>
          <w:rFonts w:hAnsi="Times New Roman" w:ascii="Times New Roman" w:cs="Times New Roman"/>
          <w:sz w:val="24"/>
          <w:szCs w:val="16"/>
        </w:rPr>
        <w:instrText xml:space="preserve">ADDIN CSL_CITATION {"citationItems":[{"id":"ITEM-1","itemData":{"DOI":"10.1002/hbe2.195","author":[{"dropping-particle":"","family":"Ajzen","given":"Icek","non-dropping-particle":"","parse-names":false,"suffix":""}],"id":"ITEM-1","issue":"April","issued":{"date-parts":[["2020"]]},"page":"1-11","title":"The theory of planned behavior : Frequently asked questions","type":"article-journal"},"uris":["http://www.mendeley.com/documents/?uuid=31594f3a-a8ec-4b7c-ac0c-555920500366"]}],"mendeley":{"formattedCitation":"(Ajzen, 2020)","plainTextFormattedCitation":"(Ajzen, 2020)","previouslyFormattedCitation":"(Ajzen, 2020)"},"properties":{"noteIndex":0},"schema":"https://github.com/citation-style-language/schema/raw/master/csl-citation.json"}</w:instrText>
      </w:r>
      <w:r>
        <w:rPr>
          <w:rFonts w:hAnsi="Times New Roman" w:ascii="Times New Roman" w:cs="Times New Roman"/>
          <w:sz w:val="24"/>
          <w:szCs w:val="16"/>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(Ajzen, 2020)</w:t>
      </w:r>
      <w:r>
        <w:rPr>
          <w:rFonts w:hAnsi="Times New Roman" w:ascii="Times New Roman" w:cs="Times New Roman"/>
          <w:sz w:val="24"/>
          <w:szCs w:val="16"/>
        </w:rPr>
        <w:fldChar w:fldCharType="end"/>
      </w:r>
      <w:r>
        <w:rPr>
          <w:rFonts w:hAnsi="Times New Roman" w:ascii="Times New Roman" w:cs="Times New Roman"/>
          <w:b w:val="0"/>
          <w:i w:val="0"/>
          <w:strike w:val="0"/>
          <w:dstrike w:val="0"/>
          <w:emboss w:val="0"/>
          <w:imprint w:val="0"/>
          <w:outline w:val="0"/>
          <w:shadow w:val="0"/>
          <w:sz w:val="24"/>
          <w:szCs w:val="24"/>
          <w:u w:val="none"/>
        </w:rPr>
        <w:t xml:space="preserve">.</w:t>
      </w:r>
      <w:r>
        <w:rPr>
          <w:rFonts w:hAnsi="Times New Roman" w:ascii="Times New Roman" w:eastAsia="Times New Roman" w:cs="Times New Roman"/>
          <w:b w:val="0"/>
          <w:i w:val="0"/>
          <w:strike w:val="0"/>
          <w:dstrike w:val="0"/>
          <w:emboss w:val="0"/>
          <w:imprint w:val="0"/>
          <w:outline w:val="0"/>
          <w:shadow w:val="0"/>
          <w:sz w:val="24"/>
          <w:szCs w:val="24"/>
          <w:u w:val="none"/>
        </w:rPr>
        <w:t xml:space="preserve">There are three conceptually independent predictors of human behaviour: behavioural, normative, and control beliefs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https://doi.org/10.5964/ejop.v16i3.3107","author":[{"dropping-particle":"","family":"Bosnjak","given":"Michael","non-dropping-particle":"","parse-names":false,"suffix":""},{"dropping-particle":"","family":"Ajzen","given":"Icek","non-dropping-particle":"","parse-names":false,"suffix":""},{"dropping-particle":"","family":"Schmidt","given":"Peter","non-dropping-particle":"","parse-names":false,"suffix":""}],"container-title":"Europe's Journal of Psychology ejop.psychopen.eu | 1841-0413","id":"ITEM-1","issue":"April 2020","issued":{"date-parts":[["2020"]]},"title":"Editorial The Theory of Planned Behavior : Selected Recent Advances and Applications","type":"article-journal","volume":"Vol. 16(3)"},"uris":["http://www.mendeley.com/documents/?uuid=09a8d74e-4847-42d5-bd1d-eb7c99708574"]},{"id":"ITEM-2","itemData":{"author":[{"dropping-particle":"","family":"Nyaguthii","given":"Kamweru Grace","non-dropping-particle":"","parse-names":false,"suffix":""}],"id":"ITEM-2","issued":{"date-parts":[["2019"]]},"publisher":"University of Nairobi","title":"ASSESSMENT OF HOUSEHOLDS ’ KNOWLEDGE , ATTITUDES AND PRACTICES ON SOLID WASTE MANAGEMENT IN NAKURU TOWN","type":"thesis"},"uris":["http://www.mendeley.com/documents/?uuid=3cf2a0dc-0599-4713-9c4f-826b51e6122c"]}],"mendeley":{"formattedCitation":"(Bosnjak et al., 2020; Nyaguthii, 2019)","plainTextFormattedCitation":"(Bosnjak et al., 2020; Nyaguthii, 2019)","previouslyFormattedCitation":"(Bosnjak et al., 2020; 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(Bosnjak et al., 2020; Nyaguthii,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r>
        <w:rPr>
          <w:rFonts w:hAnsi="Times New Roman" w:ascii="Times New Roman" w:cs="Times New Roman"/>
          <w:b w:val="0"/>
          <w:i w:val="0"/>
          <w:strike w:val="0"/>
          <w:dstrike w:val="0"/>
          <w:emboss w:val="0"/>
          <w:imprint w:val="0"/>
          <w:outline w:val="0"/>
          <w:shadow w:val="0"/>
          <w:sz w:val="24"/>
          <w:szCs w:val="24"/>
          <w:u w:val="none"/>
        </w:rPr>
        <w:t xml:space="preserve">The intention to perform behaviours of different kinds can be predicted with high accuracy from attitudes toward the behaviour, subjective norms, and perceived behavioural control, together with perceptions of behavioural control, accounting for considerable variance in actual behaviour. Attitudes, subjective norms, and perceived behavioural control are shown to be related to appropriate sets of salient behavioural, normative, and control beliefs about behaviour, but the exact nature of these relations is still uncertain </w:t>
      </w:r>
      <w:r>
        <w:rPr>
          <w:rFonts w:hAnsi="Times New Roman" w:ascii="Times New Roman" w:cs="Times New Roman"/>
          <w:sz w:val="24"/>
          <w:szCs w:val="16"/>
        </w:rPr>
        <w:fldChar w:fldCharType="begin"/>
      </w:r>
      <w:r>
        <w:rPr>
          <w:rFonts w:hAnsi="Times New Roman" w:ascii="Times New Roman" w:cs="Times New Roman"/>
          <w:sz w:val="24"/>
          <w:szCs w:val="16"/>
        </w:rPr>
        <w:instrText xml:space="preserve">ADDIN CSL_CITATION {"citationItems":[{"id":"ITEM-1","itemData":{"author":[{"dropping-particle":"","family":"Ajzen","given":"Icek","non-dropping-particle":"","parse-names":false,"suffix":""}],"id":"ITEM-1","issued":{"date-parts":[["1991"]]},"title":"The Theory of Planned Behavior","type":"article-journal"},"uris":["http://www.mendeley.com/documents/?uuid=87a37c51-7238-45ad-bd93-09423104c484"]}],"mendeley":{"formattedCitation":"(Ajzen, 1991)","plainTextFormattedCitation":"(Ajzen, 1991)","previouslyFormattedCitation":"(Ajzen, 1991)"},"properties":{"noteIndex":0},"schema":"https://github.com/citation-style-language/schema/raw/master/csl-citation.json"}</w:instrText>
      </w:r>
      <w:r>
        <w:rPr>
          <w:rFonts w:hAnsi="Times New Roman" w:ascii="Times New Roman" w:cs="Times New Roman"/>
          <w:sz w:val="24"/>
          <w:szCs w:val="16"/>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(Ajzen, 1991)</w:t>
      </w:r>
      <w:r>
        <w:rPr>
          <w:rFonts w:hAnsi="Times New Roman" w:ascii="Times New Roman" w:cs="Times New Roman"/>
          <w:sz w:val="24"/>
          <w:szCs w:val="16"/>
        </w:rPr>
        <w:fldChar w:fldCharType="end"/>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b w:val="0"/>
          <w:i w:val="0"/>
          <w:strike w:val="0"/>
          <w:dstrike w:val="0"/>
          <w:emboss w:val="0"/>
          <w:imprint w:val="0"/>
          <w:outline w:val="0"/>
          <w:shadow w:val="0"/>
          <w:sz w:val="24"/>
          <w:szCs w:val="24"/>
          <w:u w:val="none"/>
        </w:rPr>
        <w:t xml:space="preserve">Behavioural beliefs are beliefs about the likely outcomes of the behaviour and the evaluations of these outcomes. Normative beliefs are beliefs about the normative expectations of others and the motivation to comply with these expectations. Beliefs about the presence of factors that may facilitate or impede performance of the behaviour, subjective norms, and perception of behaviour make up control beliefs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id":"ITEM-2","itemData":{"DOI":"https://doi.org/10.5964/ejop.v16i3.3107","author":[{"dropping-particle":"","family":"Bosnjak","given":"Michael","non-dropping-particle":"","parse-names":false,"suffix":""},{"dropping-particle":"","family":"Ajzen","given":"Icek","non-dropping-particle":"","parse-names":false,"suffix":""},{"dropping-particle":"","family":"Schmidt","given":"Peter","non-dropping-particle":"","parse-names":false,"suffix":""}],"container-title":"Europe's Journal of Psychology ejop.psychopen.eu | 1841-0413","id":"ITEM-2","issue":"April 2020","issued":{"date-parts":[["2020"]]},"title":"Editorial The Theory of Planned Behavior : Selected Recent Advances and Applications","type":"article-journal","volume":"Vol. 16(3)"},"uris":["http://www.mendeley.com/documents/?uuid=09a8d74e-4847-42d5-bd1d-eb7c99708574"]}],"mendeley":{"formattedCitation":"(Bosnjak et al., 2020; Nyaguthii, 2019)","plainTextFormattedCitation":"(Bosnjak et al., 2020; Nyaguthii, 2019)","previouslyFormattedCitation":"(Bosnjak et al., 2020; 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(Bosnjak et al., 2020; Nyaguthii,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This theory relies on expectancy-value formulation to describe the formation of attitudes toward a behaviour. </w:t>
      </w:r>
      <w:r>
        <w:rPr>
          <w:rFonts w:hAnsi="Times New Roman" w:ascii="Times New Roman" w:cs="Times New Roman"/>
          <w:b w:val="0"/>
          <w:i w:val="0"/>
          <w:strike w:val="0"/>
          <w:dstrike w:val="0"/>
          <w:emboss w:val="0"/>
          <w:imprint w:val="0"/>
          <w:outline w:val="0"/>
          <w:shadow w:val="0"/>
          <w:sz w:val="24"/>
          <w:szCs w:val="24"/>
          <w:u w:val="none"/>
        </w:rPr>
        <w:t xml:space="preserve">Specifically, attitude toward behaviour is assumed to be a function of readily accessible beliefs regarding the behaviour's likely consequences, termed behavioural beliefs. A behavioural belief is a person's subjective probability that performing a behaviour of interest will lead to a certain outcome or provide a certain experience. Behavioural beliefs are hypothesised to produce positive or negative attitudes toward behaviour. The positive or negative valence of each anticipated outcome or experience contributes to the overall attitude in direct proportion to the subjective probability that the behaviour will produce the outcome or experience in question </w:t>
      </w:r>
      <w:r>
        <w:rPr>
          <w:rFonts w:hAnsi="Times New Roman" w:ascii="Times New Roman" w:cs="Times New Roman"/>
          <w:sz w:val="24"/>
          <w:szCs w:val="16"/>
        </w:rPr>
        <w:fldChar w:fldCharType="begin"/>
      </w:r>
      <w:r>
        <w:rPr>
          <w:rFonts w:hAnsi="Times New Roman" w:ascii="Times New Roman" w:cs="Times New Roman"/>
          <w:sz w:val="24"/>
          <w:szCs w:val="16"/>
        </w:rPr>
        <w:instrText xml:space="preserve">ADDIN CSL_CITATION {"citationItems":[{"id":"ITEM-1","itemData":{"DOI":"10.1002/hbe2.195","author":[{"dropping-particle":"","family":"Ajzen","given":"Icek","non-dropping-particle":"","parse-names":false,"suffix":""}],"id":"ITEM-1","issue":"April","issued":{"date-parts":[["2020"]]},"page":"1-11","title":"The theory of planned behavior : Frequently asked questions","type":"article-journal"},"uris":["http://www.mendeley.com/documents/?uuid=31594f3a-a8ec-4b7c-ac0c-555920500366"]}],"mendeley":{"formattedCitation":"(Ajzen, 2020)","plainTextFormattedCitation":"(Ajzen, 2020)","previouslyFormattedCitation":"(Ajzen, 2020)"},"properties":{"noteIndex":0},"schema":"https://github.com/citation-style-language/schema/raw/master/csl-citation.json"}</w:instrText>
      </w:r>
      <w:r>
        <w:rPr>
          <w:rFonts w:hAnsi="Times New Roman" w:ascii="Times New Roman" w:cs="Times New Roman"/>
          <w:sz w:val="24"/>
          <w:szCs w:val="16"/>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(Ajzen, 2020)</w:t>
      </w:r>
      <w:r>
        <w:rPr>
          <w:rFonts w:hAnsi="Times New Roman" w:ascii="Times New Roman" w:cs="Times New Roman"/>
          <w:sz w:val="24"/>
          <w:szCs w:val="16"/>
        </w:rPr>
        <w:fldChar w:fldCharType="end"/>
      </w:r>
      <w:r>
        <w:rPr>
          <w:rFonts w:hAnsi="Times New Roman" w:ascii="Times New Roman" w:cs="Times New Roman"/>
          <w:b w:val="0"/>
          <w:i w:val="0"/>
          <w:strike w:val="0"/>
          <w:dstrike w:val="0"/>
          <w:emboss w:val="0"/>
          <w:imprint w:val="0"/>
          <w:outline w:val="0"/>
          <w:shadow w:val="0"/>
          <w:sz w:val="24"/>
          <w:szCs w:val="24"/>
          <w:u w:val="none"/>
        </w:rPr>
        <w:t xml:space="preserve">.As attitudes are assumed to be based on accessible behavioural beliefs and subjective norms on accessible normative beliefs, perceived behavioural control is assumed to be based on accessible control beliefs. These beliefs are concerned with the presence of factors that can facilitate or impede behavioural performance </w:t>
      </w:r>
      <w:r>
        <w:rPr>
          <w:rFonts w:hAnsi="Times New Roman" w:ascii="Times New Roman" w:cs="Times New Roman"/>
          <w:sz w:val="24"/>
          <w:szCs w:val="16"/>
        </w:rPr>
        <w:fldChar w:fldCharType="begin"/>
      </w:r>
      <w:r>
        <w:rPr>
          <w:rFonts w:hAnsi="Times New Roman" w:ascii="Times New Roman" w:cs="Times New Roman"/>
          <w:sz w:val="24"/>
          <w:szCs w:val="16"/>
        </w:rPr>
        <w:instrText xml:space="preserve">ADDIN CSL_CITATION {"citationItems":[{"id":"ITEM-1","itemData":{"DOI":"https://doi.org/10.5964/ejop.v16i3.3107","author":[{"dropping-particle":"","family":"Bosnjak","given":"Michael","non-dropping-particle":"","parse-names":false,"suffix":""},{"dropping-particle":"","family":"Ajzen","given":"Icek","non-dropping-particle":"","parse-names":false,"suffix":""},{"dropping-particle":"","family":"Schmidt","given":"Peter","non-dropping-particle":"","parse-names":false,"suffix":""}],"container-title":"Europe's Journal of Psychology ejop.psychopen.eu | 1841-0413","id":"ITEM-1","issue":"April 2020","issued":{"date-parts":[["2020"]]},"title":"Editorial The Theory of Planned Behavior : Selected Recent Advances and Applications","type":"article-journal","volume":"Vol. 16(3)"},"uris":["http://www.mendeley.com/documents/?uuid=09a8d74e-4847-42d5-bd1d-eb7c99708574"]},{"id":"ITEM-2","itemData":{"DOI":"10.1002/hbe2.195","author":[{"dropping-particle":"","family":"Ajzen","given":"Icek","non-dropping-particle":"","parse-names":false,"suffix":""}],"id":"ITEM-2","issue":"April","issued":{"date-parts":[["2020"]]},"page":"1-11","title":"The theory of planned behavior : Frequently asked questions","type":"article-journal"},"uris":["http://www.mendeley.com/documents/?uuid=31594f3a-a8ec-4b7c-ac0c-555920500366"]}],"mendeley":{"formattedCitation":"(Ajzen, 2020; Bosnjak et al., 2020)","plainTextFormattedCitation":"(Ajzen, 2020; Bosnjak et al., 2020)","previouslyFormattedCitation":"(Ajzen, 2020; Bosnjak et al., 2020)"},"properties":{"noteIndex":0},"schema":"https://github.com/citation-style-language/schema/raw/master/csl-citation.json"}</w:instrText>
      </w:r>
      <w:r>
        <w:rPr>
          <w:rFonts w:hAnsi="Times New Roman" w:ascii="Times New Roman" w:cs="Times New Roman"/>
          <w:sz w:val="24"/>
          <w:szCs w:val="16"/>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(Ajzen, 2020; Bosnjak et al., 2020)</w:t>
      </w:r>
      <w:r>
        <w:rPr>
          <w:rFonts w:hAnsi="Times New Roman" w:ascii="Times New Roman" w:cs="Times New Roman"/>
          <w:sz w:val="24"/>
          <w:szCs w:val="16"/>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 belief in control is defined as a person's subjective probability that a given facilitating or inhibiting factor will be present in the situation of interest </w:t>
      </w:r>
      <w:r>
        <w:rPr>
          <w:rFonts w:hAnsi="Times New Roman" w:ascii="Times New Roman" w:cs="Times New Roman"/>
          <w:sz w:val="24"/>
          <w:szCs w:val="16"/>
        </w:rPr>
        <w:fldChar w:fldCharType="begin"/>
      </w:r>
      <w:r>
        <w:rPr>
          <w:rFonts w:hAnsi="Times New Roman" w:ascii="Times New Roman" w:cs="Times New Roman"/>
          <w:sz w:val="24"/>
          <w:szCs w:val="16"/>
        </w:rPr>
        <w:instrText xml:space="preserve">ADDIN CSL_CITATION {"citationItems":[{"id":"ITEM-1","itemData":{"DOI":"10.1002/hbe2.195","author":[{"dropping-particle":"","family":"Ajzen","given":"Icek","non-dropping-particle":"","parse-names":false,"suffix":""}],"id":"ITEM-1","issue":"April","issued":{"date-parts":[["2020"]]},"page":"1-11","title":"The theory of planned behavior : Frequently asked questions","type":"article-journal"},"uris":["http://www.mendeley.com/documents/?uuid=31594f3a-a8ec-4b7c-ac0c-555920500366"]}],"mendeley":{"formattedCitation":"(Ajzen, 2020)","plainTextFormattedCitation":"(Ajzen, 2020)","previouslyFormattedCitation":"(Ajzen, 2020)"},"properties":{"noteIndex":0},"schema":"https://github.com/citation-style-language/schema/raw/master/csl-citation.json"}</w:instrText>
      </w:r>
      <w:r>
        <w:rPr>
          <w:rFonts w:hAnsi="Times New Roman" w:ascii="Times New Roman" w:cs="Times New Roman"/>
          <w:sz w:val="24"/>
          <w:szCs w:val="16"/>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(Ajzen, 2020)</w:t>
      </w:r>
      <w:r>
        <w:rPr>
          <w:rFonts w:hAnsi="Times New Roman" w:ascii="Times New Roman" w:cs="Times New Roman"/>
          <w:sz w:val="24"/>
          <w:szCs w:val="16"/>
        </w:rPr>
        <w:fldChar w:fldCharType="end"/>
      </w:r>
      <w:r>
        <w:rPr>
          <w:rFonts w:hAnsi="Times New Roman" w:ascii="Times New Roman" w:cs="Times New Roman"/>
          <w:b w:val="0"/>
          <w:i w:val="0"/>
          <w:strike w:val="0"/>
          <w:dstrike w:val="0"/>
          <w:emboss w:val="0"/>
          <w:imprint w:val="0"/>
          <w:outline w:val="0"/>
          <w:shadow w:val="0"/>
          <w:sz w:val="24"/>
          <w:szCs w:val="24"/>
          <w:u w:val="none"/>
        </w:rPr>
        <w:t xml:space="preserve">. In the theory of planned behaviour, perceived behavioural control is assumed to moderate the influence of attitude and subjective norms on intention, and actual behavioural control is assumed to moderate the effect of intention on behaviour. This implies that a favourable attitude and supportive subjective norm are supposed to lead to the formation of favourable behavioural intentions to the extent that people believe that they are capable of performing the behaviour in question </w:t>
      </w:r>
      <w:r>
        <w:rPr>
          <w:rFonts w:hAnsi="Times New Roman" w:ascii="Times New Roman" w:cs="Times New Roman"/>
          <w:sz w:val="24"/>
          <w:szCs w:val="16"/>
        </w:rPr>
        <w:fldChar w:fldCharType="begin"/>
      </w:r>
      <w:r>
        <w:rPr>
          <w:rFonts w:hAnsi="Times New Roman" w:ascii="Times New Roman" w:cs="Times New Roman"/>
          <w:sz w:val="24"/>
          <w:szCs w:val="16"/>
        </w:rPr>
        <w:instrText xml:space="preserve">ADDIN CSL_CITATION {"citationItems":[{"id":"ITEM-1","itemData":{"DOI":"10.1002/hbe2.195","author":[{"dropping-particle":"","family":"Ajzen","given":"Icek","non-dropping-particle":"","parse-names":false,"suffix":""}],"id":"ITEM-1","issue":"April","issued":{"date-parts":[["2020"]]},"page":"1-11","title":"The theory of planned behavior : Frequently asked questions","type":"article-journal"},"uris":["http://www.mendeley.com/documents/?uuid=31594f3a-a8ec-4b7c-ac0c-555920500366"]},{"id":"ITEM-2","itemData":{"DOI":"https://doi.org/10.5964/ejop.v16i3.3107","author":[{"dropping-particle":"","family":"Bosnjak","given":"Michael","non-dropping-particle":"","parse-names":false,"suffix":""},{"dropping-particle":"","family":"Ajzen","given":"Icek","non-dropping-particle":"","parse-names":false,"suffix":""},{"dropping-particle":"","family":"Schmidt","given":"Peter","non-dropping-particle":"","parse-names":false,"suffix":""}],"container-title":"Europe's Journal of Psychology ejop.psychopen.eu | 1841-0413","id":"ITEM-2","issue":"April 2020","issued":{"date-parts":[["2020"]]},"title":"Editorial The Theory of Planned Behavior : Selected Recent Advances and Applications","type":"article-journal","volume":"Vol. 16(3)"},"uris":["http://www.mendeley.com/documents/?uuid=09a8d74e-4847-42d5-bd1d-eb7c99708574"]}],"mendeley":{"formattedCitation":"(Ajzen, 2020; Bosnjak et al., 2020)","plainTextFormattedCitation":"(Ajzen, 2020; Bosnjak et al., 2020)","previouslyFormattedCitation":"(Ajzen, 2020; Bosnjak et al., 2020)"},"properties":{"noteIndex":0},"schema":"https://github.com/citation-style-language/schema/raw/master/csl-citation.json"}</w:instrText>
      </w:r>
      <w:r>
        <w:rPr>
          <w:rFonts w:hAnsi="Times New Roman" w:ascii="Times New Roman" w:cs="Times New Roman"/>
          <w:sz w:val="24"/>
          <w:szCs w:val="16"/>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(Ajzen, 2020; Bosnjak et al., 2020)</w:t>
      </w:r>
      <w:r>
        <w:rPr>
          <w:rFonts w:hAnsi="Times New Roman" w:ascii="Times New Roman" w:cs="Times New Roman"/>
          <w:sz w:val="24"/>
          <w:szCs w:val="16"/>
        </w:rPr>
        <w:fldChar w:fldCharType="end"/>
      </w:r>
      <w:r>
        <w:rPr>
          <w:rFonts w:hAnsi="Times New Roman" w:ascii="Times New Roman" w:cs="Times New Roman"/>
          <w:b w:val="0"/>
          <w:i w:val="0"/>
          <w:strike w:val="0"/>
          <w:dstrike w:val="0"/>
          <w:emboss w:val="0"/>
          <w:imprint w:val="0"/>
          <w:outline w:val="0"/>
          <w:shadow w:val="0"/>
          <w:sz w:val="24"/>
          <w:szCs w:val="24"/>
          <w:u w:val="none"/>
        </w:rPr>
        <w:t xml:space="preserve">.</w:t>
      </w:r>
      <w:r>
        <w:rPr>
          <w:rFonts w:hAnsi="Times New Roman" w:ascii="Times New Roman" w:eastAsia="Times New Roman" w:cs="Times New Roman"/>
          <w:b w:val="0"/>
          <w:i w:val="0"/>
          <w:strike w:val="0"/>
          <w:dstrike w:val="0"/>
          <w:emboss w:val="0"/>
          <w:imprint w:val="0"/>
          <w:outline w:val="0"/>
          <w:shadow w:val="0"/>
          <w:sz w:val="24"/>
          <w:szCs w:val="24"/>
          <w:u w:val="none"/>
        </w:rPr>
        <w:t xml:space="preserve">This study predicts the practices of residents based on behavioural and control beliefs. The attitude towards behaviour, subjective norm, and perceived behavioural control influences the prediction of the behavioural intention and actual behaviour of residents when participatory decisions are voluntary and under the individual control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{"citationItems":[{"id":"ITEM-1","itemData":{"DOI":"10.5251/ajsms.2012.3.2.83.92","ISSN":"21561540","abstract":"he paper examined the relationship between individual background (sex, age and social class) and the level of awareness, knowledge and practices of solid waste management in Port- Harcourt city residents. It defines solid waste management as the process of collecting, storing, treatment and disposal of solid wastes in such a way that they are harmless to humans, plants, animals, the ecology and the environment generally. The objective of this research is to ascertain the relationship between individual background (sex, age and social class) and the level of awareness, knowledge and practices of solid waste management in Port-Harcourt city residents. The research question addressed the extent of relationship between individual background (sex, age and social class) and the level of awareness, knowledge and practices of solid waste management in Port-Harcourt city residents. This research is based on Ajzen (1991) theory of planned behaviour which states that attitude towards behaviour, subjective norm, and perceived behavioural control, has influence in predicting the behavioural intention and actual behaviour of individuals when participatory decisions are voluntary and under an individual control. The research assumes that the background (sex, age and social class) of Port-Harcourt city residents influences their attitude, subjective norm and perceived behavioural control thus determining the behavioural intention/actual behaviour i.e. level of awareness, knowledge and practices of solid waste management. 800 Port-Harcourt city residents were randomly surveyed from the two local government areas of the city (Port-Harcourt city and Obio/Akpor LGAs) using structured questionnaire. Data collected were subjected to percentage, mean, standard deviation, t-test and chi-square statistical analyses. Findings revealed that Port-Harcourt city residents from the sampled zones are aware of solid waste management problems in their environment but possessed poor waste management practices. The study showed that the propensity for solid waste management practices differed by background (sex, social class and age) of residents. Significant relationships were observed between respondents’ sex, age and social class and their level of awareness, knowledge and practices of solid waste management. This research therefore recommends among others: sensitization of Port-Harcourt city residents on the dangers of poor solid waste management, provision of near-by solid waste coll…","author":[{"dropping-particle":"","family":"Agwu","given":"M.","non-dropping-particle":"","parse-names":false,"suffix":""}],"container-title":"American Journal of Social and Management Sciences","id":"ITEM-1","issue":"2","issued":{"date-parts":[["2012"]]},"page":"83-92","title":"Issues and Challenges of Solid Waste Management Practices in Port-Harcourt City, Nigeria- a behavioural perspective","type":"article-journal","volume":"3"},"uris":["http://www.mendeley.com/documents/?uuid=8cd86e03-a788-458a-ab36-ec7833265a7d"]}],"mendeley":{"formattedCitation":"(Agwu, 2012)","plainTextFormattedCitation":"(Agwu, 2012)","previouslyFormattedCitation":"(Agwu, 2012)"},"properties":{"noteIndex":0},"schema":"https://github.com/citation-style-language/schema/raw/master/csl-citation.json"}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(Agwu, 2012)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towards solid waste management. Agwu explains the theory by stating that there is a relationship between the knowledge, attitudes, and behaviour of people. Knowledge is a factor that influences residents’ attitudes and practices towards solid waste management. Therefore, the TPB portrays that the behaviour or practice of residents in solid waste management (SWM) is a result of beliefs moulded by their knowledge and attitude. This study implies that solid waste management (SWM) practices in the Mangu community of Wa Municipality are shaped by residents’ levels of knowledge, attitude, and practice (KAP) toward solid waste management (SWM) operations. As a result, this theory explains the linkage between the levels of knowledge and attitudes of a society to their behaviour or practices.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{"citationItems":[{"id":"ITEM-1","itemData":{"author":[{"dropping-particle":"","family":"Masoumidezfouli","given":"Zahrasadaat","non-dropping-particle":"","parse-names":false,"suffix":""}],"id":"ITEM-1","issued":{"date-parts":[["2019"]]},"publisher":"UNIVERSITY OF MALAYA","title":"AN INVESTIGATION ON KNOWLEDGE, ATTITUDE AND PRACTICE AMONG STUDENTS OF UNIVERSITY MALAYA TOWARDS SOLID WASTE MANAGEMENT","type":"thesis"},"uris":["http://www.mendeley.com/documents/?uuid=50c37498-b8c7-4682-9101-9c0af4391ab2"]}],"mendeley":{"formattedCitation":"(Masoumidezfouli, 2019)","manualFormatting":"Masoumidezfouli (2019)","plainTextFormattedCitation":"(Masoumidezfouli, 2019)","previouslyFormattedCitation":"(Masoumidezfouli, 2019)"},"properties":{"noteIndex":0},"schema":"https://github.com/citation-style-language/schema/raw/master/csl-citation.json"}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Masoumidezfouli (2019)</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applied TPB to investigate the level of Knowledge, Attitude and Practice (KAP) among students at the University of Malaya. The results revealed </w:t>
      </w:r>
      <w:r>
        <w:rPr>
          <w:rFonts w:hAnsi="Times New Roman" w:ascii="Times New Roman" w:eastAsia="Times New Roman" w:cs="Times New Roman"/>
          <w:b w:val="0"/>
          <w:i w:val="0"/>
          <w:strike w:val="0"/>
          <w:dstrike w:val="0"/>
          <w:emboss w:val="0"/>
          <w:imprint w:val="0"/>
          <w:outline w:val="0"/>
          <w:shadow w:val="0"/>
          <w:sz w:val="24"/>
          <w:szCs w:val="24"/>
          <w:u w:val="none"/>
        </w:rPr>
        <w:t xml:space="preserve">positive relationships between intention and the level of attitude, perceived behaviour control, and subjective norms among all variables, and attitude was the main predictor.</w:t>
      </w:r>
    </w:p>
    <w:p>
      <w:pPr>
        <w:pStyle w:val="Heading2"/>
        <w:spacing w:line="480" w:lineRule="auto"/>
        <w:ind w:left="720"/>
        <w:rPr>
          <w:rFonts w:eastAsia="Calibri"/>
        </w:rPr>
      </w:pPr>
      <w:bookmarkStart w:id="49" w:name="_Toc147923057"/>
      <w:r>
        <w:rPr>
          <w:rFonts w:ascii="Times New Roman" w:eastAsia="Calibri"/>
          <w:b/>
          <w:i w:val="0"/>
          <w:strike w:val="0"/>
          <w:dstrike w:val="0"/>
          <w:emboss w:val="0"/>
          <w:imprint w:val="0"/>
          <w:outline w:val="0"/>
          <w:shadow w:val="0"/>
          <w:sz w:val="24"/>
          <w:szCs w:val="24"/>
          <w:u w:val="none"/>
        </w:rPr>
        <w:t xml:space="preserve">2.14.2 </w:t>
      </w:r>
      <w:r>
        <w:rPr>
          <w:rFonts w:ascii="Times New Roman"/>
          <w:b/>
          <w:i w:val="0"/>
          <w:strike w:val="0"/>
          <w:dstrike w:val="0"/>
          <w:emboss w:val="0"/>
          <w:imprint w:val="0"/>
          <w:outline w:val="0"/>
          <w:shadow w:val="0"/>
          <w:sz w:val="24"/>
          <w:szCs w:val="24"/>
          <w:u w:val="none"/>
        </w:rPr>
        <w:t xml:space="preserve">Knowledge, Attitude and Practice</w:t>
      </w:r>
      <w:bookmarkEnd w:id="49"/>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Knowledge, Attitude and Practice (KAP) model was first used in the 1950s to explore how the concept of family planning was received, understood, and practiced by different populations worldwide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{"citationItems":[{"id":"ITEM-1","itemData":{"author":[{"dropping-particle":"","family":"Tukiman","given":"Noor F I","non-dropping-particle":"","parse-names":false,"suffix":""},{"dropping-particle":"","family":"Seman","given":"Noor A A","non-dropping-particle":"","parse-names":false,"suffix":""},{"dropping-particle":"","family":"Mustaffa","given":"Siti A","non-dropping-particle":"","parse-names":false,"suffix":""}],"id":"ITEM-1","issue":"2","issued":{"date-parts":[["2021"]]},"page":"881-892","title":"A Study of E-Waste Disposal Management Awareness among Local Community based on KAP Model","type":"article-journal","volume":"2"},"uris":["http://www.mendeley.com/documents/?uuid=52106b7c-51c4-4ba5-9744-cf5240d58b17"]},{"id":"ITEM-2","itemData":{"author":[{"dropping-particle":"","family":"Launiala","given":"Annika","non-dropping-particle":"","parse-names":false,"suffix":""}],"id":"ITEM-2","issue":"1","issued":{"date-parts":[["2009"]]},"page":"1-13","title":"How much can a KAP survey tell us about people ’ s knowledge , attitudes and practices ? Some observations from medical anthropology on malaria in pregnancy in Malawi Background : KAP surveys","type":"article-journal","volume":"11"},"uris":["http://www.mendeley.com/documents/?uuid=2333545b-2426-4393-b75b-663e442f79c4"]}],"mendeley":{"formattedCitation":"(Launiala, 2009; Tukiman et al., 2021)","plainTextFormattedCitation":"(Launiala, 2009; Tukiman et al., 2021)","previouslyFormattedCitation":"(Launiala, 2009; Tukiman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(Launiala, 2009; Tukiman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.According to the KAP model, an increase in a person's knowledge about a subject matter leads to a change in his or her attitude, and both knowledge and attitude eventually determine the extent to which to perform a particular behaviour. The basic principle of the KAP Model is that knowledge forms attitude and that both knowledge and attitude are the building blocks for practice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{"citationItems":[{"id":"ITEM-1","itemData":{"author":[{"dropping-particle":"","family":"Owojori","given":"Oluwatobi Mary","non-dropping-particle":"","parse-names":false,"suffix":""},{"dropping-particle":"","family":"Mulaudzi","given":"Ratshalingwa","non-dropping-particle":"","parse-names":false,"suffix":""},{"dropping-particle":"","family":"Edokpayi","given":"Joshua N","non-dropping-particle":"","parse-names":false,"suffix":""}],"id":"ITEM-1","issued":{"date-parts":[["2022"]]},"title":"Student ’ s Knowledge , Attitude , and Perception ( KAP ) to Solid Waste Management : A Survey towards a More Circular Economy from a Rural-Based Tertiary Institution in South Africa","type":"article-journal"},"uris":["http://www.mendeley.com/documents/?uuid=526bba78-d6e1-43f5-aacc-4e6b9a6d8eb7"]}],"mendeley":{"formattedCitation":"(Owojori et al., 2022)","plainTextFormattedCitation":"(Owojori et al., 2022)","previouslyFormattedCitation":"(Owojori et al., 2022)"},"properties":{"noteIndex":0},"schema":"https://github.com/citation-style-language/schema/raw/master/csl-citation.json"}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(Owojori et al., 2022)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 KAP Model is applied for three main motives: as an analytic tool to describe respondents’ knowledge, attitudes, and practices; to provide a better understanding of the existing situations for planning targeted interventions; and as a tool for evaluating the efficacy of certain interventions or programs</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{"citationItems":[{"id":"ITEM-1","itemData":{"author":[{"dropping-particle":"","family":"Tukiman","given":"Noor F I","non-dropping-particle":"","parse-names":false,"suffix":""},{"dropping-particle":"","family":"Seman","given":"Noor A A","non-dropping-particle":"","parse-names":false,"suffix":""},{"dropping-particle":"","family":"Mustaffa","given":"Siti A","non-dropping-particle":"","parse-names":false,"suffix":""}],"id":"ITEM-1","issue":"2","issued":{"date-parts":[["2021"]]},"page":"881-892","title":"A Study of E-Waste Disposal Management Awareness among Local Community based on KAP Model","type":"article-journal","volume":"2"},"uris":["http://www.mendeley.com/documents/?uuid=52106b7c-51c4-4ba5-9744-cf5240d58b17"]},{"id":"ITEM-2","itemData":{"author":[{"dropping-particle":"","family":"Owojori","given":"Oluwatobi Mary","non-dropping-particle":"","parse-names":false,"suffix":""},{"dropping-particle":"","family":"Mulaudzi","given":"Ratshalingwa","non-dropping-particle":"","parse-names":false,"suffix":""},{"dropping-particle":"","family":"Edokpayi","given":"Joshua N","non-dropping-particle":"","parse-names":false,"suffix":""}],"id":"ITEM-2","issued":{"date-parts":[["2022"]]},"title":"Student ’ s Knowledge , Attitude , and Perception ( KAP ) to Solid Waste Management : A Survey towards a More Circular Economy from a Rural-Based Tertiary Institution in South Africa","type":"article-journal"},"uris":["http://www.mendeley.com/documents/?uuid=526bba78-d6e1-43f5-aacc-4e6b9a6d8eb7"]}],"mendeley":{"formattedCitation":"(Owojori et al., 2022; Tukiman et al., 2021)","plainTextFormattedCitation":"(Owojori et al., 2022; Tukiman et al., 2021)","previouslyFormattedCitation":"(Owojori et al., 2022; Tukiman et al., 2021)"},"properties":{"noteIndex":0},"schema":"https://github.com/citation-style-language/schema/raw/master/csl-citation.json"}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(Owojori et al., 2022; Tukiman et al., 2021)</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Knowledge is a key determinant in developing people’s behavioural intentions and attitudes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{"citationItems":[{"id":"ITEM-1","itemData":{"author":[{"dropping-particle":"","family":"Owojori","given":"Oluwatobi Mary","non-dropping-particle":"","parse-names":false,"suffix":""},{"dropping-particle":"","family":"Mulaudzi","given":"Ratshalingwa","non-dropping-particle":"","parse-names":false,"suffix":""},{"dropping-particle":"","family":"Edokpayi","given":"Joshua N","non-dropping-particle":"","parse-names":false,"suffix":""}],"id":"ITEM-1","issued":{"date-parts":[["2022"]]},"title":"Student ’ s Knowledge , Attitude , and Perception ( KAP ) to Solid Waste Management : A Survey towards a More Circular Economy from a Rural-Based Tertiary Institution in South Africa","type":"article-journal"},"uris":["http://www.mendeley.com/documents/?uuid=526bba78-d6e1-43f5-aacc-4e6b9a6d8eb7"]}],"mendeley":{"formattedCitation":"(Owojori et al., 2022)","plainTextFormattedCitation":"(Owojori et al., 2022)","previouslyFormattedCitation":"(Owojori et al., 2022)"},"properties":{"noteIndex":0},"schema":"https://github.com/citation-style-language/schema/raw/master/csl-citation.json"}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(Owojori et al., 2022)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Knowledge has been described as a theoretical or practical understanding of the facts, information, and skills of a given subject. Thus, residents’ knowledge of littering and proper solid waste management is associated with their ability to accept planning and behavioural patterns related to environmental sustainability. An increase in residents’ knowledge will improve their awareness of and attitudes toward solid waste management. In addition, residents’ attitudes may affect certain subjective norms, translating into behavioural patterns. </w:t>
        <w:t xml:space="preserve">This makes attitude a major driver of residents’ behavior because it controls how the individual will react to solid waste management issues, which eventually influences their environmental friendliness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{"citationItems":[{"id":"ITEM-1","itemData":{"author":[{"dropping-particle":"","family":"Owojori","given":"Oluwatobi Mary","non-dropping-particle":"","parse-names":false,"suffix":""},{"dropping-particle":"","family":"Mulaudzi","given":"Ratshalingwa","non-dropping-particle":"","parse-names":false,"suffix":""},{"dropping-particle":"","family":"Edokpayi","given":"Joshua N","non-dropping-particle":"","parse-names":false,"suffix":""}],"id":"ITEM-1","issued":{"date-parts":[["2022"]]},"title":"Student ’ s Knowledge , Attitude , and Perception ( KAP ) to Solid Waste Management : A Survey towards a More Circular Economy from a Rural-Based Tertiary Institution in South Africa","type":"article-journal"},"uris":["http://www.mendeley.com/documents/?uuid=526bba78-d6e1-43f5-aacc-4e6b9a6d8eb7"]}],"mendeley":{"formattedCitation":"(Owojori et al., 2022)","plainTextFormattedCitation":"(Owojori et al., 2022)","previouslyFormattedCitation":"(Owojori et al., 2022)"},"properties":{"noteIndex":0},"schema":"https://github.com/citation-style-language/schema/raw/master/csl-citation.json"}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(Owojori et al., 2022)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Attitude has been described as a psychological tendency expressed by evaluating an individual with some degree of favour or disfavour. Attitudes have three main components: affection (A), behaviour (B), and cognition (C). This is often denoted as the ABC model of attitude. The aﬀection component involves a person’s feelings or emotions toward an attitude object. For instance, a person is more likely to recycle if they prefer the beneﬁts generated by recycling. The behavioural component refers to the way in which we have inﬂuenced how we act or behave. For example, people tend to practice recycling if it can help reduce waste generation. The cognitive component involves a person’s belief or knowledge about an attitude object; a person may recycle if he believes that recycling is a civic obligation. Perception, on the other hand, plays a crucial role in residents’ behavioural intention. It is believed that a high level of perceived knowledge inspires residents to change their behaviour towards proper solid waste management. In addition, perception informed the residents’ intentions to behave in a certain way towards </w:t>
        <w:t xml:space="preserve">solid waste management, and their knowledge levels translated into right or wrong intentions, which eventually led to suitable or unsuitable behaviours towards solid waste and the environment</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10.1002/hbe2.195","author":[{"dropping-particle":"","family":"Ajzen","given":"Icek","non-dropping-particle":"","parse-names":false,"suffix":""}],"id":"ITEM-1","issue":"April","issued":{"date-parts":[["2020"]]},"page":"1-11","title":"The theory of planned behavior : Frequently asked questions","type":"article-journal"},"uris":["http://www.mendeley.com/documents/?uuid=31594f3a-a8ec-4b7c-ac0c-555920500366"]},{"id":"ITEM-2","itemData":{"author":[{"dropping-particle":"","family":"Owojori","given":"Oluwatobi Mary","non-dropping-particle":"","parse-names":false,"suffix":""},{"dropping-particle":"","family":"Mulaudzi","given":"Ratshalingwa","non-dropping-particle":"","parse-names":false,"suffix":""},{"dropping-particle":"","family":"Edokpayi","given":"Joshua N","non-dropping-particle":"","parse-names":false,"suffix":""}],"id":"ITEM-2","issued":{"date-parts":[["2022"]]},"title":"Student ’ s Knowledge , Attitude , and Perception ( KAP ) to Solid Waste Management : A Survey towards a More Circular Economy from a Rural-Based Tertiary Institution in South Africa","type":"article-journal"},"uris":["http://www.mendeley.com/documents/?uuid=526bba78-d6e1-43f5-aacc-4e6b9a6d8eb7"]}],"mendeley":{"formattedCitation":"(Ajzen, 2020; Owojori et al., 2022)","plainTextFormattedCitation":"(Ajzen, 2020; Owojori et al., 2022)","previouslyFormattedCitation":"(Ajzen, 2020; Owojori et al., 2022)"},"properties":{"noteIndex":0},"schema":"https://github.com/citation-style-language/schema/raw/master/csl-citation.json"}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(Ajzen, 2020; Owojori et al., 2022)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On the other hand, practice refers to the performance of certain behaviours due to the acquisition of knowledge and changes in attitude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{"citationItems":[{"id":"ITEM-1","itemData":{"DOI":"10.1016/j.resconrec.2019.06.007","ISSN":"0921-3449","author":[{"dropping-particle":"","family":"Ng","given":"Sai-leung","non-dropping-particle":"","parse-names":false,"suffix":""}],"container-title":"Resources, Conservation &amp; Recycling","id":"ITEM-1","issue":"June","issued":{"date-parts":[["2019"]]},"page":"468-478","publisher":"Elsevier","title":"Resources , Conservation &amp; Recycling Predicting multi-family dwelling recycling behaviors using structural equation modelling : A case study of Hong Kong","type":"article-journal","volume":"149"},"uris":["http://www.mendeley.com/documents/?uuid=a0799331-5c40-4e2a-8c1e-c85ba70e8204"]},{"id":"ITEM-2","itemData":{"author":[{"dropping-particle":"","family":"Owojori","given":"Oluwatobi Mary","non-dropping-particle":"","parse-names":false,"suffix":""},{"dropping-particle":"","family":"Mulaudzi","given":"Ratshalingwa","non-dropping-particle":"","parse-names":false,"suffix":""},{"dropping-particle":"","family":"Edokpayi","given":"Joshua N","non-dropping-particle":"","parse-names":false,"suffix":""}],"id":"ITEM-2","issued":{"date-parts":[["2022"]]},"title":"Student ’ s Knowledge , Attitude , and Perception ( KAP ) to Solid Waste Management : A Survey towards a More Circular Economy from a Rural-Based Tertiary Institution in South Africa","type":"article-journal"},"uris":["http://www.mendeley.com/documents/?uuid=526bba78-d6e1-43f5-aacc-4e6b9a6d8eb7"]}],"mendeley":{"formattedCitation":"(Ng, 2019; Owojori et al., 2022)","plainTextFormattedCitation":"(Ng, 2019; Owojori et al., 2022)","previouslyFormattedCitation":"(Ng, 2019; Owojori et al., 2022)"},"properties":{"noteIndex":0},"schema":"https://github.com/citation-style-language/schema/raw/master/csl-citation.json"}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(Ng, 2019; Owojori et al., 2022)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Regardless of the wide application of the KAP model, it has been criticised that shaping environmental attitudes and behaviour is more complex than what the KAP model describes. The acquisition of knowledge does not necessarily change attitudes, and changes in attitude do not translate into behavioural changes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{"citationItems":[{"id":"ITEM-1","itemData":{"DOI":"10.1016/j.resconrec.2019.06.007","ISSN":"0921-3449","author":[{"dropping-particle":"","family":"Ng","given":"Sai-leung","non-dropping-particle":"","parse-names":false,"suffix":""}],"container-title":"Resources, Conservation &amp; Recycling","id":"ITEM-1","issue":"June","issued":{"date-parts":[["2019"]]},"page":"468-478","publisher":"Elsevier","title":"Resources , Conservation &amp; Recycling Predicting multi-family dwelling recycling behaviors using structural equation modelling : A case study of Hong Kong","type":"article-journal","volume":"149"},"uris":["http://www.mendeley.com/documents/?uuid=a0799331-5c40-4e2a-8c1e-c85ba70e8204"]}],"mendeley":{"formattedCitation":"(Ng, 2019)","plainTextFormattedCitation":"(Ng, 2019)","previouslyFormattedCitation":"(Ng,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(Ng,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.As a result, earlier studies sought to understand the knowledge, attitude, and practice (KAP) of people regarding solid waste management and how this influences their environmental behaviour. While some scholars discovered low and inadequate knowledge among students on solid waste management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{"citationItems":[{"id":"ITEM-1","itemData":{"author":[{"dropping-particle":"","family":"Owojori","given":"Oluwatobi Mary","non-dropping-particle":"","parse-names":false,"suffix":""},{"dropping-particle":"","family":"Mulaudzi","given":"Ratshalingwa","non-dropping-particle":"","parse-names":false,"suffix":""},{"dropping-particle":"","family":"Edokpayi","given":"Joshua N","non-dropping-particle":"","parse-names":false,"suffix":""}],"id":"ITEM-1","issued":{"date-parts":[["2022"]]},"title":"Student ’ s Knowledge , Attitude , and Perception ( KAP ) to Solid Waste Management : A Survey towards a More Circular Economy from a Rural-Based Tertiary Institution in South Africa","type":"article-journal"},"uris":["http://www.mendeley.com/documents/?uuid=526bba78-d6e1-43f5-aacc-4e6b9a6d8eb7"]}],"mendeley":{"formattedCitation":"(Owojori et al., 2022)","plainTextFormattedCitation":"(Owojori et al., 2022)","previouslyFormattedCitation":"(Owojori et al., 2022)"},"properties":{"noteIndex":0},"schema":"https://github.com/citation-style-language/schema/raw/master/csl-citation.json"}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(Owojori et al., 2022)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other s</w:t>
      </w:r>
      <w:r>
        <w:rPr>
          <w:rFonts w:hAnsi="Times New Roman" w:ascii="Times New Roman" w:eastAsia="Calibri" w:cs="Times New Roman"/>
          <w:b w:val="0"/>
          <w:i w:val="0"/>
          <w:strike w:val="0"/>
          <w:dstrike w:val="0"/>
          <w:emboss w:val="0"/>
          <w:imprint w:val="0"/>
          <w:outline w:val="0"/>
          <w:shadow w:val="0"/>
          <w:sz w:val="24"/>
          <w:szCs w:val="24"/>
          <w:u w:val="none"/>
        </w:rPr>
        <w:t xml:space="preserve">tudies have discovered a positive statistically significant association between knowledge, attitude, and practice (KAP) towards </w:t>
      </w:r>
      <w:r>
        <w:rPr>
          <w:rFonts w:hAnsi="Times New Roman" w:ascii="Times New Roman" w:eastAsia="Times New Roman" w:cs="Times New Roman"/>
          <w:b w:val="0"/>
          <w:i w:val="0"/>
          <w:strike w:val="0"/>
          <w:dstrike w:val="0"/>
          <w:emboss w:val="0"/>
          <w:imprint w:val="0"/>
          <w:outline w:val="0"/>
          <w:shadow w:val="0"/>
          <w:sz w:val="24"/>
          <w:szCs w:val="24"/>
          <w:u w:val="none"/>
        </w:rPr>
        <w:t xml:space="preserve">solid waste management.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{"citationItems":[{"id":"ITEM-1","itemData":{"author":[{"dropping-particle":"","family":"Masoumidezfouli","given":"Zahrasadaat","non-dropping-particle":"","parse-names":false,"suffix":""}],"id":"ITEM-1","issued":{"date-parts":[["2019"]]},"publisher":"UNIVERSITY OF MALAYA","title":"AN INVESTIGATION ON KNOWLEDGE, ATTITUDE AND PRACTICE AMONG STUDENTS OF UNIVERSITY MALAYA TOWARDS SOLID WASTE MANAGEMENT","type":"thesis"},"uris":["http://www.mendeley.com/documents/?uuid=50c37498-b8c7-4682-9101-9c0af4391ab2"]}],"mendeley":{"formattedCitation":"(Masoumidezfouli, 2019)","manualFormatting":"Masoumidezfouli (2019)","plainTextFormattedCitation":"(Masoumidezfouli, 2019)","previouslyFormattedCitation":"(Masoumidezfouli, 2019)"},"properties":{"noteIndex":0},"schema":"https://github.com/citation-style-language/schema/raw/master/csl-citation.json"}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For instance, Masoumidezfouli (2019)</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investigated the level of Knowledge, Attitude and Practice (KAP) among students at the University of Malaya and established that factors such as age, gender, educational level, and income influenced the KAP level among students. The results revealed that KAP levels were significantly higher among female students than among male students. In addition, younger students aged between 18 and 25 years had a lower KAP level than other age groups. Additionally, as income increased, the KAP level also increased; however, this trend occurred only up to an income level of RM10000/month. The study showed that the overall KAP level among the students was acceptable. Students practiced </w:t>
        <w:t xml:space="preserve">waste management(waste reduction/reuse recycle) regularly, but they believed that recycling bins located in university campuses were not easily accessible, which could be a barrier to proper waste management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{"citationItems":[{"id":"ITEM-1","itemData":{"author":[{"dropping-particle":"","family":"Masoumidezfouli","given":"Zahrasadaat","non-dropping-particle":"","parse-names":false,"suffix":""}],"id":"ITEM-1","issued":{"date-parts":[["2019"]]},"publisher":"UNIVERSITY OF MALAYA","title":"AN INVESTIGATION ON KNOWLEDGE, ATTITUDE AND PRACTICE AMONG STUDENTS OF UNIVERSITY MALAYA TOWARDS SOLID WASTE MANAGEMENT","type":"thesis"},"uris":["http://www.mendeley.com/documents/?uuid=50c37498-b8c7-4682-9101-9c0af4391ab2"]}],"mendeley":{"formattedCitation":"(Masoumidezfouli, 2019)","plainTextFormattedCitation":"(Masoumidezfouli, 2019)","previouslyFormattedCitation":"(Masoumidezfouli, 2019)"},"properties":{"noteIndex":0},"schema":"https://github.com/citation-style-language/schema/raw/master/csl-citation.json"}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(Masoumidezfouli, 2019)</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b w:val="0"/>
          <w:i w:val="0"/>
          <w:strike w:val="0"/>
          <w:dstrike w:val="0"/>
          <w:emboss w:val="0"/>
          <w:imprint w:val="0"/>
          <w:outline w:val="0"/>
          <w:shadow w:val="0"/>
          <w:sz w:val="24"/>
          <w:szCs w:val="24"/>
          <w:u w:val="none"/>
        </w:rPr>
        <w:t xml:space="preserve">A study by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2019)","manualFormatting":"Nyaguthii (2019)","plainTextFormattedCitation":"(Nyaguthii, 2019)","previouslyFormattedCitation":"(Nyaguthii,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Nyaguthii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established relatively satisfactory knowledge and favourable attitudes; however, respondents’ levels of practice were generally poor.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10.3390/ijerph16091659","author":[{"dropping-particle":"","family":"Liao","given":"Chuanhui","non-dropping-particle":"","parse-names":false,"suffix":""},{"dropping-particle":"","family":"Li","given":"Hui","non-dropping-particle":"","parse-names":false,"suffix":""}],"container-title":"International Journal of Environmental Research and Public Health","id":"ITEM-1","issued":{"date-parts":[["2019"]]},"title":"Environmental Education , Knowledge , and High School Students ’ Intention toward Separation of Solid Waste on Campus","type":"article-journal"},"uris":["http://www.mendeley.com/documents/?uuid=ddecfdf7-c34b-43bb-9d88-f81d41af1d27"]}],"mendeley":{"formattedCitation":"(Liao &amp; Li, 2019)","manualFormatting":"Liao and Li (2019)","plainTextFormattedCitation":"(Liao &amp; Li, 2019)","previouslyFormattedCitation":"(Liao &amp; Li,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Liao and Li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applied the TPB to explain the separation of solid waste behavior among high school students. The results indicated that knowledge was the best predictor of high school students’ separation behaviour.</w:t>
      </w:r>
      <w:r>
        <w:rPr>
          <w:rFonts w:hAnsi="Times New Roman" w:ascii="Times New Roman" w:eastAsia="Calibri" w:cs="Times New Roman"/>
          <w:b w:val="0"/>
          <w:i w:val="0"/>
          <w:strike w:val="0"/>
          <w:dstrike w:val="0"/>
          <w:emboss w:val="0"/>
          <w:imprint w:val="0"/>
          <w:outline w:val="0"/>
          <w:shadow w:val="0"/>
          <w:sz w:val="24"/>
          <w:szCs w:val="24"/>
          <w:u w:val="none"/>
        </w:rPr>
        <w:t xml:space="preserve"> Similarly,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-1","issue":"2","issued":{"date-parts":[["2018"]]},"page":"123-131","title":"Knowledge , attitude and practice of municipal solid waste management among highland residents in","type":"article-journal","volume":"32"},"uris":["http://www.mendeley.com/documents/?uuid=04e8b346-feaf-4fc3-8334-624a7ca0d29c"]}],"mendeley":{"formattedCitation":"(Laor et al., 2018)","manualFormatting":"Laor et al. 2018)","plainTextFormattedCitation":"(Laor et al., 2018)","previouslyFormattedCitation":"(Laor et al., 2018)"},"properties":{"noteIndex":0},"schema":"https://github.com/citation-style-language/schema/raw/master/csl-citation.json"}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Laor et al. (2018)</w:t>
      </w:r>
      <w:r>
        <w:rPr>
          <w:rFonts w:hAnsi="Times New Roman" w:ascii="Times New Roman" w:eastAsia="Calibri" w:cs="Times New Roman"/>
          <w:bCs/>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observed a positive statistically significant association between knowledge and practice, attitude, and practice, whereas knowledge and attitude were not correlated with Municipal solid waste management. Thus, respondents who had good knowledge also had good practices, and those who had good attitudes had good practices regarding solid waste management. This implies that there is a linear relationship between residents' knowledge, attitudes, and practices towards investigating a particular phenomenon such as solid waste management.</w:t>
      </w:r>
    </w:p>
    <w:p>
      <w:pPr>
        <w:pStyle w:val="Heading2"/>
        <w:spacing w:line="480" w:lineRule="auto"/>
        <w:ind w:left="720"/>
      </w:pPr>
      <w:bookmarkStart w:id="50" w:name="_Toc147923058"/>
      <w:r>
        <w:rPr>
          <w:rFonts w:ascii="Times New Roman"/>
          <w:b/>
          <w:i w:val="0"/>
          <w:strike w:val="0"/>
          <w:dstrike w:val="0"/>
          <w:emboss w:val="0"/>
          <w:imprint w:val="0"/>
          <w:outline w:val="0"/>
          <w:shadow w:val="0"/>
          <w:sz w:val="24"/>
          <w:szCs w:val="24"/>
          <w:u w:val="none"/>
        </w:rPr>
        <w:t xml:space="preserve">2.15 Conceptual Framework</w:t>
      </w:r>
      <w:bookmarkEnd w:id="50"/>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This study adapts Nyaguthii’s (2019) conceptual framework</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2019)","manualFormatting":"Nyaguthii(2019)","plainTextFormattedCitation":"(Nyaguthii, 2019)","previouslyFormattedCitation":"(Nyaguthii,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which fits into the ecological model with the assumption that solid waste management is influenced by factors such as personal experiences, family backgrounds, community-level factors, and institutional policies (Figure 2).Socio-demographic factors of the residents considered in this study include age, gender, educational level, and occupation, which are independent variables as well as inputs from individual capacity. Policies, laws, regulations, and the enforcement and coordination of these laws are inputs from authorities and other solid waste management institutions. Levels of knowledge, attitude, and practice (KAP) were </w:t>
        <w:t xml:space="preserve">dependent variables and depended on the inputs from the independent variables, such as the socio-demographic factors and inputs from solid waste management institutions, which are inferred to influence the levels of KAP of the residents. The last output expected from the positive influence of KAP by individuals and institutional inputs is achieving suitable solid waste management practices in the Mangu community of the Wa Municipality.</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 accomplish sustainable solid waste management, deliberate efforts and high levels of cooperation between the inhabitants of Mangu and the Wa Municipal solid waste management authorities are needed. Municipal authorities must understand the community’s concerns and endeavours to promote the public acceptance of their services. Authorities should maximise their capacity by enforcing and coordinating policies and regulations in place. For instance, public trust in Municipal SWM authorities could be considered one of the principal factors shaping public acceptance of proper SWM. Authorities can build trust and acceptance by involving the community in projects through education and outreach. On the other hand, the residents' perception of SWM is determined by demographic factors. </w:t>
        <w:t xml:space="preserve">As shown in Figure 2, these factors influence residents’ attitudes and eventually model their daily practices which could lead to either proper or poor household SWM.</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 addition, the level of education may be correlated with the acceptance of existing solid waste management systems, whereby a lack of education may be attributed to poor waste handling and disposal, and a lower perception of risks. Age is one of the most unpredictable variables, but it also influences attitudes and practices of solid waste management (SWM). For instance, older people are more likely to be aware of the existing solid waste management infrastructure; and are more likely to obey to the regulations and also more possible to express satisfaction and higher levels of trust in authorities than the younger residents. In the case of gender; women are more likely to express concerns related to health risks associated with poor solid waste management (SWM) than men.</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Thus, attitudes toward solid waste management (SWM) are influenced by both the level of knowledge and socio-demographic factors of the individual. Positive attitudes by the residents will ultimately lead to better practices of solid waste management (SWM). Attitudes can be expressed by their willingness to sort the solid waste before disposal, recycling, reducing, and re-using it, as well as their compensation for the disposal services to relevant authorities. To achieve suitable solid waste management SWM in the Mangu community of the Wa Municipality, there is a need for individuals and relevant institutions to adopt higher levels of knowledge, positive attitudes, and proper practices of solid waste management (SWM) as exemplified in Figure 2.</w:t>
      </w:r>
    </w:p>
    <w:p>
      <w:pPr>
        <w:spacing w:line="480" w:lineRule="auto"/>
        <w:ind w:left="720"/>
        <w:contextualSpacing w:val="1"/>
        <w:jc w:val="both"/>
      </w:pPr>
      <w:r>
        <w:rPr>
          <w:rFonts w:hAnsi="Times New Roman" w:ascii="Times New Roman" w:cs="Times New Roman"/>
          <w:b w:val="0"/>
          <w:i w:val="0"/>
          <w:strike w:val="0"/>
          <w:dstrike w:val="0"/>
          <w:emboss w:val="0"/>
          <w:imprint w:val="0"/>
          <w:outline w:val="0"/>
          <w:shadow w:val="0"/>
          <w:sz w:val="24"/>
          <w:szCs w:val="24"/>
          <w:u w:val="none"/>
        </w:rPr>
        <w:lastRenderedPageBreak/>
        <w:pict>
          <v:rect id="AutoShape 3" o:spid="_x0000_s2050" style="position:absolute;left:0;text-align:left;margin-left:0.00pt;margin-top:0.00pt;width:50pt;height:50pt;z-index:251659264;visibility:hidden;mso-position-horizontal-relative:colum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1qmKywEAAIADAAAOAAAAZHJzL2Uyb0RvYy54bWysU8Fu2zAMvQ/YPwi6L3aytNuMOEXRosOA bh2Q9QMUWYqF2aJGKnGyrx8lJ2mw3oZdBFKUHx8fnxc3+74TO4PkwNdyOimlMF5D4/ymls8/Ht59 lIKi8o3qwJtaHgzJm+XbN4shVGYGLXSNQcEgnqoh1LKNMVRFQbo1vaIJBOO5aAF7FTnFTdGgGhi9 74pZWV4XA2ATELQh4tv7sSiXGd9ao+OTtWSi6GrJ3GI+MZ/rdBbLhao2qELr9JGG+gcWvXKem56h 7lVUYovuFVTvNAKBjRMNfQHWOm3yDDzNtPxrmlWrgsmzsDgUzjLR/4PV33ar8B0TdQqPoH+S8LAy HQvH65Sc3LXKb8wtIgytUQ33nibViiFQdf46JcQ4Yj18hYb3rLYRsiB7i31C51HFPut+OOtu9lFo vrx+f1WWvB3NpWOcOqjq9HFAip8N9CIFtURml8HV7pHi+PT0JPXy8OC67kQy8Up+oGoNzYE5Iow2 YNty0AL+lmJgC9SSfm0VGim6L57n/DSdz5NncjK/+jDjBC8r68uK8pqhahmlGMO7OPpsG9Bt2izn SO6WtbEu835hdVSU15wnP1oy+egyz69efpzlHwAAAP//AwBQSwMEFAAGAAgAAAAhAIZbh9XYAAAA BQEAAA8AAABkcnMvZG93bnJldi54bWxMj0FLw0AQhe9C/8Mygje7axEpMZsihfZQpdC0vW+zYxLM zsbsNl3/vVMR9DLM4w1vvpcvkuvEiENoPWl4mCoQSJW3LdUaDvvV/RxEiIas6Tyhhi8MsCgmN7nJ rL/QDscy1oJDKGRGQxNjn0kZqgadCVPfI7H37gdnIsuhlnYwFw53nZwp9SSdaYk/NKbHZYPVR3l2 Go7bdrP5nL+tlzGtX2fb5Mdy96j13W16eQYRMcW/Y7jiMzoUzHTyZ7JBdBq4SPyZV08plqffRRa5 /E9ffAMAAP//AwBQSwECLQAUAAYACAAAACEAtoM4kv4AAADhAQAAEwAAAAAAAAAAAAAAAAAAAAAA W0NvbnRlbnRfVHlwZXNdLnhtbFBLAQItABQABgAIAAAAIQA4/SH/1gAAAJQBAAALAAAAAAAAAAAA AAAAAC8BAABfcmVscy8ucmVsc1BLAQItABQABgAIAAAAIQAR1qmKywEAAIADAAAOAAAAAAAAAAAA AAAAAC4CAABkcnMvZTJvRG9jLnhtbFBLAQItABQABgAIAAAAIQCGW4fV2AAAAAUBAAAPAAAAAAAA AAAAAAAAACUEAABkcnMvZG93bnJldi54bWxQSwUGAAAAAAQABADzAAAAKgUAAAAA " filled="f" stroked="f"/>
        </w:pict>
      </w:r>
      <w:r>
        <w:rPr>
          <w:rFonts w:hAnsi="Times New Roman" w:ascii="Times New Roman" w:cs="Times New Roman"/>
          <w:b w:val="0"/>
          <w:i w:val="0"/>
          <w:strike w:val="0"/>
          <w:dstrike w:val="0"/>
          <w:emboss w:val="0"/>
          <w:imprint w:val="0"/>
          <w:outline w:val="0"/>
          <w:shadow w:val="0"/>
          <w:sz w:val="24"/>
          <w:szCs w:val="24"/>
          <w:u w:val="none"/>
        </w:rPr>
        <w:drawing>
          <wp:inline>
            <wp:extent cx="6124579" cy="5667379"/>
            <wp:effectExtent l="0" t="0" r="0" b="0"/>
            <wp:docPr id="697495309"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13">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24575" cy="5667375"/>
                    </a:xfrm>
                    <a:prstGeom prst="rect">
                      <a:avLst/>
                    </a:prstGeom>
                    <a:noFill/>
                    <a:ln>
                      <a:noFill/>
                    </a:ln>
                  </pic:spPr>
                </pic:pic>
              </a:graphicData>
            </a:graphic>
          </wp:inline>
        </w:drawing>
      </w:r>
    </w:p>
    <w:p>
      <w:pPr>
        <w:pStyle w:val="Caption"/>
        <w:ind w:left="720"/>
        <w:jc w:val="both"/>
        <w:rPr>
          <w:color w:val="auto"/>
          <w:rFonts w:hAnsi="Times New Roman" w:ascii="Times New Roman" w:cs="Times New Roman"/>
          <w:b/>
          <w:bCs/>
          <w:i w:val="0"/>
          <w:sz w:val="24"/>
          <w:szCs w:val="24"/>
        </w:rPr>
      </w:pPr>
      <w:bookmarkStart w:id="51" w:name="_Toc142664169"/>
      <w:r>
        <w:rPr>
          <w:color w:val="auto"/>
          <w:rFonts w:hAnsi="Times New Roman" w:ascii="Times New Roman" w:cs="Times New Roman"/>
          <w:b/>
          <w:bCs/>
          <w:i w:val="0"/>
          <w:strike w:val="0"/>
          <w:dstrike w:val="0"/>
          <w:emboss w:val="0"/>
          <w:imprint w:val="0"/>
          <w:outline w:val="0"/>
          <w:shadow w:val="0"/>
          <w:sz w:val="24"/>
          <w:szCs w:val="24"/>
          <w:u w:val="none"/>
        </w:rPr>
        <w:t xml:space="preserve">Figure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Figure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2</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Conceptual framework on knowledge, attitude and practice on SWM</w:t>
      </w:r>
      <w:bookmarkEnd w:id="51"/>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Source: Adapted from Nyaguthii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{"citationItems":[{"id":"ITEM-1","itemData":{"author":[{"dropping-particle":"","family":"Nyaguthii","given":"Kamweru Grace","non-dropping-particle":"","parse-names":false,"suffix":""}],"id":"ITEM-1","issued":{"date-parts":[["2019"]]},"publisher":"University of Nairobi","title":"ASSESSMENT OF HOUSEHOLDS ’ KNOWLEDGE , ATTITUDES AND PRACTICES ON SOLID WASTE MANAGEMENT IN NAKURU TOWN","type":"thesis"},"uris":["http://www.mendeley.com/documents/?uuid=3cf2a0dc-0599-4713-9c4f-826b51e6122c"]}],"mendeley":{"formattedCitation":"(Nyaguthii, 2019)","plainTextFormattedCitation":"(Nyaguthii, 2019)","previouslyFormattedCitation":"(Nyaguthii,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pStyle w:val="Heading2"/>
        <w:spacing w:line="480" w:lineRule="auto"/>
        <w:ind w:left="720"/>
      </w:pPr>
      <w:bookmarkStart w:id="52" w:name="_Toc147923059"/>
      <w:r>
        <w:rPr>
          <w:rFonts w:ascii="Times New Roman"/>
          <w:b/>
          <w:i w:val="0"/>
          <w:strike w:val="0"/>
          <w:dstrike w:val="0"/>
          <w:emboss w:val="0"/>
          <w:imprint w:val="0"/>
          <w:outline w:val="0"/>
          <w:shadow w:val="0"/>
          <w:sz w:val="24"/>
          <w:szCs w:val="24"/>
          <w:u w:val="none"/>
        </w:rPr>
        <w:t xml:space="preserve">2.16 Chapter Summary</w:t>
      </w:r>
      <w:bookmarkEnd w:id="52"/>
    </w:p>
    <w:p>
      <w:pPr>
        <w:spacing w:line="480" w:lineRule="auto"/>
        <w:ind w:left="720"/>
        <w:contextualSpacing w:val="1"/>
        <w:jc w:val="both"/>
        <w:rPr>
          <w:rFonts w:hAnsi="Times New Roman" w:ascii="Times New Roman" w:eastAsia="Times New Roman" w:cs="Times New Roman"/>
          <w:sz w:val="24"/>
          <w:szCs w:val="24"/>
        </w:rPr>
        <w:sectPr w:rsidR="00455D00" w:rsidRPr="00136D7B" w:rsidSect="00301E83">
          <w:pgSz w:w="12240" w:h="15840"/>
          <w:pgMar w:top="1440" w:right="1440" w:bottom="1440" w:left="1440" w:header="720" w:footer="720"/>
          <w:cols w:space="720"/>
        </w:sect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chapter explored various perspectives and perceptions on SWM, positioned the study in the related literature, and established the theoretical and conceptual framework to guide the study. The literature reviewed is significant to the study, as it exposed the study to the diversity of solid waste and solid waste management. The review comprises the definition, types, and sources of solid waste, global trends in solid waste generation, solid waste management, g</w:t>
      </w:r>
      <w:r>
        <w:rPr>
          <w:rFonts w:hAnsi="Times New Roman" w:ascii="Times New Roman" w:cs="Times New Roman"/>
          <w:b w:val="0"/>
          <w:i w:val="0"/>
          <w:strike w:val="0"/>
          <w:dstrike w:val="0"/>
          <w:emboss w:val="0"/>
          <w:imprint w:val="0"/>
          <w:outline w:val="0"/>
          <w:shadow w:val="0"/>
          <w:sz w:val="24"/>
          <w:szCs w:val="24"/>
          <w:u w:val="none"/>
        </w:rPr>
        <w:t xml:space="preserve">lobal solid waste management practices,  s</w:t>
      </w:r>
      <w:r>
        <w:rPr>
          <w:rFonts w:hAnsi="Times New Roman" w:ascii="Times New Roman" w:eastAsia="Times New Roman" w:cs="Times New Roman"/>
          <w:b w:val="0"/>
          <w:i w:val="0"/>
          <w:strike w:val="0"/>
          <w:dstrike w:val="0"/>
          <w:emboss w:val="0"/>
          <w:imprint w:val="0"/>
          <w:outline w:val="0"/>
          <w:shadow w:val="0"/>
          <w:sz w:val="24"/>
          <w:szCs w:val="24"/>
          <w:u w:val="none"/>
        </w:rPr>
        <w:t xml:space="preserve">olid waste management in Africa, solid waste management in Ghana,  solid waste management challenges in Ghana, e</w:t>
      </w:r>
      <w:r>
        <w:rPr>
          <w:rFonts w:hAnsi="Times New Roman" w:ascii="Times New Roman" w:cs="Times New Roman"/>
          <w:b w:val="0"/>
          <w:i w:val="0"/>
          <w:strike w:val="0"/>
          <w:dstrike w:val="0"/>
          <w:emboss w:val="0"/>
          <w:imprint w:val="0"/>
          <w:outline w:val="0"/>
          <w:shadow w:val="0"/>
          <w:sz w:val="24"/>
          <w:szCs w:val="24"/>
          <w:u w:val="none"/>
        </w:rPr>
        <w:t xml:space="preserve">nvironmental and health risks of waste management, factors influencing household SWM,  k</w:t>
      </w:r>
      <w:r>
        <w:rPr>
          <w:rFonts w:hAnsi="Times New Roman" w:ascii="Times New Roman" w:eastAsia="Times New Roman" w:cs="Times New Roman"/>
          <w:b w:val="0"/>
          <w:i w:val="0"/>
          <w:strike w:val="0"/>
          <w:dstrike w:val="0"/>
          <w:emboss w:val="0"/>
          <w:imprint w:val="0"/>
          <w:outline w:val="0"/>
          <w:shadow w:val="0"/>
          <w:sz w:val="24"/>
          <w:szCs w:val="24"/>
          <w:u w:val="none"/>
        </w:rPr>
        <w:t xml:space="preserve">nowledge of solid waste management, attitude towards solid waste management, practice towards solid waste management, various theories underpinning the study (TPB and KAP), and the conceptual framework  that guides the study. This aids in appreciating the situation of SWM and setting the grounds for designing the appropriate methodology for the study. The following chapter describes the methodology used in this study and various research designs with the methods of data collection and analysis.</w:t>
      </w:r>
    </w:p>
    <w:p>
      <w:pPr>
        <w:pStyle w:val="Heading1"/>
        <w:ind w:left="720"/>
      </w:pPr>
      <w:bookmarkStart w:id="53" w:name="_Toc147923060"/>
      <w:r>
        <w:rPr>
          <w:rFonts w:ascii="Times New Roman"/>
          <w:b/>
          <w:i w:val="0"/>
          <w:strike w:val="0"/>
          <w:dstrike w:val="0"/>
          <w:emboss w:val="0"/>
          <w:imprint w:val="0"/>
          <w:outline w:val="0"/>
          <w:shadow w:val="0"/>
          <w:sz w:val="24"/>
          <w:szCs w:val="24"/>
          <w:u w:val="none"/>
        </w:rPr>
        <w:lastRenderedPageBreak/>
        <w:t xml:space="preserve">CHAPTER THREE</w:t>
      </w:r>
      <w:bookmarkEnd w:id="53"/>
    </w:p>
    <w:p>
      <w:pPr>
        <w:pStyle w:val="Heading1"/>
        <w:spacing w:line="480" w:lineRule="auto"/>
        <w:ind w:left="720"/>
      </w:pPr>
      <w:bookmarkStart w:id="54" w:name="_Toc147923061"/>
      <w:r>
        <w:rPr>
          <w:rFonts w:ascii="Times New Roman"/>
          <w:b/>
          <w:i w:val="0"/>
          <w:strike w:val="0"/>
          <w:dstrike w:val="0"/>
          <w:emboss w:val="0"/>
          <w:imprint w:val="0"/>
          <w:outline w:val="0"/>
          <w:shadow w:val="0"/>
          <w:sz w:val="24"/>
          <w:szCs w:val="24"/>
          <w:u w:val="none"/>
        </w:rPr>
        <w:t xml:space="preserve">METHODOLOGY</w:t>
      </w:r>
      <w:bookmarkEnd w:id="54"/>
    </w:p>
    <w:p>
      <w:pPr>
        <w:pStyle w:val="Heading2"/>
        <w:spacing w:line="480" w:lineRule="auto"/>
        <w:ind w:left="720"/>
      </w:pPr>
      <w:bookmarkStart w:id="55" w:name="_Toc147923062"/>
      <w:r>
        <w:rPr>
          <w:rFonts w:ascii="Times New Roman"/>
          <w:b/>
          <w:i w:val="0"/>
          <w:strike w:val="0"/>
          <w:dstrike w:val="0"/>
          <w:emboss w:val="0"/>
          <w:imprint w:val="0"/>
          <w:outline w:val="0"/>
          <w:shadow w:val="0"/>
          <w:sz w:val="24"/>
          <w:szCs w:val="24"/>
          <w:u w:val="none"/>
        </w:rPr>
        <w:t xml:space="preserve">3.1 Introduction</w:t>
      </w:r>
      <w:bookmarkEnd w:id="55"/>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This chapter presents the research methodology and procedures employed in this study. The chapter begins with the study area profile, research philosophy, research approach and design, study population, sampling and sample size, sampling techniques, data sources, data collection tools and procedures, data analysis, and ethical considerations.</w:t>
      </w:r>
    </w:p>
    <w:p>
      <w:pPr>
        <w:pStyle w:val="Heading2"/>
        <w:spacing w:line="480" w:lineRule="auto"/>
        <w:ind w:left="720"/>
      </w:pPr>
      <w:bookmarkStart w:id="56" w:name="_Toc147923063"/>
      <w:r>
        <w:rPr>
          <w:rFonts w:ascii="Times New Roman"/>
          <w:b/>
          <w:i w:val="0"/>
          <w:strike w:val="0"/>
          <w:dstrike w:val="0"/>
          <w:emboss w:val="0"/>
          <w:imprint w:val="0"/>
          <w:outline w:val="0"/>
          <w:shadow w:val="0"/>
          <w:sz w:val="24"/>
          <w:szCs w:val="24"/>
          <w:u w:val="none"/>
        </w:rPr>
        <w:t xml:space="preserve">3.2 Study Area Profile</w:t>
      </w:r>
      <w:bookmarkEnd w:id="56"/>
    </w:p>
    <w:p>
      <w:pPr>
        <w:spacing w:after="0" w:line="480" w:lineRule="auto"/>
        <w:ind w:left="720"/>
        <w:jc w:val="both"/>
        <w:rPr>
          <w:color w:val="000000"/>
          <w:rFonts w:hAnsi="Times New Roman" w:ascii="Times New Roman" w:eastAsia="Calibri" w:cs="Times New Roman"/>
          <w:sz w:val="24"/>
          <w:szCs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This study was conducted in Mangu, a suburb of Wa municipality. The community is bordered by Charia to the North, Kambali to South, Sombo to the East and Dobile to the West. The community has an electoral population of approximately 7000 </w:t>
      </w:r>
      <w:r>
        <w:rPr>
          <w:color w:val="000000"/>
          <w:rFonts w:hAnsi="Times New Roman" w:ascii="Times New Roman" w:eastAsia="Calibri" w:cs="Times New Roman"/>
          <w:sz w:val="24"/>
          <w:szCs w:val="24"/>
        </w:rPr>
        <w:fldChar w:fldCharType="begin"/>
      </w:r>
      <w:r>
        <w:rPr>
          <w:color w:val="000000"/>
          <w:rFonts w:hAnsi="Times New Roman" w:ascii="Times New Roman" w:eastAsia="Calibri" w:cs="Times New Roman"/>
          <w:sz w:val="24"/>
          <w:szCs w:val="24"/>
        </w:rPr>
        <w:instrText xml:space="preserve">ADDIN CSL_CITATION {"citationItems":[{"id":"ITEM-1","itemData":{"DOI":"10.4102/JAMBA.V11I1.479","ISSN":"19961421","abstract":"Global demographic characteristics have witnessed a significant shift with more than half of the world’s population crossing the rural–urban threshold in 2008. In Ghana, the 2010 census report revealed 50.9% urban population. While the many benefits of organised and efficient cities are well understood, it must be recognised that rapid, often unplanned urbanisation brings risk of profound social instability, risk to critical infrastructure, potential water crises and the potential for devastating spread of disease. These risks can only be further exacerbated as this unprecedented transition from rural to urban areas continues. This also means stakes are high for public and private interventions to ensure that urbanisation reinforces rather than retards prosperity. In spite of these past experiences, urban governance policies in emerging smaller cities are frequently ambivalent and piecemeal, exhibiting similar negative tendencies, a development that has received less academic attention. This study adopted multiple research techniques and the data were generated through a structured questionnaire survey, personal interviews and discussions. Based on our conviction that the development trajectory of any city hinges on the quality of its physical foundation, we seek to fill the knowledge gap using the Wa Municipality, the least urbanised but one of the fastest urbanising cities in Ghana today, as a case study. The results reveal emerging tendencies that indicate that Wa appears to be following in the footsteps of its predecessors – experiencing an inefficient potable water supply system and chronic sanitation situation, making diarrhoea one of many challenges for residents. It is ultimately suggested that a collaborative partnership with all key stakeholders is a better option to reap the potential for urbanisation to strengthen economic growth and development.","author":[{"dropping-particle":"","family":"Oteng-Ababio","given":"Martin","non-dropping-particle":"","parse-names":false,"suffix":""},{"dropping-particle":"","family":"Owusu","given":"George","non-dropping-particle":"","parse-names":false,"suffix":""},{"dropping-particle":"","family":"Asafo","given":"Divine M.","non-dropping-particle":"","parse-names":false,"suffix":""}],"container-title":"Jamba: Journal of Disaster Risk Studies","id":"ITEM-1","issue":"1","issued":{"date-parts":[["2019"]]},"page":"1-10","title":"Following the footsteps: Urbanisation of Wa Municipality and its synergism in risk accumulation, uncertainties and complexities in urban Ghana","type":"article-journal","volume":"11"},"uris":["http://www.mendeley.com/documents/?uuid=6c5434b6-4f82-4acb-8e31-773abb9f8bb8"]}],"mendeley":{"formattedCitation":"(Oteng-Ababio et al., 2019)","plainTextFormattedCitation":"(Oteng-Ababio et al., 2019)","previouslyFormattedCitation":"(Oteng-Ababio et al., 2019)"},"properties":{"noteIndex":0},"schema":"https://github.com/citation-style-language/schema/raw/master/csl-citation.json"}</w:instrText>
      </w:r>
      <w:r>
        <w:rPr>
          <w:color w:val="000000"/>
          <w:rFonts w:hAnsi="Times New Roman" w:ascii="Times New Roman" w:eastAsia="Calibri" w:cs="Times New Roman"/>
          <w:sz w:val="24"/>
          <w:szCs w:val="24"/>
        </w:rPr>
        <w:fldChar w:fldCharType="separate"/>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(Oteng-Ababio et al., 2019)</w:t>
      </w:r>
      <w:r>
        <w:rPr>
          <w:color w:val="000000"/>
          <w:rFonts w:hAnsi="Times New Roman" w:ascii="Times New Roman" w:eastAsia="Calibri" w:cs="Times New Roman"/>
          <w:sz w:val="24"/>
          <w:szCs w:val="24"/>
        </w:rPr>
        <w:fldChar w:fldCharType="end"/>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with a household size of 4,276 </w:t>
      </w:r>
      <w:r>
        <w:rPr>
          <w:rFonts w:hAnsi="Times New Roman" w:ascii="Times New Roman" w:eastAsia="Times New Roman" w:cs="Times New Roman"/>
          <w:b w:val="0"/>
          <w:i w:val="0"/>
          <w:strike w:val="0"/>
          <w:dstrike w:val="0"/>
          <w:emboss w:val="0"/>
          <w:imprint w:val="0"/>
          <w:outline w:val="0"/>
          <w:shadow w:val="0"/>
          <w:sz w:val="24"/>
          <w:szCs w:val="24"/>
          <w:u w:val="none"/>
        </w:rPr>
        <w:t xml:space="preserve">(Wa Municipal Statistical Service, 2022).</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The physical features or characteristics of the Mangu community, such as climate, geology, soil, vegetation, and economic activities, are not different from those of the general Wa Municipal. The service sector predominantly employs 51.3% of the workforce, agriculture 30.2%, and local industries which employ 18.4% of the waste collectors</w:t>
      </w:r>
      <w:r>
        <w:rPr>
          <w:color w:val="000000"/>
          <w:rFonts w:hAnsi="Times New Roman" w:ascii="Times New Roman" w:eastAsia="Calibri" w:cs="Times New Roman"/>
          <w:sz w:val="24"/>
          <w:szCs w:val="24"/>
        </w:rPr>
        <w:fldChar w:fldCharType="begin"/>
      </w:r>
      <w:r>
        <w:rPr>
          <w:color w:val="000000"/>
          <w:rFonts w:hAnsi="Times New Roman" w:ascii="Times New Roman" w:eastAsia="Calibri" w:cs="Times New Roman"/>
          <w:sz w:val="24"/>
          <w:szCs w:val="24"/>
        </w:rPr>
        <w:instrText xml:space="preserve">ADDIN CSL_CITATION {"citationItems":[{"id":"ITEM-1","itemData":{"author":[{"dropping-particle":"","family":"GSS","given":"","non-dropping-particle":"","parse-names":false,"suffix":""}],"id":"ITEM-1","issued":{"date-parts":[["2014"]]},"title":"2010 Population and housing census District Analytical Report of Wa Municipality","type":"book"},"uris":["http://www.mendeley.com/documents/?uuid=593a19c9-7631-4577-a8cf-a10e7fe052d7"]}],"mendeley":{"formattedCitation":"(GSS, 2014)","plainTextFormattedCitation":"(GSS, 2014)","previouslyFormattedCitation":"(GSS, 2014)"},"properties":{"noteIndex":0},"schema":"https://github.com/citation-style-language/schema/raw/master/csl-citation.json"}</w:instrText>
      </w:r>
      <w:r>
        <w:rPr>
          <w:color w:val="000000"/>
          <w:rFonts w:hAnsi="Times New Roman" w:ascii="Times New Roman" w:eastAsia="Calibri" w:cs="Times New Roman"/>
          <w:sz w:val="24"/>
          <w:szCs w:val="24"/>
        </w:rPr>
        <w:fldChar w:fldCharType="separate"/>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(GSS, 2014)</w:t>
      </w:r>
      <w:r>
        <w:rPr>
          <w:color w:val="000000"/>
          <w:rFonts w:hAnsi="Times New Roman" w:ascii="Times New Roman" w:eastAsia="Calibri" w:cs="Times New Roman"/>
          <w:sz w:val="24"/>
          <w:szCs w:val="24"/>
        </w:rPr>
        <w:fldChar w:fldCharType="end"/>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w:t>
      </w:r>
    </w:p>
    <w:p>
      <w:pPr>
        <w:spacing w:after="0" w:line="480" w:lineRule="auto"/>
        <w:ind w:left="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Solid Waste Management among residents of Mangu and the Wa Municipality as a whole takes various forms and practices. The most widely used method of solid waste disposal is the public dump (container), which accounts for 44.6% of households in the municipality. In addition, only 24% of households use public skips (containers) as a method of solid waste disposal. However, 17.6%  of households dump their solid waste indiscriminately, while door-to-door waste collection accounts for 4.3%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{"citationItems":[{"id":"ITEM-1","itemData":{"author":[{"dropping-particle":"","family":"GSS","given":"","non-dropping-particle":"","parse-names":false,"suffix":""}],"id":"ITEM-1","issued":{"date-parts":[["2014"]]},"title":"2010 Population and housing census District Analytical Report of Wa Municipality","type":"book"},"uris":["http://www.mendeley.com/documents/?uuid=593a19c9-7631-4577-a8cf-a10e7fe052d7"]}],"mendeley":{"formattedCitation":"(GSS, 2014)","plainTextFormattedCitation":"(GSS, 2014)","previouslyFormattedCitation":"(GSS, 2014)"},"properties":{"noteIndex":0},"schema":"https://github.com/citation-style-language/schema/raw/master/csl-citation.json"}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(GSS, 2014)</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Parallel to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{"citationItems":[{"id":"ITEM-1","itemData":{"DOI":"10.4102/JAMBA.V11I1.479","ISSN":"19961421","abstract":"Global demographic characteristics have witnessed a significant shift with more than half of the world’s population crossing the rural–urban threshold in 2008. In Ghana, the 2010 census report revealed 50.9% urban population. While the many benefits of organised and efficient cities are well understood, it must be recognised that rapid, often unplanned urbanisation brings risk of profound social instability, risk to critical infrastructure, potential water crises and the potential for devastating spread of disease. These risks can only be further exacerbated as this unprecedented transition from rural to urban areas continues. This also means stakes are high for public and private interventions to ensure that urbanisation reinforces rather than retards prosperity. In spite of these past experiences, urban governance policies in emerging smaller cities are frequently ambivalent and piecemeal, exhibiting similar negative tendencies, a development that has received less academic attention. This study adopted multiple research techniques and the data were generated through a structured questionnaire survey, personal interviews and discussions. Based on our conviction that the development trajectory of any city hinges on the quality of its physical foundation, we seek to fill the knowledge gap using the Wa Municipality, the least urbanised but one of the fastest urbanising cities in Ghana today, as a case study. The results reveal emerging tendencies that indicate that Wa appears to be following in the footsteps of its predecessors – experiencing an inefficient potable water supply system and chronic sanitation situation, making diarrhoea one of many challenges for residents. It is ultimately suggested that a collaborative partnership with all key stakeholders is a better option to reap the potential for urbanisation to strengthen economic growth and development.","author":[{"dropping-particle":"","family":"Oteng-Ababio","given":"Martin","non-dropping-particle":"","parse-names":false,"suffix":""},{"dropping-particle":"","family":"Owusu","given":"George","non-dropping-particle":"","parse-names":false,"suffix":""},{"dropping-particle":"","family":"Asafo","given":"Divine M.","non-dropping-particle":"","parse-names":false,"suffix":""}],"container-title":"Jamba: Journal of Disaster Risk Studies","id":"ITEM-1","issue":"1","issued":{"date-parts":[["2019"]]},"page":"1-10","title":"Following the footsteps: Urbanisation of Wa Municipality and its synergism in risk accumulation, uncertainties and complexities in urban Ghana","type":"article-journal","volume":"11"},"uris":["http://www.mendeley.com/documents/?uuid=6c5434b6-4f82-4acb-8e31-773abb9f8bb8"]}],"mendeley":{"formattedCitation":"(Oteng-Ababio et al., 2019)","manualFormatting":"Oteng-Ababio et al. (2019)","plainTextFormattedCitation":"(Oteng-Ababio et al., 2019)","previouslyFormattedCitation":"(Oteng-Ababio et al., 2019)"},"properties":{"noteIndex":0},"schema":"https://github.com/citation-style-language/schema/raw/master/csl-citation.json"}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Oteng-Ababio et al. (2019)</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the discouraging solid waste management practices in Wa confirm previous statistics, which show that only 4.6% of the population has their solid waste collected door-to-door and 12.7% through the central communal skips systems. It has been argued that the ineffective application of door-to-door and public skip systems in SWM has compelled a substantial number (32%) of residents to engage in solid waste burning, whereas others (15%) indiscriminately dispose of solid waste and 8% in open public dumps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{"citationItems":[{"id":"ITEM-1","itemData":{"DOI":"10.4102/JAMBA.V11I1.479","ISSN":"19961421","abstract":"Global demographic characteristics have witnessed a significant shift with more than half of the world’s population crossing the rural–urban threshold in 2008. In Ghana, the 2010 census report revealed 50.9% urban population. While the many benefits of organised and efficient cities are well understood, it must be recognised that rapid, often unplanned urbanisation brings risk of profound social instability, risk to critical infrastructure, potential water crises and the potential for devastating spread of disease. These risks can only be further exacerbated as this unprecedented transition from rural to urban areas continues. This also means stakes are high for public and private interventions to ensure that urbanisation reinforces rather than retards prosperity. In spite of these past experiences, urban governance policies in emerging smaller cities are frequently ambivalent and piecemeal, exhibiting similar negative tendencies, a development that has received less academic attention. This study adopted multiple research techniques and the data were generated through a structured questionnaire survey, personal interviews and discussions. Based on our conviction that the development trajectory of any city hinges on the quality of its physical foundation, we seek to fill the knowledge gap using the Wa Municipality, the least urbanised but one of the fastest urbanising cities in Ghana today, as a case study. The results reveal emerging tendencies that indicate that Wa appears to be following in the footsteps of its predecessors – experiencing an inefficient potable water supply system and chronic sanitation situation, making diarrhoea one of many challenges for residents. It is ultimately suggested that a collaborative partnership with all key stakeholders is a better option to reap the potential for urbanisation to strengthen economic growth and development.","author":[{"dropping-particle":"","family":"Oteng-Ababio","given":"Martin","non-dropping-particle":"","parse-names":false,"suffix":""},{"dropping-particle":"","family":"Owusu","given":"George","non-dropping-particle":"","parse-names":false,"suffix":""},{"dropping-particle":"","family":"Asafo","given":"Divine M.","non-dropping-particle":"","parse-names":false,"suffix":""}],"container-title":"Jamba: Journal of Disaster Risk Studies","id":"ITEM-1","issue":"1","issued":{"date-parts":[["2019"]]},"page":"1-10","title":"Following the footsteps: Urbanisation of Wa Municipality and its synergism in risk accumulation, uncertainties and complexities in urban Ghana","type":"article-journal","volume":"11"},"uris":["http://www.mendeley.com/documents/?uuid=6c5434b6-4f82-4acb-8e31-773abb9f8bb8"]}],"mendeley":{"formattedCitation":"(Oteng-Ababio et al., 2019)","plainTextFormattedCitation":"(Oteng-Ababio et al., 2019)","previouslyFormattedCitation":"(Oteng-Ababio et al., 2019)"},"properties":{"noteIndex":0},"schema":"https://github.com/citation-style-language/schema/raw/master/csl-citation.json"}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(Oteng-Ababio et al., 2019)</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As a result, open drains, incomplete buildings, and open spaces in Mangu and Wa Town in general have become receptacles for plastics such as empty water sachets, plastic bottles, and bags. This situation describes the case of solid waste management in the Mangu community, a suburb of Wa municipality. </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 study by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{"citationItems":[{"id":"ITEM-1","itemData":{"DOI":"10.4102/JAMBA.V11I1.479","ISSN":"19961421","abstract":"Global demographic characteristics have witnessed a significant shift with more than half of the world’s population crossing the rural–urban threshold in 2008. In Ghana, the 2010 census report revealed 50.9% urban population. While the many benefits of organised and efficient cities are well understood, it must be recognised that rapid, often unplanned urbanisation brings risk of profound social instability, risk to critical infrastructure, potential water crises and the potential for devastating spread of disease. These risks can only be further exacerbated as this unprecedented transition from rural to urban areas continues. This also means stakes are high for public and private interventions to ensure that urbanisation reinforces rather than retards prosperity. In spite of these past experiences, urban governance policies in emerging smaller cities are frequently ambivalent and piecemeal, exhibiting similar negative tendencies, a development that has received less academic attention. This study adopted multiple research techniques and the data were generated through a structured questionnaire survey, personal interviews and discussions. Based on our conviction that the development trajectory of any city hinges on the quality of its physical foundation, we seek to fill the knowledge gap using the Wa Municipality, the least urbanised but one of the fastest urbanising cities in Ghana today, as a case study. The results reveal emerging tendencies that indicate that Wa appears to be following in the footsteps of its predecessors – experiencing an inefficient potable water supply system and chronic sanitation situation, making diarrhoea one of many challenges for residents. It is ultimately suggested that a collaborative partnership with all key stakeholders is a better option to reap the potential for urbanisation to strengthen economic growth and development.","author":[{"dropping-particle":"","family":"Oteng-Ababio","given":"Martin","non-dropping-particle":"","parse-names":false,"suffix":""},{"dropping-particle":"","family":"Owusu","given":"George","non-dropping-particle":"","parse-names":false,"suffix":""},{"dropping-particle":"","family":"Asafo","given":"Divine M.","non-dropping-particle":"","parse-names":false,"suffix":""}],"container-title":"Jamba: Journal of Disaster Risk Studies","id":"ITEM-1","issue":"1","issued":{"date-parts":[["2019"]]},"page":"1-10","title":"Following the footsteps: Urbanisation of Wa Municipality and its synergism in risk accumulation, uncertainties and complexities in urban Ghana","type":"article-journal","volume":"11"},"uris":["http://www.mendeley.com/documents/?uuid=6c5434b6-4f82-4acb-8e31-773abb9f8bb8"]}],"mendeley":{"formattedCitation":"(Oteng-Ababio et al., 2019)","plainTextFormattedCitation":"(Oteng-Ababio et al., 2019)","previouslyFormattedCitation":"(Oteng-Ababio et al.,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Oteng-Ababio et al.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found that more than half (51%) of the residents burned their solid waste, while 23.8% engaged in indiscriminate dumping, and 14.3% engaged in open dumping in the Mangu community. Therefore, this study sought to investigate residents’ knowledge, attitudes, and practices regarding solid waste management as well as their willingness to pay for solid waste collection and disposal services.</w:t>
      </w:r>
    </w:p>
    <w:p>
      <w:pPr>
        <w:pStyle w:val="ListParagraph"/>
        <w:spacing w:before="40" w:after="0" w:line="480" w:lineRule="auto"/>
        <w:rPr>
          <w:rFonts w:hAnsi="Times New Roman" w:ascii="Times New Roman" w:eastAsia="Times New Roman" w:cs="Times New Roman"/>
          <w:b/>
          <w:bCs/>
          <w:sz w:val="24"/>
          <w:szCs w:val="24"/>
        </w:rPr>
      </w:pPr>
      <w:r>
        <w:rPr>
          <w:rFonts w:hAnsi="Times New Roman" w:ascii="Times New Roman"/>
          <w:b/>
          <w:i w:val="0"/>
          <w:strike w:val="0"/>
          <w:dstrike w:val="0"/>
          <w:emboss w:val="0"/>
          <w:imprint w:val="0"/>
          <w:outline w:val="0"/>
          <w:shadow w:val="0"/>
          <w:sz w:val="24"/>
          <w:szCs w:val="24"/>
          <w:u w:val="none"/>
        </w:rPr>
        <w:t xml:space="preserve">3.3 Research Philosophy</w:t>
      </w:r>
    </w:p>
    <w:p>
      <w:pPr>
        <w:pStyle w:val="ListParagraph"/>
        <w:spacing w:line="480" w:lineRule="auto"/>
        <w:jc w:val="both"/>
        <w:rPr>
          <w:rFonts w:hAnsi="Times New Roman" w:ascii="Times New Roman" w:eastAsia="Times New Roman" w:cs="Times New Roman"/>
          <w:bCs/>
          <w:sz w:val="24"/>
          <w:szCs w:val="24"/>
        </w:rPr>
      </w:pPr>
      <w:r>
        <w:rPr>
          <w:rFonts w:hAnsi="Times New Roman" w:ascii="Times New Roman" w:eastAsia="Times New Roman" w:cs="Times New Roman"/>
          <w:b w:val="0"/>
          <w:bCs/>
          <w:i w:val="0"/>
          <w:strike w:val="0"/>
          <w:dstrike w:val="0"/>
          <w:emboss w:val="0"/>
          <w:imprint w:val="0"/>
          <w:outline w:val="0"/>
          <w:shadow w:val="0"/>
          <w:sz w:val="24"/>
          <w:szCs w:val="24"/>
          <w:u w:val="none"/>
        </w:rPr>
        <w:t xml:space="preserve">In this study, the pragmatist philosophy was employed. The mixed-method approach adopted for this study placed significant emphasis on the practical aspects of the research methods, thereby introducing pragmatism as a paradigm for the study. As such, pragmatism is inherently linked to mixed-methods research. According to Creswell (2009), this paradigm is based on demonstrating the broad value of pragmatism as a philosophical system along with its immediate practicality for issues such as research design. Classic pragmatism, not a methodology in itself, is a doctrine of meaning and a theory of truth. It holds that the meaning of an event cannot be given in advance of the experience (Creswell, 2009). This study focuses on the consequences and meanings that residents of the Mangu community attribute to solid waste management situations. This makes pragmatism a suitable paradigm for analysing solid waste management as human activity. Creswell (2009) notes that pragmatism emphasises the importance of joining beliefs and actions in the process of enquiry that underlies any research on knowledge. The adoption of pragmatism as the best paradigm for this study is also based on the fact that it has less influence on philosophical assumptions regarding research methods. This results in fewer restrictions on how one can conduct research. Pragmatism, according to Johnson and Onwuegbuzie (2004) and Onwuegbuzie and Johnson (2006), considers "what works" to answer research questions rather than making a choice between the positivist/post-positivist or constructivist paradigms. Accordingly, pragmatism was selected as the paradigm for this study because it offers a balanced and flexible approach to research, combining both quantitative and qualitative methods to answer research questions (Creswell, 2009). This allowed researchers to adopt the most practical and effective approach to address the research objectives. The adoption of pragmatism as an appropriate paradigm for understanding mixed methods in solid waste management is justified by the fact that it provides solutions to practical problems.</w:t>
      </w:r>
    </w:p>
    <w:p>
      <w:pPr>
        <w:pStyle w:val="ListParagraph"/>
        <w:spacing w:line="480" w:lineRule="auto"/>
        <w:jc w:val="both"/>
        <w:rPr>
          <w:rFonts w:hAnsi="Times New Roman" w:ascii="Times New Roman" w:eastAsia="Times New Roman" w:cs="Times New Roman"/>
          <w:bCs/>
          <w:sz w:val="24"/>
          <w:szCs w:val="24"/>
        </w:rPr>
      </w:pPr>
      <w:r>
        <w:rPr>
          <w:rFonts w:hAnsi="Times New Roman" w:ascii="Times New Roman" w:eastAsia="Times New Roman" w:cs="Times New Roman"/>
          <w:b w:val="0"/>
          <w:bCs/>
          <w:i w:val="0"/>
          <w:strike w:val="0"/>
          <w:dstrike w:val="0"/>
          <w:emboss w:val="0"/>
          <w:imprint w:val="0"/>
          <w:outline w:val="0"/>
          <w:shadow w:val="0"/>
          <w:sz w:val="24"/>
          <w:szCs w:val="24"/>
          <w:u w:val="none"/>
        </w:rPr>
        <w:lastRenderedPageBreak/>
        <w:t xml:space="preserve">Therefore, this study embraces the mixed-method approach in investigating the knowledge, attitudes, and practices of residents in the Mangu community of the Wa Municipality towards solid waste management.</w:t>
      </w:r>
    </w:p>
    <w:p>
      <w:pPr>
        <w:pStyle w:val="Heading2"/>
        <w:spacing w:line="480" w:lineRule="auto"/>
        <w:ind w:left="720"/>
      </w:pPr>
      <w:bookmarkStart w:id="57" w:name="_Toc147923064"/>
      <w:r>
        <w:rPr>
          <w:rFonts w:ascii="Times New Roman"/>
          <w:b/>
          <w:i w:val="0"/>
          <w:strike w:val="0"/>
          <w:dstrike w:val="0"/>
          <w:emboss w:val="0"/>
          <w:imprint w:val="0"/>
          <w:outline w:val="0"/>
          <w:shadow w:val="0"/>
          <w:sz w:val="24"/>
          <w:szCs w:val="24"/>
          <w:u w:val="none"/>
        </w:rPr>
        <w:t xml:space="preserve">3.4 Research Approach and Study Design</w:t>
      </w:r>
      <w:bookmarkEnd w:id="57"/>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This study was conducted using a mixed-methods approach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Students","edition":"8th editio","id":"ITEM-1","issued":{"date-parts":[["2019"]]},"page":"128-170","title":"Research methods for business students","type":"chapter"},"uris":["http://www.mendeley.com/documents/?uuid=8fc7a43f-1651-46d6-9cff-d895215ca9da"]}],"mendeley":{"formattedCitation":"(Saunders et al., 2019)","plainTextFormattedCitation":"(Saunders et al., 2019)","previouslyFormattedCitation":"(Saunders et al.,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(Saunders et al.,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 mixed methods research is an approach to investigation that combines both quantitative and qualitative procedures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{"citationItems":[{"id":"ITEM-1","itemData":{"ISBN":"9781412965569","author":[{"dropping-particle":"","family":"Creswell","given":"John W","non-dropping-particle":"","parse-names":false,"suffix":""}],"edition":"3rd editio","id":"ITEM-1","issued":{"date-parts":[["2009"]]},"title":"Research design: Qualitative, quantitative, and mixed methods approaches","type":"book"},"uris":["http://www.mendeley.com/documents/?uuid=e75bca96-9925-4665-ab30-9787e80fe9f3"]}],"mendeley":{"formattedCitation":"(Creswell, 2009)","plainTextFormattedCitation":"(Creswell, 2009)","previouslyFormattedCitation":"(Creswell, 2009)"},"properties":{"noteIndex":0},"schema":"https://github.com/citation-style-language/schema/raw/master/csl-citation.json"}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(Creswell, 2009)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This approach allowed the researcher to find solutions to questions that could not be addressed by either quantitative or qualitative methods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{"citationItems":[{"id":"ITEM-1","itemData":{"ISBN":"9780131367395","author":[{"dropping-particle":"","family":"Creswell","given":"John W","non-dropping-particle":"","parse-names":false,"suffix":""}],"edition":"4th editio","id":"ITEM-1","issued":{"date-parts":[["2012"]]},"title":"Educational Research Planning,Conducting, and Evaluating Quantitative and Qualitative Research","type":"book"},"uris":["http://www.mendeley.com/documents/?uuid=4c116e99-6e66-418b-81f9-5438db0900e6"]}],"mendeley":{"formattedCitation":"(Creswell, 2012)","plainTextFormattedCitation":"(Creswell, 2012)","previouslyFormattedCitation":"(Creswell, 2012)"},"properties":{"noteIndex":0},"schema":"https://github.com/citation-style-language/schema/raw/master/csl-citation.json"}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(Creswell, 2012)</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b w:val="0"/>
          <w:i w:val="0"/>
          <w:strike w:val="0"/>
          <w:dstrike w:val="0"/>
          <w:emboss w:val="0"/>
          <w:imprint w:val="0"/>
          <w:outline w:val="0"/>
          <w:shadow w:val="0"/>
          <w:sz w:val="24"/>
          <w:szCs w:val="24"/>
          <w:u w:val="none"/>
        </w:rPr>
        <w:t xml:space="preserve">In addition, this approach was viewed as possible by the fact that solid waste management required standardized and opinion-oriented enquiries to appropriately discourse the issue under investigation. </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Based on this assumption, the study employed a sequential explanatory mixed-methods study design, drawing logically on quantitative and qualitative methodologies to properly answer the study questions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Students","edition":"8th editio","id":"ITEM-1","issued":{"date-parts":[["2019"]]},"page":"128-170","title":"Research methods for business students","type":"chapter"},"uris":["http://www.mendeley.com/documents/?uuid=8fc7a43f-1651-46d6-9cff-d895215ca9da"]}],"mendeley":{"formattedCitation":"(Saunders et al., 2019)","plainTextFormattedCitation":"(Saunders et al., 2019)","previouslyFormattedCitation":"(Saunders et al.,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(Saunders et al.,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There are three types of mixed method research designs: convergent parallel design, explanatory sequential design, and exploratory sequential design. For this study, an explanatory sequential mixed methods design was chosen because the researcher collected quantitative data first, followed by qualitative data to help explain or elaborate on the quantitative results. The rationale for this approach is that quantitative data and results provide a general picture of residents’ KAP, which requires further analysis, specifically through qualitative data collection, to refine, extend, or explain </w:t>
        <w:t xml:space="preserve">quantitative results</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{"citationItems":[{"id":"ITEM-1","itemData":{"ISBN":"9780131367395","author":[{"dropping-particle":"","family":"Creswell","given":"John W","non-dropping-particle":"","parse-names":false,"suffix":""}],"edition":"4th editio","id":"ITEM-1","issued":{"date-parts":[["2012"]]},"title":"Educational Research Planning,Conducting, and Evaluating Quantitative and Qualitative Research","type":"book"},"uris":["http://www.mendeley.com/documents/?uuid=4c116e99-6e66-418b-81f9-5438db0900e6"]}],"mendeley":{"formattedCitation":"(Creswell, 2012)","plainTextFormattedCitation":"(Creswell, 2012)","previouslyFormattedCitation":"(Creswell, 2012)"},"properties":{"noteIndex":0},"schema":"https://github.com/citation-style-language/schema/raw/master/csl-citation.json"}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(Creswell, 2012)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In addition, the researcher adopted an explanatory sequential design to investigate solid waste management and to explain the relationship between the variables, knowledge, attitude, and practice of residents towards waste management in the Mangu community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9780273716860","author":[{"dropping-particle":"","family":"Saunders","given":"Mark","non-dropping-particle":"","parse-names":false,"suffix":""},{"dropping-particle":"","family":"Lewis","given":"Philip","non-dropping-particle":"","parse-names":false,"suffix":""},{"dropping-particle":"","family":"Thornhill","given":"Adrian","non-dropping-particle":"","parse-names":false,"suffix":""}],"edition":"5th editio","id":"ITEM-1","issued":{"date-parts":[["2009"]]},"publisher":"British Library Cataloguing-in-Publication Data","publisher-place":"England","title":"Research methods for business students","type":"book"},"uris":["http://www.mendeley.com/documents/?uuid=a3bacf92-a8da-408b-9429-1de13b39db62"]}],"mendeley":{"formattedCitation":"(Saunders et al., 2009)","plainTextFormattedCitation":"(Saunders et al., 2009)","previouslyFormattedCitation":"(Saunders et al., 2009)"},"properties":{"noteIndex":0},"schema":"https://github.com/citation-style-language/schema/raw/master/csl-citation.json"}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(Saunders et al., 2009)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This study design offered the researcher the opportunity to collect objective data before subjective data collection. Subjective results were used to explain objective results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Students","edition":"8th editio","id":"ITEM-1","issued":{"date-parts":[["2019"]]},"page":"128-170","title":"Research methods for business students","type":"chapter"},"uris":["http://www.mendeley.com/documents/?uuid=8fc7a43f-1651-46d6-9cff-d895215ca9da"]},{"id":"ITEM-2","itemData":{"ISBN":"9780131367395","author":[{"dropping-particle":"","family":"Creswell","given":"John W","non-dropping-particle":"","parse-names":false,"suffix":""}],"edition":"4th editio","id":"ITEM-2","issued":{"date-parts":[["2012"]]},"title":"Educational Research Planning,Conducting, and Evaluating Quantitative and Qualitative Research","type":"book"},"uris":["http://www.mendeley.com/documents/?uuid=4c116e99-6e66-418b-81f9-5438db0900e6"]}],"mendeley":{"formattedCitation":"(Creswell, 2012; Saunders et al., 2019)","plainTextFormattedCitation":"(Creswell, 2012; Saunders et al., 2019)","previouslyFormattedCitation":"(Creswell, 2012; Saunders et al.,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(Creswell, 2012; Saunders et al.,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Thus, the researcher first collected quantitative data, after which variables that were not explained were explored qualitatively to provide further explanation of the quantitative results.</w:t>
      </w:r>
    </w:p>
    <w:p>
      <w:pPr>
        <w:pStyle w:val="Heading2"/>
        <w:spacing w:line="480" w:lineRule="auto"/>
        <w:ind w:left="720"/>
      </w:pPr>
      <w:bookmarkStart w:id="58" w:name="_Toc147923065"/>
      <w:r>
        <w:rPr>
          <w:rFonts w:ascii="Times New Roman"/>
          <w:b/>
          <w:i w:val="0"/>
          <w:strike w:val="0"/>
          <w:dstrike w:val="0"/>
          <w:emboss w:val="0"/>
          <w:imprint w:val="0"/>
          <w:outline w:val="0"/>
          <w:shadow w:val="0"/>
          <w:sz w:val="24"/>
          <w:szCs w:val="24"/>
          <w:u w:val="none"/>
        </w:rPr>
        <w:t xml:space="preserve">3.5 Study Population</w:t>
      </w:r>
      <w:bookmarkEnd w:id="58"/>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Neuman (2007) defines population as the name for a large general group of many cases from which a researcher draws a sample. It is the group that is of interest to the researcher and the group to which the researcher would like to generalise the findings of the study (Fraenkel &amp;Wallen, 2003). Based on this, the target population for the study was residents of the Mangu community and all institutional stakeholders who provided waste management services to the community. A sample was drawn from this population to participate in the study. </w:t>
      </w:r>
    </w:p>
    <w:p>
      <w:pPr>
        <w:pStyle w:val="Heading2"/>
        <w:spacing w:line="480" w:lineRule="auto"/>
        <w:ind w:left="720"/>
      </w:pPr>
      <w:bookmarkStart w:id="59" w:name="_Toc147923066"/>
      <w:r>
        <w:rPr>
          <w:rFonts w:ascii="Times New Roman"/>
          <w:b/>
          <w:i w:val="0"/>
          <w:strike w:val="0"/>
          <w:dstrike w:val="0"/>
          <w:emboss w:val="0"/>
          <w:imprint w:val="0"/>
          <w:outline w:val="0"/>
          <w:shadow w:val="0"/>
          <w:sz w:val="24"/>
          <w:szCs w:val="24"/>
          <w:u w:val="none"/>
        </w:rPr>
        <w:t xml:space="preserve">3.6 Sampling and Sampling Technique</w:t>
      </w:r>
      <w:bookmarkEnd w:id="59"/>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Sampling, according to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{"citationItems":[{"id":"ITEM-1","itemData":{"DOI":"10.4103/jpcs.jpcs_62_19","ISSN":"2395-5414","abstract":"Sampling is one of the most important factors which determines the accuracy of a study. This article review the sampling techniques used in research including Probability sampling techniques, which include simple random sampling, systematic random sampling and stratified random sampling and Non-probability sampling, which include quota sampling, self-selection sampling, convenience sampling, snowball sampling and purposive sampling.","author":[{"dropping-particle":"","family":"Bhardwaj","given":"Pooja","non-dropping-particle":"","parse-names":false,"suffix":""}],"container-title":"Journal of the Practice of Cardiovascular Sciences","id":"ITEM-1","issue":"3","issued":{"date-parts":[["2019"]]},"page":"157","title":"Types of sampling in research","type":"article-journal","volume":"5"},"uris":["http://www.mendeley.com/documents/?uuid=2a30b616-790c-47f7-bf7a-89d77491d944"]}],"mendeley":{"formattedCitation":"(Bhardwaj, 2019)","manualFormatting":"Bhardwaj(2019)","plainTextFormattedCitation":"(Bhardwaj, 2019)","previouslyFormattedCitation":"(Bhardwaj,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Bhardwaj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is a procedure to select a sample from an individual or from a large group of populations for certain research purposes, while a sample is a group of people, objects, or items that are taken from a large population for measurement. In addition, sampling is a technique employed by a researcher to systematically select a relatively small number of representative items or individuals from a predefined population to serve as subjects for observation or experimentation as per study objectives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{"citationItems":[{"id":"ITEM-1","itemData":{"author":[{"dropping-particle":"","family":"Sharma","given":"Gaganpreet","non-dropping-particle":"","parse-names":false,"suffix":""}],"id":"ITEM-1","issue":"7","issued":{"date-parts":[["2017"]]},"page":"749-752","title":"Pros and cons of different sampling techniques","type":"article-journal","volume":"3"},"uris":["http://www.mendeley.com/documents/?uuid=708894d1-25eb-46d7-bf84-51429c9840d8"]}],"mendeley":{"formattedCitation":"(Sharma, 2017)","plainTextFormattedCitation":"(Sharma, 2017)","previouslyFormattedCitation":"(Sharma, 2017)"},"properties":{"noteIndex":0},"schema":"https://github.com/citation-style-language/schema/raw/master/csl-citation.json"}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(Sharma, 2017)</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The reason behind sampling is that it is challenging for the researcher to cover the entire population due to the academic calendar and inadequate resources. </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Based on the above, the researcher employed probability sampling, a systematic sampling technique, and non-probability sampling, specifically, purposive sampling techniques, to gather data from the participants. Systematic sampling is a probability sampling procedure in which a random selection is made of the first element of the sample, and then subsequent elements are selected using a fixed or systematic interval until the desired sample size is reached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{"citationItems":[{"id":"ITEM-1","itemData":{"DOI":"DOI: https://dx.doi.org/10.4135/9781452272047","ISBN":"9781412952217","author":[{"dropping-particle":"","family":"Daniel","given":"Johnnie","non-dropping-particle":"","parse-names":false,"suffix":""}],"container-title":"SAGE Publications, Inc.","id":"ITEM-1","issued":{"date-parts":[["2012"]]},"title":"Choosing the Type of Probability Sampling; In Sampling Essentials: Practical Guidelines for Making Sampling Choices","type":"article-journal"},"uris":["http://www.mendeley.com/documents/?uuid=05552ea7-5f83-4e45-83ed-143927dad524"]}],"mendeley":{"formattedCitation":"(Daniel, 2012)","plainTextFormattedCitation":"(Daniel, 2012)","previouslyFormattedCitation":"(Daniel, 2012)"},"properties":{"noteIndex":0},"schema":"https://github.com/citation-style-language/schema/raw/master/csl-citation.json"}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(Daniel, 2012)</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This requires that the initial sampling point be selected at random, and then the cases are selected at regular intervals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10.4172/2162-6359.1000403","author":[{"dropping-particle":"","family":"Rahi","given":"Samar","non-dropping-particle":"","parse-names":false,"suffix":""}],"id":"ITEM-1","issue":"2","issued":{"date-parts":[["2017"]]},"title":"Research Design and Methods : A Systematic Review of Research Paradigms , Sampling Issues and Instruments Development International Journal of Economics &amp;","type":"article-journal","volume":"6"},"uris":["http://www.mendeley.com/documents/?uuid=aa03704b-d58e-416c-8fc8-e437a730beaa"]}],"mendeley":{"formattedCitation":"(Rahi, 2017)","plainTextFormattedCitation":"(Rahi, 2017)","previouslyFormattedCitation":"(Rahi, 2017)"},"properties":{"noteIndex":0},"schema":"https://github.com/citation-style-language/schema/raw/master/csl-citation.json"}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(Rahi, 2017)</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 Consequently, the researcher systematically administered the survey questionnaire to every third household in the community to attain the sample size of the study. Overall, this procedure made it easy to create, conduct, and analyse the sample with minimal risk factors </w:t>
      </w:r>
      <w:r>
        <w:rPr>
          <w:rFonts w:hAnsi="Times New Roman" w:ascii="Times New Roman" w:eastAsia="Times New Roman" w:cs="Times New Roman"/>
          <w:sz w:val="24"/>
          <w:szCs w:val="24"/>
        </w:rPr>
        <w:fldChar w:fldCharType="begin"/>
      </w:r>
      <w:r>
        <w:rPr>
          <w:rFonts w:hAnsi="Times New Roman" w:ascii="Times New Roman" w:eastAsia="Times New Roman" w:cs="Times New Roman"/>
          <w:sz w:val="24"/>
          <w:szCs w:val="24"/>
        </w:rPr>
        <w:instrText xml:space="preserve">ADDIN CSL_CITATION {"citationItems":[{"id":"ITEM-1","itemData":{"DOI":"10.4103/jpcs.jpcs_62_19","ISSN":"2395-5414","abstract":"Sampling is one of the most important factors which determines the accuracy of a study. This article review the sampling techniques used in research including Probability sampling techniques, which include simple random sampling, systematic random sampling and stratified random sampling and Non-probability sampling, which include quota sampling, self-selection sampling, convenience sampling, snowball sampling and purposive sampling.","author":[{"dropping-particle":"","family":"Bhardwaj","given":"Pooja","non-dropping-particle":"","parse-names":false,"suffix":""}],"container-title":"Journal of the Practice of Cardiovascular Sciences","id":"ITEM-1","issue":"3","issued":{"date-parts":[["2019"]]},"page":"157","title":"Types of sampling in research","type":"article-journal","volume":"5"},"uris":["http://www.mendeley.com/documents/?uuid=2a30b616-790c-47f7-bf7a-89d77491d944"]}],"mendeley":{"formattedCitation":"(Bhardwaj, 2019)","plainTextFormattedCitation":"(Bhardwaj, 2019)","previouslyFormattedCitation":"(Bhardwaj, 2019)"},"properties":{"noteIndex":0},"schema":"https://github.com/citation-style-language/schema/raw/master/csl-citation.json"}</w:instrText>
      </w:r>
      <w:r>
        <w:rPr>
          <w:rFonts w:hAnsi="Times New Roman" w:ascii="Times New Roman" w:eastAsia="Times New Roman" w:cs="Times New Roman"/>
          <w:sz w:val="24"/>
          <w:szCs w:val="24"/>
        </w:rPr>
        <w:fldChar w:fldCharType="separate"/>
      </w:r>
      <w:r>
        <w:rPr>
          <w:rFonts w:hAnsi="Times New Roman" w:ascii="Times New Roman" w:eastAsia="Times New Roman" w:cs="Times New Roman"/>
          <w:b w:val="0"/>
          <w:i w:val="0"/>
          <w:strike w:val="0"/>
          <w:dstrike w:val="0"/>
          <w:emboss w:val="0"/>
          <w:imprint w:val="0"/>
          <w:outline w:val="0"/>
          <w:shadow w:val="0"/>
          <w:sz w:val="24"/>
          <w:szCs w:val="24"/>
          <w:u w:val="none"/>
        </w:rPr>
        <w:t xml:space="preserve">(Bhardwaj, 2019)</w:t>
      </w:r>
      <w:r>
        <w:rPr>
          <w:rFonts w:hAnsi="Times New Roman" w:ascii="Times New Roman" w:eastAsia="Times New Roman" w:cs="Times New Roman"/>
          <w:sz w:val="24"/>
          <w:szCs w:val="24"/>
        </w:rPr>
        <w:fldChar w:fldCharType="end"/>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p>
      <w:pPr>
        <w:spacing w:line="480" w:lineRule="auto"/>
        <w:ind w:left="720"/>
        <w:contextualSpacing w:val="1"/>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 addition to the quantitative sampling procedure, a purposive sampling technique was used to select the key community informants and institutional stakeholders for the study. According to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{"citationItems":[{"id":"ITEM-1","itemData":{"author":[{"dropping-particle":"","family":"Thomas","given":"Fr Baiju","non-dropping-particle":"","parse-names":false,"suffix":""}],"id":"ITEM-1","issue":"5","issued":{"date-parts":[["2022"]]},"title":"The Role of Purposive Sampling Technique as a Tool for Informal Choices in a Social Sciences in Research Methods","type":"article-journal","volume":"2"},"uris":["http://www.mendeley.com/documents/?uuid=f91aec69-3ac9-422c-8453-76736576e893"]}],"mendeley":{"formattedCitation":"(Thomas, 2022)","plainTextFormattedCitation":"(Thomas, 2022)","previouslyFormattedCitation":"(Thomas, 2022)"},"properties":{"noteIndex":0},"schema":"https://github.com/citation-style-language/schema/raw/master/csl-citation.json"}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Thomas (2022)</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purposive sampling is used to quickly and effectively reduce the pool of potential participants. Purposive sampling is also known as judgmental, selective, or subjective sampling and reflects a group of sampling techniques that rely on the judgment of the researcher when selecting the units to be studied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{"citationItems":[{"id":"ITEM-1","itemData":{"author":[{"dropping-particle":"","family":"Sharma","given":"Gaganpreet","non-dropping-particle":"","parse-names":false,"suffix":""}],"id":"ITEM-1","issue":"7","issued":{"date-parts":[["2017"]]},"page":"749-752","title":"Pros and cons of different sampling techniques","type":"article-journal","volume":"3"},"uris":["http://www.mendeley.com/documents/?uuid=708894d1-25eb-46d7-bf84-51429c9840d8"]}],"mendeley":{"formattedCitation":"(Sharma, 2017)","plainTextFormattedCitation":"(Sharma, 2017)","previouslyFormattedCitation":"(Sharma, 2017)"},"properties":{"noteIndex":0},"schema":"https://github.com/citation-style-language/schema/raw/master/csl-citation.json"}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(Sharma, 2017)</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Based on this, the researcher purposively selected the </w:t>
      </w:r>
      <w:r>
        <w:rPr>
          <w:rFonts w:hAnsi="Times New Roman" w:ascii="Times New Roman" w:eastAsia="Times New Roman" w:cs="Times New Roman"/>
          <w:b w:val="0"/>
          <w:i w:val="0"/>
          <w:strike w:val="0"/>
          <w:dstrike w:val="0"/>
          <w:emboss w:val="0"/>
          <w:imprint w:val="0"/>
          <w:outline w:val="0"/>
          <w:shadow w:val="0"/>
          <w:sz w:val="24"/>
          <w:szCs w:val="24"/>
          <w:u w:val="none"/>
        </w:rPr>
        <w:t xml:space="preserve">assembly member, chief, female leader of the Mangu community, Manager of the Municipal Zoomlion’s Ghana, and Municipal Environmental Officer for the interviews. These key informants were selected because they had key knowledge and information about residents’ knowledge, attitudes, and practices regarding solid waste management in the community. Therefore, </w:t>
      </w:r>
      <w:r>
        <w:rPr>
          <w:rFonts w:hAnsi="Times New Roman" w:ascii="Times New Roman" w:cs="Times New Roman"/>
          <w:b w:val="0"/>
          <w:i w:val="0"/>
          <w:strike w:val="0"/>
          <w:dstrike w:val="0"/>
          <w:emboss w:val="0"/>
          <w:imprint w:val="0"/>
          <w:outline w:val="0"/>
          <w:shadow w:val="0"/>
          <w:sz w:val="24"/>
          <w:szCs w:val="24"/>
          <w:u w:val="none"/>
        </w:rPr>
        <w:t xml:space="preserve">participants were selected to offer further explanationof the study’s research questions and objectives to strengthen the quantitative results. According to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ADDIN CSL_CITATION {"citationItems":[{"id":"ITEM-1","itemData":{"author":[{"dropping-particle":"","family":"Sharma","given":"Gaganpreet","non-dropping-particle":"","parse-names":false,"suffix":""}],"id":"ITEM-1","issue":"7","issued":{"date-parts":[["2017"]]},"page":"749-752","title":"Pros and cons of different sampling techniques","type":"article-journal","volume":"3"},"uris":["http://www.mendeley.com/documents/?uuid=708894d1-25eb-46d7-bf84-51429c9840d8"]}],"mendeley":{"formattedCitation":"(Sharma, 2017)","manualFormatting":"Sharma (2017)","plainTextFormattedCitation":"(Sharma, 2017)","previouslyFormattedCitation":"(Sharma, 2017)"},"properties":{"noteIndex":0},"schema":"https://github.com/citation-style-language/schema/raw/master/csl-citation.json"}</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Sharma (2017)</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a purposive sampling technique is appropriate when the researcher intends to obtain in-depth information from the phenomenon studied, and not for the purpose ofgeneralisation.</w:t>
      </w:r>
    </w:p>
    <w:p>
      <w:pPr>
        <w:pStyle w:val="Heading2"/>
        <w:spacing w:line="480" w:lineRule="auto"/>
        <w:ind w:left="720"/>
      </w:pPr>
      <w:bookmarkStart w:id="60" w:name="_Toc147923067"/>
      <w:r>
        <w:rPr>
          <w:rFonts w:ascii="Times New Roman"/>
          <w:b/>
          <w:i w:val="0"/>
          <w:strike w:val="0"/>
          <w:dstrike w:val="0"/>
          <w:emboss w:val="0"/>
          <w:imprint w:val="0"/>
          <w:outline w:val="0"/>
          <w:shadow w:val="0"/>
          <w:sz w:val="24"/>
          <w:szCs w:val="24"/>
          <w:u w:val="none"/>
        </w:rPr>
        <w:t xml:space="preserve">3.6.1 Sample Size Determination</w:t>
      </w:r>
      <w:bookmarkEnd w:id="60"/>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Mangu community had 4,276 households as the sample frame for this study. This was based on Wa Municipal Statistical Service projections for the 2020 population and housing census (Wa Municipal Statistical Service, 21/06/2022, 3:29pm). The researcher determined the sample size for this study based on this sample frame. The sample size was determined using Slovin’s formula (1960):</w:t>
      </w:r>
    </w:p>
    <w:p>
      <w:pPr>
        <w:jc w:val="center"/>
        <w:rPr>
          <w:rFonts w:hAnsi="Times New Roman" w:ascii="Times New Roman" w:eastAsiaTheme="minorEastAsia" w:cs="Times New Roman"/>
          <w:sz w:val="28"/>
          <w:szCs w:val="28"/>
        </w:rPr>
      </w:pPr>
      <w:r>
        <w:rPr>
          <w:rFonts w:hAnsi="Times New Roman" w:ascii="Times New Roman" w:eastAsiaTheme="minorEastAsia" w:cs="Times New Roman"/>
          <w:b w:val="0"/>
          <w:i w:val="0"/>
          <w:strike w:val="0"/>
          <w:dstrike w:val="0"/>
          <w:emboss w:val="0"/>
          <w:imprint w:val="0"/>
          <w:outline w:val="0"/>
          <w:shadow w:val="0"/>
          <w:sz w:val="28"/>
          <w:szCs w:val="28"/>
          <w:u w:val="none"/>
        </w:rPr>
        <w:t xml:space="preserve">                      (1)</w:t>
      </w:r>
    </w:p>
    <w:p>
      <w:pPr>
        <w:spacing w:line="480" w:lineRule="auto"/>
        <w:ind w:left="720"/>
        <w:contextualSpacing w:val="1"/>
        <w:jc w:val="both"/>
        <w:rPr>
          <w:rFonts w:hAnsi="Times New Roman" w:ascii="Times New Roman" w:eastAsia="Calibri" w:cs="Times New Roman"/>
          <w:bCs/>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where n is the sample size to be determined, N is the population size (4276), and e is</w:t>
      </w:r>
      <w:r>
        <w:rPr>
          <w:rFonts w:hAnsi="Times New Roman" w:ascii="Times New Roman" w:cs="Times New Roman"/>
          <w:b w:val="0"/>
          <w:bCs/>
          <w:i w:val="0"/>
          <w:strike w:val="0"/>
          <w:dstrike w:val="0"/>
          <w:emboss w:val="0"/>
          <w:imprint w:val="0"/>
          <w:outline w:val="0"/>
          <w:shadow w:val="0"/>
          <w:sz w:val="24"/>
          <w:szCs w:val="24"/>
          <w:u w:val="none"/>
        </w:rPr>
        <w:t xml:space="preserve"> the margin of error (0.05), or a confidence level of 95%. Substituting 4276 and 0.05 into the formulagives n= 356 as the sample size for the survey study. However, to increase the response rate, 363 respondents were contacted for the survey. </w:t>
      </w:r>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For the qualitative interviews, five (5) key informants from three community leaders and two (2) stakeholders from Zoomlion Ghana Ltd. and Wa municipal sanitation officers were selected using a purposive sampling technique to participate in the qualitative study to complement the survey results.</w:t>
      </w:r>
    </w:p>
    <w:p>
      <w:pPr>
        <w:pStyle w:val="Heading2"/>
        <w:spacing w:line="480" w:lineRule="auto"/>
        <w:ind w:left="720"/>
      </w:pPr>
      <w:bookmarkStart w:id="61" w:name="_Toc147923068"/>
      <w:r>
        <w:rPr>
          <w:rFonts w:ascii="Times New Roman"/>
          <w:b/>
          <w:i w:val="0"/>
          <w:strike w:val="0"/>
          <w:dstrike w:val="0"/>
          <w:emboss w:val="0"/>
          <w:imprint w:val="0"/>
          <w:outline w:val="0"/>
          <w:shadow w:val="0"/>
          <w:sz w:val="24"/>
          <w:szCs w:val="24"/>
          <w:u w:val="none"/>
        </w:rPr>
        <w:lastRenderedPageBreak/>
        <w:t xml:space="preserve">3.6.2 Inclusion and Exclusion Criteria</w:t>
      </w:r>
      <w:bookmarkEnd w:id="61"/>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study included all household heads of residence in the Mangu community who were above 18 years of age, were found at home during the time of study, and consented to participate in the study. However, the study excluded household heads of residence in the Mangu community who did not meet the inclusion criteria, those who were too sick to participate in the study, and those who did not consent to participate.</w:t>
      </w:r>
    </w:p>
    <w:p>
      <w:pPr>
        <w:pStyle w:val="Heading2"/>
        <w:spacing w:line="480" w:lineRule="auto"/>
        <w:ind w:left="720"/>
      </w:pPr>
      <w:bookmarkStart w:id="62" w:name="_Toc147923069"/>
      <w:r>
        <w:rPr>
          <w:rFonts w:ascii="Times New Roman"/>
          <w:b/>
          <w:i w:val="0"/>
          <w:strike w:val="0"/>
          <w:dstrike w:val="0"/>
          <w:emboss w:val="0"/>
          <w:imprint w:val="0"/>
          <w:outline w:val="0"/>
          <w:shadow w:val="0"/>
          <w:sz w:val="24"/>
          <w:szCs w:val="24"/>
          <w:u w:val="none"/>
        </w:rPr>
        <w:t xml:space="preserve">3.7 Data Sources</w:t>
      </w:r>
      <w:bookmarkEnd w:id="62"/>
    </w:p>
    <w:p>
      <w:pPr>
        <w:spacing w:after="0" w:line="480" w:lineRule="auto"/>
        <w:ind w:left="720"/>
        <w:jc w:val="both"/>
        <w:rPr>
          <w:color w:val="000000"/>
          <w:rFonts w:hAnsi="Times New Roman" w:ascii="Times New Roman" w:eastAsia="Calibri" w:cs="Times New Roman"/>
          <w:bCs/>
          <w:sz w:val="24"/>
          <w:szCs w:val="24"/>
        </w:rPr>
      </w:pPr>
      <w:r>
        <w:rPr>
          <w:color w:val="000000"/>
          <w:rFonts w:hAnsi="Times New Roman" w:ascii="Times New Roman" w:eastAsia="Calibri" w:cs="Times New Roman"/>
          <w:b w:val="0"/>
          <w:bCs/>
          <w:i w:val="0"/>
          <w:strike w:val="0"/>
          <w:dstrike w:val="0"/>
          <w:emboss w:val="0"/>
          <w:imprint w:val="0"/>
          <w:outline w:val="0"/>
          <w:shadow w:val="0"/>
          <w:sz w:val="24"/>
          <w:szCs w:val="24"/>
          <w:u w:val="none"/>
        </w:rPr>
        <w:t xml:space="preserve">The study gathered mainly primary data from household heads of Mangu, key informants such as the chief of Mangu, Women leaders (Magazia), assembly members, and institutional stakeholders, which include Zoomlion’s Ghana Campany Limited and the Municipal Environmental Health Officers. Primary data were collected through questionnaires and interviews.</w:t>
      </w:r>
    </w:p>
    <w:p>
      <w:pPr>
        <w:pStyle w:val="Heading2"/>
        <w:spacing w:line="480" w:lineRule="auto"/>
        <w:ind w:left="720"/>
      </w:pPr>
      <w:bookmarkStart w:id="63" w:name="_Toc147923070"/>
      <w:r>
        <w:rPr>
          <w:rFonts w:ascii="Times New Roman"/>
          <w:b/>
          <w:i w:val="0"/>
          <w:strike w:val="0"/>
          <w:dstrike w:val="0"/>
          <w:emboss w:val="0"/>
          <w:imprint w:val="0"/>
          <w:outline w:val="0"/>
          <w:shadow w:val="0"/>
          <w:sz w:val="24"/>
          <w:szCs w:val="24"/>
          <w:u w:val="none"/>
        </w:rPr>
        <w:t xml:space="preserve">3.8 Data Collection Tools and Procedures</w:t>
      </w:r>
      <w:bookmarkEnd w:id="63"/>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This section describes the data collection instruments and tools and the various procedures employed to collect the data. The tools used in this study to collect the data were questionnaires and interview guides. </w:t>
      </w:r>
    </w:p>
    <w:p>
      <w:pPr>
        <w:pStyle w:val="Heading2"/>
        <w:spacing w:line="480" w:lineRule="auto"/>
        <w:ind w:left="720"/>
      </w:pPr>
      <w:bookmarkStart w:id="64" w:name="_Toc147923071"/>
      <w:r>
        <w:rPr>
          <w:rFonts w:ascii="Times New Roman"/>
          <w:b/>
          <w:i w:val="0"/>
          <w:strike w:val="0"/>
          <w:dstrike w:val="0"/>
          <w:emboss w:val="0"/>
          <w:imprint w:val="0"/>
          <w:outline w:val="0"/>
          <w:shadow w:val="0"/>
          <w:sz w:val="24"/>
          <w:szCs w:val="24"/>
          <w:u w:val="none"/>
        </w:rPr>
        <w:t xml:space="preserve">3.8.1 Survey Questionnaire</w:t>
      </w:r>
      <w:bookmarkEnd w:id="64"/>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study employed a structured survey questionnaire to collect data from respondents. The questionnaire was designed based on informed literature variables and administered to residents to gather primary data for the study of KAP towards SWM. The questionnaire was divided into four parts. The first section was designed to elicit the socio-demographic characteristics of the respondents, including name, age, sex, educational level, marital status, income status, and number of children in the household. The other three sections solicited information on residents’ knowledge, attitudes, and practices regarding solid-waste management. The questionnaire was a closed-ended, mostly binary scale (Yes/No) with a question structure. The questionnaire was administered in English and translated into the local language (Waale) to respondents who could not understand the English Language after participating in the study. </w:t>
      </w:r>
    </w:p>
    <w:p>
      <w:pPr>
        <w:pStyle w:val="Heading2"/>
        <w:spacing w:line="480" w:lineRule="auto"/>
        <w:ind w:left="720"/>
      </w:pPr>
      <w:bookmarkStart w:id="65" w:name="_Toc147923072"/>
      <w:r>
        <w:rPr>
          <w:rFonts w:ascii="Times New Roman"/>
          <w:b/>
          <w:i w:val="0"/>
          <w:strike w:val="0"/>
          <w:dstrike w:val="0"/>
          <w:emboss w:val="0"/>
          <w:imprint w:val="0"/>
          <w:outline w:val="0"/>
          <w:shadow w:val="0"/>
          <w:sz w:val="24"/>
          <w:szCs w:val="24"/>
          <w:u w:val="none"/>
        </w:rPr>
        <w:t xml:space="preserve">3.8.2 In-depth Interview Guide</w:t>
      </w:r>
      <w:bookmarkEnd w:id="65"/>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An in-depth interview guide was used to conduct in-depth interviews with key informants of community leaders and stakeholders. The first section of the interview guide assessed information on the socio-demographic characteristics of the study participants, while the other aspect was structured specifically to the research objectives: to solicit information on the respondents’ knowledge, attitudes, and practices, as well as their willingness to pay for solid waste management services. In-depth face-to-face interviews were conducted by the researcher with the help of </w:t>
        <w:t xml:space="preserve">two (2) other research assistants. Approximately 45 minutes of time was used in each interview, key notes were taken, and audio recordings were taken with the consent of the participants. </w:t>
      </w:r>
    </w:p>
    <w:p>
      <w:pPr>
        <w:pStyle w:val="Heading2"/>
        <w:spacing w:line="480" w:lineRule="auto"/>
        <w:ind w:left="720"/>
      </w:pPr>
      <w:bookmarkStart w:id="66" w:name="_Toc147923073"/>
      <w:r>
        <w:rPr>
          <w:rFonts w:ascii="Times New Roman"/>
          <w:b/>
          <w:i w:val="0"/>
          <w:strike w:val="0"/>
          <w:dstrike w:val="0"/>
          <w:emboss w:val="0"/>
          <w:imprint w:val="0"/>
          <w:outline w:val="0"/>
          <w:shadow w:val="0"/>
          <w:sz w:val="24"/>
          <w:szCs w:val="24"/>
          <w:u w:val="none"/>
        </w:rPr>
        <w:t xml:space="preserve">3.9 Data Validity and Reliability</w:t>
      </w:r>
      <w:bookmarkEnd w:id="66"/>
    </w:p>
    <w:p>
      <w:pPr>
        <w:spacing w:line="480" w:lineRule="auto"/>
        <w:ind w:left="720"/>
        <w:contextualSpacing w:val="1"/>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accuracy of the collected data was based on the variables selected in the literature. The questionnaire was structured based on variables from previous studies, which suggests that the data gathered was an accurate and true representation of the respondents. Kreuger and Nuaman (2006) stipulated that validity suggests truthfulness or accuracy and refers to the match between a construct or the way a researcher conceptualises an idea in a conceptual definition and measure. The questionnaire was constructed and submitted to my supervisor for modification, and suggestions to ensure </w:t>
        <w:t xml:space="preserve">internal validity were taken on board before the final version of the field. The consistency of the participants’ responses demonstrates the reliability of the study instruments and the trustworthiness of the data obtained (Saunders et al., 2009). The reliability of the questionnaire and data was satisfied after conducting a Cronbach’s alpha test which returned a statistical result of 0.703 interrelational co-efficient. The results suggest that the respondents had a good understanding of the constructs and reflected a good measure of the study variables.</w:t>
      </w:r>
    </w:p>
    <w:p>
      <w:pPr>
        <w:pStyle w:val="Heading2"/>
        <w:spacing w:line="480" w:lineRule="auto"/>
        <w:ind w:left="720"/>
      </w:pPr>
      <w:bookmarkStart w:id="67" w:name="_Toc147923074"/>
      <w:r>
        <w:rPr>
          <w:rFonts w:ascii="Times New Roman"/>
          <w:b/>
          <w:i w:val="0"/>
          <w:strike w:val="0"/>
          <w:dstrike w:val="0"/>
          <w:emboss w:val="0"/>
          <w:imprint w:val="0"/>
          <w:outline w:val="0"/>
          <w:shadow w:val="0"/>
          <w:sz w:val="24"/>
          <w:szCs w:val="24"/>
          <w:u w:val="none"/>
        </w:rPr>
        <w:t xml:space="preserve">3.10 Data Analysis</w:t>
      </w:r>
      <w:bookmarkEnd w:id="67"/>
    </w:p>
    <w:p>
      <w:pPr>
        <w:spacing w:after="200"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data collected were examined to check the completeness, accuracy, and consistency of the responses to detect and eliminate errors. Statistical Package for Social Sciences (SPSS version 20) software was used to process and analyse quantitative data. The data were analysed using descriptive statistics such as frequencies, percentages, and cross-tabulation with the chi-square test to determine the association between residents’ socio-demographic factors and their knowledge, attitude, and practice towards SWM</w:t>
        <w:t xml:space="preserve">. A score below the average indicates negative knowledge, attitude, and practice of residents on solid waste management, while a score greater than or equal to the average indicates positive knowledge, attitude, and practice of residents on solid waste management. In addition, Pearson’s correlation test was conducted at a 95% confidence interval to determine the relationship between residents’ knowledge, attitudes, and practice constructs of SWM. For each construct, a cross-tabulation with chi-square test at 95% confidence interval was used to determine the statistical associations between residents’ socio-demographic factors and knowledge, attitude, and practice (KAP) of SWM. </w:t>
      </w:r>
    </w:p>
    <w:p>
      <w:pPr>
        <w:spacing w:after="200"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For qualitative data, all interviews were transcribed verbatim into English, and useful codes were generated from the data using a Qualitative Data Analysis Miner (version 5.0) based on themes regarding the study objectives: residents’ knowledge, attitude, and practice of SWM in the Mangu community of Wa municipality. The data were exported into Excel and extracts of quotes were put in quotations in text to explain informants’ assertions regarding SWM in the study area. Triangulation was used, in which the qualitative results offer further explanations for the quantitative results (Creswell, 2009; Saunders et al., 2009).</w:t>
      </w:r>
    </w:p>
    <w:p>
      <w:pPr>
        <w:pStyle w:val="Heading2"/>
        <w:spacing w:line="480" w:lineRule="auto"/>
        <w:ind w:left="720"/>
      </w:pPr>
      <w:bookmarkStart w:id="68" w:name="_Toc147923075"/>
      <w:r>
        <w:rPr>
          <w:rFonts w:ascii="Times New Roman"/>
          <w:b/>
          <w:i w:val="0"/>
          <w:strike w:val="0"/>
          <w:dstrike w:val="0"/>
          <w:emboss w:val="0"/>
          <w:imprint w:val="0"/>
          <w:outline w:val="0"/>
          <w:shadow w:val="0"/>
          <w:sz w:val="24"/>
          <w:szCs w:val="24"/>
          <w:u w:val="none"/>
        </w:rPr>
        <w:t xml:space="preserve">3.11 Ethical Consideration</w:t>
      </w:r>
      <w:bookmarkEnd w:id="68"/>
    </w:p>
    <w:p>
      <w:pPr>
        <w:spacing w:line="480" w:lineRule="auto"/>
        <w:ind w:left="720"/>
        <w:jc w:val="both"/>
        <w:rPr>
          <w:rFonts w:hAnsi="Times New Roman" w:ascii="Times New Roman" w:eastAsia="Calibri" w:cs="Times New Roman"/>
          <w:sz w:val="24"/>
          <w:szCs w:val="24"/>
        </w:rPr>
        <w:sectPr w:rsidR="00455D00" w:rsidRPr="00136D7B" w:rsidSect="004A300E">
          <w:pgSz w:w="12240" w:h="15840"/>
          <w:pgMar w:top="1440" w:right="1440" w:bottom="1440" w:left="1440" w:header="720" w:footer="720"/>
          <w:cols w:space="720"/>
        </w:sectPr>
      </w:pPr>
      <w:r>
        <w:rPr>
          <w:rFonts w:hAnsi="Times New Roman" w:ascii="Times New Roman" w:eastAsia="Calibri" w:cs="Times New Roman"/>
          <w:b w:val="0"/>
          <w:i w:val="0"/>
          <w:strike w:val="0"/>
          <w:dstrike w:val="0"/>
          <w:emboss w:val="0"/>
          <w:imprint w:val="0"/>
          <w:outline w:val="0"/>
          <w:shadow w:val="0"/>
          <w:sz w:val="24"/>
          <w:szCs w:val="24"/>
          <w:u w:val="none"/>
        </w:rPr>
        <w:t xml:space="preserve">In social science research, ethical considerations are a set of values that guide the conduct of research, and researchers must always adhere to these codes of conduct when collecting data from human participants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{"citationItems":[{"id":"ITEM-1","itemData":{"author":[{"dropping-particle":"","family":"Bhandari","given":"Pritha","non-dropping-particle":"","parse-names":false,"suffix":""}],"id":"ITEM-1","issued":{"date-parts":[["2022"]]},"title":"Ethical Considerations in Research:Types &amp; Examples","type":"article-journal"},"uris":["http://www.mendeley.com/documents/?uuid=ed4338f6-6d49-4830-becb-4b659d6a39a4"]}],"mendeley":{"formattedCitation":"(Bhandari, 2022)","plainTextFormattedCitation":"(Bhandari, 2022)","previouslyFormattedCitation":"(Bhandari, 2022)"},"properties":{"noteIndex":0},"schema":"https://github.com/citation-style-language/schema/raw/master/csl-citation.json"}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(Bhandari, 2022)</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An introductory letter was obtained as an ethical control document from the Department of Communication Studies of the Simon Diedong Dombo University of Business and Integrated Development Studies, Wa. This introductory letter ensures the researcher’s authenticity, research instruments, and instills some forms of confidentiality assurance on the participants. Throughout the research process, the researcher sought consent from participants before administering the survey questionnaire, key informant interviews, and audio recordings. Thus, the privacy of the participants was protected by taken charge of the confidential information they provided</w:t>
        <w:t xml:space="preserve"> (Creswell, 2009; Neuman, 2007).</w:t>
      </w:r>
    </w:p>
    <w:p>
      <w:pPr>
        <w:pStyle w:val="Heading1"/>
        <w:ind w:left="720"/>
        <w:rPr>
          <w:rFonts w:eastAsia="Calibri"/>
        </w:rPr>
      </w:pPr>
      <w:bookmarkStart w:id="69" w:name="_Toc147923076"/>
      <w:r>
        <w:rPr>
          <w:rFonts w:ascii="Times New Roman" w:eastAsia="Calibri"/>
          <w:b/>
          <w:i w:val="0"/>
          <w:strike w:val="0"/>
          <w:dstrike w:val="0"/>
          <w:emboss w:val="0"/>
          <w:imprint w:val="0"/>
          <w:outline w:val="0"/>
          <w:shadow w:val="0"/>
          <w:sz w:val="24"/>
          <w:szCs w:val="24"/>
          <w:u w:val="none"/>
        </w:rPr>
        <w:lastRenderedPageBreak/>
        <w:t xml:space="preserve">CHAPTER FOUR</w:t>
      </w:r>
      <w:bookmarkEnd w:id="69"/>
    </w:p>
    <w:p>
      <w:pPr>
        <w:pStyle w:val="Heading1"/>
        <w:ind w:left="720"/>
        <w:rPr>
          <w:rFonts w:eastAsia="Calibri"/>
        </w:rPr>
      </w:pPr>
      <w:bookmarkStart w:id="70" w:name="_Toc147923077"/>
      <w:r>
        <w:rPr>
          <w:rFonts w:ascii="Times New Roman" w:eastAsia="Calibri"/>
          <w:b/>
          <w:i w:val="0"/>
          <w:strike w:val="0"/>
          <w:dstrike w:val="0"/>
          <w:emboss w:val="0"/>
          <w:imprint w:val="0"/>
          <w:outline w:val="0"/>
          <w:shadow w:val="0"/>
          <w:sz w:val="24"/>
          <w:szCs w:val="24"/>
          <w:u w:val="none"/>
        </w:rPr>
        <w:t xml:space="preserve">RESULTS AND DISCUSSIONS</w:t>
      </w:r>
      <w:bookmarkEnd w:id="70"/>
    </w:p>
    <w:p>
      <w:pPr>
        <w:pStyle w:val="Heading2"/>
        <w:spacing w:line="480" w:lineRule="auto"/>
        <w:ind w:left="720"/>
        <w:rPr>
          <w:rFonts w:eastAsia="Calibri"/>
        </w:rPr>
      </w:pPr>
      <w:bookmarkStart w:id="71" w:name="_Toc147923078"/>
      <w:r>
        <w:rPr>
          <w:rFonts w:ascii="Times New Roman" w:eastAsia="Calibri"/>
          <w:b/>
          <w:i w:val="0"/>
          <w:strike w:val="0"/>
          <w:dstrike w:val="0"/>
          <w:emboss w:val="0"/>
          <w:imprint w:val="0"/>
          <w:outline w:val="0"/>
          <w:shadow w:val="0"/>
          <w:sz w:val="24"/>
          <w:szCs w:val="24"/>
          <w:u w:val="none"/>
        </w:rPr>
        <w:t xml:space="preserve">4.1 Introduction</w:t>
      </w:r>
      <w:bookmarkEnd w:id="71"/>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chapter first presents the socio-demographic characteristics of the respondents, including gender, age, marital status, level of education, length of stay in the Mangu community, number of children in the household, number of people in the household, occupation, and average monthly income. The results are then presented in thematic headings for each research question. The research questions included residents' knowledge of solid waste management (SWM), attitudes towards SWM, and practices in SWM. Results were analysed using descriptive statistics such as frequencies, percentages, cross-tabulation with chi-square test, and correlation at a 95% confidence interval to determine the statistical associations between residents’ socio-demographic factors and knowledge, attitude, and practice (KAP) of SWM, as well as to establish the relationship between KAP variables. In addition, the discussion of the results is linked to previous studies to confirm and/or uncover inconsistencies in the empirical literature.</w:t>
      </w:r>
    </w:p>
    <w:p>
      <w:pPr>
        <w:pStyle w:val="Heading2"/>
        <w:spacing w:line="480" w:lineRule="auto"/>
        <w:ind w:left="720"/>
        <w:rPr>
          <w:rFonts w:eastAsia="Calibri"/>
        </w:rPr>
      </w:pPr>
      <w:bookmarkStart w:id="72" w:name="_Toc147923079"/>
      <w:r>
        <w:rPr>
          <w:rFonts w:ascii="Times New Roman" w:eastAsia="Calibri"/>
          <w:b/>
          <w:i w:val="0"/>
          <w:strike w:val="0"/>
          <w:dstrike w:val="0"/>
          <w:emboss w:val="0"/>
          <w:imprint w:val="0"/>
          <w:outline w:val="0"/>
          <w:shadow w:val="0"/>
          <w:sz w:val="24"/>
          <w:szCs w:val="24"/>
          <w:u w:val="none"/>
        </w:rPr>
        <w:t xml:space="preserve">4.2 Socio-demographic Characteristics of respondents</w:t>
      </w:r>
      <w:bookmarkEnd w:id="72"/>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This section presents respondents’ socio-demographic characteristics. These include variables such as gender, age, marital status, education level, length of stay in the Mangu community, number of children in the household, number of people in the household, occupation, and average monthly income. Table 3 presents the results and subsequent analyses.</w:t>
      </w:r>
    </w:p>
    <w:p>
      <w:pPr>
        <w:pStyle w:val="Caption"/>
        <w:ind w:left="720"/>
        <w:rPr>
          <w:color w:val="auto"/>
          <w:rFonts w:hAnsi="Times New Roman" w:ascii="Times New Roman" w:cs="Times New Roman"/>
          <w:b/>
          <w:i w:val="0"/>
          <w:iCs w:val="0"/>
          <w:sz w:val="24"/>
          <w:szCs w:val="24"/>
        </w:rPr>
      </w:pPr>
      <w:bookmarkStart w:id="73" w:name="_Toc142340956"/>
      <w:r>
        <w:rPr>
          <w:color w:val="auto"/>
          <w:rFonts w:hAnsi="Times New Roman" w:ascii="Times New Roman" w:cs="Times New Roman"/>
          <w:b/>
          <w:i w:val="0"/>
          <w:iCs w:val="0"/>
          <w:strike w:val="0"/>
          <w:dstrike w:val="0"/>
          <w:emboss w:val="0"/>
          <w:imprint w:val="0"/>
          <w:outline w:val="0"/>
          <w:shadow w:val="0"/>
          <w:sz w:val="24"/>
          <w:szCs w:val="24"/>
          <w:u w:val="none"/>
        </w:rPr>
        <w:br w:type="page"/>
      </w:r>
    </w:p>
    <w:p>
      <w:pPr>
        <w:pStyle w:val="Caption"/>
        <w:ind w:left="720"/>
        <w:rPr>
          <w:color w:val="auto"/>
          <w:rFonts w:hAnsi="Times New Roman" w:ascii="Times New Roman" w:cs="Times New Roman"/>
          <w:b/>
          <w:i w:val="0"/>
          <w:iCs w:val="0"/>
          <w:sz w:val="24"/>
        </w:rPr>
      </w:pPr>
      <w:bookmarkStart w:id="74" w:name="_Toc147923104"/>
      <w:r>
        <w:rPr>
          <w:color w:val="auto"/>
          <w:rFonts w:hAnsi="Times New Roman" w:ascii="Times New Roman" w:cs="Times New Roman"/>
          <w:b/>
          <w:i w:val="0"/>
          <w:iCs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b/>
          <w:i w:val="0"/>
          <w:iCs w:val="0"/>
          <w:sz w:val="24"/>
        </w:rPr>
        <w:fldChar w:fldCharType="begin"/>
      </w:r>
      <w:r>
        <w:rPr>
          <w:color w:val="auto"/>
          <w:rFonts w:hAnsi="Times New Roman" w:ascii="Times New Roman" w:cs="Times New Roman"/>
          <w:b/>
          <w:i w:val="0"/>
          <w:iCs w:val="0"/>
          <w:sz w:val="24"/>
        </w:rPr>
        <w:instrText xml:space="preserve"> SEQ Table \* ARABIC </w:instrText>
      </w:r>
      <w:r>
        <w:rPr>
          <w:color w:val="auto"/>
          <w:rFonts w:hAnsi="Times New Roman" w:ascii="Times New Roman" w:cs="Times New Roman"/>
          <w:b/>
          <w:i w:val="0"/>
          <w:iCs w:val="0"/>
          <w:sz w:val="24"/>
        </w:rPr>
        <w:fldChar w:fldCharType="separate"/>
      </w:r>
      <w:r>
        <w:rPr>
          <w:color w:val="auto"/>
          <w:rFonts w:hAnsi="Times New Roman" w:ascii="Times New Roman" w:cs="Times New Roman"/>
          <w:b/>
          <w:i w:val="0"/>
          <w:iCs w:val="0"/>
          <w:strike w:val="0"/>
          <w:dstrike w:val="0"/>
          <w:emboss w:val="0"/>
          <w:imprint w:val="0"/>
          <w:outline w:val="0"/>
          <w:shadow w:val="0"/>
          <w:sz w:val="24"/>
          <w:szCs w:val="24"/>
          <w:u w:val="none"/>
        </w:rPr>
        <w:t xml:space="preserve">3</w:t>
      </w:r>
      <w:r>
        <w:rPr>
          <w:color w:val="auto"/>
          <w:rFonts w:hAnsi="Times New Roman" w:ascii="Times New Roman" w:cs="Times New Roman"/>
          <w:b/>
          <w:i w:val="0"/>
          <w:iCs w:val="0"/>
          <w:sz w:val="24"/>
        </w:rPr>
        <w:fldChar w:fldCharType="end"/>
      </w:r>
      <w:r>
        <w:rPr>
          <w:color w:val="auto"/>
          <w:rFonts w:hAnsi="Times New Roman" w:ascii="Times New Roman" w:cs="Times New Roman"/>
          <w:b/>
          <w:i w:val="0"/>
          <w:iCs w:val="0"/>
          <w:strike w:val="0"/>
          <w:dstrike w:val="0"/>
          <w:emboss w:val="0"/>
          <w:imprint w:val="0"/>
          <w:outline w:val="0"/>
          <w:shadow w:val="0"/>
          <w:sz w:val="24"/>
          <w:szCs w:val="24"/>
          <w:u w:val="none"/>
        </w:rPr>
        <w:t xml:space="preserve"> Residents' socio-demographic characteristics</w:t>
      </w:r>
      <w:bookmarkEnd w:id="73"/>
    </w:p>
    <w:tbl>
      <w:tblPr>
        <w:tblW w:w="9263" w:type="dxa"/>
        <w:tblInd w:w="813" w:type="dxa"/>
        <w:tblBorders>
          <w:top w:val="single" w:sz="4" w:color="auto"/>
          <w:bottom w:val="single" w:sz="4" w:color="auto"/>
        </w:tblBorders>
        <w:tblLook w:val="04A0"/>
        <w:tblLayout w:type="fixed"/>
      </w:tblPr>
      <w:tblGrid>
        <w:gridCol w:w="3957"/>
        <w:gridCol w:w="2613"/>
        <w:gridCol w:w="1332"/>
        <w:gridCol w:w="1361"/>
      </w:tblGrid>
      <w:tr>
        <w:trPr>
          <w:trHeight w:val="406"/>
        </w:trPr>
        <w:tc>
          <w:tcPr>
            <w:tcW w:w="3957" w:type="dxa"/>
            <w:shd w:fill="auto" w:color="auto" w:val="clear"/>
            <w:tcBorders>
              <w:top w:val="single" w:sz="4" w:color="auto"/>
              <w:bottom w:val="single" w:sz="4" w:color="auto"/>
            </w:tcBorders>
          </w:tcPr>
          <w:p>
            <w:pPr>
              <w:tabs>
                <w:tab w:val="center" w:leader="none" w:pos="1870"/>
              </w:tabs>
              <w:spacing w:after="0" w:line="240" w:lineRule="auto"/>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ab/>
              <w:t xml:space="preserve">Socio-Demographic Characteristics</w:t>
            </w:r>
          </w:p>
        </w:tc>
        <w:tc>
          <w:tcPr>
            <w:tcW w:w="2613" w:type="dxa"/>
            <w:shd w:fill="auto" w:color="auto" w:val="clear"/>
            <w:tcBorders>
              <w:top w:val="single" w:sz="4" w:color="auto"/>
              <w:bottom w:val="single" w:sz="4" w:color="auto"/>
            </w:tcBorders>
          </w:tcPr>
          <w:p>
            <w:pPr>
              <w:spacing w:after="0" w:line="240" w:lineRule="auto"/>
              <w:jc w:val="center"/>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Categories</w:t>
            </w:r>
          </w:p>
        </w:tc>
        <w:tc>
          <w:tcPr>
            <w:tcW w:w="1332" w:type="dxa"/>
            <w:shd w:fill="auto" w:color="auto" w:val="clear"/>
            <w:tcBorders>
              <w:top w:val="single" w:sz="4" w:color="auto"/>
              <w:bottom w:val="single" w:sz="4" w:color="auto"/>
            </w:tcBorders>
          </w:tcPr>
          <w:p>
            <w:pPr>
              <w:spacing w:after="0" w:line="240" w:lineRule="auto"/>
              <w:jc w:val="center"/>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Frequency</w:t>
            </w:r>
          </w:p>
        </w:tc>
        <w:tc>
          <w:tcPr>
            <w:tcW w:w="1361" w:type="dxa"/>
            <w:shd w:fill="auto" w:color="auto" w:val="clear"/>
            <w:tcBorders>
              <w:top w:val="single" w:sz="4" w:color="auto"/>
              <w:bottom w:val="single" w:sz="4" w:color="auto"/>
            </w:tcBorders>
          </w:tcPr>
          <w:p>
            <w:pPr>
              <w:spacing w:after="0" w:line="240" w:lineRule="auto"/>
              <w:jc w:val="center"/>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Percentage (%)</w:t>
            </w:r>
          </w:p>
        </w:tc>
      </w:tr>
      <w:tr>
        <w:trPr>
          <w:trHeight w:val="300"/>
        </w:trPr>
        <w:tc>
          <w:tcPr>
            <w:tcW w:w="39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Gender</w:t>
            </w:r>
          </w:p>
        </w:tc>
        <w:tc>
          <w:tcPr>
            <w:tcW w:w="261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Male</w:t>
            </w:r>
          </w:p>
        </w:tc>
        <w:tc>
          <w:tcPr>
            <w:tcW w:w="13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141</w:t>
            </w:r>
          </w:p>
        </w:tc>
        <w:tc>
          <w:tcPr>
            <w:tcW w:w="136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38.8</w:t>
            </w:r>
          </w:p>
        </w:tc>
      </w:tr>
      <w:tr>
        <w:trPr>
          <w:trHeight w:val="300"/>
        </w:trPr>
        <w:tc>
          <w:tcPr>
            <w:tcW w:w="39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Female</w:t>
            </w:r>
          </w:p>
        </w:tc>
        <w:tc>
          <w:tcPr>
            <w:tcW w:w="133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222</w:t>
            </w:r>
          </w:p>
        </w:tc>
        <w:tc>
          <w:tcPr>
            <w:tcW w:w="136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61.2</w:t>
            </w:r>
          </w:p>
        </w:tc>
      </w:tr>
      <w:tr>
        <w:trPr>
          <w:trHeight w:val="300"/>
        </w:trPr>
        <w:tc>
          <w:tcPr>
            <w:tcW w:w="39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Age</w:t>
            </w:r>
          </w:p>
        </w:tc>
        <w:tc>
          <w:tcPr>
            <w:tcW w:w="261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18 to 26</w:t>
            </w:r>
          </w:p>
        </w:tc>
        <w:tc>
          <w:tcPr>
            <w:tcW w:w="13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w:t>
            </w:r>
          </w:p>
        </w:tc>
        <w:tc>
          <w:tcPr>
            <w:tcW w:w="136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2.5</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27 to 40</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179</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49.3</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41 to 53</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124</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54 to 67</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48</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13.2</w:t>
            </w:r>
          </w:p>
        </w:tc>
      </w:tr>
      <w:tr>
        <w:trPr>
          <w:trHeight w:val="300"/>
        </w:trPr>
        <w:tc>
          <w:tcPr>
            <w:tcW w:w="39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68 to 80</w:t>
            </w:r>
          </w:p>
        </w:tc>
        <w:tc>
          <w:tcPr>
            <w:tcW w:w="133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w:t>
            </w:r>
          </w:p>
        </w:tc>
        <w:tc>
          <w:tcPr>
            <w:tcW w:w="136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0.8</w:t>
            </w:r>
          </w:p>
        </w:tc>
      </w:tr>
      <w:tr>
        <w:trPr>
          <w:trHeight w:val="300"/>
        </w:trPr>
        <w:tc>
          <w:tcPr>
            <w:tcW w:w="39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Marital status</w:t>
            </w:r>
          </w:p>
        </w:tc>
        <w:tc>
          <w:tcPr>
            <w:tcW w:w="261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Single</w:t>
            </w:r>
          </w:p>
        </w:tc>
        <w:tc>
          <w:tcPr>
            <w:tcW w:w="13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60</w:t>
            </w:r>
          </w:p>
        </w:tc>
        <w:tc>
          <w:tcPr>
            <w:tcW w:w="136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16.5</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Married</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274</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75.5</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Separated</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2.2</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Divorced</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2.5</w:t>
            </w:r>
          </w:p>
        </w:tc>
      </w:tr>
      <w:tr>
        <w:trPr>
          <w:trHeight w:val="300"/>
        </w:trPr>
        <w:tc>
          <w:tcPr>
            <w:tcW w:w="39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Widowed</w:t>
            </w:r>
          </w:p>
        </w:tc>
        <w:tc>
          <w:tcPr>
            <w:tcW w:w="133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12</w:t>
            </w:r>
          </w:p>
        </w:tc>
        <w:tc>
          <w:tcPr>
            <w:tcW w:w="136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3.3</w:t>
            </w:r>
          </w:p>
        </w:tc>
      </w:tr>
      <w:tr>
        <w:trPr>
          <w:trHeight w:val="300"/>
        </w:trPr>
        <w:tc>
          <w:tcPr>
            <w:tcW w:w="39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Level of education</w:t>
            </w:r>
          </w:p>
        </w:tc>
        <w:tc>
          <w:tcPr>
            <w:tcW w:w="261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 formal education</w:t>
            </w:r>
          </w:p>
        </w:tc>
        <w:tc>
          <w:tcPr>
            <w:tcW w:w="13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199</w:t>
            </w:r>
          </w:p>
        </w:tc>
        <w:tc>
          <w:tcPr>
            <w:tcW w:w="136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54.8</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KG/Primary education</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29</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8.0</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JHS</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37</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10.2</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SHS</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68</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18.7</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University</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27</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7.4</w:t>
            </w:r>
          </w:p>
        </w:tc>
      </w:tr>
      <w:tr>
        <w:trPr>
          <w:trHeight w:val="300"/>
        </w:trPr>
        <w:tc>
          <w:tcPr>
            <w:tcW w:w="39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Other</w:t>
            </w:r>
          </w:p>
        </w:tc>
        <w:tc>
          <w:tcPr>
            <w:tcW w:w="133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w:t>
            </w:r>
          </w:p>
        </w:tc>
        <w:tc>
          <w:tcPr>
            <w:tcW w:w="136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0.8</w:t>
            </w:r>
          </w:p>
        </w:tc>
      </w:tr>
      <w:tr>
        <w:trPr>
          <w:trHeight w:val="300"/>
        </w:trPr>
        <w:tc>
          <w:tcPr>
            <w:tcW w:w="39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How long have you lived in Mangu Community?</w:t>
            </w:r>
          </w:p>
        </w:tc>
        <w:tc>
          <w:tcPr>
            <w:tcW w:w="261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 to 16</w:t>
            </w:r>
          </w:p>
        </w:tc>
        <w:tc>
          <w:tcPr>
            <w:tcW w:w="13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225</w:t>
            </w:r>
          </w:p>
        </w:tc>
        <w:tc>
          <w:tcPr>
            <w:tcW w:w="136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62.0</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17 to 32</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96</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26.4</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33 to 48</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37</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10.2</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49 to 64</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0.6</w:t>
            </w:r>
          </w:p>
        </w:tc>
      </w:tr>
      <w:tr>
        <w:trPr>
          <w:trHeight w:val="300"/>
        </w:trPr>
        <w:tc>
          <w:tcPr>
            <w:tcW w:w="39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63 to 80</w:t>
            </w:r>
          </w:p>
        </w:tc>
        <w:tc>
          <w:tcPr>
            <w:tcW w:w="133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w:t>
            </w:r>
          </w:p>
        </w:tc>
        <w:tc>
          <w:tcPr>
            <w:tcW w:w="136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0.8</w:t>
            </w:r>
          </w:p>
        </w:tc>
      </w:tr>
      <w:tr>
        <w:trPr>
          <w:trHeight w:val="300"/>
        </w:trPr>
        <w:tc>
          <w:tcPr>
            <w:tcW w:w="39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How many number of children are living in the household? (Binned)</w:t>
            </w:r>
          </w:p>
        </w:tc>
        <w:tc>
          <w:tcPr>
            <w:tcW w:w="261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 to 3</w:t>
            </w:r>
          </w:p>
        </w:tc>
        <w:tc>
          <w:tcPr>
            <w:tcW w:w="13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233</w:t>
            </w:r>
          </w:p>
        </w:tc>
        <w:tc>
          <w:tcPr>
            <w:tcW w:w="136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64.2</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4 to 6</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110</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30.3</w:t>
            </w:r>
          </w:p>
        </w:tc>
      </w:tr>
      <w:tr>
        <w:trPr>
          <w:trHeight w:val="300"/>
        </w:trPr>
        <w:tc>
          <w:tcPr>
            <w:tcW w:w="39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 to 9</w:t>
            </w:r>
          </w:p>
        </w:tc>
        <w:tc>
          <w:tcPr>
            <w:tcW w:w="133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20</w:t>
            </w:r>
          </w:p>
        </w:tc>
        <w:tc>
          <w:tcPr>
            <w:tcW w:w="136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5.5</w:t>
            </w:r>
          </w:p>
        </w:tc>
      </w:tr>
      <w:tr>
        <w:trPr>
          <w:trHeight w:val="300"/>
        </w:trPr>
        <w:tc>
          <w:tcPr>
            <w:tcW w:w="39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How many number of people are living in the household?</w:t>
            </w:r>
          </w:p>
        </w:tc>
        <w:tc>
          <w:tcPr>
            <w:tcW w:w="261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 to 6</w:t>
            </w:r>
          </w:p>
        </w:tc>
        <w:tc>
          <w:tcPr>
            <w:tcW w:w="13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233</w:t>
            </w:r>
          </w:p>
        </w:tc>
        <w:tc>
          <w:tcPr>
            <w:tcW w:w="136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64.2</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 to 9</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108</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29.8</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10 to 13</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14</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3.9</w:t>
            </w:r>
          </w:p>
        </w:tc>
      </w:tr>
      <w:tr>
        <w:trPr>
          <w:trHeight w:val="300"/>
        </w:trPr>
        <w:tc>
          <w:tcPr>
            <w:tcW w:w="39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14 to 16</w:t>
            </w:r>
          </w:p>
        </w:tc>
        <w:tc>
          <w:tcPr>
            <w:tcW w:w="133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w:t>
            </w:r>
          </w:p>
        </w:tc>
        <w:tc>
          <w:tcPr>
            <w:tcW w:w="136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2.2</w:t>
            </w:r>
          </w:p>
        </w:tc>
      </w:tr>
      <w:tr>
        <w:trPr>
          <w:trHeight w:val="300"/>
        </w:trPr>
        <w:tc>
          <w:tcPr>
            <w:tcW w:w="39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What is your occupation?</w:t>
            </w:r>
          </w:p>
        </w:tc>
        <w:tc>
          <w:tcPr>
            <w:tcW w:w="261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Farming</w:t>
            </w:r>
          </w:p>
        </w:tc>
        <w:tc>
          <w:tcPr>
            <w:tcW w:w="13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58</w:t>
            </w:r>
          </w:p>
        </w:tc>
        <w:tc>
          <w:tcPr>
            <w:tcW w:w="136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16.0</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Trading</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94</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25.9</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Government employee</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2.5</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Private sector employee</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17</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4.7</w:t>
            </w:r>
          </w:p>
        </w:tc>
      </w:tr>
      <w:tr>
        <w:trPr>
          <w:trHeight w:val="345"/>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Self-employed / Entrepreneur</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87</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24.0</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Not employed</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18</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5.0</w:t>
            </w:r>
          </w:p>
        </w:tc>
      </w:tr>
      <w:tr>
        <w:trPr>
          <w:trHeight w:val="300"/>
        </w:trPr>
        <w:tc>
          <w:tcPr>
            <w:tcW w:w="3957"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Apprenticeship</w:t>
            </w:r>
          </w:p>
        </w:tc>
        <w:tc>
          <w:tcPr>
            <w:tcW w:w="133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66</w:t>
            </w:r>
          </w:p>
        </w:tc>
        <w:tc>
          <w:tcPr>
            <w:tcW w:w="136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18.2</w:t>
            </w:r>
          </w:p>
        </w:tc>
      </w:tr>
      <w:tr>
        <w:trPr>
          <w:trHeight w:val="300"/>
        </w:trPr>
        <w:tc>
          <w:tcPr>
            <w:tcW w:w="39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Other</w:t>
            </w:r>
          </w:p>
        </w:tc>
        <w:tc>
          <w:tcPr>
            <w:tcW w:w="133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14</w:t>
            </w:r>
          </w:p>
        </w:tc>
        <w:tc>
          <w:tcPr>
            <w:tcW w:w="136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3.9</w:t>
            </w:r>
          </w:p>
        </w:tc>
      </w:tr>
      <w:tr>
        <w:trPr>
          <w:trHeight w:val="300"/>
        </w:trPr>
        <w:tc>
          <w:tcPr>
            <w:tcW w:w="3957" w:type="dxa"/>
            <w:shd w:fill="auto" w:color="auto" w:val="clear"/>
            <w:tcBorders>
              <w:top w:val="single" w:sz="4" w:color="auto"/>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What is your average monthly income (Gh¢)</w:t>
            </w:r>
          </w:p>
        </w:tc>
        <w:tc>
          <w:tcPr>
            <w:tcW w:w="2613"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&lt;/416</w:t>
            </w:r>
          </w:p>
        </w:tc>
        <w:tc>
          <w:tcPr>
            <w:tcW w:w="1332"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240</w:t>
            </w:r>
          </w:p>
        </w:tc>
        <w:tc>
          <w:tcPr>
            <w:tcW w:w="1361"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66.1</w:t>
            </w:r>
          </w:p>
        </w:tc>
      </w:tr>
      <w:tr>
        <w:trPr>
          <w:trHeight w:val="300"/>
        </w:trPr>
        <w:tc>
          <w:tcPr>
            <w:tcW w:w="3957" w:type="dxa"/>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417 to 2,458</w:t>
            </w:r>
          </w:p>
        </w:tc>
        <w:tc>
          <w:tcPr>
            <w:tcW w:w="1332"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120</w:t>
            </w:r>
          </w:p>
        </w:tc>
        <w:tc>
          <w:tcPr>
            <w:tcW w:w="1361"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33.1</w:t>
            </w:r>
          </w:p>
        </w:tc>
      </w:tr>
      <w:tr>
        <w:trPr>
          <w:trHeight w:val="300"/>
        </w:trPr>
        <w:tc>
          <w:tcPr>
            <w:tcW w:w="3957" w:type="dxa"/>
            <w:vMerge w:val="continue"/>
            <w:vAlign w:val="center"/>
          </w:tcPr>
          <w:p>
            <w:pPr>
              <w:spacing w:after="0" w:line="240" w:lineRule="auto"/>
              <w:rPr>
                <w:color w:val="000000"/>
                <w:rFonts w:hAnsi="Times New Roman" w:ascii="Times New Roman" w:eastAsia="Times New Roman" w:cs="Times New Roman"/>
                <w:sz w:val="24"/>
                <w:szCs w:val="24"/>
              </w:rPr>
            </w:pPr>
          </w:p>
        </w:tc>
        <w:tc>
          <w:tcPr>
            <w:tcW w:w="2613"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2459 to 4,500</w:t>
            </w:r>
          </w:p>
        </w:tc>
        <w:tc>
          <w:tcPr>
            <w:tcW w:w="1332"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w:t>
            </w:r>
          </w:p>
        </w:tc>
        <w:tc>
          <w:tcPr>
            <w:tcW w:w="1361"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0.8</w:t>
            </w:r>
          </w:p>
        </w:tc>
      </w:tr>
    </w:tbl>
    <w:p>
      <w:pPr>
        <w:spacing w:line="480" w:lineRule="auto"/>
        <w:ind w:left="720"/>
        <w:jc w:val="both"/>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Source: Field Survey (2023)</w:t>
      </w:r>
    </w:p>
    <w:p>
      <w:pPr>
        <w:spacing w:line="480" w:lineRule="auto"/>
        <w:ind w:left="720"/>
        <w:jc w:val="both"/>
        <w:rPr>
          <w:rFonts w:hAnsi="Times New Roman" w:ascii="Times New Roman" w:eastAsia="Calibri" w:cs="Times New Roman"/>
          <w:sz w:val="24"/>
          <w:szCs w:val="24"/>
        </w:rPr>
      </w:pPr>
      <w:r>
        <w:rPr>
          <w:color w:val="000000"/>
          <w:rFonts w:hAnsi="Times New Roman" w:ascii="Times New Roman" w:eastAsia="Times New Roman" w:cs="Times New Roman"/>
          <w:b w:val="0"/>
          <w:bCs/>
          <w:i w:val="0"/>
          <w:strike w:val="0"/>
          <w:dstrike w:val="0"/>
          <w:emboss w:val="0"/>
          <w:imprint w:val="0"/>
          <w:outline w:val="0"/>
          <w:shadow w:val="0"/>
          <w:sz w:val="24"/>
          <w:szCs w:val="24"/>
          <w:u w:val="none"/>
        </w:rPr>
        <w:t xml:space="preserve">The results in Table 3 show that many (61.2%) of the respondents surveyed were women compared to men (38.8%), which suggests that female respondents dominated the study. Regarding the age groups of the respondents, almost half (49.3%) were aged 27-40, compared to those aged 41-53 (34.2%), those aged 54-67 (13.2%), those aged 18-26 (2.5%), and the age group 68–80 (0.8%). The results indicated that many of the respondents in this study were middle-aged. Regarding the marital status of the respondents, the results showed that the majority (75.5%) of the respondents were married as compared to single (16.5%), widowed (3.3%), divorced (2.5%), and living separated (2.2%). Regarding the level of education of the respondents, the results show that just over half (54.8%) of the respondents had no formal education, compared to a few (18.7%) who had a senior secondary education (10.2%), junior secondary education (8%), received a KG/primary education (7.4%) and/or received a university education, and others (0.8%).</w:t>
      </w:r>
    </w:p>
    <w:p>
      <w:pPr>
        <w:spacing w:line="480" w:lineRule="auto"/>
        <w:ind w:left="720"/>
        <w:jc w:val="both"/>
        <w:rPr>
          <w:color w:val="000000"/>
          <w:rFonts w:hAnsi="Times New Roman" w:ascii="Times New Roman" w:eastAsia="Times New Roman" w:cs="Times New Roman"/>
          <w:sz w:val="24"/>
          <w:szCs w:val="18"/>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In terms of the length of time respondents lived in the Mangu community, the results showed that more (62%) of the respondents lived in the Mangu community, ranging between 1 and 16 years. Only a few of the respondents had lived between 17 and 32 years (26.4%), between 33 and 48 years (10.2%), between 63 and 80 years (0.8%), and between 49 and 64 years (0.6%). The results show that the majority of respondents had lived in the Mangu community for more than ten years at the time of the study and were the right respondents to respond to the KAP of SWM in the study setting. Regarding the </w:t>
        <w:t xml:space="preserve">number of children living in the household, the study found that many (64.2%) of respondents had one to three children living in their household. While 30.3% had four to six children living in their household, only a few (5.5%) had seven to nine children living in their household at the time of the survey. The findings showed that the majority of respondents had six or fewer children in the household. In relation to the number of people living in the household, the results showed that many (64.2%) of the respondents had between one and six people in the household, compared to between seven and nine people (29.8%), between 10 and 13 people (3.9%), and between 14 and 16 people (2.2%) living in the household. This finding suggests that in most households in Mangu at the time of the study, there were between one and nine people living in the household. Regarding respondents’ occupations, the study found that just over a quarter (25.9%) of respondents were involved in commerce, compared to less self-employed/entrepreneur (24%), education (18.2%), agriculture (16%), unemployed (5%), private sector employees (4.7%), other (3.9%), and public sector employees (2.5%). In addition, in relation to the average monthly income of the respondents, the results show that many (66.1%) of the respondents earned </w:t>
        <w:t xml:space="preserve">Ghc416 or less, 33.1% earned between Ghc417 and 2,458, and few (0.8%) earned between Ghc2,459 and 4,500 per month.The results reveal that low-income residents may be unable to pay for waste collection services and could use other means of disposing of their waste.</w:t>
      </w:r>
    </w:p>
    <w:p>
      <w:pPr>
        <w:pStyle w:val="Heading2"/>
        <w:spacing w:line="480" w:lineRule="auto"/>
        <w:ind w:left="720"/>
        <w:rPr>
          <w:szCs w:val="24"/>
        </w:rPr>
        <w:sectPr w:rsidR="00455D00" w:rsidSect="004A300E">
          <w:pgSz w:w="12240" w:h="15840"/>
          <w:pgMar w:top="1440" w:right="1440" w:bottom="1440" w:left="1440" w:header="720" w:footer="720"/>
          <w:cols w:space="720"/>
        </w:sectPr>
      </w:pPr>
    </w:p>
    <w:p>
      <w:pPr>
        <w:pStyle w:val="Heading2"/>
        <w:spacing w:line="480" w:lineRule="auto"/>
        <w:ind w:left="720"/>
      </w:pPr>
      <w:bookmarkStart w:id="75" w:name="_Toc147923080"/>
      <w:r>
        <w:rPr>
          <w:rFonts w:ascii="Times New Roman"/>
          <w:b/>
          <w:i w:val="0"/>
          <w:strike w:val="0"/>
          <w:dstrike w:val="0"/>
          <w:emboss w:val="0"/>
          <w:imprint w:val="0"/>
          <w:outline w:val="0"/>
          <w:shadow w:val="0"/>
          <w:sz w:val="24"/>
          <w:szCs w:val="24"/>
          <w:u w:val="none"/>
        </w:rPr>
        <w:lastRenderedPageBreak/>
        <w:t xml:space="preserve">4.3 Residents’ Knowledge on Solid Waste Management</w:t>
      </w:r>
      <w:bookmarkEnd w:id="75"/>
    </w:p>
    <w:p>
      <w:pPr>
        <w:spacing w:line="480" w:lineRule="auto"/>
        <w:ind w:left="720"/>
        <w:jc w:val="both"/>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focus of this research was to ask residents of the Mangu community about their knowledge of SWM. This contained ten (10) questions, which were asked in the nominal form: \"yes\" and/or \"no\", which were marked as correct and incorrect knowledge answers. Based on the respondents’ answer, a composite scale of residents' knowledge of SWM is divided into \"low\" and \"high\" based on the mean score of +/-1. The results are presented in Table 4 and Figure 3.</w:t>
      </w:r>
    </w:p>
    <w:p>
      <w:pPr>
        <w:pStyle w:val="Caption"/>
        <w:ind w:left="720"/>
        <w:jc w:val="both"/>
        <w:rPr>
          <w:color w:val="auto"/>
          <w:rFonts w:hAnsi="Times New Roman" w:ascii="Times New Roman" w:cs="Times New Roman"/>
          <w:b/>
          <w:bCs/>
          <w:i w:val="0"/>
          <w:sz w:val="24"/>
          <w:szCs w:val="24"/>
        </w:rPr>
      </w:pPr>
      <w:bookmarkStart w:id="76" w:name="_Toc147923105"/>
      <w:r>
        <w:rPr>
          <w:color w:val="auto"/>
          <w:rFonts w:hAnsi="Times New Roman" w:ascii="Times New Roman" w:cs="Times New Roman"/>
          <w:b/>
          <w:bCs/>
          <w:i w:val="0"/>
          <w:strike w:val="0"/>
          <w:dstrike w:val="0"/>
          <w:emboss w:val="0"/>
          <w:imprint w:val="0"/>
          <w:outline w:val="0"/>
          <w:shadow w:val="0"/>
          <w:sz w:val="24"/>
          <w:szCs w:val="24"/>
          <w:u w:val="none"/>
        </w:rPr>
        <w:t xml:space="preserve">Table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Table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4</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Residents Knowledge on SWM</w:t>
      </w:r>
      <w:bookmarkEnd w:id="76"/>
    </w:p>
    <w:tbl>
      <w:tblPr>
        <w:tblW w:w="9072" w:type="dxa"/>
        <w:tblInd w:w="813" w:type="dxa"/>
        <w:tblBorders>
          <w:top w:val="single" w:sz="4" w:color="auto"/>
          <w:bottom w:val="single" w:sz="4" w:color="auto"/>
        </w:tblBorders>
        <w:tblLook w:val="04A0"/>
        <w:tblLayout w:type="fixed"/>
      </w:tblPr>
      <w:tblGrid>
        <w:gridCol w:w="4857"/>
        <w:gridCol w:w="1418"/>
        <w:gridCol w:w="1417"/>
        <w:gridCol w:w="1380"/>
      </w:tblGrid>
      <w:tr>
        <w:trPr>
          <w:trHeight w:val="413"/>
        </w:trPr>
        <w:tc>
          <w:tcPr>
            <w:tcW w:w="4857" w:type="dxa"/>
            <w:shd w:fill="auto" w:color="auto" w:val="clear"/>
            <w:tcBorders>
              <w:top w:val="single" w:sz="4" w:color="auto"/>
              <w:bottom w:val="single" w:sz="4" w:color="auto"/>
            </w:tcBorders>
          </w:tcPr>
          <w:p>
            <w:pPr>
              <w:spacing w:after="0" w:line="240" w:lineRule="auto"/>
              <w:rPr>
                <w:color w:val="000000"/>
                <w:rFonts w:hAnsi="Times New Roman" w:ascii="Times New Roman" w:eastAsia="Times New Roman" w:cs="Times New Roman"/>
                <w:b/>
                <w:bCs/>
                <w:sz w:val="24"/>
                <w:szCs w:val="24"/>
              </w:rPr>
            </w:pPr>
            <w:bookmarkStart w:id="77" w:name="_Hlk136935463"/>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Knowledge on SWM Statements</w:t>
            </w:r>
          </w:p>
        </w:tc>
        <w:tc>
          <w:tcPr>
            <w:tcW w:w="1418" w:type="dxa"/>
            <w:shd w:fill="auto" w:color="auto" w:val="clear"/>
            <w:tcBorders>
              <w:top w:val="single" w:sz="4" w:color="auto"/>
              <w:bottom w:val="single" w:sz="4" w:color="auto"/>
            </w:tcBorders>
          </w:tcPr>
          <w:p>
            <w:pPr>
              <w:spacing w:after="0" w:line="240" w:lineRule="auto"/>
              <w:jc w:val="center"/>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Responses</w:t>
            </w:r>
          </w:p>
        </w:tc>
        <w:tc>
          <w:tcPr>
            <w:tcW w:w="1417" w:type="dxa"/>
            <w:shd w:fill="auto" w:color="auto" w:val="clear"/>
            <w:tcBorders>
              <w:top w:val="single" w:sz="4" w:color="auto"/>
              <w:bottom w:val="single" w:sz="4" w:color="auto"/>
            </w:tcBorders>
          </w:tcPr>
          <w:p>
            <w:pPr>
              <w:spacing w:after="0" w:line="240" w:lineRule="auto"/>
              <w:jc w:val="center"/>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Frequency (N=363)</w:t>
            </w:r>
          </w:p>
        </w:tc>
        <w:tc>
          <w:tcPr>
            <w:tcW w:w="1380" w:type="dxa"/>
            <w:shd w:fill="auto" w:color="auto" w:val="clear"/>
            <w:tcBorders>
              <w:top w:val="single" w:sz="4" w:color="auto"/>
              <w:bottom w:val="single" w:sz="4" w:color="auto"/>
            </w:tcBorders>
          </w:tcPr>
          <w:p>
            <w:pPr>
              <w:spacing w:after="0" w:line="240" w:lineRule="auto"/>
              <w:jc w:val="center"/>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Percentage (%)</w:t>
            </w:r>
          </w:p>
        </w:tc>
      </w:tr>
      <w:bookmarkEnd w:id="77"/>
      <w:tr>
        <w:trPr>
          <w:trHeight w:val="300"/>
        </w:trPr>
        <w:tc>
          <w:tcPr>
            <w:tcW w:w="48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Is solid waste a source of pollution for the environment?</w:t>
            </w:r>
          </w:p>
        </w:tc>
        <w:tc>
          <w:tcPr>
            <w:tcW w:w="141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417"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10</w:t>
            </w:r>
          </w:p>
        </w:tc>
        <w:tc>
          <w:tcPr>
            <w:tcW w:w="138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2.8</w:t>
            </w:r>
          </w:p>
        </w:tc>
      </w:tr>
      <w:tr>
        <w:trPr>
          <w:trHeight w:val="300"/>
        </w:trPr>
        <w:tc>
          <w:tcPr>
            <w:tcW w:w="48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418"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417"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353</w:t>
            </w:r>
          </w:p>
        </w:tc>
        <w:tc>
          <w:tcPr>
            <w:tcW w:w="138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97.2</w:t>
            </w:r>
          </w:p>
        </w:tc>
      </w:tr>
      <w:tr>
        <w:trPr>
          <w:trHeight w:val="300"/>
        </w:trPr>
        <w:tc>
          <w:tcPr>
            <w:tcW w:w="48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Burning old solid waste causes health risks (bronchitis and asthma).</w:t>
            </w:r>
          </w:p>
        </w:tc>
        <w:tc>
          <w:tcPr>
            <w:tcW w:w="141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417"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22</w:t>
            </w:r>
          </w:p>
        </w:tc>
        <w:tc>
          <w:tcPr>
            <w:tcW w:w="138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6.1</w:t>
            </w:r>
          </w:p>
        </w:tc>
      </w:tr>
      <w:tr>
        <w:trPr>
          <w:trHeight w:val="300"/>
        </w:trPr>
        <w:tc>
          <w:tcPr>
            <w:tcW w:w="48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418"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417"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341</w:t>
            </w:r>
          </w:p>
        </w:tc>
        <w:tc>
          <w:tcPr>
            <w:tcW w:w="138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93.9</w:t>
            </w:r>
          </w:p>
        </w:tc>
      </w:tr>
      <w:tr>
        <w:trPr>
          <w:trHeight w:val="300"/>
        </w:trPr>
        <w:tc>
          <w:tcPr>
            <w:tcW w:w="48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Waste papers, plastic bags, a piece of metal, wood and cloths are recyclable.</w:t>
            </w:r>
          </w:p>
        </w:tc>
        <w:tc>
          <w:tcPr>
            <w:tcW w:w="141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417"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27</w:t>
            </w:r>
          </w:p>
        </w:tc>
        <w:tc>
          <w:tcPr>
            <w:tcW w:w="138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7.4</w:t>
            </w:r>
          </w:p>
        </w:tc>
      </w:tr>
      <w:tr>
        <w:trPr>
          <w:trHeight w:val="300"/>
        </w:trPr>
        <w:tc>
          <w:tcPr>
            <w:tcW w:w="48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418"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417"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336</w:t>
            </w:r>
          </w:p>
        </w:tc>
        <w:tc>
          <w:tcPr>
            <w:tcW w:w="138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92.6</w:t>
            </w:r>
          </w:p>
        </w:tc>
      </w:tr>
      <w:tr>
        <w:trPr>
          <w:trHeight w:val="300"/>
        </w:trPr>
        <w:tc>
          <w:tcPr>
            <w:tcW w:w="48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consider solid waste as wealth.</w:t>
            </w:r>
          </w:p>
        </w:tc>
        <w:tc>
          <w:tcPr>
            <w:tcW w:w="141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417"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c>
          <w:tcPr>
            <w:tcW w:w="138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27.5</w:t>
            </w:r>
          </w:p>
        </w:tc>
      </w:tr>
      <w:tr>
        <w:trPr>
          <w:trHeight w:val="300"/>
        </w:trPr>
        <w:tc>
          <w:tcPr>
            <w:tcW w:w="48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418"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417"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263</w:t>
            </w:r>
          </w:p>
        </w:tc>
        <w:tc>
          <w:tcPr>
            <w:tcW w:w="138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72.5</w:t>
            </w:r>
          </w:p>
        </w:tc>
      </w:tr>
      <w:tr>
        <w:trPr>
          <w:trHeight w:val="300"/>
        </w:trPr>
        <w:tc>
          <w:tcPr>
            <w:tcW w:w="48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Can solid waste be sorted and sold to recycling companies?</w:t>
            </w:r>
          </w:p>
        </w:tc>
        <w:tc>
          <w:tcPr>
            <w:tcW w:w="141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417"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41</w:t>
            </w:r>
          </w:p>
        </w:tc>
        <w:tc>
          <w:tcPr>
            <w:tcW w:w="138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11.3</w:t>
            </w:r>
          </w:p>
        </w:tc>
      </w:tr>
      <w:tr>
        <w:trPr>
          <w:trHeight w:val="300"/>
        </w:trPr>
        <w:tc>
          <w:tcPr>
            <w:tcW w:w="48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418"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417"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322</w:t>
            </w:r>
          </w:p>
        </w:tc>
        <w:tc>
          <w:tcPr>
            <w:tcW w:w="138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88.7</w:t>
            </w:r>
          </w:p>
        </w:tc>
      </w:tr>
      <w:tr>
        <w:trPr>
          <w:trHeight w:val="300"/>
        </w:trPr>
        <w:tc>
          <w:tcPr>
            <w:tcW w:w="48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Compost and organic fertilizer can be made from solid waste</w:t>
            </w:r>
          </w:p>
        </w:tc>
        <w:tc>
          <w:tcPr>
            <w:tcW w:w="141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417"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125</w:t>
            </w:r>
          </w:p>
        </w:tc>
        <w:tc>
          <w:tcPr>
            <w:tcW w:w="138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34.4</w:t>
            </w:r>
          </w:p>
        </w:tc>
      </w:tr>
      <w:tr>
        <w:trPr>
          <w:trHeight w:val="300"/>
        </w:trPr>
        <w:tc>
          <w:tcPr>
            <w:tcW w:w="48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418"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417"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238</w:t>
            </w:r>
          </w:p>
        </w:tc>
        <w:tc>
          <w:tcPr>
            <w:tcW w:w="138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65.6</w:t>
            </w:r>
          </w:p>
        </w:tc>
      </w:tr>
      <w:tr>
        <w:trPr>
          <w:trHeight w:val="300"/>
        </w:trPr>
        <w:tc>
          <w:tcPr>
            <w:tcW w:w="4857" w:type="dxa"/>
            <w:shd w:fill="auto" w:color="auto" w:val="clear"/>
            <w:tcBorders>
              <w:top w:val="single" w:sz="4" w:color="auto"/>
              <w:bottom w:val="none" w:sz="0" w:color="000000"/>
            </w:tcBorders>
            <w:vMerge w:val="restart"/>
          </w:tcPr>
          <w:p>
            <w:pPr>
              <w:spacing w:after="0" w:line="240" w:lineRule="auto"/>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amount of solid waste can be reduced by reusing at the household level.</w:t>
            </w:r>
          </w:p>
        </w:tc>
        <w:tc>
          <w:tcPr>
            <w:tcW w:w="1418"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417"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127</w:t>
            </w:r>
          </w:p>
        </w:tc>
        <w:tc>
          <w:tcPr>
            <w:tcW w:w="1380"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35.0</w:t>
            </w:r>
          </w:p>
        </w:tc>
      </w:tr>
      <w:tr>
        <w:trPr>
          <w:trHeight w:val="300"/>
        </w:trPr>
        <w:tc>
          <w:tcPr>
            <w:tcW w:w="4857" w:type="dxa"/>
            <w:tcBorders>
              <w:top w:val="none" w:sz="0" w:color="000000"/>
              <w:bottom w:val="single" w:sz="4" w:color="auto"/>
            </w:tcBorders>
            <w:vMerge w:val="continue"/>
            <w:vAlign w:val="center"/>
          </w:tcPr>
          <w:p>
            <w:pPr>
              <w:spacing w:after="0" w:line="240" w:lineRule="auto"/>
              <w:rPr>
                <w:rFonts w:hAnsi="Times New Roman" w:ascii="Times New Roman" w:eastAsia="Times New Roman" w:cs="Times New Roman"/>
                <w:sz w:val="24"/>
                <w:szCs w:val="24"/>
              </w:rPr>
            </w:pPr>
          </w:p>
        </w:tc>
        <w:tc>
          <w:tcPr>
            <w:tcW w:w="1418" w:type="dxa"/>
            <w:shd w:fill="auto" w:color="auto" w:val="clear"/>
            <w:tcBorders>
              <w:top w:val="none" w:sz="0" w:color="000000"/>
              <w:bottom w:val="single" w:sz="4" w:color="auto"/>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417" w:type="dxa"/>
            <w:shd w:fill="auto" w:color="auto" w:val="clear"/>
            <w:tcBorders>
              <w:top w:val="none" w:sz="0" w:color="000000"/>
              <w:bottom w:val="single" w:sz="4" w:color="auto"/>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236</w:t>
            </w:r>
          </w:p>
        </w:tc>
        <w:tc>
          <w:tcPr>
            <w:tcW w:w="1380" w:type="dxa"/>
            <w:shd w:fill="auto" w:color="auto" w:val="clear"/>
            <w:tcBorders>
              <w:top w:val="none" w:sz="0" w:color="000000"/>
              <w:bottom w:val="single" w:sz="4" w:color="auto"/>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65.0</w:t>
            </w:r>
          </w:p>
        </w:tc>
      </w:tr>
      <w:tr>
        <w:trPr>
          <w:trHeight w:val="300"/>
        </w:trPr>
        <w:tc>
          <w:tcPr>
            <w:tcW w:w="4857" w:type="dxa"/>
            <w:shd w:fill="auto" w:color="auto" w:val="clear"/>
            <w:tcBorders>
              <w:top w:val="single" w:sz="4" w:color="auto"/>
              <w:bottom w:val="none" w:sz="0" w:color="000000"/>
            </w:tcBorders>
            <w:vMerge w:val="restart"/>
          </w:tcPr>
          <w:p>
            <w:pPr>
              <w:spacing w:after="0" w:line="240" w:lineRule="auto"/>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Illegal damping of solid waste causes diarrhoea, typhoid and cholera.</w:t>
            </w:r>
          </w:p>
        </w:tc>
        <w:tc>
          <w:tcPr>
            <w:tcW w:w="1418"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417"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w:t>
            </w:r>
          </w:p>
        </w:tc>
        <w:tc>
          <w:tcPr>
            <w:tcW w:w="1380"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9.1</w:t>
            </w:r>
          </w:p>
        </w:tc>
      </w:tr>
      <w:tr>
        <w:trPr>
          <w:trHeight w:val="300"/>
        </w:trPr>
        <w:tc>
          <w:tcPr>
            <w:tcW w:w="48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418"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417"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330</w:t>
            </w:r>
          </w:p>
        </w:tc>
        <w:tc>
          <w:tcPr>
            <w:tcW w:w="138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bookmarkStart w:id="78" w:name="_Hlk137109555"/>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90.9</w:t>
            </w:r>
            <w:bookmarkEnd w:id="78"/>
          </w:p>
        </w:tc>
      </w:tr>
      <w:tr>
        <w:trPr>
          <w:trHeight w:val="300"/>
        </w:trPr>
        <w:tc>
          <w:tcPr>
            <w:tcW w:w="4857"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Sorting of solid waste at home helps for SWM.</w:t>
            </w:r>
          </w:p>
        </w:tc>
        <w:tc>
          <w:tcPr>
            <w:tcW w:w="141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417"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67</w:t>
            </w:r>
          </w:p>
        </w:tc>
        <w:tc>
          <w:tcPr>
            <w:tcW w:w="138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18.5</w:t>
            </w:r>
          </w:p>
        </w:tc>
      </w:tr>
      <w:tr>
        <w:trPr>
          <w:trHeight w:val="300"/>
        </w:trPr>
        <w:tc>
          <w:tcPr>
            <w:tcW w:w="4857"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418"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417"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296</w:t>
            </w:r>
          </w:p>
        </w:tc>
        <w:tc>
          <w:tcPr>
            <w:tcW w:w="138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81.5</w:t>
            </w:r>
          </w:p>
        </w:tc>
      </w:tr>
      <w:tr>
        <w:trPr>
          <w:trHeight w:val="300"/>
        </w:trPr>
        <w:tc>
          <w:tcPr>
            <w:tcW w:w="4857" w:type="dxa"/>
            <w:shd w:fill="auto" w:color="auto" w:val="clear"/>
            <w:tcBorders>
              <w:top w:val="single" w:sz="4" w:color="auto"/>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Improper damping of solid waste can eventually lead to pollution of water bodies</w:t>
            </w:r>
          </w:p>
        </w:tc>
        <w:tc>
          <w:tcPr>
            <w:tcW w:w="1418"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417"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34</w:t>
            </w:r>
          </w:p>
        </w:tc>
        <w:tc>
          <w:tcPr>
            <w:tcW w:w="1380"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9.4</w:t>
            </w:r>
          </w:p>
        </w:tc>
      </w:tr>
      <w:tr>
        <w:trPr>
          <w:trHeight w:val="300"/>
        </w:trPr>
        <w:tc>
          <w:tcPr>
            <w:tcW w:w="4857" w:type="dxa"/>
            <w:vMerge w:val="continue"/>
            <w:vAlign w:val="center"/>
          </w:tcPr>
          <w:p>
            <w:pPr>
              <w:spacing w:after="0" w:line="240" w:lineRule="auto"/>
              <w:rPr>
                <w:color w:val="000000"/>
                <w:rFonts w:hAnsi="Times New Roman" w:ascii="Times New Roman" w:eastAsia="Times New Roman" w:cs="Times New Roman"/>
                <w:sz w:val="24"/>
                <w:szCs w:val="24"/>
              </w:rPr>
            </w:pPr>
          </w:p>
        </w:tc>
        <w:tc>
          <w:tcPr>
            <w:tcW w:w="1418"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417"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329</w:t>
            </w:r>
          </w:p>
        </w:tc>
        <w:tc>
          <w:tcPr>
            <w:tcW w:w="1380"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90.6</w:t>
            </w:r>
          </w:p>
        </w:tc>
      </w:tr>
    </w:tbl>
    <w:p>
      <w:pPr>
        <w:spacing w:line="480" w:lineRule="auto"/>
        <w:ind w:left="720"/>
        <w:jc w:val="both"/>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  Source: Field Survey (2023)</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results in Table 4 show that the vast majority (97.2%) of respondents were aware that solid waste is a source of environmental pollution, compared to (2.8%) who were unaware. In addition, a larger majority (93.9%) of respondents were aware that the incineration of old solid waste poses health risks (bronchitis and asthma) compared to (6.1%) of those who were unaware. The study found that a large number (95.2%) of respondents knew that waste paper, plastic bags, a piece of metal, wood, and clothing were recyclable, compared to only a few (7.4%) who had no idea. The analysis also found that a majority (72.5%) of the respondents viewed solid waste as wealth, compared to only a few others (27.5%) who did not view solid waste as wealth.</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Again, the results show that 88.7% of the respondents knew that solid waste can be sorted and sold to recycling companies, compared to (11.3%) who have no knowledge. The study also found that many (65.6%) respondents had the knowledge that compost and organic fertilizer can be made from solid waste, compared to (34.4%) of those who did not have this knowledge. Again, the study found that many (65%) of the respondents knew that the amount of solid waste could be reduced through reuse at the household level, compared to (35%) of the respondents who had no idea.</w:t>
      </w:r>
    </w:p>
    <w:p>
      <w:pPr>
        <w:spacing w:line="480" w:lineRule="auto"/>
        <w:ind w:left="720"/>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 addition, a large majority (90.9%) of the respondents knew that the indiscriminate dumping of solid waste caused diarrhoea, typhoid, and cholera in the study population.</w:t>
      </w:r>
      <w:r>
        <w:rPr>
          <w:rFonts w:hAnsi="Times New Roman" w:ascii="Times New Roman" w:eastAsia="Calibri" w:cs="Times New Roman"/>
          <w:b w:val="0"/>
          <w:i w:val="0"/>
          <w:strike w:val="0"/>
          <w:dstrike w:val="0"/>
          <w:emboss w:val="0"/>
          <w:imprint w:val="0"/>
          <w:outline w:val="0"/>
          <w:shadow w:val="0"/>
          <w:sz w:val="24"/>
          <w:szCs w:val="24"/>
          <w:u w:val="none"/>
        </w:rPr>
        <w:t xml:space="preserve"> The study also shows that the majority (81.5%) of respondents are aware that sorting solid waste at home is helpful for SWM, compared to less than quarter (18.5%) who have no knowledge. Finally, the results show that a large majority (90.6%) of the respondents are aware that improper containment of solid waste can ultimately lead to water pollution. To show respondents' overall knowledge of SWM, Figure 3presents the results of determining the percentage of residents in the study community who had good knowledge of SWM</w:t>
        <w:t xml:space="preserve"> based on the constructs of the ten questions asked.</w:t>
      </w:r>
    </w:p>
    <w:p>
      <w:pPr>
        <w:ind w:left="720"/>
      </w:pPr>
      <w:r>
        <w:rPr>
          <w:rFonts w:hAnsi="Calibri" w:ascii="Calibri" w:eastAsia="Calibri" w:cs="Times New Roman"/>
          <w:b w:val="0"/>
          <w:i w:val="0"/>
          <w:strike w:val="0"/>
          <w:dstrike w:val="0"/>
          <w:emboss w:val="0"/>
          <w:imprint w:val="0"/>
          <w:outline w:val="0"/>
          <w:shadow w:val="0"/>
          <w:sz w:val="22"/>
          <w:szCs w:val="22"/>
          <w:u w:val="none"/>
        </w:rPr>
        <w:lastRenderedPageBreak/>
        <w:drawing>
          <wp:inline>
            <wp:extent cx="5657850" cy="3562345"/>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pStyle w:val="Caption"/>
        <w:ind w:left="720"/>
        <w:rPr>
          <w:color w:val="auto"/>
          <w:rFonts w:hAnsi="Times New Roman" w:ascii="Times New Roman" w:eastAsia="Calibri" w:cs="Times New Roman"/>
          <w:b/>
          <w:bCs/>
          <w:i w:val="0"/>
          <w:sz w:val="24"/>
          <w:szCs w:val="24"/>
        </w:rPr>
      </w:pPr>
      <w:bookmarkStart w:id="79" w:name="_Toc142664170"/>
      <w:r>
        <w:rPr>
          <w:color w:val="auto"/>
          <w:rFonts w:hAnsi="Times New Roman" w:ascii="Times New Roman" w:cs="Times New Roman"/>
          <w:b/>
          <w:bCs/>
          <w:i w:val="0"/>
          <w:strike w:val="0"/>
          <w:dstrike w:val="0"/>
          <w:emboss w:val="0"/>
          <w:imprint w:val="0"/>
          <w:outline w:val="0"/>
          <w:shadow w:val="0"/>
          <w:sz w:val="24"/>
          <w:szCs w:val="24"/>
          <w:u w:val="none"/>
        </w:rPr>
        <w:t xml:space="preserve">Figure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Figure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3</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Residents composite knowledge of SWM</w:t>
      </w:r>
      <w:bookmarkEnd w:id="79"/>
    </w:p>
    <w:p>
      <w:pPr>
        <w:spacing w:after="0" w:line="480" w:lineRule="auto"/>
        <w:ind w:left="720"/>
        <w:jc w:val="both"/>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Source: Field Survey (2023)</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Figure 3, the results show that more than half (53.7%) of the residents have a high overall knowledge of SWM compared to (46.3%) of those who exhibited a low overall knowledge of SWM. The findings show that residents of the Mangu community have good knowledge of SWM. This finding validates the data from the key informant interviews, where participants shared light that residents in the Mangu Community have good knowledge of the importance of solid waste management as well as the related environmental consequences, such as pollution. Participants attributed this knowledge to awareness and education on proper solid waste disposal and the potential effects of poor environmental sanitation on health and human well-being. </w:t>
      </w:r>
    </w:p>
    <w:p>
      <w:pPr>
        <w:spacing w:after="0" w:line="480" w:lineRule="auto"/>
        <w:ind w:left="1440" w:right="720"/>
        <w:jc w:val="both"/>
        <w:rPr>
          <w:rFonts w:hAnsi="Times New Roman" w:ascii="Times New Roman" w:eastAsia="Calibri" w:cs="Times New Roman"/>
          <w:iCs/>
          <w:sz w:val="24"/>
          <w:szCs w:val="24"/>
        </w:rPr>
      </w:pPr>
      <w:r>
        <w:rPr>
          <w:rFonts w:hAnsi="Times New Roman" w:ascii="Times New Roman" w:eastAsia="Calibri" w:cs="Times New Roman"/>
          <w:b w:val="0"/>
          <w:i/>
          <w:strike w:val="0"/>
          <w:dstrike w:val="0"/>
          <w:emboss w:val="0"/>
          <w:imprint w:val="0"/>
          <w:outline w:val="0"/>
          <w:shadow w:val="0"/>
          <w:sz w:val="24"/>
          <w:szCs w:val="24"/>
          <w:u w:val="none"/>
        </w:rPr>
        <w:lastRenderedPageBreak/>
        <w:t xml:space="preserve">“Solid waste such as plastics, papers, sawdust, wood and metals are all solid waste if properly managed can cause pollution, cholera, diarrhoea, typhoid and other illness’s </w:t>
      </w:r>
      <w:r>
        <w:rPr>
          <w:rFonts w:hAnsi="Times New Roman" w:ascii="Times New Roman" w:eastAsia="Calibri" w:cs="Times New Roman"/>
          <w:b w:val="0"/>
          <w:i w:val="0"/>
          <w:strike w:val="0"/>
          <w:dstrike w:val="0"/>
          <w:emboss w:val="0"/>
          <w:imprint w:val="0"/>
          <w:outline w:val="0"/>
          <w:shadow w:val="0"/>
          <w:sz w:val="24"/>
          <w:szCs w:val="24"/>
          <w:u w:val="none"/>
        </w:rPr>
        <w:t xml:space="preserve">(Assembly member, Managu). 3</w:t>
      </w:r>
      <w:r>
        <w:rPr>
          <w:rFonts w:hAnsi="Times New Roman" w:ascii="Times New Roman" w:eastAsia="Calibri" w:cs="Times New Roman"/>
          <w:b w:val="0"/>
          <w:i w:val="0"/>
          <w:strike w:val="0"/>
          <w:dstrike w:val="0"/>
          <w:emboss w:val="0"/>
          <w:imprint w:val="0"/>
          <w:outline w:val="0"/>
          <w:shadow w:val="0"/>
          <w:sz w:val="24"/>
          <w:szCs w:val="24"/>
          <w:u w:val="none"/>
          <w:vertAlign w:val="superscript"/>
        </w:rPr>
        <w:t xml:space="preserve">rd</w:t>
      </w:r>
      <w:r>
        <w:rPr>
          <w:rFonts w:hAnsi="Times New Roman" w:ascii="Times New Roman" w:eastAsia="Calibri" w:cs="Times New Roman"/>
          <w:b w:val="0"/>
          <w:i w:val="0"/>
          <w:strike w:val="0"/>
          <w:dstrike w:val="0"/>
          <w:emboss w:val="0"/>
          <w:imprint w:val="0"/>
          <w:outline w:val="0"/>
          <w:shadow w:val="0"/>
          <w:sz w:val="24"/>
          <w:szCs w:val="24"/>
          <w:u w:val="none"/>
        </w:rPr>
        <w:t xml:space="preserve"> March,2023.</w:t>
      </w:r>
    </w:p>
    <w:p>
      <w:pPr>
        <w:spacing w:after="0" w:line="480" w:lineRule="auto"/>
        <w:ind w:left="1440" w:right="720"/>
        <w:jc w:val="both"/>
        <w:rPr>
          <w:rFonts w:hAnsi="Times New Roman" w:ascii="Times New Roman" w:eastAsia="Calibri" w:cs="Times New Roman"/>
          <w:i/>
          <w:iCs/>
          <w:sz w:val="24"/>
          <w:szCs w:val="24"/>
        </w:rPr>
      </w:pPr>
      <w:r>
        <w:rPr>
          <w:rFonts w:hAnsi="Times New Roman" w:ascii="Times New Roman" w:eastAsia="Calibri" w:cs="Times New Roman"/>
          <w:b w:val="0"/>
          <w:i/>
          <w:strike w:val="0"/>
          <w:dstrike w:val="0"/>
          <w:emboss w:val="0"/>
          <w:imprint w:val="0"/>
          <w:outline w:val="0"/>
          <w:shadow w:val="0"/>
          <w:sz w:val="24"/>
          <w:szCs w:val="24"/>
          <w:u w:val="none"/>
        </w:rPr>
        <w:t xml:space="preserve">“There is lots of solid waste generated each day. Most of the solid waste generated in the house is leftover food, and piles of (cassava, banana, and yams) are all waste. Plastics such as plastic bottles, polythene bags, and water sachets, all these pollute the environment and produce bad odour’ </w:t>
      </w:r>
      <w:r>
        <w:rPr>
          <w:rFonts w:hAnsi="Times New Roman" w:ascii="Times New Roman" w:eastAsia="Calibri" w:cs="Times New Roman"/>
          <w:b w:val="0"/>
          <w:i w:val="0"/>
          <w:strike w:val="0"/>
          <w:dstrike w:val="0"/>
          <w:emboss w:val="0"/>
          <w:imprint w:val="0"/>
          <w:outline w:val="0"/>
          <w:shadow w:val="0"/>
          <w:sz w:val="24"/>
          <w:szCs w:val="24"/>
          <w:u w:val="none"/>
        </w:rPr>
        <w:t xml:space="preserve">(Chief, Mangu). 8</w:t>
      </w:r>
      <w:r>
        <w:rPr>
          <w:rFonts w:hAnsi="Times New Roman" w:ascii="Times New Roman" w:eastAsia="Calibri" w:cs="Times New Roman"/>
          <w:b w:val="0"/>
          <w:i w:val="0"/>
          <w:strike w:val="0"/>
          <w:dstrike w:val="0"/>
          <w:emboss w:val="0"/>
          <w:imprint w:val="0"/>
          <w:outline w:val="0"/>
          <w:shadow w:val="0"/>
          <w:sz w:val="24"/>
          <w:szCs w:val="24"/>
          <w:u w:val="none"/>
          <w:vertAlign w:val="superscript"/>
        </w:rPr>
        <w:t xml:space="preserve">th</w:t>
      </w:r>
      <w:r>
        <w:rPr>
          <w:rFonts w:hAnsi="Times New Roman" w:ascii="Times New Roman" w:eastAsia="Calibri" w:cs="Times New Roman"/>
          <w:b w:val="0"/>
          <w:i w:val="0"/>
          <w:strike w:val="0"/>
          <w:dstrike w:val="0"/>
          <w:emboss w:val="0"/>
          <w:imprint w:val="0"/>
          <w:outline w:val="0"/>
          <w:shadow w:val="0"/>
          <w:sz w:val="24"/>
          <w:szCs w:val="24"/>
          <w:u w:val="none"/>
        </w:rPr>
        <w:t xml:space="preserve"> March, 2023.</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addition, an interview with the Human Resource Officer revealed that residents have adequate knowledge of the consequences of improper solid waste management; however, they do not seem to mind. </w:t>
      </w:r>
    </w:p>
    <w:p>
      <w:pPr>
        <w:spacing w:after="0" w:line="480" w:lineRule="auto"/>
        <w:ind w:left="1440" w:right="720"/>
        <w:jc w:val="both"/>
        <w:rPr>
          <w:rFonts w:hAnsi="Times New Roman" w:ascii="Times New Roman" w:eastAsia="Calibri" w:cs="Times New Roman"/>
          <w:iCs/>
          <w:sz w:val="24"/>
          <w:szCs w:val="24"/>
        </w:rPr>
      </w:pPr>
      <w:r>
        <w:rPr>
          <w:rFonts w:hAnsi="Times New Roman" w:ascii="Times New Roman" w:eastAsia="Calibri" w:cs="Times New Roman"/>
          <w:b w:val="0"/>
          <w:i/>
          <w:strike w:val="0"/>
          <w:dstrike w:val="0"/>
          <w:emboss w:val="0"/>
          <w:imprint w:val="0"/>
          <w:outline w:val="0"/>
          <w:shadow w:val="0"/>
          <w:sz w:val="24"/>
          <w:szCs w:val="24"/>
          <w:u w:val="none"/>
        </w:rPr>
        <w:t xml:space="preserve">“All residents of the Municipality are aware of the dangers of poor waste collection and management but they still do it” </w:t>
      </w:r>
      <w:r>
        <w:rPr>
          <w:rFonts w:hAnsi="Times New Roman" w:ascii="Times New Roman" w:eastAsia="Calibri" w:cs="Times New Roman"/>
          <w:b w:val="0"/>
          <w:i w:val="0"/>
          <w:strike w:val="0"/>
          <w:dstrike w:val="0"/>
          <w:emboss w:val="0"/>
          <w:imprint w:val="0"/>
          <w:outline w:val="0"/>
          <w:shadow w:val="0"/>
          <w:sz w:val="24"/>
          <w:szCs w:val="24"/>
          <w:u w:val="none"/>
        </w:rPr>
        <w:t xml:space="preserve">(Zoomlion Ghana Ltd). 10</w:t>
      </w:r>
      <w:r>
        <w:rPr>
          <w:rFonts w:hAnsi="Times New Roman" w:ascii="Times New Roman" w:eastAsia="Calibri" w:cs="Times New Roman"/>
          <w:b w:val="0"/>
          <w:i w:val="0"/>
          <w:strike w:val="0"/>
          <w:dstrike w:val="0"/>
          <w:emboss w:val="0"/>
          <w:imprint w:val="0"/>
          <w:outline w:val="0"/>
          <w:shadow w:val="0"/>
          <w:sz w:val="24"/>
          <w:szCs w:val="24"/>
          <w:u w:val="none"/>
          <w:vertAlign w:val="superscript"/>
        </w:rPr>
        <w:t xml:space="preserve">th</w:t>
      </w:r>
      <w:r>
        <w:rPr>
          <w:rFonts w:hAnsi="Times New Roman" w:ascii="Times New Roman" w:eastAsia="Calibri" w:cs="Times New Roman"/>
          <w:b w:val="0"/>
          <w:i w:val="0"/>
          <w:strike w:val="0"/>
          <w:dstrike w:val="0"/>
          <w:emboss w:val="0"/>
          <w:imprint w:val="0"/>
          <w:outline w:val="0"/>
          <w:shadow w:val="0"/>
          <w:sz w:val="24"/>
          <w:szCs w:val="24"/>
          <w:u w:val="none"/>
        </w:rPr>
        <w:t xml:space="preserve"> March, 2023.</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Regarding sources of information on SWM, the results presented in Figure 4 aimed to identify the different sources from which residents obtained information on SWM in the study community.</w:t>
      </w:r>
    </w:p>
    <w:p>
      <w:pPr>
        <w:ind w:left="720"/>
      </w:pPr>
      <w:r>
        <w:rPr>
          <w:rFonts w:hAnsi="Calibri" w:ascii="Calibri" w:eastAsia="Calibri" w:cs="Times New Roman"/>
          <w:b w:val="0"/>
          <w:i w:val="0"/>
          <w:strike w:val="0"/>
          <w:dstrike w:val="0"/>
          <w:emboss w:val="0"/>
          <w:imprint w:val="0"/>
          <w:outline w:val="0"/>
          <w:shadow w:val="0"/>
          <w:sz w:val="22"/>
          <w:szCs w:val="22"/>
          <w:u w:val="none"/>
        </w:rPr>
        <w:lastRenderedPageBreak/>
        <w:drawing>
          <wp:inline>
            <wp:extent cx="5686425" cy="3248020"/>
            <wp:effectExtent l="0" t="0" r="952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pStyle w:val="Caption"/>
        <w:ind w:left="720"/>
        <w:jc w:val="both"/>
        <w:rPr>
          <w:color w:val="auto"/>
          <w:rFonts w:hAnsi="Times New Roman" w:ascii="Times New Roman" w:eastAsia="Calibri" w:cs="Times New Roman"/>
          <w:b/>
          <w:bCs/>
          <w:i w:val="0"/>
          <w:sz w:val="24"/>
          <w:szCs w:val="24"/>
        </w:rPr>
      </w:pPr>
      <w:bookmarkStart w:id="80" w:name="_Toc142664171"/>
      <w:r>
        <w:rPr>
          <w:color w:val="auto"/>
          <w:rFonts w:hAnsi="Times New Roman" w:ascii="Times New Roman" w:cs="Times New Roman"/>
          <w:b/>
          <w:bCs/>
          <w:i w:val="0"/>
          <w:strike w:val="0"/>
          <w:dstrike w:val="0"/>
          <w:emboss w:val="0"/>
          <w:imprint w:val="0"/>
          <w:outline w:val="0"/>
          <w:shadow w:val="0"/>
          <w:sz w:val="24"/>
          <w:szCs w:val="24"/>
          <w:u w:val="none"/>
        </w:rPr>
        <w:t xml:space="preserve">Figure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Figure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4</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Residents source of information on SWM</w:t>
      </w:r>
      <w:bookmarkEnd w:id="80"/>
    </w:p>
    <w:p>
      <w:pPr>
        <w:spacing w:after="0" w:line="480" w:lineRule="auto"/>
        <w:ind w:left="720"/>
        <w:jc w:val="both"/>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Source: Field Survey (2023)</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From Figure 4, it can be seen that more (42.1%) respondents had access to information about SWM through the media compared to those who had access to information from community volunteers (34.7%), none (19.3%), and/or others (3.9%). </w:t>
      </w:r>
    </w:p>
    <w:p>
      <w:pPr>
        <w:pStyle w:val="Heading2"/>
        <w:spacing w:line="480" w:lineRule="auto"/>
        <w:ind w:left="720"/>
        <w:rPr>
          <w:rFonts w:eastAsia="Calibri"/>
          <w:szCs w:val="24"/>
        </w:rPr>
        <w:sectPr w:rsidR="00455D00" w:rsidSect="004A300E">
          <w:pgSz w:w="12240" w:h="15840"/>
          <w:pgMar w:top="1440" w:right="1440" w:bottom="1440" w:left="1440" w:header="720" w:footer="720"/>
          <w:cols w:space="720"/>
        </w:sectPr>
      </w:pPr>
    </w:p>
    <w:p>
      <w:pPr>
        <w:pStyle w:val="Heading2"/>
        <w:spacing w:line="480" w:lineRule="auto"/>
        <w:ind w:left="720"/>
        <w:rPr>
          <w:rFonts w:eastAsia="Calibri"/>
        </w:rPr>
      </w:pPr>
      <w:bookmarkStart w:id="81" w:name="_Toc147923081"/>
      <w:r>
        <w:rPr>
          <w:rFonts w:ascii="Times New Roman" w:eastAsia="Calibri"/>
          <w:b/>
          <w:i w:val="0"/>
          <w:strike w:val="0"/>
          <w:dstrike w:val="0"/>
          <w:emboss w:val="0"/>
          <w:imprint w:val="0"/>
          <w:outline w:val="0"/>
          <w:shadow w:val="0"/>
          <w:sz w:val="24"/>
          <w:szCs w:val="24"/>
          <w:u w:val="none"/>
        </w:rPr>
        <w:lastRenderedPageBreak/>
        <w:t xml:space="preserve">4.3.1</w:t>
        <w:tab/>
        <w:t xml:space="preserve">Association between Residents’ Socio-demographics and their Knowledge of SWM</w:t>
      </w:r>
      <w:bookmarkEnd w:id="81"/>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Table 5 presents the association between residents' sociodemographic structure and their knowledge of SMW using a chi-square analysis at a 95% confidence level. </w:t>
      </w:r>
    </w:p>
    <w:p>
      <w:pPr>
        <w:pStyle w:val="Caption"/>
        <w:ind w:left="720"/>
        <w:jc w:val="both"/>
        <w:rPr>
          <w:color w:val="auto"/>
          <w:rFonts w:hAnsi="Times New Roman" w:ascii="Times New Roman" w:cs="Times New Roman"/>
          <w:b/>
          <w:bCs/>
          <w:i w:val="0"/>
          <w:sz w:val="24"/>
          <w:szCs w:val="24"/>
        </w:rPr>
      </w:pPr>
      <w:bookmarkStart w:id="82" w:name="_Toc147923106"/>
      <w:r>
        <w:rPr>
          <w:color w:val="auto"/>
          <w:rFonts w:hAnsi="Times New Roman" w:ascii="Times New Roman" w:cs="Times New Roman"/>
          <w:b/>
          <w:bCs/>
          <w:i w:val="0"/>
          <w:strike w:val="0"/>
          <w:dstrike w:val="0"/>
          <w:emboss w:val="0"/>
          <w:imprint w:val="0"/>
          <w:outline w:val="0"/>
          <w:shadow w:val="0"/>
          <w:sz w:val="24"/>
          <w:szCs w:val="24"/>
          <w:u w:val="none"/>
        </w:rPr>
        <w:t xml:space="preserve">Table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Table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5</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A cross-tabulation of socio-demographics and residents’ knowledge on</w:t>
      </w:r>
      <w:bookmarkEnd w:id="82"/>
    </w:p>
    <w:p>
      <w:pPr>
        <w:pStyle w:val="Caption"/>
        <w:ind w:left="720"/>
        <w:jc w:val="both"/>
        <w:rPr>
          <w:color w:val="auto"/>
          <w:rFonts w:hAnsi="Times New Roman" w:ascii="Times New Roman" w:cs="Times New Roman"/>
          <w:b/>
          <w:bCs/>
          <w:i w:val="0"/>
          <w:sz w:val="24"/>
          <w:szCs w:val="24"/>
        </w:rPr>
      </w:pPr>
      <w:r>
        <w:rPr>
          <w:color w:val="auto"/>
          <w:rFonts w:hAnsi="Times New Roman" w:ascii="Times New Roman" w:cs="Times New Roman"/>
          <w:b/>
          <w:bCs/>
          <w:i w:val="0"/>
          <w:strike w:val="0"/>
          <w:dstrike w:val="0"/>
          <w:emboss w:val="0"/>
          <w:imprint w:val="0"/>
          <w:outline w:val="0"/>
          <w:shadow w:val="0"/>
          <w:sz w:val="24"/>
          <w:szCs w:val="24"/>
          <w:u w:val="none"/>
        </w:rPr>
        <w:t xml:space="preserve">               SWM </w:t>
      </w:r>
    </w:p>
    <w:tbl>
      <w:tblPr>
        <w:tblW w:w="9523" w:type="dxa"/>
        <w:tblInd w:w="720" w:type="dxa"/>
        <w:tblBorders>
          <w:top w:val="single" w:sz="4" w:color="auto"/>
          <w:bottom w:val="single" w:sz="4" w:color="auto"/>
        </w:tblBorders>
        <w:tblLook w:val="04A0"/>
      </w:tblPr>
      <w:tblGrid>
        <w:gridCol w:w="1863"/>
        <w:gridCol w:w="2098"/>
        <w:gridCol w:w="1159"/>
        <w:gridCol w:w="1159"/>
        <w:gridCol w:w="1162"/>
        <w:gridCol w:w="1250"/>
        <w:gridCol w:w="832"/>
      </w:tblGrid>
      <w:tr>
        <w:trPr>
          <w:trHeight w:val="221"/>
        </w:trPr>
        <w:tc>
          <w:tcPr>
            <w:tcW w:w="1863" w:type="dxa"/>
            <w:shd w:fill="auto" w:color="auto" w:val="clear"/>
            <w:tcBorders>
              <w:top w:val="single" w:sz="4" w:color="auto"/>
              <w:bottom w:val="single" w:sz="4" w:color="auto"/>
            </w:tcBorders>
            <w:vMerge w:val="restart"/>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Socio-demographic factors</w:t>
            </w:r>
          </w:p>
        </w:tc>
        <w:tc>
          <w:tcPr>
            <w:tcW w:w="2098" w:type="dxa"/>
            <w:shd w:fill="auto" w:color="auto" w:val="clear"/>
            <w:tcBorders>
              <w:top w:val="single" w:sz="4" w:color="auto"/>
              <w:bottom w:val="single" w:sz="4" w:color="auto"/>
            </w:tcBorders>
            <w:vMerge w:val="restart"/>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Categories</w:t>
            </w:r>
          </w:p>
        </w:tc>
        <w:tc>
          <w:tcPr>
            <w:tcW w:w="1159" w:type="dxa"/>
            <w:shd w:fill="auto" w:color="auto" w:val="clear"/>
            <w:tcBorders>
              <w:top w:val="single" w:sz="4" w:color="auto"/>
              <w:bottom w:val="single" w:sz="4" w:color="auto"/>
            </w:tcBorders>
            <w:vMerge w:val="restart"/>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Total Sample N (%)</w:t>
            </w:r>
          </w:p>
          <w:p>
            <w:pPr>
              <w:spacing w:after="0" w:line="240" w:lineRule="auto"/>
              <w:jc w:val="center"/>
              <w:rPr>
                <w:color w:val="000000"/>
                <w:rFonts w:hAnsi="Times New Roman" w:ascii="Times New Roman" w:eastAsia="Times New Roman" w:cs="Times New Roman"/>
                <w:b/>
                <w:bCs/>
                <w:sz w:val="18"/>
                <w:szCs w:val="18"/>
              </w:rPr>
            </w:pPr>
          </w:p>
        </w:tc>
        <w:tc>
          <w:tcPr>
            <w:tcW w:w="2321" w:type="dxa"/>
            <w:gridSpan w:val="2"/>
            <w:shd w:fill="auto" w:color="auto" w:val="clear"/>
            <w:tcBorders>
              <w:top w:val="single" w:sz="4" w:color="auto"/>
              <w:bottom w:val="single" w:sz="4" w:color="auto"/>
            </w:tcBorders>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Residents Knowledge on SWM</w:t>
            </w:r>
          </w:p>
        </w:tc>
        <w:tc>
          <w:tcPr>
            <w:tcW w:w="1250" w:type="dxa"/>
            <w:shd w:fill="auto" w:color="auto" w:val="clear"/>
            <w:tcBorders>
              <w:top w:val="single" w:sz="4" w:color="auto"/>
              <w:bottom w:val="single" w:sz="4" w:color="auto"/>
            </w:tcBorders>
            <w:vMerge w:val="restart"/>
          </w:tcPr>
          <w:p>
            <w:pPr>
              <w:spacing w:after="0" w:line="240" w:lineRule="auto"/>
              <w:jc w:val="center"/>
              <w:rPr>
                <w:rFonts w:hAnsi="Times New Roman" w:ascii="Times New Roman" w:eastAsia="Times New Roman" w:cs="Times New Roman"/>
                <w:b/>
                <w:bCs/>
                <w:sz w:val="20"/>
                <w:szCs w:val="20"/>
              </w:rPr>
            </w:pPr>
            <w:r>
              <w:rPr>
                <w:rFonts w:hAnsi="Times New Roman" w:ascii="Times New Roman" w:eastAsia="Times New Roman" w:cs="Times New Roman"/>
                <w:b/>
                <w:bCs/>
                <w:i w:val="0"/>
                <w:strike w:val="0"/>
                <w:dstrike w:val="0"/>
                <w:emboss w:val="0"/>
                <w:imprint w:val="0"/>
                <w:outline w:val="0"/>
                <w:shadow w:val="0"/>
                <w:sz w:val="20"/>
                <w:szCs w:val="20"/>
                <w:u w:val="none"/>
              </w:rPr>
              <w:t xml:space="preserve">Chi-square (X2)</w:t>
            </w:r>
          </w:p>
        </w:tc>
        <w:tc>
          <w:tcPr>
            <w:tcW w:w="832" w:type="dxa"/>
            <w:shd w:fill="auto" w:color="auto" w:val="clear"/>
            <w:tcBorders>
              <w:top w:val="single" w:sz="4" w:color="auto"/>
              <w:bottom w:val="single" w:sz="4" w:color="auto"/>
            </w:tcBorders>
            <w:vMerge w:val="restart"/>
          </w:tcPr>
          <w:p>
            <w:pPr>
              <w:spacing w:after="0" w:line="240" w:lineRule="auto"/>
              <w:jc w:val="center"/>
              <w:rPr>
                <w:rFonts w:hAnsi="Times New Roman" w:ascii="Times New Roman" w:eastAsia="Times New Roman" w:cs="Times New Roman"/>
                <w:b/>
                <w:bCs/>
                <w:sz w:val="20"/>
                <w:szCs w:val="20"/>
              </w:rPr>
            </w:pPr>
            <w:r>
              <w:rPr>
                <w:rFonts w:hAnsi="Times New Roman" w:ascii="Times New Roman" w:eastAsia="Times New Roman" w:cs="Times New Roman"/>
                <w:b/>
                <w:bCs/>
                <w:i w:val="0"/>
                <w:strike w:val="0"/>
                <w:dstrike w:val="0"/>
                <w:emboss w:val="0"/>
                <w:imprint w:val="0"/>
                <w:outline w:val="0"/>
                <w:shadow w:val="0"/>
                <w:sz w:val="20"/>
                <w:szCs w:val="20"/>
                <w:u w:val="none"/>
              </w:rPr>
              <w:t xml:space="preserve">p-value</w:t>
            </w:r>
          </w:p>
        </w:tc>
      </w:tr>
      <w:tr>
        <w:trPr>
          <w:trHeight w:val="221"/>
        </w:trPr>
        <w:tc>
          <w:tcPr>
            <w:tcW w:w="1863" w:type="dxa"/>
            <w:shd w:fill="auto" w:color="auto" w:val="clear"/>
            <w:tcBorders>
              <w:top w:val="single" w:sz="4" w:color="auto"/>
              <w:bottom w:val="single" w:sz="4" w:color="auto"/>
            </w:tcBorders>
            <w:vMerge w:val="continue"/>
            <w:vAlign w:val="bottom"/>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single" w:sz="4" w:color="auto"/>
              <w:bottom w:val="single" w:sz="4" w:color="auto"/>
            </w:tcBorders>
            <w:vMerge w:val="continue"/>
            <w:vAlign w:val="bottom"/>
          </w:tcPr>
          <w:p>
            <w:pPr>
              <w:spacing w:after="0" w:line="240" w:lineRule="auto"/>
              <w:rPr>
                <w:color w:val="000000"/>
                <w:rFonts w:hAnsi="Times New Roman" w:ascii="Times New Roman" w:eastAsia="Times New Roman" w:cs="Times New Roman"/>
                <w:sz w:val="18"/>
                <w:szCs w:val="18"/>
              </w:rPr>
            </w:pPr>
          </w:p>
        </w:tc>
        <w:tc>
          <w:tcPr>
            <w:tcW w:w="1159" w:type="dxa"/>
            <w:shd w:fill="auto" w:color="auto" w:val="clear"/>
            <w:tcBorders>
              <w:top w:val="single" w:sz="4" w:color="auto"/>
              <w:bottom w:val="single" w:sz="4" w:color="auto"/>
            </w:tcBorders>
            <w:vMerge w:val="continue"/>
            <w:vAlign w:val="bottom"/>
          </w:tcPr>
          <w:p>
            <w:pPr>
              <w:spacing w:after="0" w:line="240" w:lineRule="auto"/>
              <w:rPr>
                <w:color w:val="000000"/>
                <w:rFonts w:hAnsi="Times New Roman" w:ascii="Times New Roman" w:eastAsia="Times New Roman" w:cs="Times New Roman"/>
                <w:sz w:val="18"/>
                <w:szCs w:val="18"/>
              </w:rPr>
            </w:pPr>
          </w:p>
        </w:tc>
        <w:tc>
          <w:tcPr>
            <w:tcW w:w="1159" w:type="dxa"/>
            <w:shd w:fill="auto" w:color="auto" w:val="clear"/>
            <w:tcBorders>
              <w:top w:val="single" w:sz="4" w:color="auto"/>
              <w:bottom w:val="single" w:sz="4" w:color="auto"/>
            </w:tcBorders>
            <w:vAlign w:val="bottom"/>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Low</w:t>
            </w:r>
          </w:p>
        </w:tc>
        <w:tc>
          <w:tcPr>
            <w:tcW w:w="1162" w:type="dxa"/>
            <w:shd w:fill="auto" w:color="auto" w:val="clear"/>
            <w:tcBorders>
              <w:top w:val="single" w:sz="4" w:color="auto"/>
              <w:bottom w:val="single" w:sz="4" w:color="auto"/>
            </w:tcBorders>
            <w:vAlign w:val="bottom"/>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High</w:t>
            </w:r>
          </w:p>
        </w:tc>
        <w:tc>
          <w:tcPr>
            <w:tcW w:w="1250" w:type="dxa"/>
            <w:shd w:fill="auto" w:color="auto" w:val="clear"/>
            <w:tcBorders>
              <w:top w:val="single" w:sz="4" w:color="auto"/>
              <w:bottom w:val="single" w:sz="4" w:color="auto"/>
            </w:tcBorders>
            <w:vMerge w:val="continue"/>
            <w:vAlign w:val="bottom"/>
          </w:tcPr>
          <w:p>
            <w:pPr>
              <w:spacing w:after="0" w:line="240" w:lineRule="auto"/>
              <w:rPr>
                <w:rFonts w:hAnsi="Times New Roman" w:ascii="Times New Roman" w:eastAsia="Times New Roman" w:cs="Times New Roman"/>
                <w:sz w:val="20"/>
                <w:szCs w:val="20"/>
              </w:rPr>
            </w:pPr>
          </w:p>
        </w:tc>
        <w:tc>
          <w:tcPr>
            <w:tcW w:w="832" w:type="dxa"/>
            <w:shd w:fill="auto" w:color="auto" w:val="clear"/>
            <w:tcBorders>
              <w:top w:val="single" w:sz="4" w:color="auto"/>
              <w:bottom w:val="single" w:sz="4" w:color="auto"/>
            </w:tcBorders>
            <w:vMerge w:val="continue"/>
            <w:vAlign w:val="bottom"/>
          </w:tcPr>
          <w:p>
            <w:pPr>
              <w:spacing w:after="0" w:line="240" w:lineRule="auto"/>
              <w:rPr>
                <w:rFonts w:hAnsi="Times New Roman" w:ascii="Times New Roman" w:eastAsia="Times New Roman" w:cs="Times New Roman"/>
                <w:sz w:val="20"/>
                <w:szCs w:val="20"/>
              </w:rPr>
            </w:pPr>
          </w:p>
        </w:tc>
      </w:tr>
      <w:tr>
        <w:trPr>
          <w:trHeight w:val="221"/>
        </w:trPr>
        <w:tc>
          <w:tcPr>
            <w:tcW w:w="1863"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Gender</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Male</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141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(38.8%)</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60</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(35.7%)</w:t>
            </w:r>
          </w:p>
        </w:tc>
        <w:tc>
          <w:tcPr>
            <w:tcW w:w="116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81</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(41.5%)</w:t>
            </w:r>
          </w:p>
        </w:tc>
        <w:tc>
          <w:tcPr>
            <w:tcW w:w="12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1.289</w:t>
            </w:r>
          </w:p>
        </w:tc>
        <w:tc>
          <w:tcPr>
            <w:tcW w:w="8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0.256</w:t>
            </w:r>
          </w:p>
        </w:tc>
      </w:tr>
      <w:tr>
        <w:trPr>
          <w:trHeight w:val="221"/>
        </w:trPr>
        <w:tc>
          <w:tcPr>
            <w:tcW w:w="1863"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Female</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222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(61.2%)</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108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(64.3%)</w:t>
            </w:r>
          </w:p>
        </w:tc>
        <w:tc>
          <w:tcPr>
            <w:tcW w:w="116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114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(58.5%)</w:t>
            </w:r>
          </w:p>
        </w:tc>
        <w:tc>
          <w:tcPr>
            <w:tcW w:w="1250"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Age</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 to 26</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(2.5%)</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(2.4%)</w:t>
            </w:r>
          </w:p>
        </w:tc>
        <w:tc>
          <w:tcPr>
            <w:tcW w:w="116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(2.6%)</w:t>
            </w:r>
          </w:p>
        </w:tc>
        <w:tc>
          <w:tcPr>
            <w:tcW w:w="12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6.097</w:t>
            </w:r>
          </w:p>
        </w:tc>
        <w:tc>
          <w:tcPr>
            <w:tcW w:w="8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0.192</w:t>
            </w: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27 to 40</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179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(49.3%)</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77</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(45.8%)</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102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(52.3%)</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41 to 53</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124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(34.2%)</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62</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(36.9%)</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62</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(31.8%)</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54 to 67</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48</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(13.2%)</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(13.1%)</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26</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(13.3%)</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68 to 80</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(0.8%)</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w:t>
            </w:r>
          </w:p>
        </w:tc>
        <w:tc>
          <w:tcPr>
            <w:tcW w:w="116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(0.0%)</w:t>
            </w:r>
          </w:p>
        </w:tc>
        <w:tc>
          <w:tcPr>
            <w:tcW w:w="1250"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Marital status</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Single</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60</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 (16.5%)</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32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(19.0%)</w:t>
            </w:r>
          </w:p>
        </w:tc>
        <w:tc>
          <w:tcPr>
            <w:tcW w:w="116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28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(14.4%)</w:t>
            </w:r>
          </w:p>
        </w:tc>
        <w:tc>
          <w:tcPr>
            <w:tcW w:w="12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5.533</w:t>
            </w:r>
          </w:p>
        </w:tc>
        <w:tc>
          <w:tcPr>
            <w:tcW w:w="8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0.237</w:t>
            </w: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Married</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274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(75.5%)</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126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(75.0%)</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148</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 (75.9%)</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Separated</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(0.6%)</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 (3.6%)</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Divorced</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(2.5%)</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(2.4%)</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(2.6%)</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Widowed</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(3.3%)</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(3.0%)</w:t>
            </w:r>
          </w:p>
        </w:tc>
        <w:tc>
          <w:tcPr>
            <w:tcW w:w="116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(3.6%)</w:t>
            </w:r>
          </w:p>
        </w:tc>
        <w:tc>
          <w:tcPr>
            <w:tcW w:w="1250"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Level of education</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No formal education</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199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(54.8%)</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98</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(58.3%)</w:t>
            </w:r>
          </w:p>
        </w:tc>
        <w:tc>
          <w:tcPr>
            <w:tcW w:w="116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101</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(51.8%)</w:t>
            </w:r>
          </w:p>
        </w:tc>
        <w:tc>
          <w:tcPr>
            <w:tcW w:w="12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10.012</w:t>
            </w:r>
          </w:p>
        </w:tc>
        <w:tc>
          <w:tcPr>
            <w:tcW w:w="8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0.075</w:t>
            </w: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KG/Primary education</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29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(8.0%)</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(8.3%)</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15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(7.7%)</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JHS</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37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(10.2%)</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(7.1%)</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25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(12.8%)</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SHS</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68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(18.7%)</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35 (20.8%)</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33 (16.9%)</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University</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27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(7.4%)</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 (5.4%)</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 (9.2%)</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Other</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 (0.8%)</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 (0.0%)</w:t>
            </w:r>
          </w:p>
        </w:tc>
        <w:tc>
          <w:tcPr>
            <w:tcW w:w="116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(1.5%)</w:t>
            </w:r>
          </w:p>
        </w:tc>
        <w:tc>
          <w:tcPr>
            <w:tcW w:w="1250"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How long have you lived in Mangu Community? </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to 16</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225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(62.0%)</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104 (61.9%)</w:t>
            </w:r>
          </w:p>
        </w:tc>
        <w:tc>
          <w:tcPr>
            <w:tcW w:w="116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121 (62.1%)</w:t>
            </w:r>
          </w:p>
        </w:tc>
        <w:tc>
          <w:tcPr>
            <w:tcW w:w="12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4.965</w:t>
            </w:r>
          </w:p>
        </w:tc>
        <w:tc>
          <w:tcPr>
            <w:tcW w:w="8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0.291</w:t>
            </w: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17 to 32</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96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(26.4%)</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42 (25.0%)</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54 (27.7%)</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33 to 48</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37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(10.2%)</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 (10.7%)</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19 9.7%</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49 to 64</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(0.6%)</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1(.6%)</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1(.5%)</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63 to 80</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(0.8%)</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(1.8%)</w:t>
            </w:r>
          </w:p>
        </w:tc>
        <w:tc>
          <w:tcPr>
            <w:tcW w:w="116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 (0.0%)</w:t>
            </w:r>
          </w:p>
        </w:tc>
        <w:tc>
          <w:tcPr>
            <w:tcW w:w="1250"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How many number of children are living in the household? </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to 3</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233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(64.2%)</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110 (65.5%)</w:t>
            </w:r>
          </w:p>
        </w:tc>
        <w:tc>
          <w:tcPr>
            <w:tcW w:w="116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123 (63.1%)</w:t>
            </w:r>
          </w:p>
        </w:tc>
        <w:tc>
          <w:tcPr>
            <w:tcW w:w="12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0.429</w:t>
            </w:r>
          </w:p>
        </w:tc>
        <w:tc>
          <w:tcPr>
            <w:tcW w:w="8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0.807</w:t>
            </w: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to 6</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110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(30.3%)</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50</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(29.8%)</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60</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(30.8%)</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 to 9</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20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(5.5%)</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 (4.8%)</w:t>
            </w:r>
          </w:p>
        </w:tc>
        <w:tc>
          <w:tcPr>
            <w:tcW w:w="116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 (6.2%)</w:t>
            </w:r>
          </w:p>
        </w:tc>
        <w:tc>
          <w:tcPr>
            <w:tcW w:w="1250"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How many number of people are living in the household?</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to 6</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233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(64.2%)</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106 (63.1%)</w:t>
            </w:r>
          </w:p>
        </w:tc>
        <w:tc>
          <w:tcPr>
            <w:tcW w:w="116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127 (65.1%)</w:t>
            </w:r>
          </w:p>
        </w:tc>
        <w:tc>
          <w:tcPr>
            <w:tcW w:w="12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1.081</w:t>
            </w:r>
          </w:p>
        </w:tc>
        <w:tc>
          <w:tcPr>
            <w:tcW w:w="8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0.782</w:t>
            </w: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 to 9</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108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(29.8%)</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53 (31.5%)</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55 (28.2%)</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 to 13</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(3.9%)</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 (3.0%)</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 (4.6%)</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to 16</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(2.4%)</w:t>
            </w:r>
          </w:p>
        </w:tc>
        <w:tc>
          <w:tcPr>
            <w:tcW w:w="116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(2.1%)</w:t>
            </w:r>
          </w:p>
        </w:tc>
        <w:tc>
          <w:tcPr>
            <w:tcW w:w="1250"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What is your occupation?</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Farming</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58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(16.0%)</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26 (15.5%)</w:t>
            </w:r>
          </w:p>
        </w:tc>
        <w:tc>
          <w:tcPr>
            <w:tcW w:w="116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32 (16.4%)</w:t>
            </w:r>
          </w:p>
        </w:tc>
        <w:tc>
          <w:tcPr>
            <w:tcW w:w="12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14.169</w:t>
            </w:r>
          </w:p>
        </w:tc>
        <w:tc>
          <w:tcPr>
            <w:tcW w:w="8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0.048</w:t>
            </w: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Trading</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94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(25.9%)</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54 (32.1%)</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40 (20.5%)</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Government employee</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(2.5%)</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(1.8%)</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 (3.1%)</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Private sector employee</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17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(4.7%)</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 (3.0%)</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 (6.2%)</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Self-employed / Entrepreneur</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87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(24.0%)</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39 (23.2%)</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48 (24.6%)</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Not employed</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(5.0%)</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 (3.0%)</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 (6.7%)</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Apprenticeship</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66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(18.2%)</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33 (19.6%)</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33 (16.9%)</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Other</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(3.9%)</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(1.8%)</w:t>
            </w:r>
          </w:p>
        </w:tc>
        <w:tc>
          <w:tcPr>
            <w:tcW w:w="116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11 (5.6%)</w:t>
            </w:r>
          </w:p>
        </w:tc>
        <w:tc>
          <w:tcPr>
            <w:tcW w:w="1250"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What is your average monthly income? (Gh¢)</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&lt;/416</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240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(66.1%)</w:t>
            </w:r>
          </w:p>
        </w:tc>
        <w:tc>
          <w:tcPr>
            <w:tcW w:w="1159"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115 (68.5%)</w:t>
            </w:r>
          </w:p>
        </w:tc>
        <w:tc>
          <w:tcPr>
            <w:tcW w:w="116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125 (64.1%)</w:t>
            </w:r>
          </w:p>
        </w:tc>
        <w:tc>
          <w:tcPr>
            <w:tcW w:w="12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0.886</w:t>
            </w:r>
          </w:p>
        </w:tc>
        <w:tc>
          <w:tcPr>
            <w:tcW w:w="83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0.642</w:t>
            </w:r>
          </w:p>
        </w:tc>
      </w:tr>
      <w:tr>
        <w:trPr>
          <w:trHeight w:val="221"/>
        </w:trPr>
        <w:tc>
          <w:tcPr>
            <w:tcW w:w="1863"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417 to 2,458</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120</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 (33.1%)</w:t>
            </w:r>
          </w:p>
        </w:tc>
        <w:tc>
          <w:tcPr>
            <w:tcW w:w="1159"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52 (31.0%)</w:t>
            </w:r>
          </w:p>
        </w:tc>
        <w:tc>
          <w:tcPr>
            <w:tcW w:w="116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68 (34.9%)</w:t>
            </w:r>
          </w:p>
        </w:tc>
        <w:tc>
          <w:tcPr>
            <w:tcW w:w="1250"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1"/>
        </w:trPr>
        <w:tc>
          <w:tcPr>
            <w:tcW w:w="1863"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2459 to 4,500</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w:t>
            </w:r>
          </w:p>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(0.8%)</w:t>
            </w:r>
          </w:p>
        </w:tc>
        <w:tc>
          <w:tcPr>
            <w:tcW w:w="1159"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(0.6%)</w:t>
            </w:r>
          </w:p>
        </w:tc>
        <w:tc>
          <w:tcPr>
            <w:tcW w:w="116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(1.0%)</w:t>
            </w:r>
          </w:p>
        </w:tc>
        <w:tc>
          <w:tcPr>
            <w:tcW w:w="1250"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83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bl>
    <w:p>
      <w:pPr>
        <w:spacing w:line="480" w:lineRule="auto"/>
        <w:ind w:left="720"/>
        <w:jc w:val="both"/>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Source: Field Survey (2023)</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The results in Table 5 show that many (64.3%) female respondents had negative (low) knowledge of solid waste disposal compared to (35.7%) of the male respondents. The results showed that there was no statistically significant association between residents’ gender and their knowledge of solid waste management (SWM) (p-value &gt; 0.05).</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Regarding residents’ age, the results show that just over half (52.3%) of the respondents aged 27-40 years had positive knowledge of SWM compared to those aged 41-53 (31.8%), 54-67 (13.3%), 18-26 (2.6%) and ages 68-80 (0.0%) who had positive knowledge. The findings showed no statistically significant difference in the association between respondents' age groups and their knowledge of SWM (p-value&gt; 0.05). </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Regarding the marital status of residents, the results found that the majority (75.9%) of married respondents had positive knowledge of SWM, compared to those who were single (14.4%), separated (3.6%), widowed (3.6%), or divorced (2, 6%). The results showed no statistical difference between residents’ marital status and their knowledge of SWM (p-value&gt; 0.05). </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More than half (58.3%) of the respondents with no formal education had negative knowledge of SWM compared to those with SHS (20.8%), KG/primary education (8.3%), JHS (7.1%), university degree (5.4%), and other educational qualifications (0.0%). The findings showed that residents’ educational attainment had no statistically significant association with their knowledge of SWM (p-value&gt; 0.05). </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In terms of the length of time respondents lived in the Mangu community, this study found that many (62.1%) of the respondents who had lived between 1 and 16 years in the Mangu community had positive knowledge of SWM compared to those who lived between 17 and 32 years (27.7%), 33–48 years (9.7%), 49–64 years (0.5%), and 63–80 years (0.0%). The analysis showed that there was no statistically significant difference between the time respondents lived in the community and their knowledge of SWM (p-value &gt; 0.05). </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Regarding the number of children living in the household; many (65.5%) of the respondents with 1 to 3 children in the household have negative knowledge of SWM, compared to those with 4 to 6 children (29.8%) living in the household and 7 to 9 children (4, 8%). Statistically, there was no significant difference in the association between the number of children living in a household and residents’ knowledge of SWM (p-value&gt; 0.05).</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relation to the number of people living in the household, the study found that many (65.1%) of respondents who have between 1 and 6 people living in the household have positive knowledge, compared to those who have between 7 and 9 people (28.2%) between 10 and 13 people (4.6%) and with between 14 and 16 people (2.1%) living in the household. The results showed that the number of people living in a household was not significantly associated with residents’ knowledge of SWM (p-value&gt; 0.05). </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With regards to respondent's occupations, the study found that more than a quarter (32.1%) of respondents working in retail had negative knowledge of SWM compared to those who were self-employed/entrepreneurs (23.2%), teachers (19.6%), farmers (15.5%), unemployed (3%), working in the private sector (3%), public sector (1.8%), and others (1.8%). The findings showed that respondents’ occupation was statistically associated with residents’ knowledge of SWM (p-value&lt; 0.05). </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Regarding the average monthly income of the respondents, the results showed that many (68.5%) of those who earned Gh¢416 had negative knowledge of SWM, compared with (31%) of those who earned between Gh¢417 and Gh¢2,458 (0.6%) and those who earned between Gh¢2,459 and Gh¢4,500 per month. The results showed that respondents' average monthly income was not significantly associated with their knowledge of SWM (p-value&gt; 0.05).</w:t>
      </w:r>
    </w:p>
    <w:p>
      <w:pPr>
        <w:pStyle w:val="Heading2"/>
        <w:spacing w:line="480" w:lineRule="auto"/>
        <w:ind w:left="720"/>
      </w:pPr>
      <w:bookmarkStart w:id="83" w:name="_Toc147923082"/>
      <w:r>
        <w:rPr>
          <w:rFonts w:ascii="Times New Roman"/>
          <w:b/>
          <w:i w:val="0"/>
          <w:strike w:val="0"/>
          <w:dstrike w:val="0"/>
          <w:emboss w:val="0"/>
          <w:imprint w:val="0"/>
          <w:outline w:val="0"/>
          <w:shadow w:val="0"/>
          <w:sz w:val="24"/>
          <w:szCs w:val="24"/>
          <w:u w:val="none"/>
        </w:rPr>
        <w:lastRenderedPageBreak/>
        <w:t xml:space="preserve">4.4 Residents’ Attitude towards Solid Waste Management</w:t>
      </w:r>
      <w:bookmarkEnd w:id="83"/>
    </w:p>
    <w:p>
      <w:pPr>
        <w:spacing w:line="480" w:lineRule="auto"/>
        <w:ind w:left="720"/>
        <w:jc w:val="both"/>
        <w:rPr>
          <w:rFonts w:hAnsi="Times New Roman" w:ascii="Times New Roman" w:eastAsia="Calibri" w:cs="Times New Roman"/>
          <w:bCs/>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focus of this research question was to ask residents of the Mangu community about their attitudes towards SWM. This contained ten (10) questions, which were asked in the nominal form: \"yes\" and/or \"no\", which were marked as correct and incorrect attitude answers. Based on the respondents’ answer, a composite scale of residents' attitude towards SWM is divided into \"low\" and \"high\" based on the mean score of +/-1. The results are presented in Table 6 and Figure 5, respectively.</w:t>
      </w:r>
    </w:p>
    <w:p>
      <w:pPr>
        <w:pStyle w:val="Caption"/>
        <w:ind w:left="720"/>
        <w:jc w:val="both"/>
        <w:rPr>
          <w:color w:val="auto"/>
          <w:rFonts w:hAnsi="Times New Roman" w:ascii="Times New Roman" w:cs="Times New Roman"/>
          <w:b/>
          <w:bCs/>
          <w:i w:val="0"/>
          <w:sz w:val="24"/>
          <w:szCs w:val="24"/>
        </w:rPr>
      </w:pPr>
      <w:bookmarkStart w:id="84" w:name="_Toc147923107"/>
      <w:r>
        <w:rPr>
          <w:color w:val="auto"/>
          <w:rFonts w:hAnsi="Times New Roman" w:ascii="Times New Roman" w:cs="Times New Roman"/>
          <w:b/>
          <w:bCs/>
          <w:i w:val="0"/>
          <w:strike w:val="0"/>
          <w:dstrike w:val="0"/>
          <w:emboss w:val="0"/>
          <w:imprint w:val="0"/>
          <w:outline w:val="0"/>
          <w:shadow w:val="0"/>
          <w:sz w:val="24"/>
          <w:szCs w:val="24"/>
          <w:u w:val="none"/>
        </w:rPr>
        <w:t xml:space="preserve">Table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Table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6</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Residents Attitude towards SWM</w:t>
      </w:r>
      <w:bookmarkEnd w:id="84"/>
    </w:p>
    <w:tbl>
      <w:tblPr>
        <w:tblW w:w="9537" w:type="dxa"/>
        <w:tblInd w:w="813" w:type="dxa"/>
        <w:tblBorders>
          <w:top w:val="single" w:sz="4" w:color="auto"/>
          <w:bottom w:val="single" w:sz="4" w:color="auto"/>
        </w:tblBorders>
        <w:tblLook w:val="04A0"/>
      </w:tblPr>
      <w:tblGrid>
        <w:gridCol w:w="5500"/>
        <w:gridCol w:w="1233"/>
        <w:gridCol w:w="1350"/>
        <w:gridCol w:w="1454"/>
      </w:tblGrid>
      <w:tr>
        <w:trPr>
          <w:trHeight w:val="559"/>
        </w:trPr>
        <w:tc>
          <w:tcPr>
            <w:tcW w:w="5500" w:type="dxa"/>
            <w:shd w:fill="auto" w:color="auto" w:val="clear"/>
            <w:tcBorders>
              <w:top w:val="single" w:sz="4" w:color="auto"/>
              <w:bottom w:val="single" w:sz="4" w:color="auto"/>
            </w:tcBorders>
          </w:tcPr>
          <w:p>
            <w:pPr>
              <w:spacing w:after="0" w:line="240" w:lineRule="auto"/>
              <w:jc w:val="center"/>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Attitude towards SWM Statements</w:t>
            </w:r>
          </w:p>
        </w:tc>
        <w:tc>
          <w:tcPr>
            <w:tcW w:w="1233" w:type="dxa"/>
            <w:shd w:fill="auto" w:color="auto" w:val="clear"/>
            <w:tcBorders>
              <w:top w:val="single" w:sz="4" w:color="auto"/>
              <w:bottom w:val="single" w:sz="4" w:color="auto"/>
            </w:tcBorders>
          </w:tcPr>
          <w:p>
            <w:pPr>
              <w:spacing w:after="0" w:line="240" w:lineRule="auto"/>
              <w:jc w:val="center"/>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Response</w:t>
            </w:r>
          </w:p>
        </w:tc>
        <w:tc>
          <w:tcPr>
            <w:tcW w:w="1350" w:type="dxa"/>
            <w:shd w:fill="auto" w:color="auto" w:val="clear"/>
            <w:tcBorders>
              <w:top w:val="single" w:sz="4" w:color="auto"/>
              <w:bottom w:val="single" w:sz="4" w:color="auto"/>
            </w:tcBorders>
          </w:tcPr>
          <w:p>
            <w:pPr>
              <w:spacing w:after="0" w:line="240" w:lineRule="auto"/>
              <w:jc w:val="center"/>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Frequency (N = 363)</w:t>
            </w:r>
          </w:p>
        </w:tc>
        <w:tc>
          <w:tcPr>
            <w:tcW w:w="1454" w:type="dxa"/>
            <w:shd w:fill="auto" w:color="auto" w:val="clear"/>
            <w:tcBorders>
              <w:top w:val="single" w:sz="4" w:color="auto"/>
              <w:bottom w:val="single" w:sz="4" w:color="auto"/>
            </w:tcBorders>
          </w:tcPr>
          <w:p>
            <w:pPr>
              <w:spacing w:after="0" w:line="240" w:lineRule="auto"/>
              <w:jc w:val="center"/>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Percentage (%)</w:t>
            </w:r>
          </w:p>
        </w:tc>
      </w:tr>
      <w:tr>
        <w:trPr>
          <w:trHeight w:val="300"/>
        </w:trPr>
        <w:tc>
          <w:tcPr>
            <w:tcW w:w="550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feel solid waste is something with value?</w:t>
            </w:r>
          </w:p>
        </w:tc>
        <w:tc>
          <w:tcPr>
            <w:tcW w:w="123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3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188</w:t>
            </w:r>
          </w:p>
        </w:tc>
        <w:tc>
          <w:tcPr>
            <w:tcW w:w="1454"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51.8</w:t>
            </w:r>
          </w:p>
        </w:tc>
      </w:tr>
      <w:tr>
        <w:trPr>
          <w:trHeight w:val="300"/>
        </w:trPr>
        <w:tc>
          <w:tcPr>
            <w:tcW w:w="550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3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35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175</w:t>
            </w:r>
          </w:p>
        </w:tc>
        <w:tc>
          <w:tcPr>
            <w:tcW w:w="1454"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48.2</w:t>
            </w:r>
          </w:p>
        </w:tc>
      </w:tr>
      <w:tr>
        <w:trPr>
          <w:trHeight w:val="300"/>
        </w:trPr>
        <w:tc>
          <w:tcPr>
            <w:tcW w:w="550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feel solid waste is one of the environmental problems that need an immediate attention?</w:t>
            </w:r>
          </w:p>
        </w:tc>
        <w:tc>
          <w:tcPr>
            <w:tcW w:w="123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3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65</w:t>
            </w:r>
          </w:p>
        </w:tc>
        <w:tc>
          <w:tcPr>
            <w:tcW w:w="1454"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17.9</w:t>
            </w:r>
          </w:p>
        </w:tc>
      </w:tr>
      <w:tr>
        <w:trPr>
          <w:trHeight w:val="300"/>
        </w:trPr>
        <w:tc>
          <w:tcPr>
            <w:tcW w:w="550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3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35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298</w:t>
            </w:r>
          </w:p>
        </w:tc>
        <w:tc>
          <w:tcPr>
            <w:tcW w:w="1454"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82.1</w:t>
            </w:r>
          </w:p>
        </w:tc>
      </w:tr>
      <w:tr>
        <w:trPr>
          <w:trHeight w:val="300"/>
        </w:trPr>
        <w:tc>
          <w:tcPr>
            <w:tcW w:w="550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feel every household should have responsibility for the proper collection and disposal of the solid wastes?</w:t>
            </w:r>
          </w:p>
        </w:tc>
        <w:tc>
          <w:tcPr>
            <w:tcW w:w="123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3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75</w:t>
            </w:r>
          </w:p>
        </w:tc>
        <w:tc>
          <w:tcPr>
            <w:tcW w:w="1454"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20.7</w:t>
            </w:r>
          </w:p>
        </w:tc>
      </w:tr>
      <w:tr>
        <w:trPr>
          <w:trHeight w:val="300"/>
        </w:trPr>
        <w:tc>
          <w:tcPr>
            <w:tcW w:w="550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3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35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288</w:t>
            </w:r>
          </w:p>
        </w:tc>
        <w:tc>
          <w:tcPr>
            <w:tcW w:w="1454"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79.3</w:t>
            </w:r>
          </w:p>
        </w:tc>
      </w:tr>
      <w:tr>
        <w:trPr>
          <w:trHeight w:val="300"/>
        </w:trPr>
        <w:tc>
          <w:tcPr>
            <w:tcW w:w="550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feel proper solid waste disposal is the responsibility of everyone?</w:t>
            </w:r>
          </w:p>
        </w:tc>
        <w:tc>
          <w:tcPr>
            <w:tcW w:w="123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3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86</w:t>
            </w:r>
          </w:p>
        </w:tc>
        <w:tc>
          <w:tcPr>
            <w:tcW w:w="1454"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23.7</w:t>
            </w:r>
          </w:p>
        </w:tc>
      </w:tr>
      <w:tr>
        <w:trPr>
          <w:trHeight w:val="300"/>
        </w:trPr>
        <w:tc>
          <w:tcPr>
            <w:tcW w:w="550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3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35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277</w:t>
            </w:r>
          </w:p>
        </w:tc>
        <w:tc>
          <w:tcPr>
            <w:tcW w:w="1454"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76.3</w:t>
            </w:r>
          </w:p>
        </w:tc>
      </w:tr>
      <w:tr>
        <w:trPr>
          <w:trHeight w:val="300"/>
        </w:trPr>
        <w:tc>
          <w:tcPr>
            <w:tcW w:w="550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feel that proper SWM is important in creating a healthy environment?</w:t>
            </w:r>
          </w:p>
        </w:tc>
        <w:tc>
          <w:tcPr>
            <w:tcW w:w="123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3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64</w:t>
            </w:r>
          </w:p>
        </w:tc>
        <w:tc>
          <w:tcPr>
            <w:tcW w:w="1454"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17.6</w:t>
            </w:r>
          </w:p>
        </w:tc>
      </w:tr>
      <w:tr>
        <w:trPr>
          <w:trHeight w:val="300"/>
        </w:trPr>
        <w:tc>
          <w:tcPr>
            <w:tcW w:w="550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3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35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299</w:t>
            </w:r>
          </w:p>
        </w:tc>
        <w:tc>
          <w:tcPr>
            <w:tcW w:w="1454"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82.4</w:t>
            </w:r>
          </w:p>
        </w:tc>
      </w:tr>
      <w:tr>
        <w:trPr>
          <w:trHeight w:val="300"/>
        </w:trPr>
        <w:tc>
          <w:tcPr>
            <w:tcW w:w="550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feel SWM is a burning issue in the area of my community?</w:t>
            </w:r>
          </w:p>
        </w:tc>
        <w:tc>
          <w:tcPr>
            <w:tcW w:w="123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3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63</w:t>
            </w:r>
          </w:p>
        </w:tc>
        <w:tc>
          <w:tcPr>
            <w:tcW w:w="1454"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17.4</w:t>
            </w:r>
          </w:p>
        </w:tc>
      </w:tr>
      <w:tr>
        <w:trPr>
          <w:trHeight w:val="300"/>
        </w:trPr>
        <w:tc>
          <w:tcPr>
            <w:tcW w:w="550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3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35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300</w:t>
            </w:r>
          </w:p>
        </w:tc>
        <w:tc>
          <w:tcPr>
            <w:tcW w:w="1454"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82.6</w:t>
            </w:r>
          </w:p>
        </w:tc>
      </w:tr>
      <w:tr>
        <w:trPr>
          <w:trHeight w:val="300"/>
        </w:trPr>
        <w:tc>
          <w:tcPr>
            <w:tcW w:w="5500" w:type="dxa"/>
            <w:shd w:fill="auto" w:color="auto" w:val="clear"/>
            <w:tcBorders>
              <w:top w:val="single" w:sz="4" w:color="auto"/>
              <w:bottom w:val="none" w:sz="0" w:color="000000"/>
            </w:tcBorders>
            <w:vMerge w:val="restart"/>
          </w:tcPr>
          <w:p>
            <w:pPr>
              <w:spacing w:after="0" w:line="240" w:lineRule="auto"/>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Do you feel the city government should conduct regular supervision and control on illegal damping of solid waste in the communities?</w:t>
            </w:r>
          </w:p>
        </w:tc>
        <w:tc>
          <w:tcPr>
            <w:tcW w:w="1233"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350"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125</w:t>
            </w:r>
          </w:p>
        </w:tc>
        <w:tc>
          <w:tcPr>
            <w:tcW w:w="1454"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34.4</w:t>
            </w:r>
          </w:p>
        </w:tc>
      </w:tr>
      <w:tr>
        <w:trPr>
          <w:trHeight w:val="300"/>
        </w:trPr>
        <w:tc>
          <w:tcPr>
            <w:tcW w:w="5500" w:type="dxa"/>
            <w:tcBorders>
              <w:top w:val="none" w:sz="0" w:color="000000"/>
              <w:bottom w:val="single" w:sz="4" w:color="auto"/>
            </w:tcBorders>
            <w:vMerge w:val="continue"/>
            <w:vAlign w:val="center"/>
          </w:tcPr>
          <w:p>
            <w:pPr>
              <w:spacing w:after="0" w:line="240" w:lineRule="auto"/>
              <w:rPr>
                <w:rFonts w:hAnsi="Times New Roman" w:ascii="Times New Roman" w:eastAsia="Times New Roman" w:cs="Times New Roman"/>
                <w:sz w:val="24"/>
                <w:szCs w:val="24"/>
              </w:rPr>
            </w:pPr>
          </w:p>
        </w:tc>
        <w:tc>
          <w:tcPr>
            <w:tcW w:w="1233" w:type="dxa"/>
            <w:shd w:fill="auto" w:color="auto" w:val="clear"/>
            <w:tcBorders>
              <w:top w:val="none" w:sz="0" w:color="000000"/>
              <w:bottom w:val="single" w:sz="4" w:color="auto"/>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350" w:type="dxa"/>
            <w:shd w:fill="auto" w:color="auto" w:val="clear"/>
            <w:tcBorders>
              <w:top w:val="none" w:sz="0" w:color="000000"/>
              <w:bottom w:val="single" w:sz="4" w:color="auto"/>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238</w:t>
            </w:r>
          </w:p>
        </w:tc>
        <w:tc>
          <w:tcPr>
            <w:tcW w:w="1454" w:type="dxa"/>
            <w:shd w:fill="auto" w:color="auto" w:val="clear"/>
            <w:tcBorders>
              <w:top w:val="none" w:sz="0" w:color="000000"/>
              <w:bottom w:val="single" w:sz="4" w:color="auto"/>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65.6</w:t>
            </w:r>
          </w:p>
        </w:tc>
      </w:tr>
      <w:tr>
        <w:trPr>
          <w:trHeight w:val="300"/>
        </w:trPr>
        <w:tc>
          <w:tcPr>
            <w:tcW w:w="5500" w:type="dxa"/>
            <w:shd w:fill="auto" w:color="auto" w:val="clear"/>
            <w:tcBorders>
              <w:top w:val="single" w:sz="4" w:color="auto"/>
              <w:bottom w:val="none" w:sz="0" w:color="000000"/>
            </w:tcBorders>
            <w:vMerge w:val="restart"/>
          </w:tcPr>
          <w:p>
            <w:pPr>
              <w:spacing w:after="0" w:line="240" w:lineRule="auto"/>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Do you feel the solid waste disposal and management by government is convenient?</w:t>
            </w:r>
          </w:p>
        </w:tc>
        <w:tc>
          <w:tcPr>
            <w:tcW w:w="1233"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350"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159</w:t>
            </w:r>
          </w:p>
        </w:tc>
        <w:tc>
          <w:tcPr>
            <w:tcW w:w="1454" w:type="dxa"/>
            <w:shd w:fill="auto" w:color="auto" w:val="clear"/>
            <w:tcBorders>
              <w:top w:val="single" w:sz="4" w:color="auto"/>
              <w:bottom w:val="none" w:sz="0" w:color="000000"/>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43.8</w:t>
            </w:r>
          </w:p>
        </w:tc>
      </w:tr>
      <w:tr>
        <w:trPr>
          <w:trHeight w:val="300"/>
        </w:trPr>
        <w:tc>
          <w:tcPr>
            <w:tcW w:w="5500" w:type="dxa"/>
            <w:tcBorders>
              <w:top w:val="none" w:sz="0" w:color="000000"/>
              <w:bottom w:val="single" w:sz="4" w:color="auto"/>
            </w:tcBorders>
            <w:vMerge w:val="continue"/>
            <w:vAlign w:val="center"/>
          </w:tcPr>
          <w:p>
            <w:pPr>
              <w:spacing w:after="0" w:line="240" w:lineRule="auto"/>
              <w:rPr>
                <w:color w:val="FF0000"/>
                <w:rFonts w:hAnsi="Times New Roman" w:ascii="Times New Roman" w:eastAsia="Times New Roman" w:cs="Times New Roman"/>
                <w:sz w:val="24"/>
                <w:szCs w:val="24"/>
              </w:rPr>
            </w:pPr>
          </w:p>
        </w:tc>
        <w:tc>
          <w:tcPr>
            <w:tcW w:w="1233" w:type="dxa"/>
            <w:shd w:fill="auto" w:color="auto" w:val="clear"/>
            <w:tcBorders>
              <w:top w:val="none" w:sz="0" w:color="000000"/>
              <w:bottom w:val="single" w:sz="4" w:color="auto"/>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350" w:type="dxa"/>
            <w:shd w:fill="auto" w:color="auto" w:val="clear"/>
            <w:tcBorders>
              <w:top w:val="none" w:sz="0" w:color="000000"/>
              <w:bottom w:val="single" w:sz="4" w:color="auto"/>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204</w:t>
            </w:r>
          </w:p>
        </w:tc>
        <w:tc>
          <w:tcPr>
            <w:tcW w:w="1454" w:type="dxa"/>
            <w:shd w:fill="auto" w:color="auto" w:val="clear"/>
            <w:tcBorders>
              <w:top w:val="none" w:sz="0" w:color="000000"/>
              <w:bottom w:val="single" w:sz="4" w:color="auto"/>
            </w:tcBorders>
          </w:tcPr>
          <w:p>
            <w:pPr>
              <w:spacing w:after="0" w:line="24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56.2</w:t>
            </w:r>
          </w:p>
        </w:tc>
      </w:tr>
      <w:tr>
        <w:trPr>
          <w:trHeight w:val="300"/>
        </w:trPr>
        <w:tc>
          <w:tcPr>
            <w:tcW w:w="550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feel selling plastic waste for recycling is the best way to manage solid waste?</w:t>
            </w:r>
          </w:p>
        </w:tc>
        <w:tc>
          <w:tcPr>
            <w:tcW w:w="1233"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350"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89</w:t>
            </w:r>
          </w:p>
        </w:tc>
        <w:tc>
          <w:tcPr>
            <w:tcW w:w="1454"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24.5</w:t>
            </w:r>
          </w:p>
        </w:tc>
      </w:tr>
      <w:tr>
        <w:trPr>
          <w:trHeight w:val="300"/>
        </w:trPr>
        <w:tc>
          <w:tcPr>
            <w:tcW w:w="550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33"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350"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274</w:t>
            </w:r>
          </w:p>
        </w:tc>
        <w:tc>
          <w:tcPr>
            <w:tcW w:w="1454"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75.5</w:t>
            </w:r>
          </w:p>
        </w:tc>
      </w:tr>
      <w:tr>
        <w:trPr>
          <w:trHeight w:val="300"/>
        </w:trPr>
        <w:tc>
          <w:tcPr>
            <w:tcW w:w="5500" w:type="dxa"/>
            <w:shd w:fill="auto" w:color="auto" w:val="clear"/>
            <w:tcBorders>
              <w:top w:val="single" w:sz="4" w:color="auto"/>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feel bad when you see solid waste disposed in open spaces?</w:t>
            </w:r>
          </w:p>
        </w:tc>
        <w:tc>
          <w:tcPr>
            <w:tcW w:w="1233"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350"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125</w:t>
            </w:r>
          </w:p>
        </w:tc>
        <w:tc>
          <w:tcPr>
            <w:tcW w:w="1454"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34.4</w:t>
            </w:r>
          </w:p>
        </w:tc>
      </w:tr>
      <w:tr>
        <w:trPr>
          <w:trHeight w:val="300"/>
        </w:trPr>
        <w:tc>
          <w:tcPr>
            <w:tcW w:w="5500" w:type="dxa"/>
            <w:vMerge w:val="continue"/>
            <w:vAlign w:val="center"/>
          </w:tcPr>
          <w:p>
            <w:pPr>
              <w:spacing w:after="0" w:line="240" w:lineRule="auto"/>
              <w:rPr>
                <w:color w:val="000000"/>
                <w:rFonts w:hAnsi="Times New Roman" w:ascii="Times New Roman" w:eastAsia="Times New Roman" w:cs="Times New Roman"/>
                <w:sz w:val="24"/>
                <w:szCs w:val="24"/>
              </w:rPr>
            </w:pPr>
          </w:p>
        </w:tc>
        <w:tc>
          <w:tcPr>
            <w:tcW w:w="1233"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350"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238</w:t>
            </w:r>
          </w:p>
        </w:tc>
        <w:tc>
          <w:tcPr>
            <w:tcW w:w="1454"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65.6</w:t>
            </w:r>
          </w:p>
        </w:tc>
      </w:tr>
    </w:tbl>
    <w:p>
      <w:pPr>
        <w:spacing w:line="480" w:lineRule="auto"/>
        <w:ind w:left="720"/>
        <w:rPr>
          <w:rFonts w:hAnsi="Calibri" w:ascii="Calibri" w:eastAsia="Calibri" w:cs="Times New Roman"/>
        </w:rPr>
      </w:pPr>
      <w:r>
        <w:rPr>
          <w:rFonts w:hAnsi="Times New Roman" w:ascii="Times New Roman" w:eastAsia="Calibri" w:cs="Times New Roman"/>
          <w:b/>
          <w:bCs/>
          <w:i w:val="0"/>
          <w:strike w:val="0"/>
          <w:dstrike w:val="0"/>
          <w:emboss w:val="0"/>
          <w:imprint w:val="0"/>
          <w:outline w:val="0"/>
          <w:shadow w:val="0"/>
          <w:sz w:val="24"/>
          <w:szCs w:val="24"/>
          <w:u w:val="none"/>
        </w:rPr>
        <w:t xml:space="preserve">  Source: Field Survey (2023)</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The results in Table 6 show that half (51.8%) of the respondents felt that solid waste was valuable compared to 48.2% who thought otherwise. In addition, a large majority (82.1%) of respondents, compared to 17.9%, believed that solid waste is an environmental issue that needs immediate attention. The study found that a majority (79.3%) of the respondents felt that every household was responsible for the proper collection and disposal of solid waste, compared to only a few (20.7%) who thought otherwise. The analysis also revealed that a majority (76.3%) of respondents, compared to just a few others (23.7%), believed that the proper disposal of solid waste is everyone is responsibility. Again, the results showed that a large number (82.4%) of respondents compared to 17.6% agreed that proper waste management (SWM) is important for creating a healthy environment. In addition, the study found that a large majority (82.6%) compared to 17.4% of respondents felt that SWM was a burning issue in the Mangu community. As a result, many (65.6%) compared to (34.4%) of the respondents believe that the municipality should carry out regular monitoring and control of the illegal disposal of solid waste in the municipality. Over half (56.2%) of the respondents felt that solid waste disposal and management by the government was convenient.</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Furthermore, the study results show that up to 75.5% of respondents believe that selling plastic waste for recycling is the best way to dispose of solid waste, compared to almost a quarter (24.5%) who do not have this opinion. Finally, the study found that many respondents (65.6%) felt uncomfortable seeing solid waste being dumped in open spaces, compared to (34.4%) who thought otherwise. </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Therefore, to determine the percentage of respondents' attitudes toward SWM, a composite analysis was conducted, and the results are shown in Figure 5.</w:t>
      </w:r>
    </w:p>
    <w:p>
      <w:pPr>
        <w:ind w:left="720"/>
      </w:pPr>
      <w:r>
        <w:rPr>
          <w:rFonts w:hAnsi="Calibri" w:ascii="Calibri" w:eastAsia="Calibri" w:cs="Times New Roman"/>
          <w:b w:val="0"/>
          <w:i w:val="0"/>
          <w:strike w:val="0"/>
          <w:dstrike w:val="0"/>
          <w:emboss w:val="0"/>
          <w:imprint w:val="0"/>
          <w:outline w:val="0"/>
          <w:shadow w:val="0"/>
          <w:sz w:val="22"/>
          <w:szCs w:val="22"/>
          <w:u w:val="none"/>
        </w:rPr>
        <w:lastRenderedPageBreak/>
        <w:drawing>
          <wp:inline>
            <wp:extent cx="5667379" cy="2847970"/>
            <wp:effectExtent l="0" t="0" r="9525"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pStyle w:val="Caption"/>
        <w:ind w:left="720"/>
        <w:rPr>
          <w:color w:val="auto"/>
          <w:rFonts w:hAnsi="Times New Roman" w:ascii="Times New Roman" w:eastAsia="Calibri" w:cs="Times New Roman"/>
          <w:b/>
          <w:i w:val="0"/>
          <w:sz w:val="24"/>
          <w:szCs w:val="24"/>
        </w:rPr>
      </w:pPr>
      <w:bookmarkStart w:id="85" w:name="_Toc142664172"/>
      <w:r>
        <w:rPr>
          <w:color w:val="auto"/>
          <w:rFonts w:hAnsi="Times New Roman" w:ascii="Times New Roman" w:cs="Times New Roman"/>
          <w:b/>
          <w:i w:val="0"/>
          <w:strike w:val="0"/>
          <w:dstrike w:val="0"/>
          <w:emboss w:val="0"/>
          <w:imprint w:val="0"/>
          <w:outline w:val="0"/>
          <w:shadow w:val="0"/>
          <w:sz w:val="24"/>
          <w:szCs w:val="24"/>
          <w:u w:val="none"/>
        </w:rPr>
        <w:t xml:space="preserve">Figure </w:t>
      </w:r>
      <w:r>
        <w:rPr>
          <w:color w:val="auto"/>
          <w:rFonts w:hAnsi="Times New Roman" w:ascii="Times New Roman" w:cs="Times New Roman"/>
          <w:b/>
          <w:i w:val="0"/>
          <w:sz w:val="24"/>
          <w:szCs w:val="24"/>
        </w:rPr>
        <w:fldChar w:fldCharType="begin"/>
      </w:r>
      <w:r>
        <w:rPr>
          <w:color w:val="auto"/>
          <w:rFonts w:hAnsi="Times New Roman" w:ascii="Times New Roman" w:cs="Times New Roman"/>
          <w:b/>
          <w:i w:val="0"/>
          <w:sz w:val="24"/>
          <w:szCs w:val="24"/>
        </w:rPr>
        <w:instrText xml:space="preserve"> SEQ Figure \* ARABIC </w:instrText>
      </w:r>
      <w:r>
        <w:rPr>
          <w:color w:val="auto"/>
          <w:rFonts w:hAnsi="Times New Roman" w:ascii="Times New Roman" w:cs="Times New Roman"/>
          <w:b/>
          <w:i w:val="0"/>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5</w:t>
      </w:r>
      <w:r>
        <w:rPr>
          <w:color w:val="auto"/>
          <w:rFonts w:hAnsi="Times New Roman" w:ascii="Times New Roman" w:cs="Times New Roman"/>
          <w:b/>
          <w:i w:val="0"/>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 Residents composite attitude towards SWM</w:t>
      </w:r>
      <w:bookmarkEnd w:id="85"/>
    </w:p>
    <w:p>
      <w:pPr>
        <w:spacing w:after="0" w:line="480" w:lineRule="auto"/>
        <w:ind w:left="720"/>
        <w:rPr>
          <w:rFonts w:hAnsi="Calibri" w:ascii="Calibri" w:eastAsia="Calibri" w:cs="Times New Roman"/>
        </w:rPr>
      </w:pPr>
      <w:r>
        <w:rPr>
          <w:rFonts w:hAnsi="Times New Roman" w:ascii="Times New Roman" w:eastAsia="Calibri" w:cs="Times New Roman"/>
          <w:b/>
          <w:bCs/>
          <w:i w:val="0"/>
          <w:strike w:val="0"/>
          <w:dstrike w:val="0"/>
          <w:emboss w:val="0"/>
          <w:imprint w:val="0"/>
          <w:outline w:val="0"/>
          <w:shadow w:val="0"/>
          <w:sz w:val="24"/>
          <w:szCs w:val="24"/>
          <w:u w:val="none"/>
        </w:rPr>
        <w:t xml:space="preserve">Source: Field Survey (2023)</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From Figure 5, it can be seen that many (66.9%) of the respondents showed high attitudes towards waste management (SWM) compared to (33.1%) of those respondents who showed low attitudes towards waste management (SWM). The results indicate that residents of the Mangu community have a positive attitude towards solid waste management (SWM).</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However, stakeholder interviews revealed that residents of Mangu and Wa Municipal generally have poor attitudes towards solid waste management. According to one participant, residents of the Mangu community and the municipality as a whole always think that waste management is the responsibility of Zoomlion’s Ghana Company Ltd.</w:t>
      </w:r>
    </w:p>
    <w:p>
      <w:pPr>
        <w:spacing w:after="0" w:line="480" w:lineRule="auto"/>
        <w:ind w:left="1440" w:right="720"/>
        <w:jc w:val="both"/>
        <w:rPr>
          <w:rFonts w:hAnsi="Times New Roman" w:ascii="Times New Roman" w:eastAsia="Calibri" w:cs="Times New Roman"/>
          <w:i/>
          <w:iCs/>
          <w:sz w:val="24"/>
          <w:szCs w:val="24"/>
        </w:rPr>
      </w:pPr>
      <w:r>
        <w:rPr>
          <w:rFonts w:hAnsi="Times New Roman" w:ascii="Times New Roman" w:eastAsia="Calibri" w:cs="Times New Roman"/>
          <w:b w:val="0"/>
          <w:i/>
          <w:strike w:val="0"/>
          <w:dstrike w:val="0"/>
          <w:emboss w:val="0"/>
          <w:imprint w:val="0"/>
          <w:outline w:val="0"/>
          <w:shadow w:val="0"/>
          <w:sz w:val="24"/>
          <w:szCs w:val="24"/>
          <w:u w:val="none"/>
        </w:rPr>
        <w:t xml:space="preserve">“In general, the attitude of residents in the Municipality towards waste management is very bad. People dump solid waste indiscriminately; others will carry refuse from their homes and dump it outside the skip container (public container) instead of pouring it inside the container. They claimed that the waste company would come and collect it. Few households using our 240L bins to store their waste for us to go and collect. The residents are not willing to pay for the services of waste collection”</w:t>
      </w:r>
      <w:r>
        <w:rPr>
          <w:rFonts w:hAnsi="Times New Roman" w:ascii="Times New Roman" w:eastAsia="Calibri" w:cs="Times New Roman"/>
          <w:b w:val="0"/>
          <w:i w:val="0"/>
          <w:iCs/>
          <w:strike w:val="0"/>
          <w:dstrike w:val="0"/>
          <w:emboss w:val="0"/>
          <w:imprint w:val="0"/>
          <w:outline w:val="0"/>
          <w:shadow w:val="0"/>
          <w:sz w:val="24"/>
          <w:szCs w:val="24"/>
          <w:u w:val="none"/>
        </w:rPr>
        <w:t xml:space="preserve">(Zoomlion’s Ghana Ltd, Wa). 11</w:t>
      </w:r>
      <w:r>
        <w:rPr>
          <w:rFonts w:hAnsi="Times New Roman" w:ascii="Times New Roman" w:eastAsia="Calibri" w:cs="Times New Roman"/>
          <w:b w:val="0"/>
          <w:i w:val="0"/>
          <w:iCs/>
          <w:strike w:val="0"/>
          <w:dstrike w:val="0"/>
          <w:emboss w:val="0"/>
          <w:imprint w:val="0"/>
          <w:outline w:val="0"/>
          <w:shadow w:val="0"/>
          <w:sz w:val="24"/>
          <w:szCs w:val="24"/>
          <w:u w:val="none"/>
          <w:vertAlign w:val="superscript"/>
        </w:rPr>
        <w:t xml:space="preserve">th</w:t>
      </w:r>
      <w:r>
        <w:rPr>
          <w:rFonts w:hAnsi="Times New Roman" w:ascii="Times New Roman" w:eastAsia="Calibri" w:cs="Times New Roman"/>
          <w:b w:val="0"/>
          <w:i w:val="0"/>
          <w:iCs/>
          <w:strike w:val="0"/>
          <w:dstrike w:val="0"/>
          <w:emboss w:val="0"/>
          <w:imprint w:val="0"/>
          <w:outline w:val="0"/>
          <w:shadow w:val="0"/>
          <w:sz w:val="24"/>
          <w:szCs w:val="24"/>
          <w:u w:val="none"/>
        </w:rPr>
        <w:t xml:space="preserve"> March,2023</w:t>
      </w:r>
    </w:p>
    <w:p>
      <w:pPr>
        <w:pStyle w:val="Heading2"/>
        <w:spacing w:line="480" w:lineRule="auto"/>
        <w:ind w:left="720"/>
        <w:rPr>
          <w:rFonts w:eastAsia="Calibri"/>
        </w:rPr>
      </w:pPr>
      <w:bookmarkStart w:id="86" w:name="_Toc147923083"/>
      <w:r>
        <w:rPr>
          <w:rFonts w:ascii="Times New Roman" w:eastAsia="Calibri"/>
          <w:b/>
          <w:i w:val="0"/>
          <w:strike w:val="0"/>
          <w:dstrike w:val="0"/>
          <w:emboss w:val="0"/>
          <w:imprint w:val="0"/>
          <w:outline w:val="0"/>
          <w:shadow w:val="0"/>
          <w:sz w:val="24"/>
          <w:szCs w:val="24"/>
          <w:u w:val="none"/>
        </w:rPr>
        <w:t xml:space="preserve">4.4.1</w:t>
        <w:tab/>
        <w:t xml:space="preserve">Association between Residents’ Socio-demographics and Attitude towards SWM</w:t>
      </w:r>
      <w:bookmarkEnd w:id="86"/>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Table 7 presents the association between residents' sociodemographic factors and their attitudes towards SMW using a chi-square analysis at a 95% confidence level.</w:t>
      </w:r>
    </w:p>
    <w:p>
      <w:pPr>
        <w:pStyle w:val="Caption"/>
        <w:ind w:left="720"/>
        <w:rPr>
          <w:color w:val="auto"/>
          <w:rFonts w:hAnsi="Times New Roman" w:ascii="Times New Roman" w:cs="Times New Roman"/>
          <w:b/>
          <w:bCs/>
          <w:i w:val="0"/>
          <w:sz w:val="24"/>
          <w:szCs w:val="24"/>
        </w:rPr>
      </w:pPr>
      <w:bookmarkStart w:id="87" w:name="_Toc147923108"/>
      <w:r>
        <w:rPr>
          <w:color w:val="auto"/>
          <w:rFonts w:hAnsi="Times New Roman" w:ascii="Times New Roman" w:cs="Times New Roman"/>
          <w:b/>
          <w:bCs/>
          <w:i w:val="0"/>
          <w:strike w:val="0"/>
          <w:dstrike w:val="0"/>
          <w:emboss w:val="0"/>
          <w:imprint w:val="0"/>
          <w:outline w:val="0"/>
          <w:shadow w:val="0"/>
          <w:sz w:val="24"/>
          <w:szCs w:val="24"/>
          <w:u w:val="none"/>
        </w:rPr>
        <w:t xml:space="preserve">Table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Table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7</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A cross-tabulation of socio-demographics and residents’ attitude on SWM</w:t>
      </w:r>
      <w:bookmarkEnd w:id="87"/>
    </w:p>
    <w:tbl>
      <w:tblPr>
        <w:tblW w:w="9356" w:type="dxa"/>
        <w:tblInd w:w="720" w:type="dxa"/>
        <w:tblBorders>
          <w:top w:val="single" w:sz="4" w:color="auto"/>
          <w:bottom w:val="single" w:sz="4" w:color="auto"/>
        </w:tblBorders>
        <w:tblLook w:val="04A0"/>
      </w:tblPr>
      <w:tblGrid>
        <w:gridCol w:w="1890"/>
        <w:gridCol w:w="2102"/>
        <w:gridCol w:w="1191"/>
        <w:gridCol w:w="1191"/>
        <w:gridCol w:w="1192"/>
        <w:gridCol w:w="838"/>
        <w:gridCol w:w="952"/>
      </w:tblGrid>
      <w:tr>
        <w:trPr>
          <w:trHeight w:val="224"/>
        </w:trPr>
        <w:tc>
          <w:tcPr>
            <w:tcW w:w="1890" w:type="dxa"/>
            <w:shd w:fill="auto" w:color="auto" w:val="clear"/>
            <w:tcBorders>
              <w:top w:val="single" w:sz="4" w:color="auto"/>
              <w:bottom w:val="single" w:sz="4" w:color="auto"/>
            </w:tcBorders>
            <w:vMerge w:val="restart"/>
            <w:vAlign w:val="center"/>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Socio-demographic factors</w:t>
            </w:r>
          </w:p>
        </w:tc>
        <w:tc>
          <w:tcPr>
            <w:tcW w:w="2102" w:type="dxa"/>
            <w:shd w:fill="auto" w:color="auto" w:val="clear"/>
            <w:tcBorders>
              <w:top w:val="single" w:sz="4" w:color="auto"/>
              <w:bottom w:val="single" w:sz="4" w:color="auto"/>
            </w:tcBorders>
            <w:vMerge w:val="restart"/>
            <w:vAlign w:val="center"/>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Categories</w:t>
            </w:r>
          </w:p>
        </w:tc>
        <w:tc>
          <w:tcPr>
            <w:tcW w:w="1191" w:type="dxa"/>
            <w:shd w:fill="auto" w:color="auto" w:val="clear"/>
            <w:tcBorders>
              <w:top w:val="single" w:sz="4" w:color="auto"/>
              <w:bottom w:val="single" w:sz="4" w:color="auto"/>
            </w:tcBorders>
            <w:vMerge w:val="restart"/>
            <w:vAlign w:val="center"/>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Total Sampled </w:t>
            </w:r>
          </w:p>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N (%)</w:t>
            </w:r>
          </w:p>
          <w:p>
            <w:pPr>
              <w:spacing w:after="0" w:line="240" w:lineRule="auto"/>
              <w:jc w:val="center"/>
              <w:rPr>
                <w:color w:val="000000"/>
                <w:rFonts w:hAnsi="Times New Roman" w:ascii="Times New Roman" w:eastAsia="Times New Roman" w:cs="Times New Roman"/>
                <w:b/>
                <w:bCs/>
                <w:sz w:val="18"/>
                <w:szCs w:val="18"/>
              </w:rPr>
            </w:pPr>
          </w:p>
        </w:tc>
        <w:tc>
          <w:tcPr>
            <w:tcW w:w="2383" w:type="dxa"/>
            <w:gridSpan w:val="2"/>
            <w:shd w:fill="auto" w:color="auto" w:val="clear"/>
            <w:tcBorders>
              <w:top w:val="single" w:sz="4" w:color="auto"/>
              <w:bottom w:val="single" w:sz="4" w:color="auto"/>
            </w:tcBorders>
            <w:vAlign w:val="center"/>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Residents Attitude of SWM</w:t>
            </w:r>
          </w:p>
        </w:tc>
        <w:tc>
          <w:tcPr>
            <w:tcW w:w="838" w:type="dxa"/>
            <w:shd w:fill="auto" w:color="auto" w:val="clear"/>
            <w:tcBorders>
              <w:top w:val="single" w:sz="4" w:color="auto"/>
              <w:bottom w:val="single" w:sz="4" w:color="auto"/>
            </w:tcBorders>
            <w:vMerge w:val="restart"/>
          </w:tcPr>
          <w:p>
            <w:pPr>
              <w:spacing w:after="0" w:line="240" w:lineRule="auto"/>
              <w:jc w:val="center"/>
              <w:rPr>
                <w:rFonts w:hAnsi="Times New Roman" w:ascii="Times New Roman" w:eastAsia="Times New Roman" w:cs="Times New Roman"/>
                <w:b/>
                <w:bCs/>
                <w:sz w:val="20"/>
                <w:szCs w:val="20"/>
              </w:rPr>
            </w:pPr>
            <w:r>
              <w:rPr>
                <w:rFonts w:hAnsi="Times New Roman" w:ascii="Times New Roman" w:eastAsia="Times New Roman" w:cs="Times New Roman"/>
                <w:b/>
                <w:bCs/>
                <w:i w:val="0"/>
                <w:strike w:val="0"/>
                <w:dstrike w:val="0"/>
                <w:emboss w:val="0"/>
                <w:imprint w:val="0"/>
                <w:outline w:val="0"/>
                <w:shadow w:val="0"/>
                <w:sz w:val="20"/>
                <w:szCs w:val="20"/>
                <w:u w:val="none"/>
              </w:rPr>
              <w:t xml:space="preserve">Chi-square (X2)</w:t>
            </w:r>
          </w:p>
        </w:tc>
        <w:tc>
          <w:tcPr>
            <w:tcW w:w="952" w:type="dxa"/>
            <w:shd w:fill="auto" w:color="auto" w:val="clear"/>
            <w:tcBorders>
              <w:top w:val="single" w:sz="4" w:color="auto"/>
              <w:bottom w:val="single" w:sz="4" w:color="auto"/>
            </w:tcBorders>
            <w:vMerge w:val="restart"/>
            <w:vAlign w:val="center"/>
          </w:tcPr>
          <w:p>
            <w:pPr>
              <w:spacing w:after="0" w:line="240" w:lineRule="auto"/>
              <w:jc w:val="center"/>
              <w:rPr>
                <w:rFonts w:hAnsi="Times New Roman" w:ascii="Times New Roman" w:eastAsia="Times New Roman" w:cs="Times New Roman"/>
                <w:b/>
                <w:bCs/>
                <w:sz w:val="20"/>
                <w:szCs w:val="20"/>
              </w:rPr>
            </w:pPr>
            <w:r>
              <w:rPr>
                <w:rFonts w:hAnsi="Times New Roman" w:ascii="Times New Roman" w:eastAsia="Times New Roman" w:cs="Times New Roman"/>
                <w:b/>
                <w:bCs/>
                <w:i w:val="0"/>
                <w:strike w:val="0"/>
                <w:dstrike w:val="0"/>
                <w:emboss w:val="0"/>
                <w:imprint w:val="0"/>
                <w:outline w:val="0"/>
                <w:shadow w:val="0"/>
                <w:sz w:val="20"/>
                <w:szCs w:val="20"/>
                <w:u w:val="none"/>
              </w:rPr>
              <w:t xml:space="preserve">P-value</w:t>
            </w:r>
          </w:p>
          <w:p>
            <w:pPr>
              <w:spacing w:after="0" w:line="240" w:lineRule="auto"/>
              <w:jc w:val="center"/>
              <w:rPr>
                <w:rFonts w:hAnsi="Times New Roman" w:ascii="Times New Roman" w:eastAsia="Times New Roman" w:cs="Times New Roman"/>
                <w:b/>
                <w:bCs/>
                <w:sz w:val="20"/>
                <w:szCs w:val="20"/>
              </w:rPr>
            </w:pPr>
          </w:p>
        </w:tc>
      </w:tr>
      <w:tr>
        <w:trPr>
          <w:trHeight w:val="224"/>
        </w:trPr>
        <w:tc>
          <w:tcPr>
            <w:tcW w:w="1890" w:type="dxa"/>
            <w:tcBorders>
              <w:top w:val="single" w:sz="4" w:color="auto"/>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tcBorders>
              <w:top w:val="single" w:sz="4" w:color="auto"/>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1191" w:type="dxa"/>
            <w:shd w:fill="auto" w:color="auto" w:val="clear"/>
            <w:tcBorders>
              <w:top w:val="single" w:sz="4" w:color="auto"/>
              <w:bottom w:val="single" w:sz="4" w:color="auto"/>
            </w:tcBorders>
            <w:vMerge w:val="continue"/>
            <w:vAlign w:val="bottom"/>
          </w:tcPr>
          <w:p>
            <w:pPr>
              <w:spacing w:after="0" w:line="240" w:lineRule="auto"/>
              <w:rPr>
                <w:color w:val="000000"/>
                <w:rFonts w:hAnsi="Times New Roman" w:ascii="Times New Roman" w:eastAsia="Times New Roman" w:cs="Times New Roman"/>
                <w:sz w:val="18"/>
                <w:szCs w:val="18"/>
              </w:rPr>
            </w:pPr>
          </w:p>
        </w:tc>
        <w:tc>
          <w:tcPr>
            <w:tcW w:w="1191" w:type="dxa"/>
            <w:shd w:fill="auto" w:color="auto" w:val="clear"/>
            <w:tcBorders>
              <w:top w:val="single" w:sz="4" w:color="auto"/>
              <w:bottom w:val="single" w:sz="4" w:color="auto"/>
            </w:tcBorders>
            <w:vAlign w:val="center"/>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Low</w:t>
            </w:r>
          </w:p>
        </w:tc>
        <w:tc>
          <w:tcPr>
            <w:tcW w:w="1192" w:type="dxa"/>
            <w:shd w:fill="auto" w:color="auto" w:val="clear"/>
            <w:tcBorders>
              <w:top w:val="single" w:sz="4" w:color="auto"/>
              <w:bottom w:val="single" w:sz="4" w:color="auto"/>
            </w:tcBorders>
            <w:vAlign w:val="center"/>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High</w:t>
            </w:r>
          </w:p>
        </w:tc>
        <w:tc>
          <w:tcPr>
            <w:tcW w:w="838" w:type="dxa"/>
            <w:shd w:fill="auto" w:color="auto" w:val="clear"/>
            <w:tcBorders>
              <w:top w:val="single" w:sz="4" w:color="auto"/>
              <w:bottom w:val="single" w:sz="4" w:color="auto"/>
            </w:tcBorders>
            <w:vMerge w:val="continue"/>
            <w:vAlign w:val="bottom"/>
          </w:tcPr>
          <w:p>
            <w:pPr>
              <w:spacing w:after="0" w:line="240" w:lineRule="auto"/>
              <w:rPr>
                <w:rFonts w:hAnsi="Times New Roman" w:ascii="Times New Roman" w:eastAsia="Times New Roman" w:cs="Times New Roman"/>
                <w:sz w:val="20"/>
                <w:szCs w:val="20"/>
              </w:rPr>
            </w:pPr>
          </w:p>
        </w:tc>
        <w:tc>
          <w:tcPr>
            <w:tcW w:w="952" w:type="dxa"/>
            <w:shd w:fill="auto" w:color="auto" w:val="clear"/>
            <w:tcBorders>
              <w:top w:val="single" w:sz="4" w:color="auto"/>
              <w:bottom w:val="single" w:sz="4" w:color="auto"/>
            </w:tcBorders>
            <w:vMerge w:val="continue"/>
            <w:vAlign w:val="bottom"/>
          </w:tcPr>
          <w:p>
            <w:pPr>
              <w:spacing w:after="0" w:line="240" w:lineRule="auto"/>
              <w:rPr>
                <w:rFonts w:hAnsi="Times New Roman" w:ascii="Times New Roman" w:eastAsia="Times New Roman" w:cs="Times New Roman"/>
                <w:sz w:val="20"/>
                <w:szCs w:val="20"/>
              </w:rPr>
            </w:pPr>
          </w:p>
        </w:tc>
      </w:tr>
      <w:tr>
        <w:trPr>
          <w:trHeight w:val="224"/>
        </w:trPr>
        <w:tc>
          <w:tcPr>
            <w:tcW w:w="189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Gender</w:t>
            </w:r>
          </w:p>
        </w:tc>
        <w:tc>
          <w:tcPr>
            <w:tcW w:w="2102"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Male</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141 (38.8%)</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54 (45.0%)</w:t>
            </w:r>
          </w:p>
        </w:tc>
        <w:tc>
          <w:tcPr>
            <w:tcW w:w="119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87 (35.8%)</w:t>
            </w:r>
          </w:p>
        </w:tc>
        <w:tc>
          <w:tcPr>
            <w:tcW w:w="83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2.861</w:t>
            </w:r>
          </w:p>
        </w:tc>
        <w:tc>
          <w:tcPr>
            <w:tcW w:w="95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0.091</w:t>
            </w:r>
          </w:p>
        </w:tc>
      </w:tr>
      <w:tr>
        <w:trPr>
          <w:trHeight w:val="224"/>
        </w:trPr>
        <w:tc>
          <w:tcPr>
            <w:tcW w:w="189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Female</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222 (61.2%)</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66 (55.0%)</w:t>
            </w:r>
          </w:p>
        </w:tc>
        <w:tc>
          <w:tcPr>
            <w:tcW w:w="119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156 (64.2%)</w:t>
            </w:r>
          </w:p>
        </w:tc>
        <w:tc>
          <w:tcPr>
            <w:tcW w:w="838"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Age</w:t>
            </w:r>
          </w:p>
        </w:tc>
        <w:tc>
          <w:tcPr>
            <w:tcW w:w="2102"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 to 26</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 (2.5%)</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(.8%)</w:t>
            </w:r>
          </w:p>
        </w:tc>
        <w:tc>
          <w:tcPr>
            <w:tcW w:w="119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 (3.3%)</w:t>
            </w:r>
          </w:p>
        </w:tc>
        <w:tc>
          <w:tcPr>
            <w:tcW w:w="83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23.368</w:t>
            </w:r>
          </w:p>
        </w:tc>
        <w:tc>
          <w:tcPr>
            <w:tcW w:w="95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0.000</w:t>
            </w: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27 to 40</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179 (49.3%)</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43 (35.8%)</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136 (56.0%)</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41 to 53</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124 (34.2%)</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50 (41.7%)</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74 (30.5%)</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54 to 67</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48 (13.2%)</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23 (19.2%)</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25 (10.3%)</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68 to 80</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(0.8%)</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(2.5%)</w:t>
            </w:r>
          </w:p>
        </w:tc>
        <w:tc>
          <w:tcPr>
            <w:tcW w:w="119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 (0.0%)</w:t>
            </w:r>
          </w:p>
        </w:tc>
        <w:tc>
          <w:tcPr>
            <w:tcW w:w="838"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Marital status</w:t>
            </w:r>
          </w:p>
        </w:tc>
        <w:tc>
          <w:tcPr>
            <w:tcW w:w="2102"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Single</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60 (16.5%)</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17 (14.2%)</w:t>
            </w:r>
          </w:p>
        </w:tc>
        <w:tc>
          <w:tcPr>
            <w:tcW w:w="119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43 (17.7%)</w:t>
            </w:r>
          </w:p>
        </w:tc>
        <w:tc>
          <w:tcPr>
            <w:tcW w:w="83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1.468</w:t>
            </w:r>
          </w:p>
        </w:tc>
        <w:tc>
          <w:tcPr>
            <w:tcW w:w="95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0.832</w:t>
            </w: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Married</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274 (75.5%)</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93 (77.5%)</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181 (74.5%)</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Separated</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 (2.2%)</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(1.7%)</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 (2.5%)</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Divorced</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 (2.5%)</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4(3.3%)</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 (2.1%)</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Widowed</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 (3.3%)</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(3.3%)</w:t>
            </w:r>
          </w:p>
        </w:tc>
        <w:tc>
          <w:tcPr>
            <w:tcW w:w="119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 (3.3%)</w:t>
            </w:r>
          </w:p>
        </w:tc>
        <w:tc>
          <w:tcPr>
            <w:tcW w:w="838"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Level of education</w:t>
            </w:r>
          </w:p>
        </w:tc>
        <w:tc>
          <w:tcPr>
            <w:tcW w:w="2102"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No formal education</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199 (54.8%)</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70 (58.3%)</w:t>
            </w:r>
          </w:p>
        </w:tc>
        <w:tc>
          <w:tcPr>
            <w:tcW w:w="119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129 (53.1%)</w:t>
            </w:r>
          </w:p>
        </w:tc>
        <w:tc>
          <w:tcPr>
            <w:tcW w:w="83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3.425</w:t>
            </w:r>
          </w:p>
        </w:tc>
        <w:tc>
          <w:tcPr>
            <w:tcW w:w="95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0.635</w:t>
            </w: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KG/Primary education</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29 (8.0%)</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 (5.8%)</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 (9.1%)</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JHS</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37 (10.2%)</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(11.7%)</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23 (9.5%)</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SHS</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68 (18.7%)</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 (18.3%)</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46 (18.9%)</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University</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27 (7.4%)</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 (5.0%)</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21 (8.6%)</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Other</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(0.8%)</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(0.8%)</w:t>
            </w:r>
          </w:p>
        </w:tc>
        <w:tc>
          <w:tcPr>
            <w:tcW w:w="119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(0.8%)</w:t>
            </w:r>
          </w:p>
        </w:tc>
        <w:tc>
          <w:tcPr>
            <w:tcW w:w="838"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How long have you lived in Mangu Community?</w:t>
            </w:r>
          </w:p>
        </w:tc>
        <w:tc>
          <w:tcPr>
            <w:tcW w:w="2102"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to 16</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225 (62.0%)</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63 (52.5%)</w:t>
            </w:r>
          </w:p>
        </w:tc>
        <w:tc>
          <w:tcPr>
            <w:tcW w:w="119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162 (66.7%)</w:t>
            </w:r>
          </w:p>
        </w:tc>
        <w:tc>
          <w:tcPr>
            <w:tcW w:w="83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19.065</w:t>
            </w:r>
          </w:p>
        </w:tc>
        <w:tc>
          <w:tcPr>
            <w:tcW w:w="95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0.001</w:t>
            </w: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17 to 32</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96 (26.4%)</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33 (27.5%)</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63 (25.9%)</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33 to 48</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37 (10.2%)</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19 (15.8%)</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 (7.4%)</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49 to 64</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(0.6%)</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(1.7%)</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 (0.0%)</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63 to 80</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(0.8%)</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(2.5%)</w:t>
            </w:r>
          </w:p>
        </w:tc>
        <w:tc>
          <w:tcPr>
            <w:tcW w:w="119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 (0.0%)</w:t>
            </w:r>
          </w:p>
        </w:tc>
        <w:tc>
          <w:tcPr>
            <w:tcW w:w="838"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How many number of children are living in the household?</w:t>
            </w:r>
          </w:p>
        </w:tc>
        <w:tc>
          <w:tcPr>
            <w:tcW w:w="2102"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to 3</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233 (64.2%)</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70 (58.3%)</w:t>
            </w:r>
          </w:p>
        </w:tc>
        <w:tc>
          <w:tcPr>
            <w:tcW w:w="119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163 (67.1%)</w:t>
            </w:r>
          </w:p>
        </w:tc>
        <w:tc>
          <w:tcPr>
            <w:tcW w:w="83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10.195</w:t>
            </w:r>
          </w:p>
        </w:tc>
        <w:tc>
          <w:tcPr>
            <w:tcW w:w="95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0.006</w:t>
            </w: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to 6</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110 (30.3%)</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37 (30.8%)</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73(30.0%)</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 to 9</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20 (5.5%)</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 (10.8%)</w:t>
            </w:r>
          </w:p>
        </w:tc>
        <w:tc>
          <w:tcPr>
            <w:tcW w:w="119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 (2.9%)</w:t>
            </w:r>
          </w:p>
        </w:tc>
        <w:tc>
          <w:tcPr>
            <w:tcW w:w="838"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How many number of people are living in the household? </w:t>
            </w:r>
          </w:p>
        </w:tc>
        <w:tc>
          <w:tcPr>
            <w:tcW w:w="2102"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to 6</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233 (64.2%)</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72 (60.0%)</w:t>
            </w:r>
          </w:p>
        </w:tc>
        <w:tc>
          <w:tcPr>
            <w:tcW w:w="119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161 (66.3%)</w:t>
            </w:r>
          </w:p>
        </w:tc>
        <w:tc>
          <w:tcPr>
            <w:tcW w:w="83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10.967</w:t>
            </w:r>
          </w:p>
        </w:tc>
        <w:tc>
          <w:tcPr>
            <w:tcW w:w="95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0.012</w:t>
            </w: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 to 9</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108 (29.8%)</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37 (30.8%)</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71 (29.2%)</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 to 13</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(3.9%)</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(3.3%)</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 (4.1%)</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to 16</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 (2.2%)</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 (5.8%)</w:t>
            </w:r>
          </w:p>
        </w:tc>
        <w:tc>
          <w:tcPr>
            <w:tcW w:w="119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(0.4%)</w:t>
            </w:r>
          </w:p>
        </w:tc>
        <w:tc>
          <w:tcPr>
            <w:tcW w:w="838"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lastRenderedPageBreak/>
              <w:t xml:space="preserve">What is your occupation?</w:t>
            </w:r>
          </w:p>
        </w:tc>
        <w:tc>
          <w:tcPr>
            <w:tcW w:w="2102"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Farming</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58 (16.0%)</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28 (23.3%)</w:t>
            </w:r>
          </w:p>
        </w:tc>
        <w:tc>
          <w:tcPr>
            <w:tcW w:w="119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30 (12.3%)</w:t>
            </w:r>
          </w:p>
        </w:tc>
        <w:tc>
          <w:tcPr>
            <w:tcW w:w="83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15.424</w:t>
            </w:r>
          </w:p>
        </w:tc>
        <w:tc>
          <w:tcPr>
            <w:tcW w:w="95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0.031</w:t>
            </w: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Trading</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94 (25.9%)</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28 (23.3%)</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66 (27.2%)</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Government employee</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 (2.5%)</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(3.3%)</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 (2.1%)</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Private sector employee</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17 (4.7%)</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(3.3%)</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 (5.3%)</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Self-employed / Entrepreneur</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87 (24.0%)</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30 (25.0%)</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57 (23.5%)</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Not employed</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 (5.0%)</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(2.5%)</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15 (6.2%)</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Apprenticeship</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66 (18.2%)</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 (18.3%)</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44 (18.1%)</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Other</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(3.9%)</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(0.8%)</w:t>
            </w:r>
          </w:p>
        </w:tc>
        <w:tc>
          <w:tcPr>
            <w:tcW w:w="119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 (5.3%)</w:t>
            </w:r>
          </w:p>
        </w:tc>
        <w:tc>
          <w:tcPr>
            <w:tcW w:w="838"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What is your average monthly income? (Gh¢)</w:t>
            </w:r>
          </w:p>
        </w:tc>
        <w:tc>
          <w:tcPr>
            <w:tcW w:w="2102"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&lt;/416</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240 (66.1%)</w:t>
            </w:r>
          </w:p>
        </w:tc>
        <w:tc>
          <w:tcPr>
            <w:tcW w:w="1191"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76 (63.3%)</w:t>
            </w:r>
          </w:p>
        </w:tc>
        <w:tc>
          <w:tcPr>
            <w:tcW w:w="119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164 (67.5%)</w:t>
            </w:r>
          </w:p>
        </w:tc>
        <w:tc>
          <w:tcPr>
            <w:tcW w:w="838"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0.624</w:t>
            </w:r>
          </w:p>
        </w:tc>
        <w:tc>
          <w:tcPr>
            <w:tcW w:w="952"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0.732</w:t>
            </w:r>
          </w:p>
        </w:tc>
      </w:tr>
      <w:tr>
        <w:trPr>
          <w:trHeight w:val="224"/>
        </w:trPr>
        <w:tc>
          <w:tcPr>
            <w:tcW w:w="1890"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417 to 2,458</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120 (33.1%)</w:t>
            </w:r>
          </w:p>
        </w:tc>
        <w:tc>
          <w:tcPr>
            <w:tcW w:w="1191"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43 (35.8%)</w:t>
            </w:r>
          </w:p>
        </w:tc>
        <w:tc>
          <w:tcPr>
            <w:tcW w:w="1192" w:type="dxa"/>
            <w:shd w:fill="auto" w:color="auto" w:val="clear"/>
            <w:tcBorders>
              <w:top w:val="none" w:sz="0" w:color="000000"/>
              <w:bottom w:val="none" w:sz="0" w:color="000000"/>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77 (31.7%)</w:t>
            </w:r>
          </w:p>
        </w:tc>
        <w:tc>
          <w:tcPr>
            <w:tcW w:w="838"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none" w:sz="0" w:color="000000"/>
            </w:tcBorders>
            <w:vAlign w:val="bottom"/>
          </w:tcPr>
          <w:p>
            <w:pPr>
              <w:spacing w:after="0" w:line="240" w:lineRule="auto"/>
              <w:jc w:val="center"/>
              <w:rPr>
                <w:rFonts w:hAnsi="Times New Roman" w:ascii="Times New Roman" w:eastAsia="Times New Roman" w:cs="Times New Roman"/>
                <w:sz w:val="20"/>
                <w:szCs w:val="20"/>
              </w:rPr>
            </w:pPr>
          </w:p>
        </w:tc>
      </w:tr>
      <w:tr>
        <w:trPr>
          <w:trHeight w:val="224"/>
        </w:trPr>
        <w:tc>
          <w:tcPr>
            <w:tcW w:w="1890"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102"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2459 to 4,500</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(0.8%)</w:t>
            </w:r>
          </w:p>
        </w:tc>
        <w:tc>
          <w:tcPr>
            <w:tcW w:w="1191"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(0.8%)</w:t>
            </w:r>
          </w:p>
        </w:tc>
        <w:tc>
          <w:tcPr>
            <w:tcW w:w="1192"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(0.8%)</w:t>
            </w:r>
          </w:p>
        </w:tc>
        <w:tc>
          <w:tcPr>
            <w:tcW w:w="838"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c>
          <w:tcPr>
            <w:tcW w:w="952" w:type="dxa"/>
            <w:shd w:fill="auto" w:color="auto" w:val="clear"/>
            <w:tcBorders>
              <w:top w:val="none" w:sz="0" w:color="000000"/>
              <w:bottom w:val="single" w:sz="4" w:color="auto"/>
            </w:tcBorders>
            <w:vAlign w:val="bottom"/>
          </w:tcPr>
          <w:p>
            <w:pPr>
              <w:spacing w:after="0" w:line="240" w:lineRule="auto"/>
              <w:jc w:val="center"/>
              <w:rPr>
                <w:rFonts w:hAnsi="Times New Roman" w:ascii="Times New Roman" w:eastAsia="Times New Roman" w:cs="Times New Roman"/>
                <w:sz w:val="20"/>
                <w:szCs w:val="20"/>
              </w:rPr>
            </w:pPr>
          </w:p>
        </w:tc>
      </w:tr>
    </w:tbl>
    <w:p>
      <w:pPr>
        <w:spacing w:line="480" w:lineRule="auto"/>
        <w:ind w:left="720"/>
        <w:rPr>
          <w:rFonts w:hAnsi="Calibri" w:ascii="Calibri" w:eastAsia="Calibri" w:cs="Times New Roman"/>
        </w:rPr>
      </w:pPr>
      <w:r>
        <w:rPr>
          <w:rFonts w:hAnsi="Times New Roman" w:ascii="Times New Roman" w:eastAsia="Calibri" w:cs="Times New Roman"/>
          <w:b/>
          <w:bCs/>
          <w:i w:val="0"/>
          <w:strike w:val="0"/>
          <w:dstrike w:val="0"/>
          <w:emboss w:val="0"/>
          <w:imprint w:val="0"/>
          <w:outline w:val="0"/>
          <w:shadow w:val="0"/>
          <w:sz w:val="24"/>
          <w:szCs w:val="24"/>
          <w:u w:val="none"/>
        </w:rPr>
        <w:t xml:space="preserve">Source: Field Survey (2023)</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Table 7, the study results show that many (64.2%) of the female respondents had a positive attitude towards SWM compared to 35.8% of the male respondents. Statistically, the results showed that there was no statistically significant difference in the association between residents’ gender and their attitudes towards SWM (p-value &gt; 0.05). </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On the age groups of respondents, the results show that more than half (56%) of respondents aged 27-40 have a positive attitude towards SWM, compared to those aged 41-53 (30.5%), aged 54–67 years (10.3%), aged 18–26 (3.3%), and aged 68–80 (0.0%) who also have a positive attitude towards SWM. The results showed a statistically significant difference in the association between the age of the respondents and their attitudes towards SWM (p-value&lt; 0.05). </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Regarding marital status, the majority (77.5%) of married respondents exhibited negative attitudes towards SWM compared to those who were single (14.2%), widowed (3.3%), divorced (3.3%), and separated (1.7%). Statistically, the results suggest that marital status was not significantly associated with attitudes towards SWM (p-value&gt; 0.05). </w:t>
      </w:r>
    </w:p>
    <w:p>
      <w:pPr>
        <w:spacing w:line="480" w:lineRule="auto"/>
        <w:ind w:left="720"/>
        <w:jc w:val="both"/>
        <w:rPr>
          <w:rFonts w:hAnsi="Times New Roman" w:ascii="Times New Roman" w:eastAsia="Calibri" w:cs="Times New Roman"/>
        </w:rPr>
      </w:pPr>
      <w:r>
        <w:rPr>
          <w:rFonts w:hAnsi="Times New Roman" w:ascii="Times New Roman" w:eastAsia="Calibri" w:cs="Times New Roman"/>
          <w:b w:val="0"/>
          <w:i w:val="0"/>
          <w:strike w:val="0"/>
          <w:dstrike w:val="0"/>
          <w:emboss w:val="0"/>
          <w:imprint w:val="0"/>
          <w:outline w:val="0"/>
          <w:shadow w:val="0"/>
          <w:sz w:val="24"/>
          <w:szCs w:val="24"/>
          <w:u w:val="none"/>
        </w:rPr>
        <w:t xml:space="preserve">Regarding respondents’ level of education, more than half (58.3%) of the respondents with no formal education showed a negative attitude towards SWM compared to those with SHS (18.3%), JHS (11.7%), KG/primary education (5.8%), university degrees (5%), and other educational qualifications (0.8%). The results showed that residents’ educational attainment was not significantly associated with their attitudes toward SWM (p-value&gt; 0.05).</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terms of the length of time respondents lived in the Mangu community, the study found that many (66.7%) of the respondents who had lived between 1-16 years in the community had positive attitudes towards SWM compared to those who lived for about 17-32 years (25.9%), 33–33 years (7.4%), and others. This finding suggests that the time a respondent has lived in the community is significantly associated with their attitude towards SWM (p-value&lt; 0.05). </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On the number of children living in the household, the study found that many (67.1%) of respondents who have 1 to 3 children in the household have a positive attitude towards SWM compared to those who have 4 to 6 children (30%), and 7 to 9 children (2.9%) living in the household. This finding suggests that the number of children living in a household is significantly associated with residents’ attitudes towards SWM (p-value&lt; 0.05). </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addition to the number of people living in the household, the study found that many (66.3%) of respondents with households of 1 to 6 people have a positive attitude towards SWM, compared to those with 7 to 9 people (29.2%), 10 to 13 people (4.1%), and 14 to 16 people (0.4%) living in the household. The results showed that the number of people living in a household was not statistically associated with residents’ attitudes towards SWM (p-value&lt; 0.05). </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Regarding respondents’ occupations, the study found that more than a quarter (27.2%) of respondents working in the retail sector had a positive attitude towards SWM compared to those who were self-employed/entrepreneurs (23.5%), teachers (18.1%), and farmers (12.3%). The study found that only a few of the unemployed (6.2%) and those working as private sector employees (5.3%), public sector employees (2.1%), and others (5.3%) shared positive attitudes towards SWM. The results showed that respondents’ occupation was a significant factor associated with residents’ attitudes towards SWM (p-value &lt; 0.05). </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relation to the average monthly income of the respondents, the results showed that many (67.5%) respondents who earned Ghc¢416 or less had positive attitudes towards SWM compared to those who earned between Ghc¢417 and Ghc¢2,458 (31.7%) and between Ghc¢2,459 and Ghc¢4,500 (0.8%) per month. The results showed that respondents' average monthly income had no statistically significant association with residents’ attitudes towards SWM (p-value&gt; 0.05).</w:t>
      </w:r>
    </w:p>
    <w:p>
      <w:pPr>
        <w:pStyle w:val="Heading2"/>
        <w:spacing w:line="480" w:lineRule="auto"/>
        <w:ind w:left="720"/>
        <w:rPr>
          <w:szCs w:val="24"/>
        </w:rPr>
        <w:sectPr w:rsidR="00455D00" w:rsidSect="004A300E">
          <w:pgSz w:w="12240" w:h="15840"/>
          <w:pgMar w:top="1440" w:right="1440" w:bottom="1440" w:left="1440" w:header="720" w:footer="720"/>
          <w:cols w:space="720"/>
        </w:sectPr>
      </w:pPr>
    </w:p>
    <w:p>
      <w:pPr>
        <w:pStyle w:val="Heading2"/>
        <w:spacing w:line="480" w:lineRule="auto"/>
        <w:ind w:left="720"/>
      </w:pPr>
      <w:bookmarkStart w:id="88" w:name="_Toc147923084"/>
      <w:r>
        <w:rPr>
          <w:rFonts w:ascii="Times New Roman"/>
          <w:b/>
          <w:i w:val="0"/>
          <w:strike w:val="0"/>
          <w:dstrike w:val="0"/>
          <w:emboss w:val="0"/>
          <w:imprint w:val="0"/>
          <w:outline w:val="0"/>
          <w:shadow w:val="0"/>
          <w:sz w:val="24"/>
          <w:szCs w:val="24"/>
          <w:u w:val="none"/>
        </w:rPr>
        <w:lastRenderedPageBreak/>
        <w:t xml:space="preserve">4.5 Residents’ Practice of Solid Waste Management</w:t>
      </w:r>
      <w:bookmarkEnd w:id="88"/>
    </w:p>
    <w:p>
      <w:pPr>
        <w:spacing w:line="480" w:lineRule="auto"/>
        <w:ind w:left="720"/>
        <w:jc w:val="both"/>
        <w:rPr>
          <w:rFonts w:hAnsi="Times New Roman" w:ascii="Times New Roman" w:eastAsia="Calibri" w:cs="Times New Roman"/>
          <w:bCs/>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focus of this research question was to ask residents of the Mangu community about their SWM practices. This contained thirteen (13) questions, which were asked in nominal form: \"yes\" and/or \"no\", marked as correct and incorrect practice answers. Based on the respondents’ answers, a composite scale of residents' SWM practices was divided into \\"low\\ " and \\"high\\ based on a mean score of +/-1. The results are shown in Table 8 and Figure 6, respectively.</w:t>
      </w:r>
    </w:p>
    <w:p>
      <w:pPr>
        <w:pStyle w:val="Caption"/>
        <w:ind w:left="720"/>
        <w:rPr>
          <w:color w:val="auto"/>
          <w:rFonts w:hAnsi="Times New Roman" w:ascii="Times New Roman" w:cs="Times New Roman"/>
          <w:b/>
          <w:bCs/>
          <w:i w:val="0"/>
          <w:sz w:val="24"/>
          <w:szCs w:val="24"/>
        </w:rPr>
      </w:pPr>
      <w:bookmarkStart w:id="89" w:name="_Toc147923109"/>
      <w:r>
        <w:rPr>
          <w:color w:val="auto"/>
          <w:rFonts w:hAnsi="Times New Roman" w:ascii="Times New Roman" w:cs="Times New Roman"/>
          <w:b/>
          <w:bCs/>
          <w:i w:val="0"/>
          <w:strike w:val="0"/>
          <w:dstrike w:val="0"/>
          <w:emboss w:val="0"/>
          <w:imprint w:val="0"/>
          <w:outline w:val="0"/>
          <w:shadow w:val="0"/>
          <w:sz w:val="24"/>
          <w:szCs w:val="24"/>
          <w:u w:val="none"/>
        </w:rPr>
        <w:t xml:space="preserve">Table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Table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8</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Residents Practice of SWM</w:t>
      </w:r>
      <w:bookmarkEnd w:id="89"/>
    </w:p>
    <w:tbl>
      <w:tblPr>
        <w:tblW w:w="9121" w:type="dxa"/>
        <w:tblInd w:w="813" w:type="dxa"/>
        <w:tblBorders>
          <w:top w:val="single" w:sz="4" w:color="auto"/>
          <w:bottom w:val="single" w:sz="4" w:color="auto"/>
        </w:tblBorders>
        <w:tblLook w:val="04A0"/>
        <w:tblLayout w:type="fixed"/>
      </w:tblPr>
      <w:tblGrid>
        <w:gridCol w:w="5294"/>
        <w:gridCol w:w="1276"/>
        <w:gridCol w:w="1275"/>
        <w:gridCol w:w="1276"/>
      </w:tblGrid>
      <w:tr>
        <w:trPr>
          <w:trHeight w:val="559"/>
        </w:trPr>
        <w:tc>
          <w:tcPr>
            <w:tcW w:w="5294" w:type="dxa"/>
            <w:shd w:fill="auto" w:color="auto" w:val="clear"/>
            <w:tcBorders>
              <w:top w:val="single" w:sz="4" w:color="auto"/>
              <w:bottom w:val="single" w:sz="4" w:color="auto"/>
            </w:tcBorders>
            <w:vAlign w:val="center"/>
          </w:tcPr>
          <w:p>
            <w:pPr>
              <w:spacing w:after="0" w:line="240" w:lineRule="auto"/>
              <w:jc w:val="center"/>
              <w:rPr>
                <w:color w:val="000000"/>
                <w:rFonts w:hAnsi="Times New Roman" w:ascii="Times New Roman" w:eastAsia="Times New Roman" w:cs="Times New Roman"/>
                <w:b/>
                <w:bCs/>
              </w:rPr>
            </w:pPr>
            <w:r>
              <w:rPr>
                <w:color w:val="000000"/>
                <w:rFonts w:hAnsi="Times New Roman" w:ascii="Times New Roman" w:eastAsia="Times New Roman" w:cs="Times New Roman"/>
                <w:b/>
                <w:bCs/>
                <w:i w:val="0"/>
                <w:strike w:val="0"/>
                <w:dstrike w:val="0"/>
                <w:emboss w:val="0"/>
                <w:imprint w:val="0"/>
                <w:outline w:val="0"/>
                <w:shadow w:val="0"/>
                <w:sz w:val="22"/>
                <w:szCs w:val="22"/>
                <w:u w:val="none"/>
              </w:rPr>
              <w:t xml:space="preserve">Practice of SWM Statements</w:t>
            </w:r>
          </w:p>
        </w:tc>
        <w:tc>
          <w:tcPr>
            <w:tcW w:w="1276" w:type="dxa"/>
            <w:shd w:fill="auto" w:color="auto" w:val="clear"/>
            <w:tcBorders>
              <w:top w:val="single" w:sz="4" w:color="auto"/>
              <w:bottom w:val="single" w:sz="4" w:color="auto"/>
            </w:tcBorders>
            <w:vAlign w:val="center"/>
          </w:tcPr>
          <w:p>
            <w:pPr>
              <w:spacing w:after="0" w:line="240" w:lineRule="auto"/>
              <w:jc w:val="center"/>
              <w:rPr>
                <w:color w:val="000000"/>
                <w:rFonts w:hAnsi="Times New Roman" w:ascii="Times New Roman" w:eastAsia="Times New Roman" w:cs="Times New Roman"/>
                <w:b/>
                <w:bCs/>
              </w:rPr>
            </w:pPr>
            <w:r>
              <w:rPr>
                <w:color w:val="000000"/>
                <w:rFonts w:hAnsi="Times New Roman" w:ascii="Times New Roman" w:eastAsia="Times New Roman" w:cs="Times New Roman"/>
                <w:b/>
                <w:bCs/>
                <w:i w:val="0"/>
                <w:strike w:val="0"/>
                <w:dstrike w:val="0"/>
                <w:emboss w:val="0"/>
                <w:imprint w:val="0"/>
                <w:outline w:val="0"/>
                <w:shadow w:val="0"/>
                <w:sz w:val="22"/>
                <w:szCs w:val="22"/>
                <w:u w:val="none"/>
              </w:rPr>
              <w:t xml:space="preserve">Response</w:t>
            </w:r>
          </w:p>
        </w:tc>
        <w:tc>
          <w:tcPr>
            <w:tcW w:w="1275" w:type="dxa"/>
            <w:shd w:fill="auto" w:color="auto" w:val="clear"/>
            <w:tcBorders>
              <w:top w:val="single" w:sz="4" w:color="auto"/>
              <w:bottom w:val="single" w:sz="4" w:color="auto"/>
            </w:tcBorders>
            <w:vAlign w:val="center"/>
          </w:tcPr>
          <w:p>
            <w:pPr>
              <w:spacing w:after="0" w:line="240" w:lineRule="auto"/>
              <w:jc w:val="center"/>
              <w:rPr>
                <w:color w:val="000000"/>
                <w:rFonts w:hAnsi="Times New Roman" w:ascii="Times New Roman" w:eastAsia="Times New Roman" w:cs="Times New Roman"/>
                <w:b/>
                <w:bCs/>
              </w:rPr>
            </w:pPr>
            <w:r>
              <w:rPr>
                <w:color w:val="000000"/>
                <w:rFonts w:hAnsi="Times New Roman" w:ascii="Times New Roman" w:eastAsia="Times New Roman" w:cs="Times New Roman"/>
                <w:b/>
                <w:bCs/>
                <w:i w:val="0"/>
                <w:strike w:val="0"/>
                <w:dstrike w:val="0"/>
                <w:emboss w:val="0"/>
                <w:imprint w:val="0"/>
                <w:outline w:val="0"/>
                <w:shadow w:val="0"/>
                <w:sz w:val="22"/>
                <w:szCs w:val="22"/>
                <w:u w:val="none"/>
              </w:rPr>
              <w:t xml:space="preserve">Frequency (N = 363)</w:t>
            </w:r>
          </w:p>
        </w:tc>
        <w:tc>
          <w:tcPr>
            <w:tcW w:w="1276" w:type="dxa"/>
            <w:shd w:fill="auto" w:color="auto" w:val="clear"/>
            <w:tcBorders>
              <w:top w:val="single" w:sz="4" w:color="auto"/>
              <w:bottom w:val="single" w:sz="4" w:color="auto"/>
            </w:tcBorders>
            <w:vAlign w:val="center"/>
          </w:tcPr>
          <w:p>
            <w:pPr>
              <w:spacing w:after="0" w:line="240" w:lineRule="auto"/>
              <w:jc w:val="center"/>
              <w:rPr>
                <w:color w:val="000000"/>
                <w:rFonts w:hAnsi="Times New Roman" w:ascii="Times New Roman" w:eastAsia="Times New Roman" w:cs="Times New Roman"/>
                <w:b/>
                <w:bCs/>
              </w:rPr>
            </w:pPr>
            <w:r>
              <w:rPr>
                <w:color w:val="000000"/>
                <w:rFonts w:hAnsi="Times New Roman" w:ascii="Times New Roman" w:eastAsia="Times New Roman" w:cs="Times New Roman"/>
                <w:b/>
                <w:bCs/>
                <w:i w:val="0"/>
                <w:strike w:val="0"/>
                <w:dstrike w:val="0"/>
                <w:emboss w:val="0"/>
                <w:imprint w:val="0"/>
                <w:outline w:val="0"/>
                <w:shadow w:val="0"/>
                <w:sz w:val="22"/>
                <w:szCs w:val="22"/>
                <w:u w:val="none"/>
              </w:rPr>
              <w:t xml:space="preserve">Percentage (%)</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separate solid waste before disposal?</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225</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62.0</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138</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38.0</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get rid of solid wastes from home by dumping in the backyard with sacks?</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221</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60.9</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142</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39.1</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get rid of solid wastes from home by dumping along roadsides or in gutters?</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83</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22.9</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280</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77.1</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get rid of solid wastes from home by dumping in disposal site?</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182</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50.1</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181</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49.9</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get rid of solid wastes from home by burying it in the soil?</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83</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22.9</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280</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77.1</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 Do you get rid of solid wastes from home by dumping in a waste container/dustbin?</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286</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78.8</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77</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21.2</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strategy you use to reduce, reuse, and recycle solid waste is by compost preparation (R1).</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327</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90.1</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36</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9.9</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strategy you use to reduce, reuse, and recycle solid waste is by reuse (R2).</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317</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87.3</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46</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12.7</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 The strategy you use to reduce, reuse, and recycle solid waste is by selling for recycling business (R3).</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128</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35.3</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235</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64.7</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strategy you use to reduce, reuse, and recycle solid waste is by burning, not use 3R's.</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311</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85.7</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52</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14.3</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There are adequate dumping sites in the community.</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264</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72.7</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99</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27.3</w:t>
            </w:r>
          </w:p>
        </w:tc>
      </w:tr>
      <w:tr>
        <w:trPr>
          <w:trHeight w:val="300"/>
        </w:trPr>
        <w:tc>
          <w:tcPr>
            <w:tcW w:w="5294"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have access to door-to-door services for your solid waste disposal?</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330</w:t>
            </w:r>
          </w:p>
        </w:tc>
        <w:tc>
          <w:tcPr>
            <w:tcW w:w="1276" w:type="dxa"/>
            <w:shd w:fill="auto" w:color="auto" w:val="clear"/>
            <w:tcBorders>
              <w:top w:val="single" w:sz="4" w:color="auto"/>
              <w:bottom w:val="none" w:sz="0" w:color="000000"/>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90.9</w:t>
            </w:r>
          </w:p>
        </w:tc>
      </w:tr>
      <w:tr>
        <w:trPr>
          <w:trHeight w:val="300"/>
        </w:trPr>
        <w:tc>
          <w:tcPr>
            <w:tcW w:w="5294"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1275"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33</w:t>
            </w:r>
          </w:p>
        </w:tc>
        <w:tc>
          <w:tcPr>
            <w:tcW w:w="1276" w:type="dxa"/>
            <w:shd w:fill="auto" w:color="auto" w:val="clear"/>
            <w:tcBorders>
              <w:top w:val="none" w:sz="0" w:color="000000"/>
              <w:bottom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9.1</w:t>
            </w:r>
          </w:p>
        </w:tc>
      </w:tr>
      <w:tr>
        <w:trPr>
          <w:trHeight w:val="300"/>
        </w:trPr>
        <w:tc>
          <w:tcPr>
            <w:tcW w:w="5294" w:type="dxa"/>
            <w:shd w:fill="auto" w:color="auto" w:val="clear"/>
            <w:tcBorders>
              <w:top w:val="single" w:sz="4" w:color="auto"/>
            </w:tcBorders>
            <w:vMerge w:val="restart"/>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Do you do usually dispose of solid waste openly if the service providers fail to collect the solid waste?</w:t>
            </w:r>
          </w:p>
        </w:tc>
        <w:tc>
          <w:tcPr>
            <w:tcW w:w="1276"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Yes</w:t>
            </w:r>
          </w:p>
        </w:tc>
        <w:tc>
          <w:tcPr>
            <w:tcW w:w="1275"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95</w:t>
            </w:r>
          </w:p>
        </w:tc>
        <w:tc>
          <w:tcPr>
            <w:tcW w:w="1276" w:type="dxa"/>
            <w:shd w:fill="auto" w:color="auto" w:val="clear"/>
            <w:tcBorders>
              <w:top w:val="single" w:sz="4" w:color="auto"/>
            </w:tcBorders>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26.2</w:t>
            </w:r>
          </w:p>
        </w:tc>
      </w:tr>
      <w:tr>
        <w:trPr>
          <w:trHeight w:val="300"/>
        </w:trPr>
        <w:tc>
          <w:tcPr>
            <w:tcW w:w="5294" w:type="dxa"/>
            <w:vMerge w:val="continue"/>
            <w:vAlign w:val="center"/>
          </w:tcPr>
          <w:p>
            <w:pPr>
              <w:spacing w:after="0" w:line="240" w:lineRule="auto"/>
              <w:rPr>
                <w:color w:val="000000"/>
                <w:rFonts w:hAnsi="Times New Roman" w:ascii="Times New Roman" w:eastAsia="Times New Roman" w:cs="Times New Roman"/>
                <w:sz w:val="24"/>
                <w:szCs w:val="24"/>
              </w:rPr>
            </w:pPr>
          </w:p>
        </w:tc>
        <w:tc>
          <w:tcPr>
            <w:tcW w:w="1276"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1275"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268</w:t>
            </w:r>
          </w:p>
        </w:tc>
        <w:tc>
          <w:tcPr>
            <w:tcW w:w="1276" w:type="dxa"/>
            <w:shd w:fill="auto" w:color="auto" w:val="clear"/>
          </w:tcPr>
          <w:p>
            <w:pPr>
              <w:spacing w:after="0" w:line="240" w:lineRule="auto"/>
              <w:jc w:val="center"/>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73.8</w:t>
            </w:r>
          </w:p>
        </w:tc>
      </w:tr>
    </w:tbl>
    <w:p>
      <w:pPr>
        <w:spacing w:line="480" w:lineRule="auto"/>
        <w:ind w:left="720"/>
        <w:rPr>
          <w:rFonts w:hAnsi="Calibri" w:ascii="Calibri" w:eastAsia="Calibri" w:cs="Times New Roman"/>
        </w:rPr>
      </w:pPr>
      <w:r>
        <w:rPr>
          <w:rFonts w:hAnsi="Times New Roman" w:ascii="Times New Roman" w:eastAsia="Calibri" w:cs="Times New Roman"/>
          <w:b/>
          <w:bCs/>
          <w:i w:val="0"/>
          <w:strike w:val="0"/>
          <w:dstrike w:val="0"/>
          <w:emboss w:val="0"/>
          <w:imprint w:val="0"/>
          <w:outline w:val="0"/>
          <w:shadow w:val="0"/>
          <w:sz w:val="24"/>
          <w:szCs w:val="24"/>
          <w:u w:val="none"/>
        </w:rPr>
        <w:lastRenderedPageBreak/>
        <w:t xml:space="preserve">  Source: Field Survey (2023)</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Table 8, the results show that many (62%) of the respondents separated solid waste before disposal, compared to (38%) who did not. In addition, as many as 60.9% of respondents disposed of their household solid waste by disposing them in bags in the backyard, compared to 39.1% who dumped waste in waste containers or at disposal sites. The study found that only 22.9% of respondents throw away solid waste from home by dumping it on the curb or down the gutter, whereas the majority of respondents (77.1%) did not. The analysis revealed that almost the average (49.9%) of respondents disposed of household solid waste by landfilling, compared to many (77.1%) of respondents who dispose of solid waste from their households by burying it in the ground. The study found that only a few (21.2%) respondents removed solid waste from the home by throwing it in a waste bin/bin, compared to the majority (78.8%) who did not dispose of solid waste in a waste bin. </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for the strategy to reduce (R1), reuse (R2) and recycle (R3) solid waste, the study found that on (R1), the vast majority (90.1%) of respondents did not practice this strategy, compared to only a few (9.9%) who practiced the (R1) strategy. In addition, for the strategy to reuse (R2), a large number (87.3%) of respondents did not use this strategy, compared to only a few (12.7%) who did. In addition, when it comes to the strategy of recycling solid waste by selling it to recyclers (R3), many (64.7%) of the respondents use this strategy compared to (35.3%) who do not practice it.</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Regarding the strategy used to reduce, reuse, and recycle solid waste, whether residents practiced burning of the solid waste, not use 3R’s, revealed that the majority (85.7%) of the respondents practiced this strategy compared to a few (14.3%). Regarding the issue of adequate dumping sites in the community, most (72.7%) of the respondents were of the view that there were inadequate dumping sites in the Mangu community, compared to a few (27.3%) who said there were adequate dumping sites in the community. Moreover, regarding household access to door-to-door services for solid waste disposal, a vast majority (90.9%) of the respondents did not have access to door-to-door services for solid waste d</w:t>
        <w:t xml:space="preserve">isposal compared to (9.1%) who had access to door-to-door services for solid waste disposal. </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Therefore, the study revealed that the majority (73.8%) of the respondents usually dispose of solid waste openly when the service providers fail to collect the solid waste, as compared to (26.2%) who did not openly dispose of solid waste upon failure to collect by service providers.</w:t>
      </w:r>
    </w:p>
    <w:p>
      <w:pPr>
        <w:ind w:left="720"/>
      </w:pPr>
      <w:r>
        <w:rPr>
          <w:rFonts w:hAnsi="Calibri" w:ascii="Calibri" w:eastAsia="Calibri" w:cs="Times New Roman"/>
          <w:b w:val="0"/>
          <w:i w:val="0"/>
          <w:strike w:val="0"/>
          <w:dstrike w:val="0"/>
          <w:emboss w:val="0"/>
          <w:imprint w:val="0"/>
          <w:outline w:val="0"/>
          <w:shadow w:val="0"/>
          <w:sz w:val="22"/>
          <w:szCs w:val="22"/>
          <w:u w:val="none"/>
        </w:rPr>
        <w:drawing>
          <wp:inline>
            <wp:extent cx="5505445" cy="3076570"/>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Caption"/>
        <w:ind w:left="720"/>
        <w:rPr>
          <w:color w:val="auto"/>
          <w:rFonts w:hAnsi="Times New Roman" w:ascii="Times New Roman" w:eastAsia="Calibri" w:cs="Times New Roman"/>
          <w:b/>
          <w:bCs/>
          <w:i w:val="0"/>
          <w:sz w:val="24"/>
          <w:szCs w:val="24"/>
        </w:rPr>
      </w:pPr>
      <w:bookmarkStart w:id="90" w:name="_Toc142664173"/>
      <w:r>
        <w:rPr>
          <w:color w:val="auto"/>
          <w:rFonts w:hAnsi="Times New Roman" w:ascii="Times New Roman" w:cs="Times New Roman"/>
          <w:b/>
          <w:bCs/>
          <w:i w:val="0"/>
          <w:strike w:val="0"/>
          <w:dstrike w:val="0"/>
          <w:emboss w:val="0"/>
          <w:imprint w:val="0"/>
          <w:outline w:val="0"/>
          <w:shadow w:val="0"/>
          <w:sz w:val="24"/>
          <w:szCs w:val="24"/>
          <w:u w:val="none"/>
        </w:rPr>
        <w:t xml:space="preserve">Figure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Figure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6</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Residents composite practice of SWM</w:t>
      </w:r>
      <w:bookmarkEnd w:id="90"/>
    </w:p>
    <w:p>
      <w:pPr>
        <w:spacing w:after="0" w:line="480" w:lineRule="auto"/>
        <w:ind w:left="720"/>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Source: Field Survey (2023)</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The results of the composite scale of SWM practice by residents in the Mangu community are shown in Figure 6. The results show that more than half (57%) of respondents exhibited poor practice of waste management (SWM) compared to (43%) who exhibited good practice of SWM. This indicates that residents of the Mangu community exhibit poor SWM practices.</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key informant interviews corroborated the practice of residents in solid waste management in the Mangu community. The narratives revealed that residents segregate their waste and make use of the 3Rs (reducing, re-using, recycling) to manage it. </w:t>
      </w:r>
    </w:p>
    <w:p>
      <w:pPr>
        <w:spacing w:after="0" w:line="480" w:lineRule="auto"/>
        <w:ind w:left="1440" w:right="720"/>
        <w:jc w:val="both"/>
        <w:rPr>
          <w:rFonts w:hAnsi="Times New Roman" w:ascii="Times New Roman" w:eastAsia="Calibri" w:cs="Times New Roman"/>
          <w:i/>
          <w:iCs/>
          <w:sz w:val="24"/>
          <w:szCs w:val="24"/>
        </w:rPr>
      </w:pPr>
      <w:r>
        <w:rPr>
          <w:rFonts w:hAnsi="Times New Roman" w:ascii="Times New Roman" w:eastAsia="Calibri" w:cs="Times New Roman"/>
          <w:b w:val="0"/>
          <w:i/>
          <w:strike w:val="0"/>
          <w:dstrike w:val="0"/>
          <w:emboss w:val="0"/>
          <w:imprint w:val="0"/>
          <w:outline w:val="0"/>
          <w:shadow w:val="0"/>
          <w:sz w:val="24"/>
          <w:szCs w:val="24"/>
          <w:u w:val="none"/>
        </w:rPr>
        <w:t xml:space="preserve">“We always used the left-over foods, cassava, and yams piles to feed our animals, while others are use as manure in our garden. Some plastic bottles are usable, but polythene bags and water sachets are always burned or dumped in the valley. The skip-container in Mangu here is only one which far away from us”</w:t>
      </w:r>
      <w:r>
        <w:rPr>
          <w:rFonts w:hAnsi="Times New Roman" w:ascii="Times New Roman" w:eastAsia="Calibri" w:cs="Times New Roman"/>
          <w:b w:val="0"/>
          <w:i w:val="0"/>
          <w:iCs/>
          <w:strike w:val="0"/>
          <w:dstrike w:val="0"/>
          <w:emboss w:val="0"/>
          <w:imprint w:val="0"/>
          <w:outline w:val="0"/>
          <w:shadow w:val="0"/>
          <w:sz w:val="24"/>
          <w:szCs w:val="24"/>
          <w:u w:val="none"/>
        </w:rPr>
        <w:t xml:space="preserve">(Makazeε, Mangu).13</w:t>
      </w:r>
      <w:r>
        <w:rPr>
          <w:rFonts w:hAnsi="Times New Roman" w:ascii="Times New Roman" w:eastAsia="Calibri" w:cs="Times New Roman"/>
          <w:b w:val="0"/>
          <w:i w:val="0"/>
          <w:iCs/>
          <w:strike w:val="0"/>
          <w:dstrike w:val="0"/>
          <w:emboss w:val="0"/>
          <w:imprint w:val="0"/>
          <w:outline w:val="0"/>
          <w:shadow w:val="0"/>
          <w:sz w:val="24"/>
          <w:szCs w:val="24"/>
          <w:u w:val="none"/>
          <w:vertAlign w:val="superscript"/>
        </w:rPr>
        <w:t xml:space="preserve">th</w:t>
      </w:r>
      <w:r>
        <w:rPr>
          <w:rFonts w:hAnsi="Times New Roman" w:ascii="Times New Roman" w:eastAsia="Calibri" w:cs="Times New Roman"/>
          <w:b w:val="0"/>
          <w:i w:val="0"/>
          <w:iCs/>
          <w:strike w:val="0"/>
          <w:dstrike w:val="0"/>
          <w:emboss w:val="0"/>
          <w:imprint w:val="0"/>
          <w:outline w:val="0"/>
          <w:shadow w:val="0"/>
          <w:sz w:val="24"/>
          <w:szCs w:val="24"/>
          <w:u w:val="none"/>
        </w:rPr>
        <w:t xml:space="preserve"> March,2023</w:t>
      </w:r>
    </w:p>
    <w:p>
      <w:pPr>
        <w:spacing w:after="0" w:line="480" w:lineRule="auto"/>
        <w:ind w:left="1440" w:right="720"/>
        <w:jc w:val="both"/>
        <w:rPr>
          <w:rFonts w:hAnsi="Times New Roman" w:ascii="Times New Roman" w:eastAsia="Calibri" w:cs="Times New Roman"/>
          <w:i/>
          <w:iCs/>
          <w:sz w:val="24"/>
          <w:szCs w:val="24"/>
        </w:rPr>
      </w:pPr>
      <w:r>
        <w:rPr>
          <w:rFonts w:hAnsi="Times New Roman" w:ascii="Times New Roman" w:eastAsia="Calibri" w:cs="Times New Roman"/>
          <w:b w:val="0"/>
          <w:i/>
          <w:strike w:val="0"/>
          <w:dstrike w:val="0"/>
          <w:emboss w:val="0"/>
          <w:imprint w:val="0"/>
          <w:outline w:val="0"/>
          <w:shadow w:val="0"/>
          <w:sz w:val="24"/>
          <w:szCs w:val="24"/>
          <w:u w:val="none"/>
        </w:rPr>
        <w:t xml:space="preserve">“The people of Mangu always dumped their waste along water bodies. There is a large valley in the Mangu community, where most residents go to dispose of their solid waste’’ </w:t>
      </w:r>
      <w:r>
        <w:rPr>
          <w:rFonts w:hAnsi="Times New Roman" w:ascii="Times New Roman" w:eastAsia="Calibri" w:cs="Times New Roman"/>
          <w:b w:val="0"/>
          <w:i w:val="0"/>
          <w:iCs/>
          <w:strike w:val="0"/>
          <w:dstrike w:val="0"/>
          <w:emboss w:val="0"/>
          <w:imprint w:val="0"/>
          <w:outline w:val="0"/>
          <w:shadow w:val="0"/>
          <w:sz w:val="24"/>
          <w:szCs w:val="24"/>
          <w:u w:val="none"/>
        </w:rPr>
        <w:t xml:space="preserve">(Zoomlion Ghana Ltd.). 11</w:t>
      </w:r>
      <w:r>
        <w:rPr>
          <w:rFonts w:hAnsi="Times New Roman" w:ascii="Times New Roman" w:eastAsia="Calibri" w:cs="Times New Roman"/>
          <w:b w:val="0"/>
          <w:i w:val="0"/>
          <w:iCs/>
          <w:strike w:val="0"/>
          <w:dstrike w:val="0"/>
          <w:emboss w:val="0"/>
          <w:imprint w:val="0"/>
          <w:outline w:val="0"/>
          <w:shadow w:val="0"/>
          <w:sz w:val="24"/>
          <w:szCs w:val="24"/>
          <w:u w:val="none"/>
          <w:vertAlign w:val="superscript"/>
        </w:rPr>
        <w:t xml:space="preserve">th</w:t>
      </w:r>
      <w:r>
        <w:rPr>
          <w:rFonts w:hAnsi="Times New Roman" w:ascii="Times New Roman" w:eastAsia="Calibri" w:cs="Times New Roman"/>
          <w:b w:val="0"/>
          <w:i w:val="0"/>
          <w:iCs/>
          <w:strike w:val="0"/>
          <w:dstrike w:val="0"/>
          <w:emboss w:val="0"/>
          <w:imprint w:val="0"/>
          <w:outline w:val="0"/>
          <w:shadow w:val="0"/>
          <w:sz w:val="24"/>
          <w:szCs w:val="24"/>
          <w:u w:val="none"/>
        </w:rPr>
        <w:t xml:space="preserve"> March, 2023.</w:t>
      </w:r>
    </w:p>
    <w:p>
      <w:pPr>
        <w:ind w:left="720"/>
        <w:rPr>
          <w:rFonts w:hAnsi="Times New Roman" w:ascii="Times New Roman" w:eastAsia="Calibri" w:cs="Times New Roman"/>
          <w:b/>
          <w:sz w:val="24"/>
        </w:rPr>
      </w:pPr>
    </w:p>
    <w:p>
      <w:pPr>
        <w:spacing w:line="480" w:lineRule="auto"/>
        <w:ind w:left="720"/>
        <w:jc w:val="both"/>
        <w:rPr>
          <w:rFonts w:hAnsi="Times New Roman" w:ascii="Times New Roman" w:eastAsia="Calibri" w:cs="Times New Roman"/>
          <w:bCs/>
          <w:sz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In Figure 7, respondents were asked how they transported their solid waste, and the results are presented below.</w:t>
      </w:r>
    </w:p>
    <w:p>
      <w:pPr>
        <w:ind w:left="720"/>
        <w:rPr>
          <w:rFonts w:hAnsi="Times New Roman" w:ascii="Times New Roman" w:eastAsia="Calibri" w:cs="Times New Roman"/>
          <w:b/>
          <w:sz w:val="24"/>
        </w:rPr>
      </w:pPr>
    </w:p>
    <w:p>
      <w:pPr>
        <w:ind w:left="720"/>
      </w:pPr>
      <w:r>
        <w:rPr>
          <w:rFonts w:hAnsi="Calibri" w:ascii="Calibri" w:eastAsia="Calibri" w:cs="Times New Roman"/>
          <w:b w:val="0"/>
          <w:i w:val="0"/>
          <w:strike w:val="0"/>
          <w:dstrike w:val="0"/>
          <w:emboss w:val="0"/>
          <w:imprint w:val="0"/>
          <w:outline w:val="0"/>
          <w:shadow w:val="0"/>
          <w:sz w:val="22"/>
          <w:szCs w:val="22"/>
          <w:u w:val="none"/>
        </w:rPr>
        <w:lastRenderedPageBreak/>
        <w:drawing>
          <wp:inline>
            <wp:extent cx="5676895" cy="2895604"/>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Caption"/>
        <w:ind w:left="720"/>
        <w:rPr>
          <w:color w:val="auto"/>
          <w:rFonts w:hAnsi="Times New Roman" w:ascii="Times New Roman" w:eastAsia="Calibri" w:cs="Times New Roman"/>
          <w:b/>
          <w:bCs/>
          <w:i w:val="0"/>
          <w:sz w:val="24"/>
          <w:szCs w:val="24"/>
        </w:rPr>
      </w:pPr>
      <w:bookmarkStart w:id="91" w:name="_Toc142664174"/>
      <w:r>
        <w:rPr>
          <w:color w:val="auto"/>
          <w:rFonts w:hAnsi="Times New Roman" w:ascii="Times New Roman" w:cs="Times New Roman"/>
          <w:b/>
          <w:bCs/>
          <w:i w:val="0"/>
          <w:strike w:val="0"/>
          <w:dstrike w:val="0"/>
          <w:emboss w:val="0"/>
          <w:imprint w:val="0"/>
          <w:outline w:val="0"/>
          <w:shadow w:val="0"/>
          <w:sz w:val="24"/>
          <w:szCs w:val="24"/>
          <w:u w:val="none"/>
        </w:rPr>
        <w:t xml:space="preserve">Figure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Figure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7</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How residents transport solid waste in community</w:t>
      </w:r>
      <w:bookmarkEnd w:id="91"/>
    </w:p>
    <w:p>
      <w:pPr>
        <w:spacing w:after="0" w:line="480" w:lineRule="auto"/>
        <w:ind w:left="720"/>
        <w:rPr>
          <w:rFonts w:hAnsi="Times New Roman" w:ascii="Times New Roman" w:eastAsia="Calibri" w:cs="Times New Roman"/>
          <w:b/>
          <w:bCs/>
          <w:sz w:val="24"/>
          <w:szCs w:val="24"/>
        </w:rPr>
      </w:pPr>
      <w:r>
        <w:rPr>
          <w:rFonts w:hAnsi="Times New Roman" w:ascii="Times New Roman" w:eastAsia="Calibri" w:cs="Times New Roman"/>
          <w:b/>
          <w:bCs/>
          <w:i w:val="0"/>
          <w:strike w:val="0"/>
          <w:dstrike w:val="0"/>
          <w:emboss w:val="0"/>
          <w:imprint w:val="0"/>
          <w:outline w:val="0"/>
          <w:shadow w:val="0"/>
          <w:sz w:val="24"/>
          <w:szCs w:val="24"/>
          <w:u w:val="none"/>
        </w:rPr>
        <w:t xml:space="preserve">Source: Field Survey (2023)</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Figure 7 shows how the residents transported solid waste to the community. The results show that a large majority (98.9%) of respondents transport waste disposal (SWM) through household members, compared to a few (4.4%) who transport solid waste through municipal service providers for which they charge a service fee. In addition, about (2.5%) of the respondents used other means and a private waste collector (0.3%) to transport solid waste. The results indicate that the residents of the study community transported their solid waste primarily through family members.</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Key informant interviews validated the survey results on how residents transported solid waste. Participants reported that the common modes for transporting solid waste in the community are head-pan by a household member, the Municipal Assembly, and Zoomlion Ghana Ltd using skip loaders and compactor trucks. </w:t>
      </w:r>
    </w:p>
    <w:p>
      <w:pPr>
        <w:spacing w:after="0" w:line="480" w:lineRule="auto"/>
        <w:ind w:left="1440" w:right="720"/>
        <w:jc w:val="both"/>
        <w:rPr>
          <w:rFonts w:hAnsi="Times New Roman" w:ascii="Times New Roman" w:eastAsia="Calibri" w:cs="Times New Roman"/>
          <w:i/>
          <w:sz w:val="24"/>
        </w:rPr>
      </w:pPr>
      <w:r>
        <w:rPr>
          <w:rFonts w:hAnsi="Times New Roman" w:ascii="Times New Roman" w:eastAsia="Calibri" w:cs="Times New Roman"/>
          <w:b w:val="0"/>
          <w:i/>
          <w:strike w:val="0"/>
          <w:dstrike w:val="0"/>
          <w:emboss w:val="0"/>
          <w:imprint w:val="0"/>
          <w:outline w:val="0"/>
          <w:shadow w:val="0"/>
          <w:sz w:val="24"/>
          <w:szCs w:val="24"/>
          <w:u w:val="none"/>
        </w:rPr>
        <w:lastRenderedPageBreak/>
        <w:t xml:space="preserve">“We always collect the waste everyday onto a small container (bins) and dispose them at the valley site. We always carried them with head-pans to the valley. There is a very big valley over here, that is where we always dispose of our waste”</w:t>
      </w:r>
      <w:r>
        <w:rPr>
          <w:rFonts w:hAnsi="Times New Roman" w:ascii="Times New Roman" w:eastAsia="Calibri" w:cs="Times New Roman"/>
          <w:b w:val="0"/>
          <w:i w:val="0"/>
          <w:iCs/>
          <w:strike w:val="0"/>
          <w:dstrike w:val="0"/>
          <w:emboss w:val="0"/>
          <w:imprint w:val="0"/>
          <w:outline w:val="0"/>
          <w:shadow w:val="0"/>
          <w:sz w:val="24"/>
          <w:szCs w:val="24"/>
          <w:u w:val="none"/>
        </w:rPr>
        <w:t xml:space="preserve">(Makazeε). 13</w:t>
      </w:r>
      <w:r>
        <w:rPr>
          <w:rFonts w:hAnsi="Times New Roman" w:ascii="Times New Roman" w:eastAsia="Calibri" w:cs="Times New Roman"/>
          <w:b w:val="0"/>
          <w:i w:val="0"/>
          <w:iCs/>
          <w:strike w:val="0"/>
          <w:dstrike w:val="0"/>
          <w:emboss w:val="0"/>
          <w:imprint w:val="0"/>
          <w:outline w:val="0"/>
          <w:shadow w:val="0"/>
          <w:sz w:val="24"/>
          <w:szCs w:val="24"/>
          <w:u w:val="none"/>
          <w:vertAlign w:val="superscript"/>
        </w:rPr>
        <w:t xml:space="preserve">th</w:t>
      </w:r>
      <w:r>
        <w:rPr>
          <w:rFonts w:hAnsi="Times New Roman" w:ascii="Times New Roman" w:eastAsia="Calibri" w:cs="Times New Roman"/>
          <w:b w:val="0"/>
          <w:i w:val="0"/>
          <w:iCs/>
          <w:strike w:val="0"/>
          <w:dstrike w:val="0"/>
          <w:emboss w:val="0"/>
          <w:imprint w:val="0"/>
          <w:outline w:val="0"/>
          <w:shadow w:val="0"/>
          <w:sz w:val="24"/>
          <w:szCs w:val="24"/>
          <w:u w:val="none"/>
        </w:rPr>
        <w:t xml:space="preserve"> March, 2023.</w:t>
      </w:r>
    </w:p>
    <w:p>
      <w:pPr>
        <w:spacing w:after="0" w:line="480" w:lineRule="auto"/>
        <w:ind w:left="1440" w:right="720"/>
        <w:jc w:val="both"/>
        <w:rPr>
          <w:rFonts w:hAnsi="Times New Roman" w:ascii="Times New Roman" w:eastAsia="Calibri" w:cs="Times New Roman"/>
          <w:i/>
          <w:sz w:val="24"/>
        </w:rPr>
      </w:pPr>
      <w:r>
        <w:rPr>
          <w:rFonts w:hAnsi="Times New Roman" w:ascii="Times New Roman" w:eastAsia="Calibri" w:cs="Times New Roman"/>
          <w:b w:val="0"/>
          <w:i/>
          <w:strike w:val="0"/>
          <w:dstrike w:val="0"/>
          <w:emboss w:val="0"/>
          <w:imprint w:val="0"/>
          <w:outline w:val="0"/>
          <w:shadow w:val="0"/>
          <w:sz w:val="24"/>
          <w:szCs w:val="24"/>
          <w:u w:val="none"/>
        </w:rPr>
        <w:t xml:space="preserve">“Households always stored their waste either in the 240L bins in the house or transport it to the skip-container which is placed 20 meters from where the people live, and 10km to the disposal landfill. For the household 240L bins, it is collected weekly while the skip containers are collected every two days” </w:t>
      </w:r>
      <w:r>
        <w:rPr>
          <w:rFonts w:hAnsi="Times New Roman" w:ascii="Times New Roman" w:eastAsia="Calibri" w:cs="Times New Roman"/>
          <w:b w:val="0"/>
          <w:i w:val="0"/>
          <w:iCs/>
          <w:strike w:val="0"/>
          <w:dstrike w:val="0"/>
          <w:emboss w:val="0"/>
          <w:imprint w:val="0"/>
          <w:outline w:val="0"/>
          <w:shadow w:val="0"/>
          <w:sz w:val="24"/>
          <w:szCs w:val="24"/>
          <w:u w:val="none"/>
        </w:rPr>
        <w:t xml:space="preserve">(Zoom Lion’s Ghana Ltd, Wa). 11</w:t>
      </w:r>
      <w:r>
        <w:rPr>
          <w:rFonts w:hAnsi="Times New Roman" w:ascii="Times New Roman" w:eastAsia="Calibri" w:cs="Times New Roman"/>
          <w:b w:val="0"/>
          <w:i w:val="0"/>
          <w:iCs/>
          <w:strike w:val="0"/>
          <w:dstrike w:val="0"/>
          <w:emboss w:val="0"/>
          <w:imprint w:val="0"/>
          <w:outline w:val="0"/>
          <w:shadow w:val="0"/>
          <w:sz w:val="24"/>
          <w:szCs w:val="24"/>
          <w:u w:val="none"/>
          <w:vertAlign w:val="superscript"/>
        </w:rPr>
        <w:t xml:space="preserve">th</w:t>
      </w:r>
      <w:r>
        <w:rPr>
          <w:rFonts w:hAnsi="Times New Roman" w:ascii="Times New Roman" w:eastAsia="Calibri" w:cs="Times New Roman"/>
          <w:b w:val="0"/>
          <w:i w:val="0"/>
          <w:iCs/>
          <w:strike w:val="0"/>
          <w:dstrike w:val="0"/>
          <w:emboss w:val="0"/>
          <w:imprint w:val="0"/>
          <w:outline w:val="0"/>
          <w:shadow w:val="0"/>
          <w:sz w:val="24"/>
          <w:szCs w:val="24"/>
          <w:u w:val="none"/>
        </w:rPr>
        <w:t xml:space="preserve"> March, 2023.</w:t>
      </w:r>
    </w:p>
    <w:p>
      <w:pPr>
        <w:ind w:left="720"/>
      </w:pPr>
      <w:r>
        <w:rPr>
          <w:rFonts w:hAnsi="Times New Roman" w:ascii="Times New Roman" w:eastAsia="Calibri" w:cs="Times New Roman"/>
          <w:b w:val="0"/>
          <w:i w:val="0"/>
          <w:strike w:val="0"/>
          <w:dstrike w:val="0"/>
          <w:emboss w:val="0"/>
          <w:imprint w:val="0"/>
          <w:outline w:val="0"/>
          <w:shadow w:val="0"/>
          <w:sz w:val="24"/>
          <w:szCs w:val="24"/>
          <w:u w:val="none"/>
        </w:rPr>
        <w:drawing>
          <wp:inline>
            <wp:extent cx="5667379" cy="2743200"/>
            <wp:effectExtent l="0" t="0" r="9525"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Caption"/>
        <w:spacing w:line="480" w:lineRule="auto"/>
        <w:ind w:left="720"/>
        <w:rPr>
          <w:color w:val="auto"/>
          <w:rFonts w:hAnsi="Times New Roman" w:ascii="Times New Roman" w:eastAsia="Calibri" w:cs="Times New Roman"/>
          <w:b/>
          <w:bCs/>
          <w:i w:val="0"/>
          <w:sz w:val="24"/>
          <w:szCs w:val="24"/>
        </w:rPr>
      </w:pPr>
      <w:bookmarkStart w:id="92" w:name="_Toc142664175"/>
      <w:r>
        <w:rPr>
          <w:color w:val="auto"/>
          <w:rFonts w:hAnsi="Times New Roman" w:ascii="Times New Roman" w:cs="Times New Roman"/>
          <w:b/>
          <w:bCs/>
          <w:i w:val="0"/>
          <w:strike w:val="0"/>
          <w:dstrike w:val="0"/>
          <w:emboss w:val="0"/>
          <w:imprint w:val="0"/>
          <w:outline w:val="0"/>
          <w:shadow w:val="0"/>
          <w:sz w:val="24"/>
          <w:szCs w:val="24"/>
          <w:u w:val="none"/>
        </w:rPr>
        <w:t xml:space="preserve">Figure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Figure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8</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Residents willingness to pay for SWM disposal</w:t>
      </w:r>
      <w:bookmarkEnd w:id="92"/>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question of respondents' willingness to pay a fee to transport their solid waste is shown in Figure 8. The results show that the majority (78%) of respondents were unwilling to pay for solid waste disposal compared to 22% who were willing to pay for their solid waste being transported by the service provider. This suggests that most residents in the community are unwilling to pay for solid waste disposal.</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The key informant interviews corroborate the survey finding that residents of the Mangu community and the entire municipality are reluctant to pay for solid waste storage, collection, and disposal. </w:t>
      </w:r>
    </w:p>
    <w:p>
      <w:pPr>
        <w:spacing w:after="0" w:line="480" w:lineRule="auto"/>
        <w:ind w:left="1440" w:right="720"/>
        <w:jc w:val="both"/>
        <w:rPr>
          <w:rFonts w:hAnsi="Times New Roman" w:ascii="Times New Roman" w:eastAsia="Calibri" w:cs="Times New Roman"/>
          <w:i/>
          <w:iCs/>
          <w:sz w:val="24"/>
          <w:szCs w:val="24"/>
        </w:rPr>
      </w:pPr>
      <w:r>
        <w:rPr>
          <w:rFonts w:hAnsi="Times New Roman" w:ascii="Times New Roman" w:eastAsia="Calibri" w:cs="Times New Roman"/>
          <w:b w:val="0"/>
          <w:i/>
          <w:strike w:val="0"/>
          <w:dstrike w:val="0"/>
          <w:emboss w:val="0"/>
          <w:imprint w:val="0"/>
          <w:outline w:val="0"/>
          <w:shadow w:val="0"/>
          <w:sz w:val="24"/>
          <w:szCs w:val="24"/>
          <w:u w:val="none"/>
        </w:rPr>
        <w:t xml:space="preserve">“We don’t pay anything for disposing our waste. It is transported by women and children on a head pan to the valley. Who would you pay to, for disposing your waste into a valley?”</w:t>
      </w:r>
      <w:r>
        <w:rPr>
          <w:rFonts w:hAnsi="Times New Roman" w:ascii="Times New Roman" w:eastAsia="Calibri" w:cs="Times New Roman"/>
          <w:b w:val="0"/>
          <w:i w:val="0"/>
          <w:iCs/>
          <w:strike w:val="0"/>
          <w:dstrike w:val="0"/>
          <w:emboss w:val="0"/>
          <w:imprint w:val="0"/>
          <w:outline w:val="0"/>
          <w:shadow w:val="0"/>
          <w:sz w:val="24"/>
          <w:szCs w:val="24"/>
          <w:u w:val="none"/>
        </w:rPr>
        <w:t xml:space="preserve">(Chief, Mangu). 8</w:t>
      </w:r>
      <w:r>
        <w:rPr>
          <w:rFonts w:hAnsi="Times New Roman" w:ascii="Times New Roman" w:eastAsia="Calibri" w:cs="Times New Roman"/>
          <w:b w:val="0"/>
          <w:i w:val="0"/>
          <w:iCs/>
          <w:strike w:val="0"/>
          <w:dstrike w:val="0"/>
          <w:emboss w:val="0"/>
          <w:imprint w:val="0"/>
          <w:outline w:val="0"/>
          <w:shadow w:val="0"/>
          <w:sz w:val="24"/>
          <w:szCs w:val="24"/>
          <w:u w:val="none"/>
          <w:vertAlign w:val="superscript"/>
        </w:rPr>
        <w:t xml:space="preserve">th</w:t>
      </w:r>
      <w:r>
        <w:rPr>
          <w:rFonts w:hAnsi="Times New Roman" w:ascii="Times New Roman" w:eastAsia="Calibri" w:cs="Times New Roman"/>
          <w:b w:val="0"/>
          <w:i w:val="0"/>
          <w:iCs/>
          <w:strike w:val="0"/>
          <w:dstrike w:val="0"/>
          <w:emboss w:val="0"/>
          <w:imprint w:val="0"/>
          <w:outline w:val="0"/>
          <w:shadow w:val="0"/>
          <w:sz w:val="24"/>
          <w:szCs w:val="24"/>
          <w:u w:val="none"/>
        </w:rPr>
        <w:t xml:space="preserve"> March 2023.</w:t>
      </w:r>
    </w:p>
    <w:p>
      <w:pPr>
        <w:spacing w:after="0" w:line="480" w:lineRule="auto"/>
        <w:ind w:left="1440" w:right="720"/>
        <w:jc w:val="both"/>
        <w:rPr>
          <w:rFonts w:hAnsi="Times New Roman" w:ascii="Times New Roman" w:eastAsia="Calibri" w:cs="Times New Roman"/>
          <w:i/>
          <w:iCs/>
          <w:sz w:val="24"/>
          <w:szCs w:val="24"/>
        </w:rPr>
      </w:pPr>
      <w:r>
        <w:rPr>
          <w:rFonts w:hAnsi="Times New Roman" w:ascii="Times New Roman" w:eastAsia="Calibri" w:cs="Times New Roman"/>
          <w:b w:val="0"/>
          <w:i/>
          <w:strike w:val="0"/>
          <w:dstrike w:val="0"/>
          <w:emboss w:val="0"/>
          <w:imprint w:val="0"/>
          <w:outline w:val="0"/>
          <w:shadow w:val="0"/>
          <w:sz w:val="24"/>
          <w:szCs w:val="24"/>
          <w:u w:val="none"/>
        </w:rPr>
        <w:t xml:space="preserve">“The people of Mangu, even the municipality as a whole, are not willing to pay for waste collection and final disposal. This is even a general issue for the entire municipality. Most residents in the municipality are unwilling to pay for solid waste collection and disposal. As a result, they indiscriminately dump waste in gutters, water bodies, and open space” </w:t>
      </w:r>
      <w:r>
        <w:rPr>
          <w:rFonts w:hAnsi="Times New Roman" w:ascii="Times New Roman" w:eastAsia="Calibri" w:cs="Times New Roman"/>
          <w:b w:val="0"/>
          <w:i w:val="0"/>
          <w:iCs/>
          <w:strike w:val="0"/>
          <w:dstrike w:val="0"/>
          <w:emboss w:val="0"/>
          <w:imprint w:val="0"/>
          <w:outline w:val="0"/>
          <w:shadow w:val="0"/>
          <w:sz w:val="24"/>
          <w:szCs w:val="24"/>
          <w:u w:val="none"/>
        </w:rPr>
        <w:t xml:space="preserve">(Zoom Lion Ghana Ltd.). 11</w:t>
      </w:r>
      <w:r>
        <w:rPr>
          <w:rFonts w:hAnsi="Times New Roman" w:ascii="Times New Roman" w:eastAsia="Calibri" w:cs="Times New Roman"/>
          <w:b w:val="0"/>
          <w:i w:val="0"/>
          <w:iCs/>
          <w:strike w:val="0"/>
          <w:dstrike w:val="0"/>
          <w:emboss w:val="0"/>
          <w:imprint w:val="0"/>
          <w:outline w:val="0"/>
          <w:shadow w:val="0"/>
          <w:sz w:val="24"/>
          <w:szCs w:val="24"/>
          <w:u w:val="none"/>
          <w:vertAlign w:val="superscript"/>
        </w:rPr>
        <w:t xml:space="preserve">th</w:t>
      </w:r>
      <w:r>
        <w:rPr>
          <w:rFonts w:hAnsi="Times New Roman" w:ascii="Times New Roman" w:eastAsia="Calibri" w:cs="Times New Roman"/>
          <w:b w:val="0"/>
          <w:i w:val="0"/>
          <w:iCs/>
          <w:strike w:val="0"/>
          <w:dstrike w:val="0"/>
          <w:emboss w:val="0"/>
          <w:imprint w:val="0"/>
          <w:outline w:val="0"/>
          <w:shadow w:val="0"/>
          <w:sz w:val="24"/>
          <w:szCs w:val="24"/>
          <w:u w:val="none"/>
        </w:rPr>
        <w:t xml:space="preserve"> March,2023.</w:t>
      </w:r>
    </w:p>
    <w:p>
      <w:pPr>
        <w:pStyle w:val="Heading2"/>
        <w:spacing w:line="480" w:lineRule="auto"/>
        <w:ind w:left="720"/>
        <w:rPr>
          <w:rFonts w:eastAsia="Calibri"/>
          <w:szCs w:val="24"/>
        </w:rPr>
      </w:pPr>
      <w:r>
        <w:rPr>
          <w:rFonts w:ascii="Times New Roman" w:eastAsia="Calibri"/>
          <w:b/>
          <w:i w:val="0"/>
          <w:strike w:val="0"/>
          <w:dstrike w:val="0"/>
          <w:emboss w:val="0"/>
          <w:imprint w:val="0"/>
          <w:outline w:val="0"/>
          <w:shadow w:val="0"/>
          <w:sz w:val="24"/>
          <w:szCs w:val="24"/>
          <w:u w:val="none"/>
        </w:rPr>
        <w:br w:type="page"/>
      </w:r>
    </w:p>
    <w:p>
      <w:pPr>
        <w:pStyle w:val="Heading2"/>
        <w:spacing w:line="480" w:lineRule="auto"/>
        <w:ind w:left="720"/>
        <w:rPr>
          <w:rFonts w:eastAsia="Calibri"/>
        </w:rPr>
      </w:pPr>
      <w:bookmarkStart w:id="93" w:name="_Toc147923085"/>
      <w:r>
        <w:rPr>
          <w:rFonts w:ascii="Times New Roman" w:eastAsia="Calibri"/>
          <w:b/>
          <w:i w:val="0"/>
          <w:strike w:val="0"/>
          <w:dstrike w:val="0"/>
          <w:emboss w:val="0"/>
          <w:imprint w:val="0"/>
          <w:outline w:val="0"/>
          <w:shadow w:val="0"/>
          <w:sz w:val="24"/>
          <w:szCs w:val="24"/>
          <w:u w:val="none"/>
        </w:rPr>
        <w:lastRenderedPageBreak/>
        <w:t xml:space="preserve">4.5.1</w:t>
        <w:tab/>
        <w:t xml:space="preserve">Association between residents’ socio-demographics and practice of SWM</w:t>
      </w:r>
      <w:bookmarkEnd w:id="93"/>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Table 9 presents the association between residents' sociodemographic factors and their practice of SMW using a chi-square analysis at a 95% confidence level.</w:t>
      </w:r>
    </w:p>
    <w:p>
      <w:pPr>
        <w:pStyle w:val="Caption"/>
        <w:ind w:left="720"/>
        <w:rPr>
          <w:color w:val="auto"/>
          <w:rFonts w:hAnsi="Times New Roman" w:ascii="Times New Roman" w:cs="Times New Roman"/>
          <w:b/>
          <w:bCs/>
          <w:i w:val="0"/>
          <w:sz w:val="24"/>
          <w:szCs w:val="24"/>
        </w:rPr>
      </w:pPr>
      <w:bookmarkStart w:id="94" w:name="_Toc147923110"/>
      <w:r>
        <w:rPr>
          <w:color w:val="auto"/>
          <w:rFonts w:hAnsi="Times New Roman" w:ascii="Times New Roman" w:cs="Times New Roman"/>
          <w:b/>
          <w:bCs/>
          <w:i w:val="0"/>
          <w:strike w:val="0"/>
          <w:dstrike w:val="0"/>
          <w:emboss w:val="0"/>
          <w:imprint w:val="0"/>
          <w:outline w:val="0"/>
          <w:shadow w:val="0"/>
          <w:sz w:val="24"/>
          <w:szCs w:val="24"/>
          <w:u w:val="none"/>
        </w:rPr>
        <w:t xml:space="preserve">Table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Table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9</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A cross tabulation of socio-demographics and residents’ practice of SWM</w:t>
      </w:r>
      <w:bookmarkEnd w:id="94"/>
    </w:p>
    <w:tbl>
      <w:tblPr>
        <w:tblW w:w="9443" w:type="dxa"/>
        <w:tblInd w:w="720" w:type="dxa"/>
        <w:tblBorders>
          <w:top w:val="single" w:sz="4" w:color="auto"/>
          <w:bottom w:val="single" w:sz="4" w:color="auto"/>
        </w:tblBorders>
        <w:tblLook w:val="04A0"/>
      </w:tblPr>
      <w:tblGrid>
        <w:gridCol w:w="1958"/>
        <w:gridCol w:w="2098"/>
        <w:gridCol w:w="1297"/>
        <w:gridCol w:w="1210"/>
        <w:gridCol w:w="1212"/>
        <w:gridCol w:w="851"/>
        <w:gridCol w:w="817"/>
      </w:tblGrid>
      <w:tr>
        <w:trPr>
          <w:trHeight w:val="211"/>
        </w:trPr>
        <w:tc>
          <w:tcPr>
            <w:tcW w:w="1958" w:type="dxa"/>
            <w:shd w:fill="auto" w:color="auto" w:val="clear"/>
            <w:vMerge w:val="restart"/>
            <w:vAlign w:val="center"/>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Socio-demographic factors</w:t>
            </w:r>
          </w:p>
        </w:tc>
        <w:tc>
          <w:tcPr>
            <w:tcW w:w="2098" w:type="dxa"/>
            <w:shd w:fill="auto" w:color="auto" w:val="clear"/>
            <w:vMerge w:val="restart"/>
            <w:vAlign w:val="center"/>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Categories</w:t>
            </w:r>
          </w:p>
        </w:tc>
        <w:tc>
          <w:tcPr>
            <w:tcW w:w="1297" w:type="dxa"/>
            <w:shd w:fill="auto" w:color="auto" w:val="clear"/>
            <w:vMerge w:val="restart"/>
            <w:vAlign w:val="center"/>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Total Sampled </w:t>
            </w:r>
          </w:p>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N (%)</w:t>
            </w:r>
          </w:p>
        </w:tc>
        <w:tc>
          <w:tcPr>
            <w:tcW w:w="2422" w:type="dxa"/>
            <w:gridSpan w:val="2"/>
            <w:shd w:fill="auto" w:color="auto" w:val="clear"/>
            <w:vAlign w:val="center"/>
          </w:tcPr>
          <w:p>
            <w:pPr>
              <w:spacing w:after="0" w:line="240" w:lineRule="auto"/>
              <w:jc w:val="center"/>
              <w:rPr>
                <w:color w:val="000000"/>
                <w:rFonts w:hAnsi="Times New Roman" w:ascii="Times New Roman" w:eastAsia="Times New Roman" w:cs="Times New Roman"/>
                <w:b/>
                <w:bCs/>
                <w:sz w:val="18"/>
                <w:szCs w:val="18"/>
              </w:rPr>
            </w:pPr>
            <w:r>
              <w:rPr>
                <w:color w:val="000000"/>
                <w:rFonts w:hAnsi="Times New Roman" w:ascii="Times New Roman" w:eastAsia="Times New Roman" w:cs="Times New Roman"/>
                <w:b/>
                <w:bCs/>
                <w:i w:val="0"/>
                <w:strike w:val="0"/>
                <w:dstrike w:val="0"/>
                <w:emboss w:val="0"/>
                <w:imprint w:val="0"/>
                <w:outline w:val="0"/>
                <w:shadow w:val="0"/>
                <w:sz w:val="18"/>
                <w:szCs w:val="18"/>
                <w:u w:val="none"/>
              </w:rPr>
              <w:t xml:space="preserve">Residents Practice of SWM</w:t>
            </w:r>
          </w:p>
        </w:tc>
        <w:tc>
          <w:tcPr>
            <w:tcW w:w="851" w:type="dxa"/>
            <w:shd w:fill="auto" w:color="auto" w:val="clear"/>
            <w:vMerge w:val="restart"/>
            <w:vAlign w:val="center"/>
          </w:tcPr>
          <w:p>
            <w:pPr>
              <w:spacing w:after="0" w:line="240" w:lineRule="auto"/>
              <w:jc w:val="center"/>
              <w:rPr>
                <w:rFonts w:hAnsi="Times New Roman" w:ascii="Times New Roman" w:eastAsia="Times New Roman" w:cs="Times New Roman"/>
                <w:b/>
                <w:bCs/>
                <w:sz w:val="20"/>
                <w:szCs w:val="20"/>
              </w:rPr>
            </w:pPr>
            <w:r>
              <w:rPr>
                <w:rFonts w:hAnsi="Times New Roman" w:ascii="Times New Roman" w:eastAsia="Times New Roman" w:cs="Times New Roman"/>
                <w:b/>
                <w:bCs/>
                <w:i w:val="0"/>
                <w:strike w:val="0"/>
                <w:dstrike w:val="0"/>
                <w:emboss w:val="0"/>
                <w:imprint w:val="0"/>
                <w:outline w:val="0"/>
                <w:shadow w:val="0"/>
                <w:sz w:val="20"/>
                <w:szCs w:val="20"/>
                <w:u w:val="none"/>
              </w:rPr>
              <w:t xml:space="preserve">Chi-square (X2)</w:t>
            </w:r>
          </w:p>
        </w:tc>
        <w:tc>
          <w:tcPr>
            <w:tcW w:w="817" w:type="dxa"/>
            <w:shd w:fill="auto" w:color="auto" w:val="clear"/>
            <w:vMerge w:val="restart"/>
            <w:vAlign w:val="center"/>
          </w:tcPr>
          <w:p>
            <w:pPr>
              <w:spacing w:after="0" w:line="240" w:lineRule="auto"/>
              <w:jc w:val="center"/>
              <w:rPr>
                <w:rFonts w:hAnsi="Times New Roman" w:ascii="Times New Roman" w:eastAsia="Times New Roman" w:cs="Times New Roman"/>
                <w:b/>
                <w:bCs/>
                <w:sz w:val="20"/>
                <w:szCs w:val="20"/>
              </w:rPr>
            </w:pPr>
            <w:r>
              <w:rPr>
                <w:rFonts w:hAnsi="Times New Roman" w:ascii="Times New Roman" w:eastAsia="Times New Roman" w:cs="Times New Roman"/>
                <w:b/>
                <w:bCs/>
                <w:i w:val="0"/>
                <w:strike w:val="0"/>
                <w:dstrike w:val="0"/>
                <w:emboss w:val="0"/>
                <w:imprint w:val="0"/>
                <w:outline w:val="0"/>
                <w:shadow w:val="0"/>
                <w:sz w:val="20"/>
                <w:szCs w:val="20"/>
                <w:u w:val="none"/>
              </w:rPr>
              <w:t xml:space="preserve">P-value</w:t>
            </w:r>
          </w:p>
          <w:p>
            <w:pPr>
              <w:spacing w:after="0" w:line="240" w:lineRule="auto"/>
              <w:jc w:val="center"/>
              <w:rPr>
                <w:rFonts w:hAnsi="Times New Roman" w:ascii="Times New Roman" w:eastAsia="Times New Roman" w:cs="Times New Roman"/>
                <w:b/>
                <w:bCs/>
                <w:sz w:val="20"/>
                <w:szCs w:val="20"/>
              </w:rPr>
            </w:pPr>
          </w:p>
        </w:tc>
      </w:tr>
      <w:tr>
        <w:trPr>
          <w:trHeight w:val="602"/>
        </w:trPr>
        <w:tc>
          <w:tcPr>
            <w:tcW w:w="1958" w:type="dxa"/>
            <w:shd w:fill="auto" w:color="auto" w:val="clear"/>
            <w:tcBorders>
              <w:bottom w:val="single" w:sz="4" w:color="auto"/>
            </w:tcBorders>
            <w:vMerge w:val="continue"/>
            <w:vAlign w:val="bottom"/>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bottom w:val="single" w:sz="4" w:color="auto"/>
            </w:tcBorders>
            <w:vMerge w:val="continue"/>
            <w:vAlign w:val="bottom"/>
          </w:tcPr>
          <w:p>
            <w:pPr>
              <w:spacing w:after="0" w:line="240" w:lineRule="auto"/>
              <w:rPr>
                <w:color w:val="000000"/>
                <w:rFonts w:hAnsi="Times New Roman" w:ascii="Times New Roman" w:eastAsia="Times New Roman" w:cs="Times New Roman"/>
                <w:sz w:val="18"/>
                <w:szCs w:val="18"/>
              </w:rPr>
            </w:pPr>
          </w:p>
        </w:tc>
        <w:tc>
          <w:tcPr>
            <w:tcW w:w="1297" w:type="dxa"/>
            <w:shd w:fill="auto" w:color="auto" w:val="clear"/>
            <w:tcBorders>
              <w:bottom w:val="single" w:sz="4" w:color="auto"/>
            </w:tcBorders>
            <w:vMerge w:val="continue"/>
            <w:vAlign w:val="bottom"/>
          </w:tcPr>
          <w:p>
            <w:pPr>
              <w:spacing w:after="0" w:line="240" w:lineRule="auto"/>
              <w:rPr>
                <w:color w:val="000000"/>
                <w:rFonts w:hAnsi="Times New Roman" w:ascii="Times New Roman" w:eastAsia="Times New Roman" w:cs="Times New Roman"/>
                <w:sz w:val="18"/>
                <w:szCs w:val="18"/>
              </w:rPr>
            </w:pPr>
          </w:p>
        </w:tc>
        <w:tc>
          <w:tcPr>
            <w:tcW w:w="1210" w:type="dxa"/>
            <w:shd w:fill="auto" w:color="auto" w:val="clear"/>
            <w:tcBorders>
              <w:bottom w:val="single" w:sz="4" w:color="auto"/>
            </w:tcBorders>
            <w:vAlign w:val="center"/>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Low</w:t>
            </w:r>
          </w:p>
        </w:tc>
        <w:tc>
          <w:tcPr>
            <w:tcW w:w="1212" w:type="dxa"/>
            <w:shd w:fill="auto" w:color="auto" w:val="clear"/>
            <w:tcBorders>
              <w:bottom w:val="single" w:sz="4" w:color="auto"/>
            </w:tcBorders>
            <w:vAlign w:val="center"/>
          </w:tcPr>
          <w:p>
            <w:pPr>
              <w:spacing w:after="0" w:line="240" w:lineRule="auto"/>
              <w:jc w:val="center"/>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High</w:t>
            </w:r>
          </w:p>
        </w:tc>
        <w:tc>
          <w:tcPr>
            <w:tcW w:w="851" w:type="dxa"/>
            <w:shd w:fill="auto" w:color="auto" w:val="clear"/>
            <w:tcBorders>
              <w:bottom w:val="single" w:sz="4" w:color="auto"/>
            </w:tcBorders>
            <w:vMerge w:val="continue"/>
            <w:vAlign w:val="bottom"/>
          </w:tcPr>
          <w:p>
            <w:pPr>
              <w:spacing w:after="0" w:line="240" w:lineRule="auto"/>
              <w:rPr>
                <w:rFonts w:hAnsi="Times New Roman" w:ascii="Times New Roman" w:eastAsia="Times New Roman" w:cs="Times New Roman"/>
                <w:sz w:val="20"/>
                <w:szCs w:val="20"/>
              </w:rPr>
            </w:pPr>
          </w:p>
        </w:tc>
        <w:tc>
          <w:tcPr>
            <w:tcW w:w="817" w:type="dxa"/>
            <w:shd w:fill="auto" w:color="auto" w:val="clear"/>
            <w:tcBorders>
              <w:bottom w:val="single" w:sz="4" w:color="auto"/>
            </w:tcBorders>
            <w:vMerge w:val="continue"/>
            <w:vAlign w:val="bottom"/>
          </w:tcPr>
          <w:p>
            <w:pPr>
              <w:spacing w:after="0" w:line="240" w:lineRule="auto"/>
              <w:rPr>
                <w:rFonts w:hAnsi="Times New Roman" w:ascii="Times New Roman" w:eastAsia="Times New Roman" w:cs="Times New Roman"/>
                <w:sz w:val="20"/>
                <w:szCs w:val="20"/>
              </w:rPr>
            </w:pPr>
          </w:p>
        </w:tc>
      </w:tr>
      <w:tr>
        <w:trPr>
          <w:trHeight w:val="211"/>
        </w:trPr>
        <w:tc>
          <w:tcPr>
            <w:tcW w:w="1958"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Gender</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Male</w:t>
            </w:r>
          </w:p>
        </w:tc>
        <w:tc>
          <w:tcPr>
            <w:tcW w:w="129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141 (38.8%)</w:t>
            </w:r>
          </w:p>
        </w:tc>
        <w:tc>
          <w:tcPr>
            <w:tcW w:w="1210"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85 (41.1%)</w:t>
            </w:r>
          </w:p>
        </w:tc>
        <w:tc>
          <w:tcPr>
            <w:tcW w:w="1212"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56 (35.9%)</w:t>
            </w:r>
          </w:p>
        </w:tc>
        <w:tc>
          <w:tcPr>
            <w:tcW w:w="851"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0.999</w:t>
            </w:r>
          </w:p>
        </w:tc>
        <w:tc>
          <w:tcPr>
            <w:tcW w:w="81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0.318</w:t>
            </w:r>
          </w:p>
        </w:tc>
      </w:tr>
      <w:tr>
        <w:trPr>
          <w:trHeight w:val="211"/>
        </w:trPr>
        <w:tc>
          <w:tcPr>
            <w:tcW w:w="1958"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Female</w:t>
            </w:r>
          </w:p>
        </w:tc>
        <w:tc>
          <w:tcPr>
            <w:tcW w:w="1297"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222 (61.2%)</w:t>
            </w:r>
          </w:p>
        </w:tc>
        <w:tc>
          <w:tcPr>
            <w:tcW w:w="1210"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122 (58.9%)</w:t>
            </w:r>
          </w:p>
        </w:tc>
        <w:tc>
          <w:tcPr>
            <w:tcW w:w="1212"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100 (64.1%)</w:t>
            </w:r>
          </w:p>
        </w:tc>
        <w:tc>
          <w:tcPr>
            <w:tcW w:w="851"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Age</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 to 26</w:t>
            </w:r>
          </w:p>
        </w:tc>
        <w:tc>
          <w:tcPr>
            <w:tcW w:w="129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 (2.5%)</w:t>
            </w:r>
          </w:p>
        </w:tc>
        <w:tc>
          <w:tcPr>
            <w:tcW w:w="1210"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(1.9%)</w:t>
            </w:r>
          </w:p>
        </w:tc>
        <w:tc>
          <w:tcPr>
            <w:tcW w:w="1212"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 (3.2%)</w:t>
            </w:r>
          </w:p>
        </w:tc>
        <w:tc>
          <w:tcPr>
            <w:tcW w:w="851"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4.431</w:t>
            </w:r>
          </w:p>
        </w:tc>
        <w:tc>
          <w:tcPr>
            <w:tcW w:w="81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0.351</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27 to 40</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179 (49.3%)</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103 (49.8%)</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76 (48.7%)</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41 to 53</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124 (34.2%)</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68 (32.9%)</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56 (35.9%)</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54 to 67</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48 (13.2%)</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29 (14.0%)</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19 (12.2%)</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68 to 80</w:t>
            </w:r>
          </w:p>
        </w:tc>
        <w:tc>
          <w:tcPr>
            <w:tcW w:w="1297"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(0.8%)</w:t>
            </w:r>
          </w:p>
        </w:tc>
        <w:tc>
          <w:tcPr>
            <w:tcW w:w="1210"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(1.4%)</w:t>
            </w:r>
          </w:p>
        </w:tc>
        <w:tc>
          <w:tcPr>
            <w:tcW w:w="1212"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 (0.0%)</w:t>
            </w:r>
          </w:p>
        </w:tc>
        <w:tc>
          <w:tcPr>
            <w:tcW w:w="851"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Marital status</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Single</w:t>
            </w:r>
          </w:p>
        </w:tc>
        <w:tc>
          <w:tcPr>
            <w:tcW w:w="129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60 (16.5%)</w:t>
            </w:r>
          </w:p>
        </w:tc>
        <w:tc>
          <w:tcPr>
            <w:tcW w:w="1210"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36 (17.4%)</w:t>
            </w:r>
          </w:p>
        </w:tc>
        <w:tc>
          <w:tcPr>
            <w:tcW w:w="1212"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24 (15.4%)</w:t>
            </w:r>
          </w:p>
        </w:tc>
        <w:tc>
          <w:tcPr>
            <w:tcW w:w="851"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5.709</w:t>
            </w:r>
          </w:p>
        </w:tc>
        <w:tc>
          <w:tcPr>
            <w:tcW w:w="81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0.222</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Married</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274 (75.5%)</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154 (74.4%)</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120 (76.9%)</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Separated</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 (2.2%)</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(1.0%)</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 (3.8%)</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Divorced</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 (2.5%)</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 (2.9%)</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(1.9%)</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Widowed</w:t>
            </w:r>
          </w:p>
        </w:tc>
        <w:tc>
          <w:tcPr>
            <w:tcW w:w="1297"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 (3.3%)</w:t>
            </w:r>
          </w:p>
        </w:tc>
        <w:tc>
          <w:tcPr>
            <w:tcW w:w="1210"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 (4.3%)</w:t>
            </w:r>
          </w:p>
        </w:tc>
        <w:tc>
          <w:tcPr>
            <w:tcW w:w="1212"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(1.9%)</w:t>
            </w:r>
          </w:p>
        </w:tc>
        <w:tc>
          <w:tcPr>
            <w:tcW w:w="851"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Level of education</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No formal education</w:t>
            </w:r>
          </w:p>
        </w:tc>
        <w:tc>
          <w:tcPr>
            <w:tcW w:w="129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199 (54.8%)</w:t>
            </w:r>
          </w:p>
        </w:tc>
        <w:tc>
          <w:tcPr>
            <w:tcW w:w="1210"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114 (55.1%)</w:t>
            </w:r>
          </w:p>
        </w:tc>
        <w:tc>
          <w:tcPr>
            <w:tcW w:w="1212"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85 (54.5%)</w:t>
            </w:r>
          </w:p>
        </w:tc>
        <w:tc>
          <w:tcPr>
            <w:tcW w:w="851"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5.911</w:t>
            </w:r>
          </w:p>
        </w:tc>
        <w:tc>
          <w:tcPr>
            <w:tcW w:w="81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0.315</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KG/Primary education</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29 (8.0%)</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16 (7.7%)</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 (8.3%)</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JHS</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37 (10.2%)</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27 (13.0%)</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 (6.4%)</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SHS</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68 (18.7%)</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35 (16.9%)</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33 (21.2%)</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University</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27 (7.4%)</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 (6.3%)</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(9.0%)</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Other</w:t>
            </w:r>
          </w:p>
        </w:tc>
        <w:tc>
          <w:tcPr>
            <w:tcW w:w="1297"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(0.8%)</w:t>
            </w:r>
          </w:p>
        </w:tc>
        <w:tc>
          <w:tcPr>
            <w:tcW w:w="1210"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(1.0%)</w:t>
            </w:r>
          </w:p>
        </w:tc>
        <w:tc>
          <w:tcPr>
            <w:tcW w:w="1212"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(0.6%)</w:t>
            </w:r>
          </w:p>
        </w:tc>
        <w:tc>
          <w:tcPr>
            <w:tcW w:w="851"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How long have you lived in Mangu Community?</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to 16</w:t>
            </w:r>
          </w:p>
        </w:tc>
        <w:tc>
          <w:tcPr>
            <w:tcW w:w="129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225 (62.0%)</w:t>
            </w:r>
          </w:p>
        </w:tc>
        <w:tc>
          <w:tcPr>
            <w:tcW w:w="1210"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131 (63.3%)</w:t>
            </w:r>
          </w:p>
        </w:tc>
        <w:tc>
          <w:tcPr>
            <w:tcW w:w="1212"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94 (60.3%)</w:t>
            </w:r>
          </w:p>
        </w:tc>
        <w:tc>
          <w:tcPr>
            <w:tcW w:w="851"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8.462</w:t>
            </w:r>
          </w:p>
        </w:tc>
        <w:tc>
          <w:tcPr>
            <w:tcW w:w="81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0.076</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17 to 32</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96 (26.4%)</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46 (22.2%)</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50 (32.1%)</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33 to 48</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37 (10.2%)</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26 (12.6%)</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11 (7.1%)</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49 to 64</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(.6%)</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(1.0%)</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 (0.0%)</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63 to 80</w:t>
            </w:r>
          </w:p>
        </w:tc>
        <w:tc>
          <w:tcPr>
            <w:tcW w:w="1297"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(0.8%)</w:t>
            </w:r>
          </w:p>
        </w:tc>
        <w:tc>
          <w:tcPr>
            <w:tcW w:w="1210"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(1.0%)</w:t>
            </w:r>
          </w:p>
        </w:tc>
        <w:tc>
          <w:tcPr>
            <w:tcW w:w="1212"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(0.6%)</w:t>
            </w:r>
          </w:p>
        </w:tc>
        <w:tc>
          <w:tcPr>
            <w:tcW w:w="851"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How many number of children are living in the household?</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to 3</w:t>
            </w:r>
          </w:p>
        </w:tc>
        <w:tc>
          <w:tcPr>
            <w:tcW w:w="129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233 (64.2%)</w:t>
            </w:r>
          </w:p>
        </w:tc>
        <w:tc>
          <w:tcPr>
            <w:tcW w:w="1210"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131 (63.3%)</w:t>
            </w:r>
          </w:p>
        </w:tc>
        <w:tc>
          <w:tcPr>
            <w:tcW w:w="1212"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102 (65.4%)</w:t>
            </w:r>
          </w:p>
        </w:tc>
        <w:tc>
          <w:tcPr>
            <w:tcW w:w="851"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1.455</w:t>
            </w:r>
            <w:r>
              <w:rPr>
                <w:color w:val="000000"/>
                <w:rFonts w:hAnsi="Times New Roman" w:ascii="Times New Roman" w:eastAsia="Times New Roman" w:cs="Times New Roman"/>
                <w:b w:val="0"/>
                <w:i w:val="0"/>
                <w:strike w:val="0"/>
                <w:dstrike w:val="0"/>
                <w:emboss w:val="0"/>
                <w:imprint w:val="0"/>
                <w:outline w:val="0"/>
                <w:shadow w:val="0"/>
                <w:sz w:val="18"/>
                <w:szCs w:val="18"/>
                <w:u w:val="none"/>
                <w:vertAlign w:val="superscript"/>
              </w:rPr>
              <w:t xml:space="preserve">a</w:t>
            </w:r>
          </w:p>
        </w:tc>
        <w:tc>
          <w:tcPr>
            <w:tcW w:w="81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0.483</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to 6</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110 (30.3%)</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62 (30.0%)</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48 (30.8%)</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 to 9</w:t>
            </w:r>
          </w:p>
        </w:tc>
        <w:tc>
          <w:tcPr>
            <w:tcW w:w="1297"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20 (5.5%)</w:t>
            </w:r>
          </w:p>
        </w:tc>
        <w:tc>
          <w:tcPr>
            <w:tcW w:w="1210"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(6.8%)</w:t>
            </w:r>
          </w:p>
        </w:tc>
        <w:tc>
          <w:tcPr>
            <w:tcW w:w="1212"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 (3.8%)</w:t>
            </w:r>
          </w:p>
        </w:tc>
        <w:tc>
          <w:tcPr>
            <w:tcW w:w="851"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How many number of people are living in the household?</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to 6</w:t>
            </w:r>
          </w:p>
        </w:tc>
        <w:tc>
          <w:tcPr>
            <w:tcW w:w="129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233 (64.2%)</w:t>
            </w:r>
          </w:p>
        </w:tc>
        <w:tc>
          <w:tcPr>
            <w:tcW w:w="1210"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132 (63.8%)</w:t>
            </w:r>
          </w:p>
        </w:tc>
        <w:tc>
          <w:tcPr>
            <w:tcW w:w="1212"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101 (64.7%)</w:t>
            </w:r>
          </w:p>
        </w:tc>
        <w:tc>
          <w:tcPr>
            <w:tcW w:w="851"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2.624</w:t>
            </w:r>
          </w:p>
        </w:tc>
        <w:tc>
          <w:tcPr>
            <w:tcW w:w="81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0.453</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 to 9</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108 (29.8%)</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59 (28.5%)</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49 (31.4%)</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 to 13</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(3.9%)</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10 (4.8%)</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 (2.6%)</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to 16</w:t>
            </w:r>
          </w:p>
        </w:tc>
        <w:tc>
          <w:tcPr>
            <w:tcW w:w="1297"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 (2.2%)</w:t>
            </w:r>
          </w:p>
        </w:tc>
        <w:tc>
          <w:tcPr>
            <w:tcW w:w="1210"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 (2.9%)</w:t>
            </w:r>
          </w:p>
        </w:tc>
        <w:tc>
          <w:tcPr>
            <w:tcW w:w="1212"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(1.3%)</w:t>
            </w:r>
          </w:p>
        </w:tc>
        <w:tc>
          <w:tcPr>
            <w:tcW w:w="851"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shd w:fill="auto" w:color="auto" w:val="clear"/>
            <w:tcBorders>
              <w:top w:val="single" w:sz="4" w:color="auto"/>
              <w:bottom w:val="none" w:sz="0" w:color="000000"/>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What is your occupation?</w:t>
            </w:r>
          </w:p>
        </w:tc>
        <w:tc>
          <w:tcPr>
            <w:tcW w:w="2098" w:type="dxa"/>
            <w:shd w:fill="auto" w:color="auto" w:val="clear"/>
            <w:tcBorders>
              <w:top w:val="single" w:sz="4" w:color="auto"/>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Farming</w:t>
            </w:r>
          </w:p>
        </w:tc>
        <w:tc>
          <w:tcPr>
            <w:tcW w:w="129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58 (16.0%)</w:t>
            </w:r>
          </w:p>
        </w:tc>
        <w:tc>
          <w:tcPr>
            <w:tcW w:w="1210"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37 (17.9%)</w:t>
            </w:r>
          </w:p>
        </w:tc>
        <w:tc>
          <w:tcPr>
            <w:tcW w:w="1212"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21 (13.5%)</w:t>
            </w:r>
          </w:p>
        </w:tc>
        <w:tc>
          <w:tcPr>
            <w:tcW w:w="851"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8.176</w:t>
            </w:r>
          </w:p>
        </w:tc>
        <w:tc>
          <w:tcPr>
            <w:tcW w:w="817" w:type="dxa"/>
            <w:shd w:fill="auto" w:color="auto" w:val="clear"/>
            <w:tcBorders>
              <w:top w:val="single" w:sz="4" w:color="auto"/>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0.317</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Trading</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94 (25.9%)</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51 (24.6%)</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43 (27.6%)</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Government employee</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 (2.5%)</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 (2.9%)</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(1.9%)</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Private sector employee</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17 (4.7%)</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 (2.9%)</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11 (7.1%)</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Self-employed / Entrepreneur</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87 (24.0%)</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51 (24.6%)</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36 (23.1%)</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Not employed</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18 (5.0%)</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7 (3.4%)</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11 (7.1%)</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none" w:sz="0" w:color="000000"/>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none" w:sz="0" w:color="000000"/>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Apprenticeship</w:t>
            </w:r>
          </w:p>
        </w:tc>
        <w:tc>
          <w:tcPr>
            <w:tcW w:w="1297"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66 (18.2%)</w:t>
            </w:r>
          </w:p>
        </w:tc>
        <w:tc>
          <w:tcPr>
            <w:tcW w:w="1210"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41 (19.8%)</w:t>
            </w:r>
          </w:p>
        </w:tc>
        <w:tc>
          <w:tcPr>
            <w:tcW w:w="1212" w:type="dxa"/>
            <w:shd w:fill="auto" w:color="auto" w:val="clear"/>
            <w:tcBorders>
              <w:top w:val="none" w:sz="0" w:color="000000"/>
              <w:bottom w:val="none" w:sz="0" w:color="000000"/>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25 (16.0%)</w:t>
            </w:r>
          </w:p>
        </w:tc>
        <w:tc>
          <w:tcPr>
            <w:tcW w:w="851"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none" w:sz="0" w:color="000000"/>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tcBorders>
              <w:top w:val="none" w:sz="0" w:color="000000"/>
              <w:bottom w:val="single" w:sz="4" w:color="auto"/>
            </w:tcBorders>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Borders>
              <w:top w:val="none" w:sz="0" w:color="000000"/>
              <w:bottom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Other</w:t>
            </w:r>
          </w:p>
        </w:tc>
        <w:tc>
          <w:tcPr>
            <w:tcW w:w="1297"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 (3.9%)</w:t>
            </w:r>
          </w:p>
        </w:tc>
        <w:tc>
          <w:tcPr>
            <w:tcW w:w="1210"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8 (3.9%)</w:t>
            </w:r>
          </w:p>
        </w:tc>
        <w:tc>
          <w:tcPr>
            <w:tcW w:w="1212" w:type="dxa"/>
            <w:shd w:fill="auto" w:color="auto" w:val="clear"/>
            <w:tcBorders>
              <w:top w:val="none" w:sz="0" w:color="000000"/>
              <w:bottom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 (3.8%)</w:t>
            </w:r>
          </w:p>
        </w:tc>
        <w:tc>
          <w:tcPr>
            <w:tcW w:w="851"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tcBorders>
              <w:top w:val="none" w:sz="0" w:color="000000"/>
              <w:bottom w:val="single" w:sz="4" w:color="auto"/>
            </w:tcBorders>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shd w:fill="auto" w:color="auto" w:val="clear"/>
            <w:tcBorders>
              <w:top w:val="single" w:sz="4" w:color="auto"/>
            </w:tcBorders>
            <w:vMerge w:val="restart"/>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What is your average monthly income? (Gh¢)</w:t>
            </w:r>
          </w:p>
        </w:tc>
        <w:tc>
          <w:tcPr>
            <w:tcW w:w="2098" w:type="dxa"/>
            <w:shd w:fill="auto" w:color="auto" w:val="clear"/>
            <w:tcBorders>
              <w:top w:val="single" w:sz="4" w:color="auto"/>
            </w:tcBorders>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&lt;/416</w:t>
            </w:r>
          </w:p>
        </w:tc>
        <w:tc>
          <w:tcPr>
            <w:tcW w:w="1297" w:type="dxa"/>
            <w:shd w:fill="auto" w:color="auto" w:val="clear"/>
            <w:tcBorders>
              <w:top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240 (66.1%)</w:t>
            </w:r>
          </w:p>
        </w:tc>
        <w:tc>
          <w:tcPr>
            <w:tcW w:w="1210" w:type="dxa"/>
            <w:shd w:fill="auto" w:color="auto" w:val="clear"/>
            <w:tcBorders>
              <w:top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145 (70.0%)</w:t>
            </w:r>
          </w:p>
        </w:tc>
        <w:tc>
          <w:tcPr>
            <w:tcW w:w="1212" w:type="dxa"/>
            <w:shd w:fill="auto" w:color="auto" w:val="clear"/>
            <w:tcBorders>
              <w:top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95 (60.9%</w:t>
            </w:r>
          </w:p>
        </w:tc>
        <w:tc>
          <w:tcPr>
            <w:tcW w:w="851" w:type="dxa"/>
            <w:shd w:fill="auto" w:color="auto" w:val="clear"/>
            <w:tcBorders>
              <w:top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3.644</w:t>
            </w:r>
          </w:p>
        </w:tc>
        <w:tc>
          <w:tcPr>
            <w:tcW w:w="817" w:type="dxa"/>
            <w:shd w:fill="auto" w:color="auto" w:val="clear"/>
            <w:tcBorders>
              <w:top w:val="single" w:sz="4" w:color="auto"/>
            </w:tcBorders>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0.162</w:t>
            </w:r>
          </w:p>
        </w:tc>
      </w:tr>
      <w:tr>
        <w:trPr>
          <w:trHeight w:val="211"/>
        </w:trPr>
        <w:tc>
          <w:tcPr>
            <w:tcW w:w="1958" w:type="dxa"/>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417 to 2,458</w:t>
            </w:r>
          </w:p>
        </w:tc>
        <w:tc>
          <w:tcPr>
            <w:tcW w:w="1297" w:type="dxa"/>
            <w:shd w:fill="auto" w:color="auto" w:val="clear"/>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120 (33.1%)</w:t>
            </w:r>
          </w:p>
        </w:tc>
        <w:tc>
          <w:tcPr>
            <w:tcW w:w="1210" w:type="dxa"/>
            <w:shd w:fill="auto" w:color="auto" w:val="clear"/>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60 (29.0%)</w:t>
            </w:r>
          </w:p>
        </w:tc>
        <w:tc>
          <w:tcPr>
            <w:tcW w:w="1212" w:type="dxa"/>
            <w:shd w:fill="auto" w:color="auto" w:val="clear"/>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60 (38.5%)</w:t>
            </w:r>
          </w:p>
        </w:tc>
        <w:tc>
          <w:tcPr>
            <w:tcW w:w="851" w:type="dxa"/>
            <w:shd w:fill="auto" w:color="auto" w:val="clear"/>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r>
        <w:trPr>
          <w:trHeight w:val="211"/>
        </w:trPr>
        <w:tc>
          <w:tcPr>
            <w:tcW w:w="1958" w:type="dxa"/>
            <w:vMerge w:val="continue"/>
            <w:vAlign w:val="center"/>
          </w:tcPr>
          <w:p>
            <w:pPr>
              <w:spacing w:after="0" w:line="240" w:lineRule="auto"/>
              <w:rPr>
                <w:color w:val="000000"/>
                <w:rFonts w:hAnsi="Times New Roman" w:ascii="Times New Roman" w:eastAsia="Times New Roman" w:cs="Times New Roman"/>
                <w:sz w:val="18"/>
                <w:szCs w:val="18"/>
              </w:rPr>
            </w:pPr>
          </w:p>
        </w:tc>
        <w:tc>
          <w:tcPr>
            <w:tcW w:w="2098" w:type="dxa"/>
            <w:shd w:fill="auto" w:color="auto" w:val="clear"/>
          </w:tcPr>
          <w:p>
            <w:pPr>
              <w:spacing w:after="0" w:line="240" w:lineRule="auto"/>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2459 to 4,500</w:t>
            </w:r>
          </w:p>
        </w:tc>
        <w:tc>
          <w:tcPr>
            <w:tcW w:w="1297" w:type="dxa"/>
            <w:shd w:fill="auto" w:color="auto" w:val="clear"/>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3 (0.8%)</w:t>
            </w:r>
          </w:p>
        </w:tc>
        <w:tc>
          <w:tcPr>
            <w:tcW w:w="1210" w:type="dxa"/>
            <w:shd w:fill="auto" w:color="auto" w:val="clear"/>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2 (1.0%)</w:t>
            </w:r>
          </w:p>
        </w:tc>
        <w:tc>
          <w:tcPr>
            <w:tcW w:w="1212" w:type="dxa"/>
            <w:shd w:fill="auto" w:color="auto" w:val="clear"/>
          </w:tcPr>
          <w:p>
            <w:pPr>
              <w:spacing w:after="0" w:line="240" w:lineRule="auto"/>
              <w:jc w:val="right"/>
              <w:rPr>
                <w:color w:val="000000"/>
                <w:rFonts w:hAnsi="Times New Roman" w:ascii="Times New Roman" w:eastAsia="Times New Roman" w:cs="Times New Roman"/>
                <w:sz w:val="18"/>
                <w:szCs w:val="18"/>
              </w:rPr>
            </w:pPr>
            <w:r>
              <w:rPr>
                <w:color w:val="000000"/>
                <w:rFonts w:hAnsi="Times New Roman" w:ascii="Times New Roman" w:eastAsia="Times New Roman" w:cs="Times New Roman"/>
                <w:b w:val="0"/>
                <w:i w:val="0"/>
                <w:strike w:val="0"/>
                <w:dstrike w:val="0"/>
                <w:emboss w:val="0"/>
                <w:imprint w:val="0"/>
                <w:outline w:val="0"/>
                <w:shadow w:val="0"/>
                <w:sz w:val="18"/>
                <w:szCs w:val="18"/>
                <w:u w:val="none"/>
              </w:rPr>
              <w:t xml:space="preserve">1 (0.6%)</w:t>
            </w:r>
          </w:p>
        </w:tc>
        <w:tc>
          <w:tcPr>
            <w:tcW w:w="851" w:type="dxa"/>
            <w:shd w:fill="auto" w:color="auto" w:val="clear"/>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c>
          <w:tcPr>
            <w:tcW w:w="817" w:type="dxa"/>
            <w:shd w:fill="auto" w:color="auto" w:val="clear"/>
            <w:vAlign w:val="bottom"/>
          </w:tcPr>
          <w:p>
            <w:pPr>
              <w:spacing w:after="0" w:line="240" w:lineRule="auto"/>
              <w:rPr>
                <w:rFonts w:hAnsi="Times New Roman" w:ascii="Times New Roman" w:eastAsia="Times New Roman" w:cs="Times New Roman"/>
                <w:sz w:val="20"/>
                <w:szCs w:val="20"/>
              </w:rPr>
            </w:pPr>
            <w:r>
              <w:rPr>
                <w:rFonts w:hAnsi="Times New Roman" w:ascii="Times New Roman" w:eastAsia="Times New Roman" w:cs="Times New Roman"/>
                <w:b w:val="0"/>
                <w:i w:val="0"/>
                <w:strike w:val="0"/>
                <w:dstrike w:val="0"/>
                <w:emboss w:val="0"/>
                <w:imprint w:val="0"/>
                <w:outline w:val="0"/>
                <w:shadow w:val="0"/>
                <w:sz w:val="20"/>
                <w:szCs w:val="20"/>
                <w:u w:val="none"/>
              </w:rPr>
              <w:t xml:space="preserve"> </w:t>
            </w:r>
          </w:p>
        </w:tc>
      </w:tr>
    </w:tbl>
    <w:p>
      <w:pPr>
        <w:spacing w:line="480" w:lineRule="auto"/>
        <w:ind w:left="720"/>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Source: Field Survey (2023)</w:t>
      </w:r>
    </w:p>
    <w:p>
      <w:pPr>
        <w:spacing w:line="480" w:lineRule="auto"/>
        <w:ind w:left="720"/>
        <w:jc w:val="both"/>
        <w:rPr>
          <w:color w:val="000000"/>
          <w:rFonts w:hAnsi="Times New Roman" w:ascii="Times New Roman" w:eastAsia="Times New Roman" w:cs="Times New Roman"/>
          <w:bCs/>
          <w:sz w:val="24"/>
          <w:szCs w:val="18"/>
        </w:rPr>
      </w:pPr>
      <w:r>
        <w:rPr>
          <w:color w:val="000000"/>
          <w:rFonts w:hAnsi="Times New Roman" w:ascii="Times New Roman" w:eastAsia="Times New Roman" w:cs="Times New Roman"/>
          <w:b w:val="0"/>
          <w:bCs/>
          <w:i w:val="0"/>
          <w:strike w:val="0"/>
          <w:dstrike w:val="0"/>
          <w:emboss w:val="0"/>
          <w:imprint w:val="0"/>
          <w:outline w:val="0"/>
          <w:shadow w:val="0"/>
          <w:sz w:val="24"/>
          <w:szCs w:val="24"/>
          <w:u w:val="none"/>
        </w:rPr>
        <w:lastRenderedPageBreak/>
        <w:t xml:space="preserve">The results in Table 9 show that many (64.1%) of the female respondents compared to the male respondents (35.9%) had a positive Waste Disposal Practice (SWM). The results showed that residents’ gender had no statistically significant association with the practice of SWM (p-value&gt; 0.05). </w:t>
      </w:r>
    </w:p>
    <w:p>
      <w:pPr>
        <w:spacing w:line="480" w:lineRule="auto"/>
        <w:ind w:left="720"/>
        <w:jc w:val="both"/>
        <w:rPr>
          <w:color w:val="000000"/>
          <w:rFonts w:hAnsi="Times New Roman" w:ascii="Times New Roman" w:eastAsia="Times New Roman" w:cs="Times New Roman"/>
          <w:bCs/>
          <w:sz w:val="24"/>
          <w:szCs w:val="18"/>
        </w:rPr>
      </w:pPr>
      <w:r>
        <w:rPr>
          <w:color w:val="000000"/>
          <w:rFonts w:hAnsi="Times New Roman" w:ascii="Times New Roman" w:eastAsia="Times New Roman" w:cs="Times New Roman"/>
          <w:b w:val="0"/>
          <w:bCs/>
          <w:i w:val="0"/>
          <w:strike w:val="0"/>
          <w:dstrike w:val="0"/>
          <w:emboss w:val="0"/>
          <w:imprint w:val="0"/>
          <w:outline w:val="0"/>
          <w:shadow w:val="0"/>
          <w:sz w:val="24"/>
          <w:szCs w:val="24"/>
          <w:u w:val="none"/>
        </w:rPr>
        <w:t xml:space="preserve">In terms of age groups, the results show that a significant number (49.8%) of respondents aged 27–40 years had a negative practice of SWM compared to those aged 41–53 (32.9%), 54–67 years (14%), and 18–26 years (1.9%). %) and aged 68 to 80 years (1.4%). The results showed that respondents’ age group had no statistically significant association with the practice of SWM (p-value&gt; 0.05). </w:t>
      </w:r>
    </w:p>
    <w:p>
      <w:pPr>
        <w:spacing w:line="480" w:lineRule="auto"/>
        <w:ind w:left="720"/>
        <w:jc w:val="both"/>
        <w:rPr>
          <w:color w:val="000000"/>
          <w:rFonts w:hAnsi="Times New Roman" w:ascii="Times New Roman" w:eastAsia="Times New Roman" w:cs="Times New Roman"/>
          <w:bCs/>
          <w:sz w:val="24"/>
          <w:szCs w:val="18"/>
        </w:rPr>
      </w:pPr>
      <w:r>
        <w:rPr>
          <w:color w:val="000000"/>
          <w:rFonts w:hAnsi="Times New Roman" w:ascii="Times New Roman" w:eastAsia="Times New Roman" w:cs="Times New Roman"/>
          <w:b w:val="0"/>
          <w:bCs/>
          <w:i w:val="0"/>
          <w:strike w:val="0"/>
          <w:dstrike w:val="0"/>
          <w:emboss w:val="0"/>
          <w:imprint w:val="0"/>
          <w:outline w:val="0"/>
          <w:shadow w:val="0"/>
          <w:sz w:val="24"/>
          <w:szCs w:val="24"/>
          <w:u w:val="none"/>
        </w:rPr>
        <w:t xml:space="preserve">Regarding marital status, the majority (76.9%) of married respondents had positive SWM practices compared to those who were single (15.4%), separated (3.8%), widowed (1.9%), or divorced (1.9%). The study found that respondents' marital status had no statistical association with their practice of SWM (p-value &gt; 0.05). </w:t>
      </w:r>
    </w:p>
    <w:p>
      <w:pPr>
        <w:spacing w:line="480" w:lineRule="auto"/>
        <w:ind w:left="720"/>
        <w:jc w:val="both"/>
        <w:rPr>
          <w:color w:val="000000"/>
          <w:rFonts w:hAnsi="Times New Roman" w:ascii="Times New Roman" w:eastAsia="Times New Roman" w:cs="Times New Roman"/>
          <w:bCs/>
          <w:sz w:val="24"/>
          <w:szCs w:val="18"/>
        </w:rPr>
      </w:pPr>
      <w:r>
        <w:rPr>
          <w:color w:val="000000"/>
          <w:rFonts w:hAnsi="Times New Roman" w:ascii="Times New Roman" w:eastAsia="Times New Roman" w:cs="Times New Roman"/>
          <w:b w:val="0"/>
          <w:bCs/>
          <w:i w:val="0"/>
          <w:strike w:val="0"/>
          <w:dstrike w:val="0"/>
          <w:emboss w:val="0"/>
          <w:imprint w:val="0"/>
          <w:outline w:val="0"/>
          <w:shadow w:val="0"/>
          <w:sz w:val="24"/>
          <w:szCs w:val="24"/>
          <w:u w:val="none"/>
        </w:rPr>
        <w:t xml:space="preserve">Regarding the level of education, a little over half (55.1%) of respondents who had no formal education had negative practice of SWM compared to those who had SHS (16.9%), KG/primary education (7.7%), JHS (13%), university degree (6.3%), and others (1%) education qualification. The study showed that residents’ educational level had no statistically significant association with their practice of SWM (p-value&gt; 0.05).</w:t>
      </w:r>
    </w:p>
    <w:p>
      <w:pPr>
        <w:spacing w:line="480" w:lineRule="auto"/>
        <w:ind w:left="720"/>
        <w:jc w:val="both"/>
        <w:rPr>
          <w:color w:val="000000"/>
          <w:rFonts w:hAnsi="Times New Roman" w:ascii="Times New Roman" w:eastAsia="Times New Roman" w:cs="Times New Roman"/>
          <w:bCs/>
          <w:sz w:val="24"/>
          <w:szCs w:val="18"/>
        </w:rPr>
      </w:pPr>
      <w:r>
        <w:rPr>
          <w:color w:val="000000"/>
          <w:rFonts w:hAnsi="Times New Roman" w:ascii="Times New Roman" w:eastAsia="Times New Roman" w:cs="Times New Roman"/>
          <w:b w:val="0"/>
          <w:bCs/>
          <w:i w:val="0"/>
          <w:strike w:val="0"/>
          <w:dstrike w:val="0"/>
          <w:emboss w:val="0"/>
          <w:imprint w:val="0"/>
          <w:outline w:val="0"/>
          <w:shadow w:val="0"/>
          <w:sz w:val="24"/>
          <w:szCs w:val="24"/>
          <w:u w:val="none"/>
        </w:rPr>
        <w:t xml:space="preserve">In terms of the length of time respondents lived in the community, the study found that many (63.3%) of those aged 1-16 living in the community had a negative practice of SWM, compared to those aged 17-32 years (22.2%), 33–33 years (12.6%), 49–64 years (1%), and 63–80 years (1%). The analysis showed that the time that respondents lived in the community had no statistically significant association with their practice of SWM (p-value&gt; 0.05). </w:t>
      </w:r>
    </w:p>
    <w:p>
      <w:pPr>
        <w:spacing w:line="480" w:lineRule="auto"/>
        <w:ind w:left="720"/>
        <w:jc w:val="both"/>
        <w:rPr>
          <w:color w:val="000000"/>
          <w:rFonts w:hAnsi="Times New Roman" w:ascii="Times New Roman" w:eastAsia="Times New Roman" w:cs="Times New Roman"/>
          <w:bCs/>
          <w:sz w:val="24"/>
          <w:szCs w:val="18"/>
        </w:rPr>
      </w:pPr>
      <w:r>
        <w:rPr>
          <w:color w:val="000000"/>
          <w:rFonts w:hAnsi="Times New Roman" w:ascii="Times New Roman" w:eastAsia="Times New Roman" w:cs="Times New Roman"/>
          <w:b w:val="0"/>
          <w:bCs/>
          <w:i w:val="0"/>
          <w:strike w:val="0"/>
          <w:dstrike w:val="0"/>
          <w:emboss w:val="0"/>
          <w:imprint w:val="0"/>
          <w:outline w:val="0"/>
          <w:shadow w:val="0"/>
          <w:sz w:val="24"/>
          <w:szCs w:val="24"/>
          <w:u w:val="none"/>
        </w:rPr>
        <w:t xml:space="preserve">On the number of children living in the household, many (65.4%) of respondents with 1 to 3 children living in the household practice SWM positively, compared those with 4 to 6 children living in the household (30.8%) and 7 to 9 children living in the household (3.8%). Statistically, the results showed that the number of children living in a household was not significantly associated with the practice of SWM (p-value&gt; 0.05). </w:t>
      </w:r>
    </w:p>
    <w:p>
      <w:pPr>
        <w:spacing w:line="480" w:lineRule="auto"/>
        <w:ind w:left="720"/>
        <w:jc w:val="both"/>
        <w:rPr>
          <w:color w:val="000000"/>
          <w:rFonts w:hAnsi="Times New Roman" w:ascii="Times New Roman" w:eastAsia="Times New Roman" w:cs="Times New Roman"/>
          <w:bCs/>
          <w:sz w:val="24"/>
          <w:szCs w:val="18"/>
        </w:rPr>
      </w:pPr>
      <w:r>
        <w:rPr>
          <w:color w:val="000000"/>
          <w:rFonts w:hAnsi="Times New Roman" w:ascii="Times New Roman" w:eastAsia="Times New Roman" w:cs="Times New Roman"/>
          <w:b w:val="0"/>
          <w:bCs/>
          <w:i w:val="0"/>
          <w:strike w:val="0"/>
          <w:dstrike w:val="0"/>
          <w:emboss w:val="0"/>
          <w:imprint w:val="0"/>
          <w:outline w:val="0"/>
          <w:shadow w:val="0"/>
          <w:sz w:val="24"/>
          <w:szCs w:val="24"/>
          <w:u w:val="none"/>
        </w:rPr>
        <w:t xml:space="preserve">With regard to the number of people living in the household, many (64.7%) of those with households of 1 to 6 people had positive practice of SWM, compared to those with 7 to 9 people (31.4%), 10 to 13 people (2.6%), and 14 and 16 people (1.3%). The results showed that the number of people living in a household was not significantly associated with their SWM practice (p-value&gt; 0.05). </w:t>
      </w:r>
    </w:p>
    <w:p>
      <w:pPr>
        <w:spacing w:line="480" w:lineRule="auto"/>
        <w:ind w:left="720"/>
        <w:jc w:val="both"/>
        <w:rPr>
          <w:color w:val="000000"/>
          <w:rFonts w:hAnsi="Times New Roman" w:ascii="Times New Roman" w:eastAsia="Times New Roman" w:cs="Times New Roman"/>
          <w:bCs/>
          <w:sz w:val="24"/>
          <w:szCs w:val="18"/>
        </w:rPr>
      </w:pPr>
      <w:r>
        <w:rPr>
          <w:color w:val="000000"/>
          <w:rFonts w:hAnsi="Times New Roman" w:ascii="Times New Roman" w:eastAsia="Times New Roman" w:cs="Times New Roman"/>
          <w:b w:val="0"/>
          <w:bCs/>
          <w:i w:val="0"/>
          <w:strike w:val="0"/>
          <w:dstrike w:val="0"/>
          <w:emboss w:val="0"/>
          <w:imprint w:val="0"/>
          <w:outline w:val="0"/>
          <w:shadow w:val="0"/>
          <w:sz w:val="24"/>
          <w:szCs w:val="24"/>
          <w:u w:val="none"/>
        </w:rPr>
        <w:t xml:space="preserve">Regarding respondents’ occupations, the study found that a little over a quarter (27.6%) of respondents working in retail had positive practices of SWM compared to those who were self-employed/entrepreneurs (23.1%), teachers (16%), farmers (13.5%), non-employed (7.1%), employees in the private sector (7.1%), employees in the public sector (1.9%), and others (3.8%). The study showed that residents’ occupations had no significant association with the practice of SWM (p-value &gt; 0.05). </w:t>
      </w:r>
    </w:p>
    <w:p>
      <w:pPr>
        <w:spacing w:line="480" w:lineRule="auto"/>
        <w:ind w:left="720"/>
        <w:jc w:val="both"/>
        <w:rPr>
          <w:color w:val="000000"/>
          <w:rFonts w:hAnsi="Arial Bold" w:ascii="Arial Bold" w:eastAsia="Times New Roman" w:cs="Arial"/>
          <w:bCs/>
          <w:sz w:val="18"/>
          <w:szCs w:val="18"/>
        </w:rPr>
      </w:pPr>
      <w:r>
        <w:rPr>
          <w:color w:val="000000"/>
          <w:rFonts w:hAnsi="Times New Roman" w:ascii="Times New Roman" w:eastAsia="Times New Roman" w:cs="Times New Roman"/>
          <w:b w:val="0"/>
          <w:bCs/>
          <w:i w:val="0"/>
          <w:strike w:val="0"/>
          <w:dstrike w:val="0"/>
          <w:emboss w:val="0"/>
          <w:imprint w:val="0"/>
          <w:outline w:val="0"/>
          <w:shadow w:val="0"/>
          <w:sz w:val="24"/>
          <w:szCs w:val="24"/>
          <w:u w:val="none"/>
        </w:rPr>
        <w:t xml:space="preserve">In relation to the average monthly income of the respondents, the results show that the majority (70%) of respondents who earned Gh¢416 had negative SWM practices, compared to those who earned between Gh¢417 and Gh¢2,458 (29%), and Gh¢2,459 and Gh¢4,500 (1%) per month. Statistically, the results showed that respondents' average monthly income had no significant association with their practice of SWM (p-value&gt; 0.05).</w:t>
      </w:r>
    </w:p>
    <w:p>
      <w:pPr>
        <w:pStyle w:val="Heading2"/>
        <w:spacing w:line="480" w:lineRule="auto"/>
        <w:ind w:left="720"/>
        <w:rPr>
          <w:color w:val="000000"/>
          <w:szCs w:val="24"/>
        </w:rPr>
      </w:pPr>
      <w:bookmarkStart w:id="95" w:name="_Toc147923086"/>
      <w:r>
        <w:rPr>
          <w:rFonts w:ascii="Times New Roman" w:eastAsia="Calibri"/>
          <w:b/>
          <w:i w:val="0"/>
          <w:strike w:val="0"/>
          <w:dstrike w:val="0"/>
          <w:emboss w:val="0"/>
          <w:imprint w:val="0"/>
          <w:outline w:val="0"/>
          <w:shadow w:val="0"/>
          <w:sz w:val="24"/>
          <w:szCs w:val="24"/>
          <w:u w:val="none"/>
        </w:rPr>
        <w:t xml:space="preserve">4.6 The Relationship between Residents’ </w:t>
      </w:r>
      <w:r>
        <w:rPr>
          <w:color w:val="000000"/>
          <w:rFonts w:ascii="Times New Roman"/>
          <w:b/>
          <w:i w:val="0"/>
          <w:strike w:val="0"/>
          <w:dstrike w:val="0"/>
          <w:emboss w:val="0"/>
          <w:imprint w:val="0"/>
          <w:outline w:val="0"/>
          <w:shadow w:val="0"/>
          <w:sz w:val="24"/>
          <w:szCs w:val="24"/>
          <w:u w:val="none"/>
        </w:rPr>
        <w:t xml:space="preserve">Knowledge, Attitude and Practice</w:t>
      </w:r>
      <w:bookmarkEnd w:id="95"/>
    </w:p>
    <w:p>
      <w:r>
        <w:rPr>
          <w:rFonts w:hAnsi="Times New Roman" w:ascii="Times New Roman" w:eastAsia="Calibri" w:cs="Times New Roman"/>
          <w:b/>
          <w:i w:val="0"/>
          <w:strike w:val="0"/>
          <w:dstrike w:val="0"/>
          <w:emboss w:val="0"/>
          <w:imprint w:val="0"/>
          <w:outline w:val="0"/>
          <w:shadow w:val="0"/>
          <w:sz w:val="24"/>
          <w:szCs w:val="24"/>
          <w:u w:val="none"/>
        </w:rPr>
        <w:t xml:space="preserve">                   of SWM</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The purpose of this section is to establish a relationship between residents’ knowledge, attitudes, and SWM practices. Pearson’s correlation test with a 95% confidence interval was used to determine the significance of the relationship (Table 10).</w:t>
      </w:r>
    </w:p>
    <w:p>
      <w:pPr>
        <w:pStyle w:val="Caption"/>
        <w:ind w:left="720"/>
        <w:rPr>
          <w:color w:val="auto"/>
          <w:rFonts w:hAnsi="Times New Roman" w:ascii="Times New Roman" w:cs="Times New Roman"/>
          <w:b/>
          <w:bCs/>
          <w:i w:val="0"/>
          <w:sz w:val="24"/>
          <w:szCs w:val="24"/>
        </w:rPr>
      </w:pPr>
      <w:bookmarkStart w:id="96" w:name="_Toc147923111"/>
      <w:r>
        <w:rPr>
          <w:color w:val="auto"/>
          <w:rFonts w:hAnsi="Times New Roman" w:ascii="Times New Roman" w:cs="Times New Roman"/>
          <w:b/>
          <w:bCs/>
          <w:i w:val="0"/>
          <w:strike w:val="0"/>
          <w:dstrike w:val="0"/>
          <w:emboss w:val="0"/>
          <w:imprint w:val="0"/>
          <w:outline w:val="0"/>
          <w:shadow w:val="0"/>
          <w:sz w:val="24"/>
          <w:szCs w:val="24"/>
          <w:u w:val="none"/>
        </w:rPr>
        <w:t xml:space="preserve">Table </w:t>
      </w:r>
      <w:r>
        <w:rPr>
          <w:color w:val="auto"/>
          <w:rFonts w:hAnsi="Times New Roman" w:ascii="Times New Roman" w:cs="Times New Roman"/>
          <w:b/>
          <w:bCs/>
          <w:i w:val="0"/>
          <w:sz w:val="24"/>
          <w:szCs w:val="24"/>
        </w:rPr>
        <w:fldChar w:fldCharType="begin"/>
      </w:r>
      <w:r>
        <w:rPr>
          <w:color w:val="auto"/>
          <w:rFonts w:hAnsi="Times New Roman" w:ascii="Times New Roman" w:cs="Times New Roman"/>
          <w:b/>
          <w:bCs/>
          <w:i w:val="0"/>
          <w:sz w:val="24"/>
          <w:szCs w:val="24"/>
        </w:rPr>
        <w:instrText xml:space="preserve"> SEQ Table \* ARABIC </w:instrText>
      </w:r>
      <w:r>
        <w:rPr>
          <w:color w:val="auto"/>
          <w:rFonts w:hAnsi="Times New Roman" w:ascii="Times New Roman" w:cs="Times New Roman"/>
          <w:b/>
          <w:bCs/>
          <w:i w:val="0"/>
          <w:sz w:val="24"/>
          <w:szCs w:val="24"/>
        </w:rPr>
        <w:fldChar w:fldCharType="separate"/>
      </w:r>
      <w:r>
        <w:rPr>
          <w:color w:val="auto"/>
          <w:rFonts w:hAnsi="Times New Roman" w:ascii="Times New Roman" w:cs="Times New Roman"/>
          <w:b/>
          <w:bCs/>
          <w:i w:val="0"/>
          <w:strike w:val="0"/>
          <w:dstrike w:val="0"/>
          <w:emboss w:val="0"/>
          <w:imprint w:val="0"/>
          <w:outline w:val="0"/>
          <w:shadow w:val="0"/>
          <w:sz w:val="24"/>
          <w:szCs w:val="24"/>
          <w:u w:val="none"/>
        </w:rPr>
        <w:t xml:space="preserve">10</w:t>
      </w:r>
      <w:r>
        <w:rPr>
          <w:color w:val="auto"/>
          <w:rFonts w:hAnsi="Times New Roman" w:ascii="Times New Roman" w:cs="Times New Roman"/>
          <w:b/>
          <w:bCs/>
          <w:i w:val="0"/>
          <w:sz w:val="24"/>
          <w:szCs w:val="24"/>
        </w:rPr>
        <w:fldChar w:fldCharType="end"/>
      </w:r>
      <w:r>
        <w:rPr>
          <w:color w:val="auto"/>
          <w:rFonts w:hAnsi="Times New Roman" w:ascii="Times New Roman" w:cs="Times New Roman"/>
          <w:b/>
          <w:bCs/>
          <w:i w:val="0"/>
          <w:strike w:val="0"/>
          <w:dstrike w:val="0"/>
          <w:emboss w:val="0"/>
          <w:imprint w:val="0"/>
          <w:outline w:val="0"/>
          <w:shadow w:val="0"/>
          <w:sz w:val="24"/>
          <w:szCs w:val="24"/>
          <w:u w:val="none"/>
        </w:rPr>
        <w:t xml:space="preserve">: Relationship between Residents Knowledge, Attitude and Practice of</w:t>
      </w:r>
      <w:bookmarkEnd w:id="96"/>
    </w:p>
    <w:p>
      <w:pPr>
        <w:pStyle w:val="Caption"/>
        <w:ind w:left="720"/>
        <w:rPr>
          <w:color w:val="auto"/>
          <w:rFonts w:hAnsi="Times New Roman" w:ascii="Times New Roman" w:cs="Times New Roman"/>
          <w:b/>
          <w:bCs/>
          <w:i w:val="0"/>
          <w:sz w:val="24"/>
          <w:szCs w:val="24"/>
        </w:rPr>
      </w:pPr>
      <w:r>
        <w:rPr>
          <w:color w:val="auto"/>
          <w:rFonts w:hAnsi="Times New Roman" w:ascii="Times New Roman" w:cs="Times New Roman"/>
          <w:b/>
          <w:bCs/>
          <w:i w:val="0"/>
          <w:strike w:val="0"/>
          <w:dstrike w:val="0"/>
          <w:emboss w:val="0"/>
          <w:imprint w:val="0"/>
          <w:outline w:val="0"/>
          <w:shadow w:val="0"/>
          <w:sz w:val="24"/>
          <w:szCs w:val="24"/>
          <w:u w:val="none"/>
        </w:rPr>
        <w:t xml:space="preserve">                 SWM</w:t>
      </w:r>
    </w:p>
    <w:tbl>
      <w:tblPr>
        <w:tblW w:w="9090" w:type="dxa"/>
        <w:tblInd w:w="705" w:type="dxa"/>
        <w:tblBorders>
          <w:top w:val="single" w:sz="4" w:color="auto"/>
          <w:bottom w:val="single" w:sz="4" w:color="auto"/>
        </w:tblBorders>
        <w:tblLook w:val="04A0"/>
      </w:tblPr>
      <w:tblGrid>
        <w:gridCol w:w="2430"/>
        <w:gridCol w:w="2340"/>
        <w:gridCol w:w="2160"/>
        <w:gridCol w:w="2160"/>
      </w:tblGrid>
      <w:tr>
        <w:trPr>
          <w:trHeight w:val="349"/>
        </w:trPr>
        <w:tc>
          <w:tcPr>
            <w:tcW w:w="2430" w:type="dxa"/>
            <w:shd w:fill="auto" w:color="auto" w:val="clear"/>
            <w:tcBorders>
              <w:top w:val="single" w:sz="4" w:color="auto"/>
              <w:bottom w:val="single" w:sz="4" w:color="auto"/>
            </w:tcBorders>
            <w:vAlign w:val="center"/>
          </w:tcPr>
          <w:p>
            <w:pPr>
              <w:spacing w:after="0" w:line="240" w:lineRule="auto"/>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 Variables</w:t>
            </w:r>
          </w:p>
        </w:tc>
        <w:tc>
          <w:tcPr>
            <w:tcW w:w="2340" w:type="dxa"/>
            <w:shd w:fill="auto" w:color="auto" w:val="clear"/>
            <w:tcBorders>
              <w:top w:val="single" w:sz="4" w:color="auto"/>
              <w:bottom w:val="single" w:sz="4" w:color="auto"/>
            </w:tcBorders>
            <w:vAlign w:val="center"/>
          </w:tcPr>
          <w:p>
            <w:pPr>
              <w:rPr>
                <w:color w:val="000000"/>
                <w:rFonts w:hAnsi="Times New Roman" w:ascii="Times New Roman" w:eastAsia="Calibri" w:cs="Times New Roman"/>
                <w:b/>
                <w:bCs/>
                <w:sz w:val="24"/>
                <w:szCs w:val="24"/>
              </w:rPr>
            </w:pPr>
            <w:r>
              <w:rPr>
                <w:color w:val="000000"/>
                <w:rFonts w:hAnsi="Times New Roman" w:ascii="Times New Roman" w:eastAsia="Calibri" w:cs="Times New Roman"/>
                <w:b/>
                <w:bCs/>
                <w:i w:val="0"/>
                <w:strike w:val="0"/>
                <w:dstrike w:val="0"/>
                <w:emboss w:val="0"/>
                <w:imprint w:val="0"/>
                <w:outline w:val="0"/>
                <w:shadow w:val="0"/>
                <w:sz w:val="24"/>
                <w:szCs w:val="24"/>
                <w:u w:val="none"/>
              </w:rPr>
              <w:t xml:space="preserve">Knowledge</w:t>
            </w:r>
          </w:p>
        </w:tc>
        <w:tc>
          <w:tcPr>
            <w:tcW w:w="2160" w:type="dxa"/>
            <w:shd w:fill="auto" w:color="auto" w:val="clear"/>
            <w:tcBorders>
              <w:top w:val="single" w:sz="4" w:color="auto"/>
              <w:bottom w:val="single" w:sz="4" w:color="auto"/>
            </w:tcBorders>
            <w:vAlign w:val="center"/>
          </w:tcPr>
          <w:p>
            <w:pPr>
              <w:spacing w:after="0" w:line="240" w:lineRule="auto"/>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Attitude</w:t>
            </w:r>
          </w:p>
        </w:tc>
        <w:tc>
          <w:tcPr>
            <w:tcW w:w="2160" w:type="dxa"/>
            <w:shd w:fill="auto" w:color="auto" w:val="clear"/>
            <w:tcBorders>
              <w:top w:val="single" w:sz="4" w:color="auto"/>
              <w:bottom w:val="single" w:sz="4" w:color="auto"/>
            </w:tcBorders>
            <w:vAlign w:val="center"/>
          </w:tcPr>
          <w:p>
            <w:pPr>
              <w:spacing w:after="0" w:line="240" w:lineRule="auto"/>
              <w:rPr>
                <w:color w:val="000000"/>
                <w:rFonts w:hAnsi="Times New Roman" w:ascii="Times New Roman" w:eastAsia="Times New Roman" w:cs="Times New Roman"/>
                <w:b/>
                <w:bCs/>
                <w:sz w:val="24"/>
                <w:szCs w:val="24"/>
              </w:rPr>
            </w:pPr>
            <w:r>
              <w:rPr>
                <w:color w:val="000000"/>
                <w:rFonts w:hAnsi="Times New Roman" w:ascii="Times New Roman" w:eastAsia="Times New Roman" w:cs="Times New Roman"/>
                <w:b/>
                <w:bCs/>
                <w:i w:val="0"/>
                <w:strike w:val="0"/>
                <w:dstrike w:val="0"/>
                <w:emboss w:val="0"/>
                <w:imprint w:val="0"/>
                <w:outline w:val="0"/>
                <w:shadow w:val="0"/>
                <w:sz w:val="24"/>
                <w:szCs w:val="24"/>
                <w:u w:val="none"/>
              </w:rPr>
              <w:t xml:space="preserve">Practice</w:t>
            </w:r>
          </w:p>
        </w:tc>
      </w:tr>
      <w:tr>
        <w:trPr>
          <w:trHeight w:val="300"/>
        </w:trPr>
        <w:tc>
          <w:tcPr>
            <w:tcW w:w="2430" w:type="dxa"/>
            <w:shd w:fill="auto" w:color="auto" w:val="clear"/>
            <w:tcBorders>
              <w:top w:val="single" w:sz="4" w:color="auto"/>
            </w:tcBorders>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Knowledge</w:t>
            </w:r>
          </w:p>
        </w:tc>
        <w:tc>
          <w:tcPr>
            <w:tcW w:w="2340" w:type="dxa"/>
            <w:shd w:fill="auto" w:color="auto" w:val="clear"/>
            <w:tcBorders>
              <w:top w:val="single" w:sz="4" w:color="auto"/>
            </w:tcBorders>
          </w:tcPr>
          <w:p>
            <w:pPr>
              <w:jc w:val="right"/>
              <w:rPr>
                <w:color w:val="000000"/>
                <w:rFonts w:hAnsi="Times New Roman" w:ascii="Times New Roman" w:eastAsia="Calibri" w:cs="Times New Roman"/>
                <w:sz w:val="24"/>
                <w:szCs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1</w:t>
            </w:r>
          </w:p>
        </w:tc>
        <w:tc>
          <w:tcPr>
            <w:tcW w:w="2160" w:type="dxa"/>
            <w:shd w:fill="auto" w:color="auto" w:val="clear"/>
            <w:tcBorders>
              <w:top w:val="single" w:sz="4" w:color="auto"/>
            </w:tcBorders>
          </w:tcPr>
          <w:p>
            <w:pPr>
              <w:spacing w:after="0" w:line="240" w:lineRule="auto"/>
              <w:jc w:val="right"/>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0.357</w:t>
            </w:r>
            <w:r>
              <w:rPr>
                <w:color w:val="000000"/>
                <w:rFonts w:hAnsi="Times New Roman" w:ascii="Times New Roman" w:eastAsia="Times New Roman" w:cs="Times New Roman"/>
                <w:b w:val="0"/>
                <w:i w:val="0"/>
                <w:strike w:val="0"/>
                <w:dstrike w:val="0"/>
                <w:emboss w:val="0"/>
                <w:imprint w:val="0"/>
                <w:outline w:val="0"/>
                <w:shadow w:val="0"/>
                <w:sz w:val="24"/>
                <w:szCs w:val="24"/>
                <w:u w:val="none"/>
                <w:vertAlign w:val="superscript"/>
              </w:rPr>
              <w:t xml:space="preserve">**</w:t>
            </w: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 (0.000)</w:t>
            </w:r>
          </w:p>
        </w:tc>
        <w:tc>
          <w:tcPr>
            <w:tcW w:w="2160" w:type="dxa"/>
            <w:shd w:fill="auto" w:color="auto" w:val="clear"/>
            <w:tcBorders>
              <w:top w:val="single" w:sz="4" w:color="auto"/>
            </w:tcBorders>
          </w:tcPr>
          <w:p>
            <w:pPr>
              <w:spacing w:after="0" w:line="240" w:lineRule="auto"/>
              <w:jc w:val="right"/>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0.133</w:t>
            </w:r>
            <w:r>
              <w:rPr>
                <w:color w:val="000000"/>
                <w:rFonts w:hAnsi="Times New Roman" w:ascii="Times New Roman" w:eastAsia="Times New Roman" w:cs="Times New Roman"/>
                <w:b w:val="0"/>
                <w:i w:val="0"/>
                <w:strike w:val="0"/>
                <w:dstrike w:val="0"/>
                <w:emboss w:val="0"/>
                <w:imprint w:val="0"/>
                <w:outline w:val="0"/>
                <w:shadow w:val="0"/>
                <w:sz w:val="24"/>
                <w:szCs w:val="24"/>
                <w:u w:val="none"/>
                <w:vertAlign w:val="superscript"/>
              </w:rPr>
              <w:t xml:space="preserve">* </w:t>
            </w: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(0.011)</w:t>
            </w:r>
          </w:p>
        </w:tc>
      </w:tr>
      <w:tr>
        <w:trPr>
          <w:trHeight w:val="300"/>
        </w:trPr>
        <w:tc>
          <w:tcPr>
            <w:tcW w:w="2430" w:type="dxa"/>
            <w:shd w:fill="auto" w:color="auto" w:val="clear"/>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Attitude</w:t>
            </w:r>
          </w:p>
        </w:tc>
        <w:tc>
          <w:tcPr>
            <w:tcW w:w="2340" w:type="dxa"/>
            <w:shd w:fill="auto" w:color="auto" w:val="clear"/>
          </w:tcPr>
          <w:p>
            <w:pPr>
              <w:jc w:val="right"/>
              <w:rPr>
                <w:color w:val="000000"/>
                <w:rFonts w:hAnsi="Times New Roman" w:ascii="Times New Roman" w:eastAsia="Calibri" w:cs="Times New Roman"/>
                <w:sz w:val="24"/>
                <w:szCs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0.357</w:t>
            </w:r>
            <w:r>
              <w:rPr>
                <w:color w:val="000000"/>
                <w:rFonts w:hAnsi="Times New Roman" w:ascii="Times New Roman" w:eastAsia="Calibri" w:cs="Times New Roman"/>
                <w:b w:val="0"/>
                <w:i w:val="0"/>
                <w:strike w:val="0"/>
                <w:dstrike w:val="0"/>
                <w:emboss w:val="0"/>
                <w:imprint w:val="0"/>
                <w:outline w:val="0"/>
                <w:shadow w:val="0"/>
                <w:sz w:val="24"/>
                <w:szCs w:val="24"/>
                <w:u w:val="none"/>
                <w:vertAlign w:val="superscript"/>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(0.000)</w:t>
            </w:r>
          </w:p>
        </w:tc>
        <w:tc>
          <w:tcPr>
            <w:tcW w:w="2160" w:type="dxa"/>
            <w:shd w:fill="auto" w:color="auto" w:val="clear"/>
          </w:tcPr>
          <w:p>
            <w:pPr>
              <w:spacing w:after="0" w:line="240" w:lineRule="auto"/>
              <w:jc w:val="right"/>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w:t>
            </w:r>
          </w:p>
        </w:tc>
        <w:tc>
          <w:tcPr>
            <w:tcW w:w="2160" w:type="dxa"/>
            <w:shd w:fill="auto" w:color="auto" w:val="clear"/>
          </w:tcPr>
          <w:p>
            <w:pPr>
              <w:spacing w:after="0" w:line="240" w:lineRule="auto"/>
              <w:jc w:val="right"/>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0.093 (0.078)</w:t>
            </w:r>
          </w:p>
        </w:tc>
      </w:tr>
      <w:tr>
        <w:trPr>
          <w:trHeight w:val="300"/>
        </w:trPr>
        <w:tc>
          <w:tcPr>
            <w:tcW w:w="2430" w:type="dxa"/>
            <w:shd w:fill="auto" w:color="auto" w:val="clear"/>
          </w:tcPr>
          <w:p>
            <w:pPr>
              <w:spacing w:after="0" w:line="240" w:lineRule="auto"/>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Practice</w:t>
            </w:r>
          </w:p>
        </w:tc>
        <w:tc>
          <w:tcPr>
            <w:tcW w:w="2340" w:type="dxa"/>
            <w:shd w:fill="auto" w:color="auto" w:val="clear"/>
          </w:tcPr>
          <w:p>
            <w:pPr>
              <w:jc w:val="right"/>
              <w:rPr>
                <w:color w:val="000000"/>
                <w:rFonts w:hAnsi="Times New Roman" w:ascii="Times New Roman" w:eastAsia="Calibri" w:cs="Times New Roman"/>
                <w:sz w:val="24"/>
                <w:szCs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0.133</w:t>
            </w:r>
            <w:r>
              <w:rPr>
                <w:color w:val="000000"/>
                <w:rFonts w:hAnsi="Times New Roman" w:ascii="Times New Roman" w:eastAsia="Calibri" w:cs="Times New Roman"/>
                <w:b w:val="0"/>
                <w:i w:val="0"/>
                <w:strike w:val="0"/>
                <w:dstrike w:val="0"/>
                <w:emboss w:val="0"/>
                <w:imprint w:val="0"/>
                <w:outline w:val="0"/>
                <w:shadow w:val="0"/>
                <w:sz w:val="24"/>
                <w:szCs w:val="24"/>
                <w:u w:val="none"/>
                <w:vertAlign w:val="superscript"/>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(.011)</w:t>
            </w:r>
          </w:p>
        </w:tc>
        <w:tc>
          <w:tcPr>
            <w:tcW w:w="2160" w:type="dxa"/>
            <w:shd w:fill="auto" w:color="auto" w:val="clear"/>
          </w:tcPr>
          <w:p>
            <w:pPr>
              <w:spacing w:after="0" w:line="240" w:lineRule="auto"/>
              <w:jc w:val="right"/>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0.093 (0.078)</w:t>
            </w:r>
          </w:p>
        </w:tc>
        <w:tc>
          <w:tcPr>
            <w:tcW w:w="2160" w:type="dxa"/>
            <w:shd w:fill="auto" w:color="auto" w:val="clear"/>
          </w:tcPr>
          <w:p>
            <w:pPr>
              <w:spacing w:after="0" w:line="240" w:lineRule="auto"/>
              <w:jc w:val="right"/>
              <w:rPr>
                <w:color w:val="000000"/>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1</w:t>
            </w:r>
          </w:p>
        </w:tc>
      </w:tr>
    </w:tbl>
    <w:p>
      <w:pPr>
        <w:ind w:left="720"/>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Correlation is significant at the 0.01 level (2-tailed).</w:t>
        <w:tab/>
        <w:tab/>
        <w:tab/>
        <w:tab/>
      </w:r>
    </w:p>
    <w:p>
      <w:pPr>
        <w:ind w:left="720"/>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Correlation is significant at the 0.05 level (2-tailed).</w:t>
      </w:r>
    </w:p>
    <w:p>
      <w:pPr>
        <w:ind w:left="720"/>
        <w:rPr>
          <w:rFonts w:hAnsi="Calibri" w:ascii="Calibri" w:eastAsia="Calibri" w:cs="Times New Roman"/>
        </w:rPr>
      </w:pP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results in Table 10 show that respondents' knowledge of SWM had a weak positive association with their attitudes towards SWM (coefficient = 0.357, p-value = 0.000) and practice of SWM (coefficient = 0.133, p-value = 0.011). The results suggest that residents' knowledge of SWM increases their likelihood of attitude towards SWM by 12.74% and practice of SWM by 1.77% at the 95% confidence level. The study also found that residents’ attitudes towards SWM were less positively related to their SWM practices (coefficient = 0.093, p</w:t>
        <w:t xml:space="preserve">-value = 0.078). The result also implies that residents' attitudes towards SWM increase their likelihood of practising SWM by 0.9% at the 95% confidence level, which is not significant. Therefore, this study confirmed that there is a linear relationship between residents’ knowledge, attitudes, and practices of SWM in the Mangu community. </w:t>
      </w:r>
    </w:p>
    <w:p>
      <w:pPr>
        <w:pStyle w:val="Heading2"/>
        <w:spacing w:line="480" w:lineRule="auto"/>
        <w:ind w:left="720"/>
        <w:rPr>
          <w:rFonts w:eastAsia="Calibri"/>
        </w:rPr>
      </w:pPr>
      <w:bookmarkStart w:id="97" w:name="_Toc147923087"/>
      <w:r>
        <w:rPr>
          <w:rFonts w:ascii="Times New Roman" w:eastAsia="Calibri"/>
          <w:b/>
          <w:i w:val="0"/>
          <w:strike w:val="0"/>
          <w:dstrike w:val="0"/>
          <w:emboss w:val="0"/>
          <w:imprint w:val="0"/>
          <w:outline w:val="0"/>
          <w:shadow w:val="0"/>
          <w:sz w:val="24"/>
          <w:szCs w:val="24"/>
          <w:u w:val="none"/>
        </w:rPr>
        <w:t xml:space="preserve">4.7 Discussion of findings</w:t>
      </w:r>
      <w:bookmarkEnd w:id="97"/>
    </w:p>
    <w:p>
      <w:pPr>
        <w:spacing w:line="480" w:lineRule="auto"/>
        <w:ind w:left="720"/>
        <w:jc w:val="both"/>
        <w:rPr>
          <w:rFonts w:hAnsi="Times New Roman" w:ascii="Times New Roman" w:eastAsia="Calibri" w:cs="Times New Roman"/>
          <w:bCs/>
          <w:sz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The purpose of this study was to answer the following research objectives: knowledge, attitudes, and practices of residents regarding solid waste disposal in the Mangu community. The study adapted its theoretical rationale from the KAP model, which suggests that there is a linear relationship between knowledge, attitude, and practice in a given behavioural study. Therefore, this study compiled its results to answer the research questions posed in the first chapter.</w:t>
      </w:r>
    </w:p>
    <w:p>
      <w:pPr>
        <w:pStyle w:val="Heading2"/>
        <w:spacing w:line="480" w:lineRule="auto"/>
        <w:ind w:left="720"/>
        <w:rPr>
          <w:rFonts w:eastAsia="Calibri"/>
        </w:rPr>
      </w:pPr>
      <w:bookmarkStart w:id="98" w:name="_Toc147923088"/>
      <w:r>
        <w:rPr>
          <w:rFonts w:ascii="Times New Roman" w:eastAsia="Calibri"/>
          <w:b/>
          <w:i w:val="0"/>
          <w:strike w:val="0"/>
          <w:dstrike w:val="0"/>
          <w:emboss w:val="0"/>
          <w:imprint w:val="0"/>
          <w:outline w:val="0"/>
          <w:shadow w:val="0"/>
          <w:sz w:val="24"/>
          <w:szCs w:val="24"/>
          <w:u w:val="none"/>
        </w:rPr>
        <w:t xml:space="preserve">4.7.1 Knowledge of Solid Waste Management (SWM)</w:t>
      </w:r>
      <w:bookmarkEnd w:id="98"/>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The first research question was what is residents’ knowledge of solid waste management? The results show that just over half of the residents had good knowledge of solid waste management (SWM). This finding resonates with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-1","issue":"2","issued":{"date-parts":[["2018"]]},"page":"123-131","title":"Knowledge , attitude and practice of municipal solid waste management among highland residents in","type":"article-journal","volume":"32"},"uris":["http://www.mendeley.com/documents/?uuid=04e8b346-feaf-4fc3-8334-624a7ca0d29c"]}],"mendeley":{"formattedCitation":"(Laor et al., 2018)","manualFormatting":"Laor et al. (2018)","plainTextFormattedCitation":"(Laor et al., 2018)","previouslyFormattedCitation":"(Laor et al., 2018)"},"properties":{"noteIndex":0},"schema":"https://github.com/citation-style-language/schema/raw/master/csl-citation.json"}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Laor et al. (2018)</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who discovered a high knowledge of solid waste management among residentsin Northern Thailand.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{"citationItems":[{"id":"ITEM-1","itemData":{"DOI":"10.1016/j.resconrec.2018.10.017","ISSN":"18790658","abstract":"The present study was conducted with the aim of surveying the knowledge, attitude and practice (KAP) of 1750 females from Kermanshah city in Iran on separation and reduction in source, recycling, harmful effects of solid waste mismanagement on the environment and human health. Also, the relationship between the demographic characteristics of individuals (age, occupation, education, family size, and marital status) and solid waste management was evaluated. The results indicated that Kermanshahi women had satisfactory levels for knowledge (79%) and attitude (86%) on solid waste management. However, 77% of the people showed a poor performance. The present study revealed that females with academic education and public employment as well as young females had a greater KAP, while they had less satisfaction with the waste collection systems. The women's practice showed that 48.33% had received waste management training on TV, 24% as face-to-face, 32.21% by brochures, 2.66% through newspapers, and 1.99 via radio. Also, 83% of females emphasized the role of internet in raising their knowledge and attitude. According to this study, increasing the participation, education, raising the knowledge of individuals, providing appropriate facilities and equipment and implementing coordinated coherent programs of recycling by the governmental and private sectors played a very important role in solid waste management. With more emphasis on educational aspects, especially through municipalities and by creating participatory and encouraging programs among the families and the municipality, it is possible to improve the practice of citizens by improving their knowledge, while taking effective steps for promoting this environmental activity.","author":[{"dropping-particle":"","family":"Almasi","given":"Ali","non-dropping-particle":"","parse-names":false,"suffix":""},{"dropping-particle":"","family":"Mohammadi","given":"Mitra","non-dropping-particle":"","parse-names":false,"suffix":""},{"dropping-particle":"","family":"Azizi","given":"Ali","non-dropping-particle":"","parse-names":false,"suffix":""},{"dropping-particle":"","family":"Berizi","given":"Zohreh","non-dropping-particle":"","parse-names":false,"suffix":""},{"dropping-particle":"","family":"Shamsi","given":"Khadije","non-dropping-particle":"","parse-names":false,"suffix":""},{"dropping-particle":"","family":"Shahbazi","given":"Ali","non-dropping-particle":"","parse-names":false,"suffix":""},{"dropping-particle":"","family":"Mosavi","given":"Seyyed Alireza","non-dropping-particle":"","parse-names":false,"suffix":""}],"container-title":"Resources, Conservation and Recycling","id":"ITEM-1","issue":"October 2018","issued":{"date-parts":[["2019"]]},"page":"329-338","publisher":"Elsevier","title":"Assessing the knowledge, attitude and practice of the kermanshahi women towards reducing, recycling and reusing of municipal solid waste","type":"article-journal","volume":"141"},"uris":["http://www.mendeley.com/documents/?uuid=c3436ea4-4ddc-4385-9359-0641d66b0895"]}],"mendeley":{"formattedCitation":"(Almasi et al., 2019)","manualFormatting":"Almasi et al. (2019)","plainTextFormattedCitation":"(Almasi et al., 2019)","previouslyFormattedCitation":"(Almasi et al., 2019)"},"properties":{"noteIndex":0},"schema":"https://github.com/citation-style-language/schema/raw/master/csl-citation.json"}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Almasi et al. (2019)</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found that Kermanshahi women had satisfactory levels of knowledge regarding solid waste management. It has also been discovered by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{"citationItems":[{"id":"ITEM-1","itemData":{"DOI":"10.1371/journal.pone.0278181","ISBN":"1111111111","ISSN":"19326203","PMID":"36763645","abstract":"Improper solid waste management in urban and semi-urban cities of developing countries is the source of environmental pollution and public health concern. This study aimed to assess the households’ knowledge, attitudes and practices of solid waste management and associated factors in Gelemso town. A community-based cross-sectional study design was used to assess the households’ KAP of SWM in Gelemso town. A systematic random sampling technique was used to recruit 390 households from Gelemso town and data was collected using a structured questionnaire. Data analysis was carried out using SPSS version 22.0 software. Bivariate and multivariate analyses were used to predict the improper SWM practices. From 390 households included in the study, 61.3% of them were females. Generally, most households had correct knowledge and positive attitudes towards SWM but poor practice was observed in the study area. About 96% of the households considered solid waste as a source of environmental pollution and close to 92% of them replied that solid waste can be used for compost preparation. Majority (87.4%) of the households “strongly agreed” about the potential risk associated with improper solid waste disposal and nearly 80% of them also “strongly agreed” that proper SWM is crucial to create a healthy environment in the community. Nearly 80% had practiced improper SWM. Logistic regression analyses indicated that lack of experience in sorting solid waste, ways of removal, knowledge about reduce, reuse and recycle, absence of adequate solid waste landfills, and lack of door-to-door waste collections services were identified as the major contributing factors for the improper SWM practice in Gelemso town. In conclusion, the majority of the households had practiced improper SWM, such as disposing of solid waste in the backyard, along the roadsides, in gully and burned. These malpractices can significantly affect the environment and public health of the residents.","author":[{"dropping-particle":"","family":"Eshete","given":"Hailu","non-dropping-particle":"","parse-names":false,"suffix":""},{"dropping-particle":"","family":"Desalegn","given":"Asnake","non-dropping-particle":"","parse-names":false,"suffix":""},{"dropping-particle":"","family":"Tigu","given":"Fitsum","non-dropping-particle":"","parse-names":false,"suffix":""}],"container-title":"PLoS ONE","id":"ITEM-1","issue":"2 February","issued":{"date-parts":[["2023"]]},"page":"1-13","title":"Knowledge, attitudes and practices on household solid waste management and associated factors in Gelemso town, Ethiopia","type":"article-journal","volume":"18"},"uris":["http://www.mendeley.com/documents/?uuid=e20f8a83-ea78-4c32-a3b3-913ba607efbc"]}],"mendeley":{"formattedCitation":"(Eshete et al., 2023)","manualFormatting":"Eshete et al. (2023)","plainTextFormattedCitation":"(Eshete et al., 2023)","previouslyFormattedCitation":"(Eshete et al., 2023)"},"properties":{"noteIndex":0},"schema":"https://github.com/citation-style-language/schema/raw/master/csl-citation.json"}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Eshete et al. (2023)</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that most residents in Gelemso town have correct knowledge of solid-waste management. In contrast,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{"citationItems":[{"id":"ITEM-1","itemData":{"DOI":"10.1186/s12889-019-7551-1","ISSN":"14712458","PMID":"31510950","abstract":"Background: Improper solid waste management (SWM) is a major public health and environmental concern in the urban areas of many developing countries such as Asella Town. The aim of this study was to assess the status of SWM in Asella town. Methods: A community-based cross-sectional study design was used to assess the status of improper SWM and associated factors in Asella town. From the total of eight kebeles (smallest administrative unit in Ethiopia) four kebeles were randomly selected using lottery method. The sample size was 413 households. The households were proportionally allocated to each randomly selected kebeles. The data was collected by pretested questionnaire in the local language. Data was entered using statistical software Epi Info version seven and transferred to SPSS version 21. Descriptive data analysis was done to summarize the socioeconomic status of the respondents. Chi-square was used to show the association between the status of solid waste management and different variables. Binary logistic regression was used to determine the potential factors for improper SWM. Result: 332 (82.8%), had improper solid waste management practice. Lack of adequate knowledge about solid waste management and not having access to door to door solid waste collection could have contributed to the reported improper solid waste practice. Participants who didn't have access to door to door solid waste collection service were about three times more likely to practice improper solid waste management when compared to those who had access (AOR = 2.873, 95 CI (1.565,5.273) P = 0.001). Conclusion: The study finding showed that, the majority of the residents practiced improper solid waste management. Lack of adequate knowledge about solid waste management and not having access to door to door solid waste collection could have contributed to the reported improper solid waste practice. Therefore, there is a need to enhance the awareness of the community about proper SWM and to improve the door to door solid waste collection service by the town municipality.","author":[{"dropping-particle":"","family":"Lema","given":"Gorfnesh","non-dropping-particle":"","parse-names":false,"suffix":""},{"dropping-particle":"","family":"Mesfun","given":"Million Getachew","non-dropping-particle":"","parse-names":false,"suffix":""},{"dropping-particle":"","family":"Eshete","given":"Amade","non-dropping-particle":"","parse-names":false,"suffix":""},{"dropping-particle":"","family":"Abdeta","given":"Gizachew","non-dropping-particle":"","parse-names":false,"suffix":""}],"container-title":"BMC Public Health","id":"ITEM-1","issue":"1","issued":{"date-parts":[["2019"]]},"page":"1-7","publisher":"BMC Public Health","title":"Assessment of status of solid waste management in Asella town, Ethiopia","type":"article-journal","volume":"19"},"uris":["http://www.mendeley.com/documents/?uuid=de0f4630-31a1-41e4-99b0-5b7b1e090ff3"]}],"mendeley":{"formattedCitation":"(Lema et al., 2019)","manualFormatting":"Lema et al. (2019)","plainTextFormattedCitation":"(Lema et al., 2019)","previouslyFormattedCitation":"(Lema et al., 2019)"},"properties":{"noteIndex":0},"schema":"https://github.com/citation-style-language/schema/raw/master/csl-citation.json"}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Lema et al. (2019)</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found inadequate knowledge among residents of Asella town, Ethiopia, regarding solid waste management. This is similar to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{"citationItems":[{"id":"ITEM-1","itemData":{"DOI":"10.33828/sei.v28.i2.7","abstract":"This study focused on assessment of colleges of education students' knowledge and attitudes towards solid waste management in the North-Central zone of Nigeria. The cross-sectional survey design was adopted. A Students' Knowledge and Attitudes towards Solid Waste Management Questionnaire was used to collect data from 1,800 students. The findings indicated that the students had a low knowledge level of solid waste management but their attitudes towards it were positive. A significant relationship was found between students' knowledge and their attitudes towards solid waste management. Furthermore, gender was shown not to have any significant influence on knowledge and attitudes of students towards solid waste management. It was concluded that although students had low knowledge of solid waste management, their attitudes towards it were positive. It was recommended that environmental education issues, especially, solid waste management should be incorporated into colleges of education curricula and properly taught for in-depth knowledge acquisition.","author":[{"dropping-particle":"","family":"Dung","given":"Mohammed Dauda","non-dropping-particle":"","parse-names":false,"suffix":""},{"dropping-particle":"","family":"Mankilik","given":"Mangut","non-dropping-particle":"","parse-names":false,"suffix":""},{"dropping-particle":"","family":"Ozoji","given":"Bernadette Ebele","non-dropping-particle":"","parse-names":false,"suffix":""}],"container-title":"Science Education International","id":"ITEM-1","issue":"2","issued":{"date-parts":[["2017"]]},"page":"141-146","title":"Assessment of College Students' Knowledge and Attitudes Towards Solid Waste Management in North Central Zone of Nigeria","type":"article-journal","volume":"28"},"uris":["http://www.mendeley.com/documents/?uuid=b0181a31-7175-4aa9-bcd3-892380594187"]}],"mendeley":{"formattedCitation":"(Dung et al., 2017)","manualFormatting":"Dung et al. (2017)","plainTextFormattedCitation":"(Dung et al., 2017)","previouslyFormattedCitation":"(Dung et al., 2017)"},"properties":{"noteIndex":0},"schema":"https://github.com/citation-style-language/schema/raw/master/csl-citation.json"}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Dung et al. (2017)</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who established that students in the North-central zone of Nigeria have little knowledge of solid waste management. In relation to the Theory of Planned Behaviour (TPB), the finding that more than half of the residents have good knowledge of solid waste management is a positive indicator. The TPB suggests that knowledge plays a key role in shaping individuals' attitudes and intentions towards a particular behaviour. In this case, having good knowledge of solid waste management can positively influence residents' attitudes</w:t>
        <w:t xml:space="preserve"> towards proper solid waste disposal and their intention to engage in responsible solid waste management practices; however, the TPB suggests that lack or inadequate knowledge among residents on solid waste management can negatively influence residents’ attitudes towards proper SWM practices. In addition, finding good knowledge of solid waste management among more than half of the residents has implications for policy. This suggests that educational campaigns and initiatives aimed at raising awareness of solid waste management have been effective in disseminating knowledge among the population. This provides a foundation for policymakers to build upon and reinforce the importance of continued efforts to promote responsible waste-disposal practices. However, it is important to note that having knowledge alone does not guarantee behavioural change. Other factors such as convenience, accessibility of waste management infrastructure, and cost-effectiveness can also impact individuals' actual waste management behaviours. Therefore, in addition to knowledge dissemination, policymakers must consider practical solutions and incentives that facilitate and reinforce responsible waste management practices in the community.</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Regarding the source of residents’ good knowledge about SWM, the study found that more of the residents had knowledge of SWM from traditional media (radio). Similarly,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{"citationItems":[{"id":"ITEM-1","itemData":{"DOI":"10.1016/j.resconrec.2018.10.017","ISSN":"18790658","abstract":"The present study was conducted with the aim of surveying the knowledge, attitude and practice (KAP) of 1750 females from Kermanshah city in Iran on separation and reduction in source, recycling, harmful effects of solid waste mismanagement on the environment and human health. Also, the relationship between the demographic characteristics of individuals (age, occupation, education, family size, and marital status) and solid waste management was evaluated. The results indicated that Kermanshahi women had satisfactory levels for knowledge (79%) and attitude (86%) on solid waste management. However, 77% of the people showed a poor performance. The present study revealed that females with academic education and public employment as well as young females had a greater KAP, while they had less satisfaction with the waste collection systems. The women's practice showed that 48.33% had received waste management training on TV, 24% as face-to-face, 32.21% by brochures, 2.66% through newspapers, and 1.99 via radio. Also, 83% of females emphasized the role of internet in raising their knowledge and attitude. According to this study, increasing the participation, education, raising the knowledge of individuals, providing appropriate facilities and equipment and implementing coordinated coherent programs of recycling by the governmental and private sectors played a very important role in solid waste management. With more emphasis on educational aspects, especially through municipalities and by creating participatory and encouraging programs among the families and the municipality, it is possible to improve the practice of citizens by improving their knowledge, while taking effective steps for promoting this environmental activity.","author":[{"dropping-particle":"","family":"Almasi","given":"Ali","non-dropping-particle":"","parse-names":false,"suffix":""},{"dropping-particle":"","family":"Mohammadi","given":"Mitra","non-dropping-particle":"","parse-names":false,"suffix":""},{"dropping-particle":"","family":"Azizi","given":"Ali","non-dropping-particle":"","parse-names":false,"suffix":""},{"dropping-particle":"","family":"Berizi","given":"Zohreh","non-dropping-particle":"","parse-names":false,"suffix":""},{"dropping-particle":"","family":"Shamsi","given":"Khadije","non-dropping-particle":"","parse-names":false,"suffix":""},{"dropping-particle":"","family":"Shahbazi","given":"Ali","non-dropping-particle":"","parse-names":false,"suffix":""},{"dropping-particle":"","family":"Mosavi","given":"Seyyed Alireza","non-dropping-particle":"","parse-names":false,"suffix":""}],"container-title":"Resources, Conservation and Recycling","id":"ITEM-1","issue":"October 2018","issued":{"date-parts":[["2019"]]},"page":"329-338","publisher":"Elsevier","title":"Assessing the knowledge, attitude and practice of the kermanshahi women towards reducing, recycling and reusing of municipal solid waste","type":"article-journal","volume":"141"},"uris":["http://www.mendeley.com/documents/?uuid=c3436ea4-4ddc-4385-9359-0641d66b0895"]}],"mendeley":{"formattedCitation":"(Almasi et al., 2019)","manualFormatting":"Almasi et al. (2019)","plainTextFormattedCitation":"(Almasi et al., 2019)","previouslyFormattedCitation":"(Almasi et al., 2019)"},"properties":{"noteIndex":0},"schema":"https://github.com/citation-style-language/schema/raw/master/csl-citation.json"}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Almasi et al. (2019)</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found that women received waste management training on TV face-to-face, brochures, newspapers, and radio.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-1","issue":"2","issued":{"date-parts":[["2018"]]},"page":"123-131","title":"Knowledge , attitude and practice of municipal solid waste management among highland residents in","type":"article-journal","volume":"32"},"uris":["http://www.mendeley.com/documents/?uuid=04e8b346-feaf-4fc3-8334-624a7ca0d29c"]}],"mendeley":{"formattedCitation":"(Laor et al., 2018)","manualFormatting":"Laor et al. (2018)","plainTextFormattedCitation":"(Laor et al., 2018)","previouslyFormattedCitation":"(Laor et al., 2018)"},"properties":{"noteIndex":0},"schema":"https://github.com/citation-style-language/schema/raw/master/csl-citation.json"}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Laor et al. (2018)</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established that respondents obtain information on solid waste management through community radio and local newspapers.</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lastRenderedPageBreak/>
        <w:t xml:space="preserve">With regard to the association between residents' socio-demographics and knowledge of SWM, the study found that their occupation had a statistically significant association with their knowledge of SWM. Datta et al., (2021) reported similar finding that occupation and socio-demographics were significant associated with knowledge of respondents’ solid waste management. In contrast, Teshome et al. (2022) discovered a statistically insignificant association between residents’ occupation and knowledge of solid waste management practices in Kebridehar City, Somali. However, the results showed that gender, age group, marital status, length of stay in the community, number of children and people living in the household, and income of the residents were not significantly associated with their knowledge of SWM. A study by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{"citationItems":[{"id":"ITEM-1","itemData":{"DOI":"10.33828/sei.v28.i2.7","abstract":"This study focused on assessment of colleges of education students' knowledge and attitudes towards solid waste management in the North-Central zone of Nigeria. The cross-sectional survey design was adopted. A Students' Knowledge and Attitudes towards Solid Waste Management Questionnaire was used to collect data from 1,800 students. The findings indicated that the students had a low knowledge level of solid waste management but their attitudes towards it were positive. A significant relationship was found between students' knowledge and their attitudes towards solid waste management. Furthermore, gender was shown not to have any significant influence on knowledge and attitudes of students towards solid waste management. It was concluded that although students had low knowledge of solid waste management, their attitudes towards it were positive. It was recommended that environmental education issues, especially, solid waste management should be incorporated into colleges of education curricula and properly taught for in-depth knowledge acquisition.","author":[{"dropping-particle":"","family":"Dung","given":"Mohammed Dauda","non-dropping-particle":"","parse-names":false,"suffix":""},{"dropping-particle":"","family":"Mankilik","given":"Mangut","non-dropping-particle":"","parse-names":false,"suffix":""},{"dropping-particle":"","family":"Ozoji","given":"Bernadette Ebele","non-dropping-particle":"","parse-names":false,"suffix":""}],"container-title":"Science Education International","id":"ITEM-1","issue":"2","issued":{"date-parts":[["2017"]]},"page":"141-146","title":"Assessment of College Students' Knowledge and Attitudes Towards Solid Waste Management in North Central Zone of Nigeria","type":"article-journal","volume":"28"},"uris":["http://www.mendeley.com/documents/?uuid=b0181a31-7175-4aa9-bcd3-892380594187"]}],"mendeley":{"formattedCitation":"(Dung et al., 2017)","manualFormatting":"Dung et al. (2017)","plainTextFormattedCitation":"(Dung et al., 2017)","previouslyFormattedCitation":"(Dung et al., 2017)"},"properties":{"noteIndex":0},"schema":"https://github.com/citation-style-language/schema/raw/master/csl-citation.json"}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Dung et al. (2017)</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found that gender had no significant influence on students’ knowledge of solid waste management in the north-central zone of Nigeria.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{"citationItems":[{"id":"ITEM-1","itemData":{"abstract":"One hundred village residents of San Lorenzo South in Sta. Rosa City,\\nLaguna were surveyed to determine their knowledge, attitudes and\\npractices (KAP) on solid waste management, their preferred information\\nsources and feedback system. Premised on the Theory of Reasoned Action\\nby Fishbein and Azjen (1975) and behavior change models, the study\\ndetermined the relationship of the independent variables (age, gender,\\neducation, income) with the dependent variables (knowledge, attitude,\\npractice or KAP) and between KAP as variables using the Pearson's\\ncorrelation test. Relationships were tested at 0.1 and 0.5 levels of\\nsignificance. One way ANOVA was used to test the significance of the\\nmeans and t-test for independent means as post hoc test.\\nMajority of the respondents were middle aged, female, college graduates,\\nand earned zero to low-income. Their knowledge was positively related to\\neducation, income and age; attitude was positively related to education\\nand income; knowledge was the only variable correlated to practice.\\nOther factors were found to make people act.\\nEffective interpersonal communication channels for village-level SWM\\nwere barangay officials, government workers, homeowners' association\\nofficials, or seminars/trainings. For media, cable television channels\\nmust be explored. Various development communication strategies were\\ndrawn for SOW campaigns to sustain favorable behavior.","author":[{"dropping-particle":"V","family":"Tatlonghari","given":"Rosario","non-dropping-particle":"","parse-names":false,"suffix":""},{"dropping-particle":"","family":"Jamias","given":"Serlie B","non-dropping-particle":"","parse-names":false,"suffix":""}],"id":"ITEM-1","issue":"December 2005","issued":{"date-parts":[["2010"]]},"page":"35-51","title":"Village-Level Knowledge , Attitudes and Practices on Solid Waste Management in Sta . Rosa City , Laguna , Philippines","type":"article-journal","volume":"13"},"uris":["http://www.mendeley.com/documents/?uuid=c0b4d96b-1547-4e33-9fa9-efd303454f86"]}],"mendeley":{"formattedCitation":"(Tatlonghari &amp; Jamias, 2010)","manualFormatting":"Tatlonghari and Jamias (2010)","plainTextFormattedCitation":"(Tatlonghari &amp; Jamias, 2010)","previouslyFormattedCitation":"(Tatlonghari &amp; Jamias, 2010)"},"properties":{"noteIndex":0},"schema":"https://github.com/citation-style-language/schema/raw/master/csl-citation.json"}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Tatlonghari and Jamias (2010)</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found that knowledge was positively related to the education, income, and age of residents regarding solid waste management at St. Rosa City, Philippines. </w:t>
      </w:r>
    </w:p>
    <w:p>
      <w:pPr>
        <w:pStyle w:val="Heading2"/>
        <w:spacing w:line="480" w:lineRule="auto"/>
        <w:ind w:left="720"/>
        <w:rPr>
          <w:rFonts w:eastAsia="Calibri"/>
        </w:rPr>
      </w:pPr>
      <w:bookmarkStart w:id="99" w:name="_Toc147923089"/>
      <w:r>
        <w:rPr>
          <w:rFonts w:ascii="Times New Roman" w:eastAsia="Calibri"/>
          <w:b/>
          <w:i w:val="0"/>
          <w:strike w:val="0"/>
          <w:dstrike w:val="0"/>
          <w:emboss w:val="0"/>
          <w:imprint w:val="0"/>
          <w:outline w:val="0"/>
          <w:shadow w:val="0"/>
          <w:sz w:val="24"/>
          <w:szCs w:val="24"/>
          <w:u w:val="none"/>
        </w:rPr>
        <w:t xml:space="preserve">4.7.2 Attitude on Solid Waste Management (SWM)</w:t>
      </w:r>
      <w:bookmarkEnd w:id="99"/>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Regarding the second research question, what are the attitudes of residents towards SWM in the study area? This study found that many residents had positive attitudes towards SWM compared to those who showed negative attitudes. Similarly,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{"citationItems":[{"id":"ITEM-1","itemData":{"DOI":"10.33828/sei.v28.i2.7","abstract":"This study focused on assessment of colleges of education students' knowledge and attitudes towards solid waste management in the North-Central zone of Nigeria. The cross-sectional survey design was adopted. A Students' Knowledge and Attitudes towards Solid Waste Management Questionnaire was used to collect data from 1,800 students. The findings indicated that the students had a low knowledge level of solid waste management but their attitudes towards it were positive. A significant relationship was found between students' knowledge and their attitudes towards solid waste management. Furthermore, gender was shown not to have any significant influence on knowledge and attitudes of students towards solid waste management. It was concluded that although students had low knowledge of solid waste management, their attitudes towards it were positive. It was recommended that environmental education issues, especially, solid waste management should be incorporated into colleges of education curricula and properly taught for in-depth knowledge acquisition.","author":[{"dropping-particle":"","family":"Dung","given":"Mohammed Dauda","non-dropping-particle":"","parse-names":false,"suffix":""},{"dropping-particle":"","family":"Mankilik","given":"Mangut","non-dropping-particle":"","parse-names":false,"suffix":""},{"dropping-particle":"","family":"Ozoji","given":"Bernadette Ebele","non-dropping-particle":"","parse-names":false,"suffix":""}],"container-title":"Science Education International","id":"ITEM-1","issue":"2","issued":{"date-parts":[["2017"]]},"page":"141-146","title":"Assessment of College Students' Knowledge and Attitudes Towards Solid Waste Management in North Central Zone of Nigeria","type":"article-journal","volume":"28"},"uris":["http://www.mendeley.com/documents/?uuid=b0181a31-7175-4aa9-bcd3-892380594187"]}],"mendeley":{"formattedCitation":"(Dung et al., 2017)","manualFormatting":"Dung et al. (2017)","plainTextFormattedCitation":"(Dung et al., 2017)","previouslyFormattedCitation":"(Dung et al., 2017)"},"properties":{"noteIndex":0},"schema":"https://github.com/citation-style-language/schema/raw/master/csl-citation.json"}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Dung et al. (2017)</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found that students in the North-central zone of Nigeria had positive attitudes toward solid waste management. In addition,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{"citationItems":[{"id":"ITEM-1","itemData":{"DOI":"10.1016/j.resconrec.2018.10.017","ISSN":"18790658","abstract":"The present study was conducted with the aim of surveying the knowledge, attitude and practice (KAP) of 1750 females from Kermanshah city in Iran on separation and reduction in source, recycling, harmful effects of solid waste mismanagement on the environment and human health. Also, the relationship between the demographic characteristics of individuals (age, occupation, education, family size, and marital status) and solid waste management was evaluated. The results indicated that Kermanshahi women had satisfactory levels for knowledge (79%) and attitude (86%) on solid waste management. However, 77% of the people showed a poor performance. The present study revealed that females with academic education and public employment as well as young females had a greater KAP, while they had less satisfaction with the waste collection systems. The women's practice showed that 48.33% had received waste management training on TV, 24% as face-to-face, 32.21% by brochures, 2.66% through newspapers, and 1.99 via radio. Also, 83% of females emphasized the role of internet in raising their knowledge and attitude. According to this study, increasing the participation, education, raising the knowledge of individuals, providing appropriate facilities and equipment and implementing coordinated coherent programs of recycling by the governmental and private sectors played a very important role in solid waste management. With more emphasis on educational aspects, especially through municipalities and by creating participatory and encouraging programs among the families and the municipality, it is possible to improve the practice of citizens by improving their knowledge, while taking effective steps for promoting this environmental activity.","author":[{"dropping-particle":"","family":"Almasi","given":"Ali","non-dropping-particle":"","parse-names":false,"suffix":""},{"dropping-particle":"","family":"Mohammadi","given":"Mitra","non-dropping-particle":"","parse-names":false,"suffix":""},{"dropping-particle":"","family":"Azizi","given":"Ali","non-dropping-particle":"","parse-names":false,"suffix":""},{"dropping-particle":"","family":"Berizi","given":"Zohreh","non-dropping-particle":"","parse-names":false,"suffix":""},{"dropping-particle":"","family":"Shamsi","given":"Khadije","non-dropping-particle":"","parse-names":false,"suffix":""},{"dropping-particle":"","family":"Shahbazi","given":"Ali","non-dropping-particle":"","parse-names":false,"suffix":""},{"dropping-particle":"","family":"Mosavi","given":"Seyyed Alireza","non-dropping-particle":"","parse-names":false,"suffix":""}],"container-title":"Resources, Conservation and Recycling","id":"ITEM-1","issue":"October 2018","issued":{"date-parts":[["2019"]]},"page":"329-338","publisher":"Elsevier","title":"Assessing the knowledge, attitude and practice of the kermanshahi women towards reducing, recycling and reusing of municipal solid waste","type":"article-journal","volume":"141"},"uris":["http://www.mendeley.com/documents/?uuid=c3436ea4-4ddc-4385-9359-0641d66b0895"]}],"mendeley":{"formattedCitation":"(Almasi et al., 2019)","manualFormatting":"Almasi et al. (2019)","plainTextFormattedCitation":"(Almasi et al., 2019)","previouslyFormattedCitation":"(Almasi et al., 2019)"},"properties":{"noteIndex":0},"schema":"https://github.com/citation-style-language/schema/raw/master/csl-citation.json"}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Almasi et al. (2019)</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found that Kermanshahi women have satisfactory attitudes toward solid waste management.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{"citationItems":[{"id":"ITEM-1","itemData":{"DOI":"10.1371/journal.pone.0278181","ISBN":"1111111111","ISSN":"19326203","PMID":"36763645","abstract":"Improper solid waste management in urban and semi-urban cities of developing countries is the source of environmental pollution and public health concern. This study aimed to assess the households’ knowledge, attitudes and practices of solid waste management and associated factors in Gelemso town. A community-based cross-sectional study design was used to assess the households’ KAP of SWM in Gelemso town. A systematic random sampling technique was used to recruit 390 households from Gelemso town and data was collected using a structured questionnaire. Data analysis was carried out using SPSS version 22.0 software. Bivariate and multivariate analyses were used to predict the improper SWM practices. From 390 households included in the study, 61.3% of them were females. Generally, most households had correct knowledge and positive attitudes towards SWM but poor practice was observed in the study area. About 96% of the households considered solid waste as a source of environmental pollution and close to 92% of them replied that solid waste can be used for compost preparation. Majority (87.4%) of the households “strongly agreed” about the potential risk associated with improper solid waste disposal and nearly 80% of them also “strongly agreed” that proper SWM is crucial to create a healthy environment in the community. Nearly 80% had practiced improper SWM. Logistic regression analyses indicated that lack of experience in sorting solid waste, ways of removal, knowledge about reduce, reuse and recycle, absence of adequate solid waste landfills, and lack of door-to-door waste collections services were identified as the major contributing factors for the improper SWM practice in Gelemso town. In conclusion, the majority of the households had practiced improper SWM, such as disposing of solid waste in the backyard, along the roadsides, in gully and burned. These malpractices can significantly affect the environment and public health of the residents.","author":[{"dropping-particle":"","family":"Eshete","given":"Hailu","non-dropping-particle":"","parse-names":false,"suffix":""},{"dropping-particle":"","family":"Desalegn","given":"Asnake","non-dropping-particle":"","parse-names":false,"suffix":""},{"dropping-particle":"","family":"Tigu","given":"Fitsum","non-dropping-particle":"","parse-names":false,"suffix":""}],"container-title":"PLoS ONE","id":"ITEM-1","issue":"2 February","issued":{"date-parts":[["2023"]]},"page":"1-13","title":"Knowledge, attitudes and practices on household solid waste management and associated factors in Gelemso town, Ethiopia","type":"article-journal","volume":"18"},"uris":["http://www.mendeley.com/documents/?uuid=e20f8a83-ea78-4c32-a3b3-913ba607efbc"]}],"mendeley":{"formattedCitation":"(Eshete et al., 2023)","manualFormatting":"Eshete et al. (2023)","plainTextFormattedCitation":"(Eshete et al., 2023)","previouslyFormattedCitation":"(Eshete et al., 2023)"},"properties":{"noteIndex":0},"schema":"https://github.com/citation-style-language/schema/raw/master/csl-citation.json"}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Eshete et al. (2023)</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discovered that most residents of Gelemso Town have a positive attitude towards solid waste management.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-1","issue":"2","issued":{"date-parts":[["2018"]]},"page":"123-131","title":"Knowledge , attitude and practice of municipal solid waste management among highland residents in","type":"article-journal","volume":"32"},"uris":["http://www.mendeley.com/documents/?uuid=04e8b346-feaf-4fc3-8334-624a7ca0d29c"]}],"mendeley":{"formattedCitation":"(Laor et al., 2018)","manualFormatting":"Laor et al. (2018)","plainTextFormattedCitation":"(Laor et al., 2018)","previouslyFormattedCitation":"(Laor et al., 2018)"},"properties":{"noteIndex":0},"schema":"https://github.com/citation-style-language/schema/raw/master/csl-citation.json"}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Laor et al. (2018)</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discovered that respondents had a neutral attitude towards solid waste management in Northern Thailand. However, </w:t>
      </w:r>
      <w:r>
        <w:rPr>
          <w:rFonts w:hAnsi="Times New Roman" w:ascii="Times New Roman" w:eastAsia="Calibri" w:cs="Times New Roman"/>
          <w:sz w:val="24"/>
        </w:rPr>
        <w:fldChar w:fldCharType="begin"/>
      </w:r>
      <w:r>
        <w:rPr>
          <w:rFonts w:hAnsi="Times New Roman" w:ascii="Times New Roman" w:eastAsia="Calibri" w:cs="Times New Roman"/>
          <w:sz w:val="24"/>
        </w:rPr>
        <w:instrText xml:space="preserve">ADDIN CSL_CITATION {"citationItems":[{"id":"ITEM-1","itemData":{"ISBN":"9788490225370","abstract":"This study departs from the reality of gender relations within the family institution which has to be dikhotomis, causing the pole inequality relations between men and women. Therefore, in this study wanted to dismantle the detail view of some theories, both social and feminist about gender relations in the family. Each of these theories (structural functional, conflict and feminist) has their own viewpoint about the pattern of gender relations in the family. However, simultaneously acknowledging that the social construction of culture remained significant influence on the division of roles are played by men (husbands) and women (wife) in the family institution. This means that the social construction of culture was instrumental in the creation of relations contribute between men and women equally or otherwise occurred inequality.","author":[{"dropping-particle":"","family":"Muiruri","given":"Joseph Mbiro","non-dropping-particle":"","parse-names":false,"suffix":""}],"container-title":"Braz Dent J.","id":"ITEM-1","issue":"1","issued":{"date-parts":[["2022"]]},"number-of-pages":"1-12","publisher":"University of Nairobi","title":"ASSESSMENT OF RESIDENTS’ KNOWLEDGE, ATTITUDE AND PRACTICES ON SOLID WASTE MANAGEMENT IN EASTLEIGH SOUTH WARD, NAIROBI, KENYA","type":"thesis","volume":"33"},"uris":["http://www.mendeley.com/documents/?uuid=94c8539a-5423-4f60-844a-da9488199fac"]}],"mendeley":{"formattedCitation":"(Muiruri, 2022)","manualFormatting":"Muiruri (2022)","plainTextFormattedCitation":"(Muiruri, 2022)","previouslyFormattedCitation":"(Muiruri, 2022)"},"properties":{"noteIndex":0},"schema":"https://github.com/citation-style-language/schema/raw/master/csl-citation.json"}</w:instrText>
      </w:r>
      <w:r>
        <w:rPr>
          <w:rFonts w:hAnsi="Times New Roman" w:ascii="Times New Roman" w:eastAsia="Calibri" w:cs="Times New Roman"/>
          <w:sz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Muiruri (2022)</w:t>
      </w:r>
      <w:r>
        <w:rPr>
          <w:rFonts w:hAnsi="Times New Roman" w:ascii="Times New Roman" w:eastAsia="Calibri" w:cs="Times New Roman"/>
          <w:sz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found that respondents had negative attitudes towards solid waste management in the Eastleigh South Ward. In relation to the Knowledge-Attitude-Practice (KAP) model, the finding that many residents have a positive attitude towards solid waste management is significant. This indicates that residents have favourable beliefs and perceptions of responsible solid waste disposal practices. This positive attitude can shape and influence residents’ behaviour in relation to SWM practices, and vice versa.</w:t>
      </w:r>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terms of the association between residents' socio-demographics and attitudes toward SWM, the study found a statistically significant association between respondents' age, length of stay in the community, number of children living in a household, and occupation related to their attitude towards SWM. This finding is commensurate with</w:t>
      </w:r>
      <w:r>
        <w:rPr>
          <w:rFonts w:hAnsi="Times New Roman" w:ascii="Times New Roman" w:eastAsia="Calibri" w:cs="Times New Roman"/>
          <w:sz w:val="24"/>
        </w:rPr>
        <w:fldChar w:fldCharType="begin"/>
      </w:r>
      <w:r>
        <w:rPr>
          <w:rFonts w:hAnsi="Times New Roman" w:ascii="Times New Roman" w:eastAsia="Calibri" w:cs="Times New Roman"/>
          <w:sz w:val="24"/>
        </w:rPr>
        <w:instrText xml:space="preserve">ADDIN CSL_CITATION {"citationItems":[{"id":"ITEM-1","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-1","issue":"2","issued":{"date-parts":[["2018"]]},"page":"123-131","title":"Knowledge , attitude and practice of municipal solid waste management among highland residents in","type":"article-journal","volume":"32"},"uris":["http://www.mendeley.com/documents/?uuid=04e8b346-feaf-4fc3-8334-624a7ca0d29c"]}],"mendeley":{"formattedCitation":"(Laor et al., 2018)","manualFormatting":" Laor et al. (2018)","plainTextFormattedCitation":"(Laor et al., 2018)","previouslyFormattedCitation":"(Laor et al., 2018)"},"properties":{"noteIndex":0},"schema":"https://github.com/citation-style-language/schema/raw/master/csl-citation.json"}</w:instrText>
      </w:r>
      <w:r>
        <w:rPr>
          <w:rFonts w:hAnsi="Times New Roman" w:ascii="Times New Roman" w:eastAsia="Calibri" w:cs="Times New Roman"/>
          <w:sz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 Laor et al. (2018)</w:t>
      </w:r>
      <w:r>
        <w:rPr>
          <w:rFonts w:hAnsi="Times New Roman" w:ascii="Times New Roman" w:eastAsia="Calibri" w:cs="Times New Roman"/>
          <w:sz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that socio-demographic variables, such as age, education level, and occupation, are significantly associated with attitudes toward solid waste management in Northern Thailand. On the contrary, </w:t>
      </w:r>
      <w:r>
        <w:rPr>
          <w:color w:val="2E2E2E"/>
          <w:rFonts w:hAnsi="Times New Roman" w:ascii="Times New Roman" w:eastAsia="Calibri" w:cs="Times New Roman"/>
          <w:b w:val="0"/>
          <w:i w:val="0"/>
          <w:strike w:val="0"/>
          <w:dstrike w:val="0"/>
          <w:emboss w:val="0"/>
          <w:imprint w:val="0"/>
          <w:outline w:val="0"/>
          <w:shadow w:val="0"/>
          <w:sz w:val="24"/>
          <w:szCs w:val="24"/>
          <w:u w:val="none"/>
        </w:rPr>
        <w:t xml:space="preserve">Teshome et al. (2022) discovered that gender, marital status, and occupation of respondents had no significant relationship with their attitude on solid waste management practices in Kebridehar city, Ethiopia</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However, this study found that residents' gender, marital status, number of children, and average monthly income were not significantly associated with their attitudes toward SWM. Similarly,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{"citationItems":[{"id":"ITEM-1","itemData":{"DOI":"10.33828/sei.v28.i2.7","abstract":"This study focused on assessment of colleges of education students' knowledge and attitudes towards solid waste management in the North-Central zone of Nigeria. The cross-sectional survey design was adopted. A Students' Knowledge and Attitudes towards Solid Waste Management Questionnaire was used to collect data from 1,800 students. The findings indicated that the students had a low knowledge level of solid waste management but their attitudes towards it were positive. A significant relationship was found between students' knowledge and their attitudes towards solid waste management. Furthermore, gender was shown not to have any significant influence on knowledge and attitudes of students towards solid waste management. It was concluded that although students had low knowledge of solid waste management, their attitudes towards it were positive. It was recommended that environmental education issues, especially, solid waste management should be incorporated into colleges of education curricula and properly taught for in-depth knowledge acquisition.","author":[{"dropping-particle":"","family":"Dung","given":"Mohammed Dauda","non-dropping-particle":"","parse-names":false,"suffix":""},{"dropping-particle":"","family":"Mankilik","given":"Mangut","non-dropping-particle":"","parse-names":false,"suffix":""},{"dropping-particle":"","family":"Ozoji","given":"Bernadette Ebele","non-dropping-particle":"","parse-names":false,"suffix":""}],"container-title":"Science Education International","id":"ITEM-1","issue":"2","issued":{"date-parts":[["2017"]]},"page":"141-146","title":"Assessment of College Students' Knowledge and Attitudes Towards Solid Waste Management in North Central Zone of Nigeria","type":"article-journal","volume":"28"},"uris":["http://www.mendeley.com/documents/?uuid=b0181a31-7175-4aa9-bcd3-892380594187"]}],"mendeley":{"formattedCitation":"(Dung et al., 2017)","manualFormatting":"Dung et al. (2017)","plainTextFormattedCitation":"(Dung et al., 2017)","previouslyFormattedCitation":"(Dung et al., 2017)"},"properties":{"noteIndex":0},"schema":"https://github.com/citation-style-language/schema/raw/master/csl-citation.json"}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Dung et al. (2017)</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found that gender was not significantly associated with students’ attitudes toward solid waste management in the north-central zone of Nigeria. Conversely,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{"citationItems":[{"id":"ITEM-1","itemData":{"author":[{"dropping-particle":"","family":"Masoumidezfouli","given":"Zahrasadaat","non-dropping-particle":"","parse-names":false,"suffix":""}],"id":"ITEM-1","issued":{"date-parts":[["2019"]]},"publisher":"UNIVERSITY OF MALAYA","title":"AN INVESTIGATION ON KNOWLEDGE, ATTITUDE AND PRACTICE AMONG STUDENTS OF UNIVERSITY MALAYA TOWARDS SOLID WASTE MANAGEMENT","type":"thesis"},"uris":["http://www.mendeley.com/documents/?uuid=50c37498-b8c7-4682-9101-9c0af4391ab2"]}],"mendeley":{"formattedCitation":"(Masoumidezfouli, 2019)","manualFormatting":"Masoumidezfouli (2019)","plainTextFormattedCitation":"(Masoumidezfouli, 2019)","previouslyFormattedCitation":"(Masoumidezfouli, 2019)"},"properties":{"noteIndex":0},"schema":"https://github.com/citation-style-language/schema/raw/master/csl-citation.json"}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Masoumidezfouli (2019)</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found significantly higher knowledge, attitudes, and practices among females than males.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{"citationItems":[{"id":"ITEM-1","itemData":{"abstract":"One hundred village residents of San Lorenzo South in Sta. Rosa City,\\nLaguna were surveyed to determine their knowledge, attitudes and\\npractices (KAP) on solid waste management, their preferred information\\nsources and feedback system. Premised on the Theory of Reasoned Action\\nby Fishbein and Azjen (1975) and behavior change models, the study\\ndetermined the relationship of the independent variables (age, gender,\\neducation, income) with the dependent variables (knowledge, attitude,\\npractice or KAP) and between KAP as variables using the Pearson's\\ncorrelation test. Relationships were tested at 0.1 and 0.5 levels of\\nsignificance. One way ANOVA was used to test the significance of the\\nmeans and t-test for independent means as post hoc test.\\nMajority of the respondents were middle aged, female, college graduates,\\nand earned zero to low-income. Their knowledge was positively related to\\neducation, income and age; attitude was positively related to education\\nand income; knowledge was the only variable correlated to practice.\\nOther factors were found to make people act.\\nEffective interpersonal communication channels for village-level SWM\\nwere barangay officials, government workers, homeowners' association\\nofficials, or seminars/trainings. For media, cable television channels\\nmust be explored. Various development communication strategies were\\ndrawn for SOW campaigns to sustain favorable behavior.","author":[{"dropping-particle":"V","family":"Tatlonghari","given":"Rosario","non-dropping-particle":"","parse-names":false,"suffix":""},{"dropping-particle":"","family":"Jamias","given":"Serlie B","non-dropping-particle":"","parse-names":false,"suffix":""}],"id":"ITEM-1","issue":"December 2005","issued":{"date-parts":[["2010"]]},"page":"35-51","title":"Village-Level Knowledge , Attitudes and Practices on Solid Waste Management in Sta . Rosa City , Laguna , Philippines","type":"article-journal","volume":"13"},"uris":["http://www.mendeley.com/documents/?uuid=c0b4d96b-1547-4e33-9fa9-efd303454f86"]}],"mendeley":{"formattedCitation":"(Tatlonghari &amp; Jamias, 2010)","manualFormatting":"Tatlonghari and Jamias (2010)","plainTextFormattedCitation":"(Tatlonghari &amp; Jamias, 2010)","previouslyFormattedCitation":"(Tatlonghari &amp; Jamias, 2010)"},"properties":{"noteIndex":0},"schema":"https://github.com/citation-style-language/schema/raw/master/csl-citation.json"}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Tatlonghari and Jamias (2010)</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discovered a positive relationship between respondents’ education and income levels, and their attitudes towards solid waste management.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{"citationItems":[{"id":"ITEM-1","itemData":{"author":[{"dropping-particle":"","family":"Masoumidezfouli","given":"Zahrasadaat","non-dropping-particle":"","parse-names":false,"suffix":""}],"id":"ITEM-1","issued":{"date-parts":[["2019"]]},"publisher":"UNIVERSITY OF MALAYA","title":"AN INVESTIGATION ON KNOWLEDGE, ATTITUDE AND PRACTICE AMONG STUDENTS OF UNIVERSITY MALAYA TOWARDS SOLID WASTE MANAGEMENT","type":"thesis"},"uris":["http://www.mendeley.com/documents/?uuid=50c37498-b8c7-4682-9101-9c0af4391ab2"]}],"mendeley":{"formattedCitation":"(Masoumidezfouli, 2019)","manualFormatting":"Masoumidezfouli (2019)","plainTextFormattedCitation":"(Masoumidezfouli, 2019)","previouslyFormattedCitation":"(Masoumidezfouli, 2019)"},"properties":{"noteIndex":0},"schema":"https://github.com/citation-style-language/schema/raw/master/csl-citation.json"}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Masoumidezfouli (2019)</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discovered that as income increased, the level of knowledge, attitude, and practices also increased.</w:t>
      </w:r>
    </w:p>
    <w:p>
      <w:pPr>
        <w:pStyle w:val="Heading2"/>
        <w:spacing w:line="480" w:lineRule="auto"/>
        <w:ind w:left="720"/>
        <w:rPr>
          <w:rFonts w:eastAsia="Calibri"/>
        </w:rPr>
      </w:pPr>
      <w:bookmarkStart w:id="100" w:name="_Toc147923090"/>
      <w:r>
        <w:rPr>
          <w:rFonts w:ascii="Times New Roman" w:eastAsia="Calibri"/>
          <w:b/>
          <w:i w:val="0"/>
          <w:strike w:val="0"/>
          <w:dstrike w:val="0"/>
          <w:emboss w:val="0"/>
          <w:imprint w:val="0"/>
          <w:outline w:val="0"/>
          <w:shadow w:val="0"/>
          <w:sz w:val="24"/>
          <w:szCs w:val="24"/>
          <w:u w:val="none"/>
        </w:rPr>
        <w:t xml:space="preserve">4.7.3 Practice of Solid Waste Management (SWM)</w:t>
      </w:r>
      <w:bookmarkEnd w:id="100"/>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third research question was: How do residents practice SWM in the study area? The study found that more than half (57%) of the residents have good SWM practices, such as the use of R3 which includes the reduction, reuse, and recycling of solid waste by selling solid waste as scraps to make money, and segregating solid waste from liquid waste before disposal. Similarly,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{"citationItems":[{"id":"ITEM-1","itemData":{"DOI":"10.1016/j.resconrec.2015.06.014","ISSN":"18790658","abstract":"Abstract A questionnaire survey consisting of 2400 householders was performed on Abadan residents to evaluate their knowledge, attitudes, and practices (KAP) towards solid waste (SW) reduction, source separation and recycling, collection and willingness to pay (WTP) for SW services. The study has also covered the relationship between demographic variables and KAP towards SW management. The data analyzed suggests that the studied community had a very positive attitude to take part in SW source separation and recycling plans. However, the respondents not only showed low intimate knowledge of different steps of SW management, but were also weak to take practices about these steps. The KAP of SW source separation and recycling was influenced by demographic factors of age, education level, gender and occupation. It was further found that education level and occupation were two significant factors affecting residents' WTP (χ&lt;sup&gt;2&lt;/sup&gt; = 24.083, p-value &lt;0.0001). In conclusion our study found that providing public with MSW infrastructures and improving citizens' awareness about SW source separation and recycling to promote SW recycling programs hold great promise for developing effective public campaigns and behavior-changing interventions. This has important implications in that the usual KAP of public proved inadequate in the case of SW source separation and recycling. The implementation of needs-based training programmes considering females as one of the main audience groups and determination of municipality needs are thereby highly advocated.","author":[{"dropping-particle":"","family":"Babaei","given":"Ali Akbar","non-dropping-particle":"","parse-names":false,"suffix":""},{"dropping-particle":"","family":"Alavi","given":"Nadali","non-dropping-particle":"","parse-names":false,"suffix":""},{"dropping-particle":"","family":"Goudarzi","given":"Gholamreza","non-dropping-particle":"","parse-names":false,"suffix":""},{"dropping-particle":"","family":"Teymouri","given":"Pari","non-dropping-particle":"","parse-names":false,"suffix":""},{"dropping-particle":"","family":"Ahmadi","given":"Kambiz","non-dropping-particle":"","parse-names":false,"suffix":""},{"dropping-particle":"","family":"Rafiee","given":"Mohammad","non-dropping-particle":"","parse-names":false,"suffix":""}],"container-title":"Resources, Conservation and Recycling","id":"ITEM-1","issued":{"date-parts":[["2015"]]},"page":"94-100","publisher":"Elsevier B.V.","title":"Household recycling knowledge, attitudes and practices towards solid waste management","type":"article-journal","volume":"102"},"uris":["http://www.mendeley.com/documents/?uuid=05af0dba-90f4-40a4-a80c-82233fcc220d"]}],"mendeley":{"formattedCitation":"(Babaei et al., 2015)","manualFormatting":"Babaei et al. (2015)","plainTextFormattedCitation":"(Babaei et al., 2015)","previouslyFormattedCitation":"(Babaei et al., 2015)"},"properties":{"noteIndex":0},"schema":"https://github.com/citation-style-language/schema/raw/master/csl-citation.json"}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Babaei et al. (2015)</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established a positive attitude towards solid waste management practices, such as source separation and recycling plans. In addition,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-1","issue":"2","issued":{"date-parts":[["2018"]]},"page":"123-131","title":"Knowledge , attitude and practice of municipal solid waste management among highland residents in","type":"article-journal","volume":"32"},"uris":["http://www.mendeley.com/documents/?uuid=04e8b346-feaf-4fc3-8334-624a7ca0d29c"]}],"mendeley":{"formattedCitation":"(Laor et al., 2018)","manualFormatting":"Laor et al. (2018)","plainTextFormattedCitation":"(Laor et al., 2018)","previouslyFormattedCitation":"(Laor et al., 2018)"},"properties":{"noteIndex":0},"schema":"https://github.com/citation-style-language/schema/raw/master/csl-citation.json"}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Laor et al. (2018)</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found moderate practices among residents of Municipal Solid Waste management in Northern Thailand. Kayamo (2021) discovered that waste reduction practices such as reuse, recycling, waste separation, and compost making were uncommon at the household level in Hawassa. Similarly,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{"citationItems":[{"id":"ITEM-1","itemData":{"DOI":"10.1177/11786302221117007","author":[{"dropping-particle":"","family":"Teferi","given":"Samuel Chane","non-dropping-particle":"","parse-names":false,"suffix":""}],"id":"ITEM-1","issued":{"date-parts":[["2022"]]},"title":"The Status of Household Solid Waste Management and its Associated Factors in Fiche Town , North Shewa","type":"article-journal"},"uris":["http://www.mendeley.com/documents/?uuid=91dbeae5-cd6c-4c51-b9f1-bc9c64ce8e02"]}],"mendeley":{"formattedCitation":"(Teferi, 2022)","manualFormatting":"Teferi (2022)","plainTextFormattedCitation":"(Teferi, 2022)","previouslyFormattedCitation":"(Teferi, 2022)"},"properties":{"noteIndex":0},"schema":"https://github.com/citation-style-language/schema/raw/master/csl-citation.json"}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Teferi (2022)</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multivariable logistic regression analysis found that knowledge of reduce, reuse, and recycle (3R); access to door-to-door waste collection; treating waste as a resource; and the rules and regulations of solid waste management were significantly associated with waste management practices in Fiche Town, Ethiopia. In contrast,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{"citationItems":[{"id":"ITEM-1","itemData":{"DOI":"10.1186/s12889-019-7551-1","ISSN":"14712458","PMID":"31510950","abstract":"Background: Improper solid waste management (SWM) is a major public health and environmental concern in the urban areas of many developing countries such as Asella Town. The aim of this study was to assess the status of SWM in Asella town. Methods: A community-based cross-sectional study design was used to assess the status of improper SWM and associated factors in Asella town. From the total of eight kebeles (smallest administrative unit in Ethiopia) four kebeles were randomly selected using lottery method. The sample size was 413 households. The households were proportionally allocated to each randomly selected kebeles. The data was collected by pretested questionnaire in the local language. Data was entered using statistical software Epi Info version seven and transferred to SPSS version 21. Descriptive data analysis was done to summarize the socioeconomic status of the respondents. Chi-square was used to show the association between the status of solid waste management and different variables. Binary logistic regression was used to determine the potential factors for improper SWM. Result: 332 (82.8%), had improper solid waste management practice. Lack of adequate knowledge about solid waste management and not having access to door to door solid waste collection could have contributed to the reported improper solid waste practice. Participants who didn't have access to door to door solid waste collection service were about three times more likely to practice improper solid waste management when compared to those who had access (AOR = 2.873, 95 CI (1.565,5.273) P = 0.001). Conclusion: The study finding showed that, the majority of the residents practiced improper solid waste management. Lack of adequate knowledge about solid waste management and not having access to door to door solid waste collection could have contributed to the reported improper solid waste practice. Therefore, there is a need to enhance the awareness of the community about proper SWM and to improve the door to door solid waste collection service by the town municipality.","author":[{"dropping-particle":"","family":"Lema","given":"Gorfnesh","non-dropping-particle":"","parse-names":false,"suffix":""},{"dropping-particle":"","family":"Mesfun","given":"Million Getachew","non-dropping-particle":"","parse-names":false,"suffix":""},{"dropping-particle":"","family":"Eshete","given":"Amade","non-dropping-particle":"","parse-names":false,"suffix":""},{"dropping-particle":"","family":"Abdeta","given":"Gizachew","non-dropping-particle":"","parse-names":false,"suffix":""}],"container-title":"BMC Public Health","id":"ITEM-1","issue":"1","issued":{"date-parts":[["2019"]]},"page":"1-7","publisher":"BMC Public Health","title":"Assessment of status of solid waste management in Asella town, Ethiopia","type":"article-journal","volume":"19"},"uris":["http://www.mendeley.com/documents/?uuid=de0f4630-31a1-41e4-99b0-5b7b1e090ff3"]}],"mendeley":{"formattedCitation":"(Lema et al., 2019)","manualFormatting":"Lema et al. (2019)","plainTextFormattedCitation":"(Lema et al., 2019)","previouslyFormattedCitation":"(Lema et al., 2019)"},"properties":{"noteIndex":0},"schema":"https://github.com/citation-style-language/schema/raw/master/csl-citation.json"}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Lema et al. (2019)</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found that the majority (82.8%) of residents in Asella Town, Ethiopia have poor solid waste management practices.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{"citationItems":[{"id":"ITEM-1","itemData":{"DOI":"10.5251/ajsms.2012.3.2.83.92","ISSN":"21561540","abstract":"he paper examined the relationship between individual background (sex, age and social class) and the level of awareness, knowledge and practices of solid waste management in Port- Harcourt city residents. It defines solid waste management as the process of collecting, storing, treatment and disposal of solid wastes in such a way that they are harmless to humans, plants, animals, the ecology and the environment generally. The objective of this research is to ascertain the relationship between individual background (sex, age and social class) and the level of awareness, knowledge and practices of solid waste management in Port-Harcourt city residents. The research question addressed the extent of relationship between individual background (sex, age and social class) and the level of awareness, knowledge and practices of solid waste management in Port-Harcourt city residents. This research is based on Ajzen (1991) theory of planned behaviour which states that attitude towards behaviour, subjective norm, and perceived behavioural control, has influence in predicting the behavioural intention and actual behaviour of individuals when participatory decisions are voluntary and under an individual control. The research assumes that the background (sex, age and social class) of Port-Harcourt city residents influences their attitude, subjective norm and perceived behavioural control thus determining the behavioural intention/actual behaviour i.e. level of awareness, knowledge and practices of solid waste management. 800 Port-Harcourt city residents were randomly surveyed from the two local government areas of the city (Port-Harcourt city and Obio/Akpor LGAs) using structured questionnaire. Data collected were subjected to percentage, mean, standard deviation, t-test and chi-square statistical analyses. Findings revealed that Port-Harcourt city residents from the sampled zones are aware of solid waste management problems in their environment but possessed poor waste management practices. The study showed that the propensity for solid waste management practices differed by background (sex, social class and age) of residents. Significant relationships were observed between respondents’ sex, age and social class and their level of awareness, knowledge and practices of solid waste management. This research therefore recommends among others: sensitization of Port-Harcourt city residents on the dangers of poor solid waste management, provision of near-by solid waste coll…","author":[{"dropping-particle":"","family":"Agwu","given":"M.","non-dropping-particle":"","parse-names":false,"suffix":""}],"container-title":"American Journal of Social and Management Sciences","id":"ITEM-1","issue":"2","issued":{"date-parts":[["2012"]]},"page":"83-92","title":"Issues and Challenges of Solid Waste Management Practices in Port-Harcourt City, Nigeria- a behavioural perspective","type":"article-journal","volume":"3"},"uris":["http://www.mendeley.com/documents/?uuid=8cd86e03-a788-458a-ab36-ec7833265a7d"]}],"mendeley":{"formattedCitation":"(Agwu, 2012)","manualFormatting":"Agwu (2012)","plainTextFormattedCitation":"(Agwu, 2012)","previouslyFormattedCitation":"(Agwu, 2012)"},"properties":{"noteIndex":0},"schema":"https://github.com/citation-style-language/schema/raw/master/csl-citation.json"}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Agwu’s (2012)</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findings also revealed that residents of Port-Harcourt acknowledged the problem of solid waste management but possessed poor waste management practices. In line with this,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{"citationItems":[{"id":"ITEM-1","itemData":{"DOI":"10.1371/journal.pone.0278181","ISBN":"1111111111","ISSN":"19326203","PMID":"36763645","abstract":"Improper solid waste management in urban and semi-urban cities of developing countries is the source of environmental pollution and public health concern. This study aimed to assess the households’ knowledge, attitudes and practices of solid waste management and associated factors in Gelemso town. A community-based cross-sectional study design was used to assess the households’ KAP of SWM in Gelemso town. A systematic random sampling technique was used to recruit 390 households from Gelemso town and data was collected using a structured questionnaire. Data analysis was carried out using SPSS version 22.0 software. Bivariate and multivariate analyses were used to predict the improper SWM practices. From 390 households included in the study, 61.3% of them were females. Generally, most households had correct knowledge and positive attitudes towards SWM but poor practice was observed in the study area. About 96% of the households considered solid waste as a source of environmental pollution and close to 92% of them replied that solid waste can be used for compost preparation. Majority (87.4%) of the households “strongly agreed” about the potential risk associated with improper solid waste disposal and nearly 80% of them also “strongly agreed” that proper SWM is crucial to create a healthy environment in the community. Nearly 80% had practiced improper SWM. Logistic regression analyses indicated that lack of experience in sorting solid waste, ways of removal, knowledge about reduce, reuse and recycle, absence of adequate solid waste landfills, and lack of door-to-door waste collections services were identified as the major contributing factors for the improper SWM practice in Gelemso town. In conclusion, the majority of the households had practiced improper SWM, such as disposing of solid waste in the backyard, along the roadsides, in gully and burned. These malpractices can significantly affect the environment and public health of the residents.","author":[{"dropping-particle":"","family":"Eshete","given":"Hailu","non-dropping-particle":"","parse-names":false,"suffix":""},{"dropping-particle":"","family":"Desalegn","given":"Asnake","non-dropping-particle":"","parse-names":false,"suffix":""},{"dropping-particle":"","family":"Tigu","given":"Fitsum","non-dropping-particle":"","parse-names":false,"suffix":""}],"container-title":"PLoS ONE","id":"ITEM-1","issue":"2 February","issued":{"date-parts":[["2023"]]},"page":"1-13","title":"Knowledge, attitudes and practices on household solid waste management and associated factors in Gelemso town, Ethiopia","type":"article-journal","volume":"18"},"uris":["http://www.mendeley.com/documents/?uuid=e20f8a83-ea78-4c32-a3b3-913ba607efbc"]}],"mendeley":{"formattedCitation":"(Eshete et al., 2023)","plainTextFormattedCitation":"(Eshete et al., 2023)","previouslyFormattedCitation":"(Eshete et al., 2023)"},"properties":{"noteIndex":0},"schema":"https://github.com/citation-style-language/schema/raw/master/csl-citation.json"}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Eshete et al. (2023)</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observed that respondents had poor practices of solid waste management. </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In relation to the Knowledge-Attitude-Practice (KAP) model, the finding that more than half of the residents have good solid waste management practices aligns with the model's framework. The KAP model posits that knowledge, attitudes, and practices are interconnected and that changes in one component can influence others. In this case, good solid waste management practices reported by more than half of the residents can potentially influence the attitudes and knowledge of others. Residents observing their peers engaging in responsible solid waste disposal behaviours can shape the attitudes of those who may have previously been indifferent or unaware of the importance of proper waste management. It can also spark curiosity and interest, motivating others to seek knowledge about solid waste management. These findings also have implications for interventions and policies aimed at promoting responsible waste management practices. It highlights the importance of focusing not only on knowledge dissemination but also on fostering positive attitudes and facilitating behavioural change. By addressing all the components of the KAP model, interventions can have a more comprehensive and effective impact on individuals' solid waste management practices.</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However, the results showed that the vast majority (98.9%) of residents transported solid waste from family members to open landfills, sometimes in gutters. In addition,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{"citationItems":[{"id":"ITEM-1","itemData":{"DOI":"10.1016/j.heliyon.2019.e03040","ISSN":"24058440","abstract":"The importance of waste management cannot be overemphasized. Improper waste management and disposal has rippling effect on the environment and human health. The aim of this study is to assess solid waste management among household in a large Ghanaians district. Multi-stage sampling technique comprising a cluster, simple random sampling, and systematic sampling techniques were used to select 600 respondents for the study. Data was analyzed using (SPSS) version 23.0. Results indicates that communal waste collection bins were far from households as confirmed by the majority (57.3%) of the respondents. The majority (56.5%) of the households walked a distance of 11–15 min before reaching the refuse site. The study found that the number of waste collection point in the community were few (1–3 collection bins) as confirmed by majority (92.2%) of the respondents. The distance from the center of the community to the final waste disposal site covered 1–2 h journey. There was a significant relationship between the number of waste disposal sites in the community and the average distance (in kilometers one way) from the city center to a disposing site. In conclusion, the study found that communal waste collection bins were far from households; number of waste collection point in the community were few. This indicates that the distance from the center of the community to the final waste disposal site covered 1–2 h journey. Based on the major findings of the study, we recommend that district assembly should provide waste collection bins to every household to ensure that residents do not dispose their housrhold waste indiscriminately. District by-laws should be strengthened to ensure proper household waste disposal at all districts in Ghana.","author":[{"dropping-particle":"","family":"Odonkor","given":"Stephen T.","non-dropping-particle":"","parse-names":false,"suffix":""},{"dropping-particle":"","family":"Frimpong","given":"Kwasi","non-dropping-particle":"","parse-names":false,"suffix":""},{"dropping-particle":"","family":"Kurantin","given":"Napoleon","non-dropping-particle":"","parse-names":false,"suffix":""}],"container-title":"Heliyon","id":"ITEM-1","issue":"1","issued":{"date-parts":[["2020"]]},"page":"e03040","publisher":"Elsevier Ltd","title":"An assessment of house-hold solid waste management in a large Ghanaian district","type":"article-journal","volume":"6"},"uris":["http://www.mendeley.com/documents/?uuid=3a17b393-5e64-4a08-87ed-f0a0c5510376"]}],"mendeley":{"formattedCitation":"(Odonkor et al., 2020)","manualFormatting":"Odonkor et al. (2020)","plainTextFormattedCitation":"(Odonkor et al., 2020)","previouslyFormattedCitation":"(Odonkor et al., 2020)"},"properties":{"noteIndex":0},"schema":"https://github.com/citation-style-language/schema/raw/master/csl-citation.json"}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Odonkor et al. (2020)</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discovered that more than half (56.5%) of the residents transported solid waste by walking a distance of 11-15 minutes to reach an open landfill. </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terms of residents’ WTP for solid waste disposal, the study found that the majority (78%) of residents were unwilling to pay for solid waste disposal, compared to a small percentage (22%) who were willing to pay for solid waste disposal. This finding aligns with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{"citationItems":[{"id":"ITEM-1","itemData":{"DOI":"10.1007/s11356-017-1009-8","ISSN":"16147499","PMID":"29282661","abstract":"In Hong Kong, problems involving solid waste management have become an urgent matter in recent years. To solve these problems, the Hong Kong government proposed three policies, namely, waste charging, landfill extension, and development of new incinerators. In this study, a large sample questionnaire survey was conducted to examine the knowledge and attitude of residents on the three policies, the amount of their daily waste disposal, and their willingness to pay (WTP). Results reveal that only 22.7% of respondents are aware of the earliest time that one of the landfills will be sated, and more than half of respondents support the three policies. However, more than one third of residents (36.1%) are unwilling to pay the minimum waste charge amount of HK$30 estimated by the Council for Sustainable Development in Hong Kong. Logit model results indicate that five key factors affect WTP, namely, knowledge of residents on the timing of landfill fullness, degree of support in waste charge policy, amount of daily waste disposal, age, and income. These results suggest that strong and rigorous promotional and educational programs are needed to improve the knowledge and positive attitude of residents towards recycling methods and the three policies. However, subsidy should be provided to low-income groups who cannot afford to pay the waste charge.","author":[{"dropping-particle":"","family":"Yeung","given":"Iris M.H.","non-dropping-particle":"","parse-names":false,"suffix":""},{"dropping-particle":"","family":"Chung","given":"William","non-dropping-particle":"","parse-names":false,"suffix":""}],"container-title":"Environmental Science and Pollution Research","id":"ITEM-1","issue":"8","issued":{"date-parts":[["2017"]]},"page":"7504-7517","publisher":"Environmental Science and Pollution Research","title":"Factors that affect the willingness of residents to pay for solid waste management in Hong Kong","type":"article-journal","volume":"25"},"uris":["http://www.mendeley.com/documents/?uuid=ac67e374-a806-4e12-b6ce-5afbadb8742a"]}],"mendeley":{"formattedCitation":"(Yeung &amp; Chung, 2017)","manualFormatting":"Yeung and Chung (2018)","plainTextFormattedCitation":"(Yeung &amp; Chung, 2017)","previouslyFormattedCitation":"(Yeung &amp; Chung, 2017)"},"properties":{"noteIndex":0},"schema":"https://github.com/citation-style-language/schema/raw/master/csl-citation.json"}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Yeung and Chung’s (2018)</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finding that more than one-third of the residents are unwilling to pay the minimum waste charge of HK$30 estimated by the Council for Sustainable Development in Hong Kong. In addition, a study in Berekum Municipality found that residents do not pay for solid waste management services rendered to them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author":[{"dropping-particle":"","family":"Dauda","given":"Suleman","non-dropping-particle":"","parse-names":false,"suffix":""},{"dropping-particle":"","family":"Mariwah","given":"Simon","non-dropping-particle":"","parse-names":false,"suffix":""},{"dropping-particle":"","family":"Agyapong","given":"Richard","non-dropping-particle":"","parse-names":false,"suffix":""}],"container-title":"Journal of Social Sciences Volume 7 No. 2 (2015) 27 - 41","id":"ITEM-1","issued":{"date-parts":[["2015"]]},"title":"Residents’ perceptions and attitudes towards urban solid waste management in the Berekum Municipality, Ghana","type":"article-journal"},"uris":["http://www.mendeley.com/documents/?uuid=8bc8e39d-b5c7-4ff4-b58b-704261ec119d"]}],"mendeley":{"formattedCitation":"(Dauda et al., 2015)","plainTextFormattedCitation":"(Dauda et al., 2015)","previouslyFormattedCitation":"(Dauda et al., 2015)"},"properties":{"noteIndex":0},"schema":"https://github.com/citation-style-language/schema/raw/master/csl-citation.json"}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(Dauda et al., 2015)</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.On the contrary,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{"citationItems":[{"id":"ITEM-1","itemData":{"abstract":"In many developing countries solid waste management has become a serious challenge. Improper solid waste management has very high socio-economic and environmental costs that have not usually been critically considered by economic agents. Environmental quality value can usually be estimated from people’s willingness to pay to improve or to restore their environment. Hence, the main objective of this study is to find out the determinants of households’ willingness to pay for improved solid waste management in Ethiopia, a case study of Jimma Town. A total of 200 samples are randomly selected from four kebeles in Jimma town. The study used descriptive analysis, independent t-tests, correlation, cross tabulation and binary logistic regression. The result shows that the majority, which is 88.5 percent, of the respondents stated that they have a concern for environmental protection and safety. More than half of the respondents (56%) are not satisfied with the existing solid waste management system. Despite municipality’s and private collectors’ effort, solid wastes are left uncollected and found here and there in streets and communal areas. This implies that there is a desire for the improvement of solid waste management services in Jimma town. The very majority (83.5%) of the respondents are willing to pay for improved door-to-door waste collection service. The findings also revealed that households’ willingness to pay for improved solid waste management is significantly affected by income of the household, possession of house and amount of waste generated by households’ among other factors. Finally, the study recommends that entrepreneurs and innovators should be encouraged to develop improved schemes for waste collection and management. Regular support and monitoring should be given for the business enterprises and institutions engaged in solid waste management system. Keywords:","author":[{"dropping-particle":"","family":"Batu","given":"M. M.","non-dropping-particle":"","parse-names":false,"suffix":""},{"dropping-particle":"","family":"Admasu","given":"E.","non-dropping-particle":"","parse-names":false,"suffix":""},{"dropping-particle":"","family":"Tolosa","given":"F.","non-dropping-particle":"","parse-names":false,"suffix":""}],"container-title":"Journal of Environment and Earth Science","id":"ITEM-1","issue":"7","issued":{"date-parts":[["2016"]]},"page":"64-77","title":"Determinants of Households ’ Willingness t o Pay for Improved Solid Waste Management in Ethiopia : The Case Study of Jimma Town.","type":"article-journal","volume":"6"},"uris":["http://www.mendeley.com/documents/?uuid=3eb19314-aa43-4f1e-ba3d-3593061250c2"]}],"mendeley":{"formattedCitation":"(Batu et al., 2016)","manualFormatting":"Batu et al. (2016)","plainTextFormattedCitation":"(Batu et al., 2016)","previouslyFormattedCitation":"(Batu et al., 2016)"},"properties":{"noteIndex":0},"schema":"https://github.com/citation-style-language/schema/raw/master/csl-citation.json"}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Batu et al. (2016)</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established that the majority (83.5%) of the respondents were willing to pay for improved door-to-door solid waste collection services; however, households’ willingness to pay for improved solid waste management is significantly affected by household income, house possession, and amount of waste generated by households. Likewise,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{"citationItems":[{"id":"ITEM-1","itemData":{"DOI":"10.13189/eee.2019.060101","ISSN":"2331-6306","abstract":"This study was conducted to assess households willingness to pay (WTP) for improved solid waste management (SWM). Contingent valuation method (CVM) was employed to elicit household’s WTP for the proposed improvement in solid waste management service. The data from CVM survey was analyzed by using logistic regression model. The results of the study revealed that largest proportion of households had awareness of inappropriate disposal of wastes and its problems and that they were (78%) ready to pay for the wastes they generate. Furthermore, we found that significant number of the respondents (76 %) were willing to supports proposed improvement in residential solid waste management. Mean monthly willingness to pay is 21 Ethiopian Birr (ETB) with a minimum of 5 ETB and the maximum of 100 ETB, while the rest of the respondents were not willing to contribute. The results of logit regression analysis showed that sex and household size were statistically significant at 5% and 1% respectively. Therefore, the concerned body (municipality, NGO or other voluntary group) should take their part in raising the awareness and perceptions of households on waste management and thus, to improve their willingness to pay for improved SWM.","author":[{"dropping-particle":"","family":"Dika","given":"Galgalo","non-dropping-particle":"","parse-names":false,"suffix":""},{"dropping-particle":"","family":"Nemie","given":"Aga","non-dropping-particle":"","parse-names":false,"suffix":""},{"dropping-particle":"","family":"Birhane","given":"Endalkachew","non-dropping-particle":"","parse-names":false,"suffix":""}],"container-title":"Energy and Environmental Engineering","id":"ITEM-1","issue":"1","issued":{"date-parts":[["2019"]]},"page":"1-7","title":"Household's Willingness to Pay for Improved Solid Waste Management in Gulelle Sub City, Addis Ababa","type":"article-journal","volume":"6"},"uris":["http://www.mendeley.com/documents/?uuid=5358bf39-665f-4e70-8cab-d3bad0230892"]}],"mendeley":{"formattedCitation":"(Dika et al., 2019)","manualFormatting":"Dika et al. (2019)","plainTextFormattedCitation":"(Dika et al., 2019)","previouslyFormattedCitation":"(Dika et al., 2019)"},"properties":{"noteIndex":0},"schema":"https://github.com/citation-style-language/schema/raw/master/csl-citation.json"}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Dika et al. (2019)</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found that the largest proportion (78%) of households were ready to pay for the waste they generated in Gulelle Sub City, Addis Ababa. A study by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{"citationItems":[{"id":"ITEM-1","itemData":{"DOI":"10.1080/23311843.2020.1807275","ISSN":"23311843","abstract":"Households which are the primary producers of solid waste and suffer from the effects of uncollected solid waste should be able to participate in improving SWM. Accordingly, the contribution of urban dwellers on SWM service plays a great role for better improvement of SWM at the community. Therefore, this study aims to estimate households’ willingness to pay for improved solid waste management services and analyze its determinant using binary logit econometrics model. A total of 350 randomly selected households were interviewed to address the objective of this study. The study was used both descriptive and econometrics analysis. Finally, the survey result indicated that 86.3% of sample households were willing to pay for improved solid waste management services. Following this, the one and one half bounded contingent valuation result revealed that the mean willingness to pay is 13.10 ETB[Money official Exchange rate of 1$ = 31.45 Ethiopian Birr (ETB)]/month with the total willingness to pay of 494587ETB/month which is much higher than the amount of money collected by Bahir Dar city municipality (335,000 ETB/month). Additionally, the model result demonstrated that educational level of the household, monthly aggregate income, and quantity of waste generated per week, access to solid waste management services and respondents’ responsibility on solid waste management had significant positive effect on households’ willingness to pay unlike sex of household head and number of children in the household. The municipality of Bahir Dar city should consider these significant variables to design and implement improved solid waste management services.","author":[{"dropping-particle":"","family":"Tassie","given":"Kassahun","non-dropping-particle":"","parse-names":false,"suffix":""},{"dropping-particle":"","family":"Endalew","given":"Birara","non-dropping-particle":"","parse-names":false,"suffix":""}],"container-title":"Cogent Environmental Science","id":"ITEM-1","issue":"1","issued":{"date-parts":[["2020"]]},"title":"Willingness to pay for improved solid waste management services and associated factors among urban households: One and one half bounded contingent valuation study in Bahir Dar city, Ethiopia","type":"article-journal","volume":"6"},"uris":["http://www.mendeley.com/documents/?uuid=0eadef37-a26b-40de-a974-540702c6c12b"]}],"mendeley":{"formattedCitation":"(Tassie &amp; Endalew, 2020)","manualFormatting":"Tassie and Endalew (2020)","plainTextFormattedCitation":"(Tassie &amp; Endalew, 2020)","previouslyFormattedCitation":"(Tassie &amp; Endalew, 2020)"},"properties":{"noteIndex":0},"schema":"https://github.com/citation-style-language/schema/raw/master/csl-citation.json"}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Tassie and Endalew (2020)</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in Bahir Dar City, Ethiopia indicated that (86.3%) of the sample households were willing to pay for improved solid waste management services. Although many residents are willing to pay for solid waste collection and disposal services, other factors impede this ability. Alhassan et al. (2018) in their </w:t>
      </w:r>
      <w:r>
        <w:rPr>
          <w:rFonts w:hAnsi="Times New Roman" w:ascii="Times New Roman" w:eastAsia="Calibri" w:cs="Times New Roman"/>
          <w:b w:val="0"/>
          <w:i w:val="0"/>
          <w:strike w:val="0"/>
          <w:dstrike w:val="0"/>
          <w:emboss w:val="0"/>
          <w:imprint w:val="0"/>
          <w:outline w:val="0"/>
          <w:shadow w:val="0"/>
          <w:sz w:val="24"/>
          <w:szCs w:val="24"/>
          <w:u w:val="none"/>
          <w:shd w:val="clear" w:color="auto" w:fill="FFFFFF"/>
        </w:rPr>
        <w:t xml:space="preserve">Tobit regression analysis indicated that the gender of the head of household, educational attainment of the household head, total household income, occupation type of the household head, level of satisfaction with solid waste collection services, attitude, subjective norm, and location of the household significantly influenced households' willingness to pay for improved solid waste management services in Ghana.</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With regard to establishing the association between socio-demographic characteristics and resident practices of SWM, Chi-square analysis showed that gender, age, marital status, education, length of residence in the community, number of children and people living in a household, income, and occupation of residents had no significant association with their SWM practice. </w:t>
      </w:r>
      <w:r>
        <w:rPr>
          <w:color w:val="2E2E2E"/>
          <w:rFonts w:hAnsi="Times New Roman" w:ascii="Times New Roman" w:eastAsia="Calibri" w:cs="Times New Roman"/>
          <w:b w:val="0"/>
          <w:i w:val="0"/>
          <w:strike w:val="0"/>
          <w:dstrike w:val="0"/>
          <w:emboss w:val="0"/>
          <w:imprint w:val="0"/>
          <w:outline w:val="0"/>
          <w:shadow w:val="0"/>
          <w:sz w:val="24"/>
          <w:szCs w:val="24"/>
          <w:u w:val="none"/>
        </w:rPr>
        <w:t xml:space="preserve">Teshome et al. (2022) also discovered similar findings that gender, marital status, and occupation of respondents had no significant relationship with their solid waste management practices in Kebridehar city, Ethiopia.</w:t>
      </w:r>
      <w:r>
        <w:rPr>
          <w:rFonts w:hAnsi="Times New Roman" w:ascii="Times New Roman" w:eastAsia="Calibri" w:cs="Times New Roman"/>
          <w:b w:val="0"/>
          <w:bCs/>
          <w:i w:val="0"/>
          <w:strike w:val="0"/>
          <w:dstrike w:val="0"/>
          <w:emboss w:val="0"/>
          <w:imprint w:val="0"/>
          <w:outline w:val="0"/>
          <w:shadow w:val="0"/>
          <w:sz w:val="24"/>
          <w:szCs w:val="24"/>
          <w:u w:val="none"/>
        </w:rPr>
        <w:t xml:space="preserve"> However,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{"citationItems":[{"id":"ITEM-1","itemData":{"DOI":"10.5251/ajsms.2012.3.2.83.92","ISSN":"21561540","abstract":"he paper examined the relationship between individual background (sex, age and social class) and the level of awareness, knowledge and practices of solid waste management in Port- Harcourt city residents. It defines solid waste management as the process of collecting, storing, treatment and disposal of solid wastes in such a way that they are harmless to humans, plants, animals, the ecology and the environment generally. The objective of this research is to ascertain the relationship between individual background (sex, age and social class) and the level of awareness, knowledge and practices of solid waste management in Port-Harcourt city residents. The research question addressed the extent of relationship between individual background (sex, age and social class) and the level of awareness, knowledge and practices of solid waste management in Port-Harcourt city residents. This research is based on Ajzen (1991) theory of planned behaviour which states that attitude towards behaviour, subjective norm, and perceived behavioural control, has influence in predicting the behavioural intention and actual behaviour of individuals when participatory decisions are voluntary and under an individual control. The research assumes that the background (sex, age and social class) of Port-Harcourt city residents influences their attitude, subjective norm and perceived behavioural control thus determining the behavioural intention/actual behaviour i.e. level of awareness, knowledge and practices of solid waste management. 800 Port-Harcourt city residents were randomly surveyed from the two local government areas of the city (Port-Harcourt city and Obio/Akpor LGAs) using structured questionnaire. Data collected were subjected to percentage, mean, standard deviation, t-test and chi-square statistical analyses. Findings revealed that Port-Harcourt city residents from the sampled zones are aware of solid waste management problems in their environment but possessed poor waste management practices. The study showed that the propensity for solid waste management practices differed by background (sex, social class and age) of residents. Significant relationships were observed between respondents’ sex, age and social class and their level of awareness, knowledge and practices of solid waste management. This research therefore recommends among others: sensitization of Port-Harcourt city residents on the dangers of poor solid waste management, provision of near-by solid waste coll…","author":[{"dropping-particle":"","family":"Agwu","given":"M.","non-dropping-particle":"","parse-names":false,"suffix":""}],"container-title":"American Journal of Social and Management Sciences","id":"ITEM-1","issue":"2","issued":{"date-parts":[["2012"]]},"page":"83-92","title":"Issues and Challenges of Solid Waste Management Practices in Port-Harcourt City, Nigeria- a behavioural perspective","type":"article-journal","volume":"3"},"uris":["http://www.mendeley.com/documents/?uuid=8cd86e03-a788-458a-ab36-ec7833265a7d"]}],"mendeley":{"formattedCitation":"(Agwu, 2012)","manualFormatting":"Agwu (2012)","plainTextFormattedCitation":"(Agwu, 2012)","previouslyFormattedCitation":"(Agwu, 2012)"},"properties":{"noteIndex":0},"schema":"https://github.com/citation-style-language/schema/raw/master/csl-citation.json"}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Agwu (2012)</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found significant relationships between respondents’ sex, age, and social class and their level of awareness, knowledge, and practices of solid waste management in Port Harcourt City, Nigeria. Additionally,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{"citationItems":[{"id":"ITEM-1","itemData":{"DOI":"10.1007/s10668-016-9821-8","ISSN":"15732975","abstract":"With the aim being to have an integrated and efficient management system, Malaysia is currently facing a remarkable waste issue with a massive increase in waste generated per day. This study collected 400 survey responses to assess the satisfaction and awareness of households about various issues of solid waste management. This study revealed that the majority of the respondents were satisfied with their waste management services. However, there was concern about providing a more diverse waste management facility. This study found a strong positive relationship between age and waste reduction behaviours. The majority of the respondents agreed that their lifestyle affected waste minimisation. Almost half of the respondents indicated that they lacked knowledge to practise waste sorting. Age and education were positively correlated to reuse and recycling behaviours. Overall, a holistic waste management education is vital for Malaysia to build an efficient waste management system.","author":[{"dropping-particle":"","family":"Choon","given":"Shay Wei","non-dropping-particle":"","parse-names":false,"suffix":""},{"dropping-particle":"","family":"Tan","given":"Siow Hooi","non-dropping-particle":"","parse-names":false,"suffix":""},{"dropping-particle":"","family":"Chong","given":"Lee Lee","non-dropping-particle":"","parse-names":false,"suffix":""}],"container-title":"Environment, Development and Sustainability","id":"ITEM-1","issue":"5","issued":{"date-parts":[["2017"]]},"page":"1685-1700","publisher":"Springer Netherlands","title":"The perception of households about solid waste management issues in Malaysia","type":"article-journal","volume":"19"},"uris":["http://www.mendeley.com/documents/?uuid=905db283-d070-40df-bee4-4416e3a6d03a"]}],"mendeley":{"formattedCitation":"(Choon et al., 2017)","manualFormatting":"Choon et al. (2017)","plainTextFormattedCitation":"(Choon et al., 2017)","previouslyFormattedCitation":"(Choon et al., 2017)"},"properties":{"noteIndex":0},"schema":"https://github.com/citation-style-language/schema/raw/master/csl-citation.json"}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Choon et al. (2017)</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found a strong positive relationship between age and solid waste management behaviour in Malaysia.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-1","issue":"2","issued":{"date-parts":[["2018"]]},"page":"123-131","title":"Knowledge , attitude and practice of municipal solid waste management among highland residents in","type":"article-journal","volume":"32"},"uris":["http://www.mendeley.com/documents/?uuid=04e8b346-feaf-4fc3-8334-624a7ca0d29c"]}],"mendeley":{"formattedCitation":"(Laor et al., 2018)","manualFormatting":"Laor et al. (2018)","plainTextFormattedCitation":"(Laor et al., 2018)","previouslyFormattedCitation":"(Laor et al., 2018)"},"properties":{"noteIndex":0},"schema":"https://github.com/citation-style-language/schema/raw/master/csl-citation.json"}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Laor et al. (2018)</w:t>
      </w:r>
      <w:r>
        <w:rPr>
          <w:rFonts w:hAnsi="Times New Roman" w:ascii="Times New Roman" w:eastAsia="Calibri" w:cs="Times New Roman"/>
          <w:bCs/>
          <w:sz w:val="24"/>
          <w:szCs w:val="24"/>
        </w:rPr>
        <w:fldChar w:fldCharType="end"/>
      </w:r>
      <w:r>
        <w:rPr>
          <w:rFonts w:hAnsi="Times New Roman" w:ascii="Times New Roman" w:eastAsia="Calibri" w:cs="Times New Roman"/>
          <w:b w:val="0"/>
          <w:bCs/>
          <w:i w:val="0"/>
          <w:strike w:val="0"/>
          <w:dstrike w:val="0"/>
          <w:emboss w:val="0"/>
          <w:imprint w:val="0"/>
          <w:outline w:val="0"/>
          <w:shadow w:val="0"/>
          <w:sz w:val="24"/>
          <w:szCs w:val="24"/>
          <w:u w:val="none"/>
        </w:rPr>
        <w:t xml:space="preserve"> discovered that age, marital status and education level were statistically significant associated with residents’ practice on solid waste management in Northern Thailand. </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When conducting a correlation analysis between residents' knowledge, attitude, and practice of SWM, the results indicated that there is a weak linear positive relationship between residents' knowledge and their attitude towards waste disposal (coefficient = 0.357, p-value = 0.000). Similarly, this study found a weak linear positive association between residents' knowledge and solid waste management practices. However, this study found no significant association between residents' attitudes and practices.</w:t>
      </w:r>
    </w:p>
    <w:p>
      <w:pPr>
        <w:spacing w:line="480" w:lineRule="auto"/>
        <w:ind w:left="720"/>
        <w:jc w:val="both"/>
        <w:rPr>
          <w:rFonts w:hAnsi="Times New Roman" w:ascii="Times New Roman" w:eastAsia="Calibri" w:cs="Times New Roman"/>
          <w:sz w:val="24"/>
          <w:szCs w:val="24"/>
        </w:rPr>
        <w:sectPr w:rsidR="00455D00" w:rsidRPr="00136D7B" w:rsidSect="004A300E">
          <w:pgSz w:w="12240" w:h="15840"/>
          <w:pgMar w:top="1440" w:right="1440" w:bottom="1440" w:left="1440" w:header="720" w:footer="720"/>
          <w:cols w:space="720"/>
        </w:sectPr>
      </w:pPr>
      <w:r>
        <w:rPr>
          <w:rFonts w:hAnsi="Times New Roman" w:ascii="Times New Roman" w:eastAsia="Calibri" w:cs="Times New Roman"/>
          <w:b w:val="0"/>
          <w:i w:val="0"/>
          <w:strike w:val="0"/>
          <w:dstrike w:val="0"/>
          <w:emboss w:val="0"/>
          <w:imprint w:val="0"/>
          <w:outline w:val="0"/>
          <w:shadow w:val="0"/>
          <w:sz w:val="24"/>
          <w:szCs w:val="24"/>
          <w:u w:val="none"/>
        </w:rPr>
        <w:t xml:space="preserve">Overall, the results suggest that residents' knowledge of SWM significantly increases their likelihood of attitude towards SWM by 12.74% and practice of SWM by 1.77% at the 95% confidence level. However, although residents' attitudes towards SWM increased their likelihood of SWM practice by 0.9% at the 95% confidence level, this was not statistically significant. The study, therefore, confirmed that there is a linear relationship between residents’ knowledge, attitude, and practice of SWM in the Mangu community. Similarly, </w:t>
      </w:r>
      <w:r>
        <w:rPr>
          <w:rFonts w:hAnsi="Times New Roman" w:ascii="Times New Roman" w:eastAsia="Calibri" w:cs="Times New Roman"/>
          <w:bCs/>
          <w:sz w:val="24"/>
          <w:szCs w:val="24"/>
        </w:rPr>
        <w:fldChar w:fldCharType="begin"/>
      </w:r>
      <w:r>
        <w:rPr>
          <w:rFonts w:hAnsi="Times New Roman" w:ascii="Times New Roman" w:eastAsia="Calibri" w:cs="Times New Roman"/>
          <w:bCs/>
          <w:sz w:val="24"/>
          <w:szCs w:val="24"/>
        </w:rPr>
        <w:instrText xml:space="preserve">ADDIN CSL_CITATION {"citationItems":[{"id":"ITEM-1","itemData":{"DOI":"10.1108/JHR-01-2018-013","author":[{"dropping-particle":"","family":"Laor","given":"Pussadee","non-dropping-particle":"","parse-names":false,"suffix":""},{"dropping-particle":"","family":"Suma","given":"Yanasinee","non-dropping-particle":"","parse-names":false,"suffix":""},{"dropping-particle":"","family":"Keawdounglek","given":"Vivat","non-dropping-particle":"","parse-names":false,"suffix":""},{"dropping-particle":"","family":"Hongtong","given":"Anuttara","non-dropping-particle":"","parse-names":false,"suffix":""},{"dropping-particle":"","family":"Apidechkul","given":"Tawatchai","non-dropping-particle":"","parse-names":false,"suffix":""},{"dropping-particle":"","family":"Pasukphum","given":"Nittaya","non-dropping-particle":"","parse-names":false,"suffix":""}],"id":"ITEM-1","issue":"2","issued":{"date-parts":[["2018"]]},"page":"123-131","title":"Knowledge , attitude and practice of municipal solid waste management among highland residents in","type":"article-journal","volume":"32"},"uris":["http://www.mendeley.com/documents/?uuid=04e8b346-feaf-4fc3-8334-624a7ca0d29c"]}],"mendeley":{"formattedCitation":"(Laor et al., 2018)","manualFormatting":"Laor et al. 2018)","plainTextFormattedCitation":"(Laor et al., 2018)","previouslyFormattedCitation":"(Laor et al., 2018)"},"properties":{"noteIndex":0},"schema":"https://github.com/citation-style-language/schema/raw/master/csl-citation.json"}</w:instrText>
      </w:r>
      <w:r>
        <w:rPr>
          <w:rFonts w:hAnsi="Times New Roman" w:ascii="Times New Roman" w:eastAsia="Calibri" w:cs="Times New Roman"/>
          <w:bCs/>
          <w:sz w:val="24"/>
          <w:szCs w:val="24"/>
        </w:rPr>
        <w:fldChar w:fldCharType="separate"/>
      </w:r>
      <w:r>
        <w:rPr>
          <w:rFonts w:hAnsi="Times New Roman" w:ascii="Times New Roman" w:eastAsia="Calibri" w:cs="Times New Roman"/>
          <w:b w:val="0"/>
          <w:bCs/>
          <w:i w:val="0"/>
          <w:strike w:val="0"/>
          <w:dstrike w:val="0"/>
          <w:emboss w:val="0"/>
          <w:imprint w:val="0"/>
          <w:outline w:val="0"/>
          <w:shadow w:val="0"/>
          <w:sz w:val="24"/>
          <w:szCs w:val="24"/>
          <w:u w:val="none"/>
        </w:rPr>
        <w:t xml:space="preserve">Laor et al. (2018)</w:t>
      </w:r>
      <w:r>
        <w:rPr>
          <w:rFonts w:hAnsi="Times New Roman" w:ascii="Times New Roman" w:eastAsia="Calibri" w:cs="Times New Roman"/>
          <w:bCs/>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observed a positive statistically significant association between knowledge and practice, attitude, and practice, whereas knowledge and attitude had no correlation with Municipal solid waste management in Northern Thailand. Thus, respondents who had good knowledge also had good practices, and those who had good attitudes had good practices regarding solid waste management. </w:t>
      </w:r>
      <w:r>
        <w:rPr>
          <w:rFonts w:hAnsi="Times New Roman" w:ascii="Times New Roman" w:eastAsia="Calibri" w:cs="Times New Roman"/>
          <w:sz w:val="24"/>
          <w:szCs w:val="24"/>
        </w:rPr>
        <w:fldChar w:fldCharType="begin"/>
      </w:r>
      <w:r>
        <w:rPr>
          <w:rFonts w:hAnsi="Times New Roman" w:ascii="Times New Roman" w:eastAsia="Calibri" w:cs="Times New Roman"/>
          <w:sz w:val="24"/>
          <w:szCs w:val="24"/>
        </w:rPr>
        <w:instrText xml:space="preserve">ADDIN CSL_CITATION {"citationItems":[{"id":"ITEM-1","itemData":{"abstract":"One hundred village residents of San Lorenzo South in Sta. Rosa City,\\nLaguna were surveyed to determine their knowledge, attitudes and\\npractices (KAP) on solid waste management, their preferred information\\nsources and feedback system. Premised on the Theory of Reasoned Action\\nby Fishbein and Azjen (1975) and behavior change models, the study\\ndetermined the relationship of the independent variables (age, gender,\\neducation, income) with the dependent variables (knowledge, attitude,\\npractice or KAP) and between KAP as variables using the Pearson's\\ncorrelation test. Relationships were tested at 0.1 and 0.5 levels of\\nsignificance. One way ANOVA was used to test the significance of the\\nmeans and t-test for independent means as post hoc test.\\nMajority of the respondents were middle aged, female, college graduates,\\nand earned zero to low-income. Their knowledge was positively related to\\neducation, income and age; attitude was positively related to education\\nand income; knowledge was the only variable correlated to practice.\\nOther factors were found to make people act.\\nEffective interpersonal communication channels for village-level SWM\\nwere barangay officials, government workers, homeowners' association\\nofficials, or seminars/trainings. For media, cable television channels\\nmust be explored. Various development communication strategies were\\ndrawn for SOW campaigns to sustain favorable behavior.","author":[{"dropping-particle":"V","family":"Tatlonghari","given":"Rosario","non-dropping-particle":"","parse-names":false,"suffix":""},{"dropping-particle":"","family":"Jamias","given":"Serlie B","non-dropping-particle":"","parse-names":false,"suffix":""}],"id":"ITEM-1","issue":"December 2005","issued":{"date-parts":[["2010"]]},"page":"35-51","title":"Village-Level Knowledge , Attitudes and Practices on Solid Waste Management in Sta . Rosa City , Laguna , Philippines","type":"article-journal","volume":"13"},"uris":["http://www.mendeley.com/documents/?uuid=c0b4d96b-1547-4e33-9fa9-efd303454f86"]}],"mendeley":{"formattedCitation":"(Tatlonghari &amp; Jamias, 2010)","manualFormatting":"Tatlonghari and Jamias (2010)","plainTextFormattedCitation":"(Tatlonghari &amp; Jamias, 2010)","previouslyFormattedCitation":"(Tatlonghari &amp; Jamias, 2010)"},"properties":{"noteIndex":0},"schema":"https://github.com/citation-style-language/schema/raw/master/csl-citation.json"}</w:instrText>
      </w:r>
      <w:r>
        <w:rPr>
          <w:rFonts w:hAnsi="Times New Roman" w:ascii="Times New Roman" w:eastAsia="Calibri" w:cs="Times New Roman"/>
          <w:sz w:val="24"/>
          <w:szCs w:val="24"/>
        </w:rPr>
        <w:fldChar w:fldCharType="separate"/>
      </w:r>
      <w:r>
        <w:rPr>
          <w:rFonts w:hAnsi="Times New Roman" w:ascii="Times New Roman" w:eastAsia="Calibri" w:cs="Times New Roman"/>
          <w:b w:val="0"/>
          <w:i w:val="0"/>
          <w:strike w:val="0"/>
          <w:dstrike w:val="0"/>
          <w:emboss w:val="0"/>
          <w:imprint w:val="0"/>
          <w:outline w:val="0"/>
          <w:shadow w:val="0"/>
          <w:sz w:val="24"/>
          <w:szCs w:val="24"/>
          <w:u w:val="none"/>
        </w:rPr>
        <w:t xml:space="preserve">Tatlonghari and Jamias (2010)</w:t>
      </w:r>
      <w:r>
        <w:rPr>
          <w:rFonts w:hAnsi="Times New Roman" w:ascii="Times New Roman" w:eastAsia="Calibri" w:cs="Times New Roman"/>
          <w:sz w:val="24"/>
          <w:szCs w:val="24"/>
        </w:rPr>
        <w:fldChar w:fldCharType="end"/>
      </w:r>
      <w:r>
        <w:rPr>
          <w:rFonts w:hAnsi="Times New Roman" w:ascii="Times New Roman" w:eastAsia="Calibri" w:cs="Times New Roman"/>
          <w:b w:val="0"/>
          <w:i w:val="0"/>
          <w:strike w:val="0"/>
          <w:dstrike w:val="0"/>
          <w:emboss w:val="0"/>
          <w:imprint w:val="0"/>
          <w:outline w:val="0"/>
          <w:shadow w:val="0"/>
          <w:sz w:val="24"/>
          <w:szCs w:val="24"/>
          <w:u w:val="none"/>
        </w:rPr>
        <w:t xml:space="preserve"> also found a positive correlation between knowledge and practice of solid waste management in Sta. Rosa City, Philippines. Thus, respondents with higher knowledge had a higher practice of solid waste management. This implies that there is a linear relationship between residents’ knowledge, attitudes, and practices (KAP) of solid waste management, as conceptualised in this study.</w:t>
      </w:r>
    </w:p>
    <w:p>
      <w:pPr>
        <w:pStyle w:val="Heading1"/>
        <w:ind w:left="720"/>
        <w:rPr>
          <w:rFonts w:eastAsia="Calibri"/>
        </w:rPr>
      </w:pPr>
      <w:bookmarkStart w:id="101" w:name="_Toc147923091"/>
      <w:r>
        <w:rPr>
          <w:rFonts w:ascii="Times New Roman" w:eastAsia="Calibri"/>
          <w:b/>
          <w:i w:val="0"/>
          <w:strike w:val="0"/>
          <w:dstrike w:val="0"/>
          <w:emboss w:val="0"/>
          <w:imprint w:val="0"/>
          <w:outline w:val="0"/>
          <w:shadow w:val="0"/>
          <w:sz w:val="24"/>
          <w:szCs w:val="24"/>
          <w:u w:val="none"/>
        </w:rPr>
        <w:lastRenderedPageBreak/>
        <w:t xml:space="preserve">CHAPTER FIVE</w:t>
      </w:r>
      <w:bookmarkEnd w:id="101"/>
    </w:p>
    <w:p>
      <w:pPr>
        <w:pStyle w:val="Heading1"/>
        <w:ind w:left="720"/>
        <w:jc w:val="left"/>
        <w:rPr>
          <w:rFonts w:eastAsia="Calibri"/>
        </w:rPr>
      </w:pPr>
      <w:bookmarkStart w:id="102" w:name="_Toc147923092"/>
      <w:r>
        <w:rPr>
          <w:rFonts w:ascii="Times New Roman" w:eastAsia="Calibri"/>
          <w:b/>
          <w:i w:val="0"/>
          <w:strike w:val="0"/>
          <w:dstrike w:val="0"/>
          <w:emboss w:val="0"/>
          <w:imprint w:val="0"/>
          <w:outline w:val="0"/>
          <w:shadow w:val="0"/>
          <w:sz w:val="24"/>
          <w:szCs w:val="24"/>
          <w:u w:val="none"/>
        </w:rPr>
        <w:t xml:space="preserve">SUMMARY OF FINDINGS, CONCLUSION AND RECOMMENDATIONS</w:t>
      </w:r>
      <w:bookmarkEnd w:id="102"/>
    </w:p>
    <w:p>
      <w:pPr>
        <w:pStyle w:val="Heading2"/>
        <w:spacing w:line="480" w:lineRule="auto"/>
        <w:ind w:left="720"/>
        <w:rPr>
          <w:rFonts w:eastAsia="Calibri"/>
        </w:rPr>
      </w:pPr>
      <w:bookmarkStart w:id="103" w:name="_Toc147923093"/>
      <w:r>
        <w:rPr>
          <w:rFonts w:ascii="Times New Roman" w:eastAsia="Calibri"/>
          <w:b/>
          <w:i w:val="0"/>
          <w:strike w:val="0"/>
          <w:dstrike w:val="0"/>
          <w:emboss w:val="0"/>
          <w:imprint w:val="0"/>
          <w:outline w:val="0"/>
          <w:shadow w:val="0"/>
          <w:sz w:val="24"/>
          <w:szCs w:val="24"/>
          <w:u w:val="none"/>
        </w:rPr>
        <w:t xml:space="preserve">5.1 Introduction</w:t>
      </w:r>
      <w:bookmarkEnd w:id="103"/>
    </w:p>
    <w:p>
      <w:pPr>
        <w:spacing w:line="480" w:lineRule="auto"/>
        <w:ind w:left="720"/>
        <w:jc w:val="both"/>
        <w:rPr>
          <w:rFonts w:hAnsi="Times New Roman" w:ascii="Times New Roman" w:eastAsia="Calibri" w:cs="Times New Roman"/>
          <w:bCs/>
          <w:sz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The purpose of this study was to answer the following research objectives: knowledge, attitudes, and practices of residents regarding solid waste management in the Mangu community. The study extracted its theoretical rationale from the KAP model, which suggests that there is a linear relationship between knowledge, attitude, and practice in a given behavioural study. Therefore, this study compiled its results to answer the research questions posed in the first chapter.</w:t>
      </w:r>
    </w:p>
    <w:p>
      <w:pPr>
        <w:pStyle w:val="Heading2"/>
        <w:spacing w:line="480" w:lineRule="auto"/>
        <w:ind w:left="720"/>
        <w:rPr>
          <w:rFonts w:eastAsia="Calibri"/>
        </w:rPr>
      </w:pPr>
      <w:bookmarkStart w:id="104" w:name="_Toc147923094"/>
      <w:r>
        <w:rPr>
          <w:rFonts w:ascii="Times New Roman" w:eastAsia="Calibri"/>
          <w:b/>
          <w:i w:val="0"/>
          <w:strike w:val="0"/>
          <w:dstrike w:val="0"/>
          <w:emboss w:val="0"/>
          <w:imprint w:val="0"/>
          <w:outline w:val="0"/>
          <w:shadow w:val="0"/>
          <w:sz w:val="24"/>
          <w:szCs w:val="24"/>
          <w:u w:val="none"/>
        </w:rPr>
        <w:t xml:space="preserve">5.2 Summary of major Findings</w:t>
      </w:r>
      <w:bookmarkEnd w:id="104"/>
    </w:p>
    <w:p>
      <w:pPr>
        <w:pStyle w:val="Heading2"/>
        <w:spacing w:line="480" w:lineRule="auto"/>
        <w:ind w:left="720"/>
        <w:rPr>
          <w:rFonts w:eastAsia="Calibri"/>
        </w:rPr>
      </w:pPr>
      <w:bookmarkStart w:id="105" w:name="_Toc147923095"/>
      <w:r>
        <w:rPr>
          <w:rFonts w:ascii="Times New Roman" w:eastAsia="Calibri"/>
          <w:b/>
          <w:i w:val="0"/>
          <w:strike w:val="0"/>
          <w:dstrike w:val="0"/>
          <w:emboss w:val="0"/>
          <w:imprint w:val="0"/>
          <w:outline w:val="0"/>
          <w:shadow w:val="0"/>
          <w:sz w:val="24"/>
          <w:szCs w:val="24"/>
          <w:u w:val="none"/>
        </w:rPr>
        <w:t xml:space="preserve">5.2.1 Knowledge of Solid Waste Management (SWM)</w:t>
      </w:r>
      <w:bookmarkEnd w:id="105"/>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The first research question was: </w:t>
      </w:r>
      <w:r>
        <w:rPr>
          <w:highlight w:val="yellow"/>
          <w:rFonts w:hAnsi="Times New Roman" w:ascii="Times New Roman" w:eastAsia="Calibri" w:cs="Times New Roman"/>
          <w:b w:val="0"/>
          <w:bCs/>
          <w:i w:val="0"/>
          <w:strike w:val="0"/>
          <w:dstrike w:val="0"/>
          <w:emboss w:val="0"/>
          <w:imprint w:val="0"/>
          <w:outline w:val="0"/>
          <w:shadow w:val="0"/>
          <w:sz w:val="24"/>
          <w:szCs w:val="24"/>
          <w:u w:val="none"/>
        </w:rPr>
        <w:t xml:space="preserve">How has residents’ knowledge influence solid waste management in Mangu?</w:t>
      </w:r>
      <w:r>
        <w:rPr>
          <w:rFonts w:hAnsi="Times New Roman" w:ascii="Times New Roman" w:eastAsia="Calibri" w:cs="Times New Roman"/>
          <w:b w:val="0"/>
          <w:bCs/>
          <w:i w:val="0"/>
          <w:strike w:val="0"/>
          <w:dstrike w:val="0"/>
          <w:emboss w:val="0"/>
          <w:imprint w:val="0"/>
          <w:outline w:val="0"/>
          <w:shadow w:val="0"/>
          <w:sz w:val="24"/>
          <w:szCs w:val="24"/>
          <w:u w:val="none"/>
        </w:rPr>
        <w:t xml:space="preserve"> The results show that just over half of the residents had good knowledge of solid waste management (SWM). Regarding the source of residents’ good knowledge of SWM, the study found that more of the residents had knowledge of SWM from traditional media. With regard to the association between residents' socio-demographics and knowledge of SWM, the study found that their occupation had a statistically significant association with their knowledge of SWM. However, the results showed that gender, age group, marital status, length of stay in the community, number of children and people living in the household, and income of the residents were not significant factors associated with their knowledge of SWM). </w:t>
      </w:r>
    </w:p>
    <w:p>
      <w:pPr>
        <w:pStyle w:val="Heading2"/>
        <w:spacing w:line="480" w:lineRule="auto"/>
        <w:ind w:left="720"/>
        <w:rPr>
          <w:rFonts w:eastAsia="Calibri"/>
        </w:rPr>
      </w:pPr>
      <w:bookmarkStart w:id="106" w:name="_Toc147923096"/>
      <w:r>
        <w:rPr>
          <w:rFonts w:ascii="Times New Roman" w:eastAsia="Calibri"/>
          <w:b/>
          <w:i w:val="0"/>
          <w:strike w:val="0"/>
          <w:dstrike w:val="0"/>
          <w:emboss w:val="0"/>
          <w:imprint w:val="0"/>
          <w:outline w:val="0"/>
          <w:shadow w:val="0"/>
          <w:sz w:val="24"/>
          <w:szCs w:val="24"/>
          <w:u w:val="none"/>
        </w:rPr>
        <w:lastRenderedPageBreak/>
        <w:t xml:space="preserve">5.2.2 Attitude towards Solid Waste Management (SWM)</w:t>
      </w:r>
      <w:bookmarkEnd w:id="106"/>
    </w:p>
    <w:p>
      <w:pPr>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Regarding the second research question: </w:t>
      </w:r>
      <w:r>
        <w:rPr>
          <w:highlight w:val="yellow"/>
          <w:rFonts w:hAnsi="Times New Roman" w:ascii="Times New Roman" w:eastAsia="Calibri" w:cs="Times New Roman"/>
          <w:b w:val="0"/>
          <w:i w:val="0"/>
          <w:strike w:val="0"/>
          <w:dstrike w:val="0"/>
          <w:emboss w:val="0"/>
          <w:imprint w:val="0"/>
          <w:outline w:val="0"/>
          <w:shadow w:val="0"/>
          <w:sz w:val="24"/>
          <w:szCs w:val="24"/>
          <w:u w:val="none"/>
        </w:rPr>
        <w:t xml:space="preserve">How has the attitude of residents in Mangu community influenced SWM?</w:t>
      </w:r>
      <w:r>
        <w:rPr>
          <w:rFonts w:hAnsi="Times New Roman" w:ascii="Times New Roman" w:eastAsia="Calibri" w:cs="Times New Roman"/>
          <w:b w:val="0"/>
          <w:i w:val="0"/>
          <w:strike w:val="0"/>
          <w:dstrike w:val="0"/>
          <w:emboss w:val="0"/>
          <w:imprint w:val="0"/>
          <w:outline w:val="0"/>
          <w:shadow w:val="0"/>
          <w:sz w:val="24"/>
          <w:szCs w:val="24"/>
          <w:u w:val="none"/>
        </w:rPr>
        <w:t xml:space="preserve"> </w:t>
      </w:r>
      <w:bookmarkStart w:id="107" w:name="_Hlk144506653"/>
      <w:r>
        <w:rPr>
          <w:rFonts w:hAnsi="Times New Roman" w:ascii="Times New Roman" w:eastAsia="Calibri" w:cs="Times New Roman"/>
          <w:b w:val="0"/>
          <w:i w:val="0"/>
          <w:strike w:val="0"/>
          <w:dstrike w:val="0"/>
          <w:emboss w:val="0"/>
          <w:imprint w:val="0"/>
          <w:outline w:val="0"/>
          <w:shadow w:val="0"/>
          <w:sz w:val="24"/>
          <w:szCs w:val="24"/>
          <w:u w:val="none"/>
        </w:rPr>
        <w:t xml:space="preserve">This study found that many residents had positive attitudes towards SWM compared to those who showed negative attitudes</w:t>
      </w:r>
      <w:bookmarkEnd w:id="107"/>
      <w:r>
        <w:rPr>
          <w:rFonts w:hAnsi="Times New Roman" w:ascii="Times New Roman" w:eastAsia="Calibri" w:cs="Times New Roman"/>
          <w:b w:val="0"/>
          <w:i w:val="0"/>
          <w:strike w:val="0"/>
          <w:dstrike w:val="0"/>
          <w:emboss w:val="0"/>
          <w:imprint w:val="0"/>
          <w:outline w:val="0"/>
          <w:shadow w:val="0"/>
          <w:sz w:val="24"/>
          <w:szCs w:val="24"/>
          <w:u w:val="none"/>
        </w:rPr>
        <w:t xml:space="preserve">. In terms of the association between residents' socio-demographics and attitudes toward SWM, the study found a statistically significant association between respondents' age, length of stay in the community, number of children living in a household, and occupation related to their attitude towards SWM. However, this study found that residents' gender, marital status, number of children, and average monthly income were not significantly associated with their attitudes toward SWM. </w:t>
      </w:r>
    </w:p>
    <w:p>
      <w:pPr>
        <w:pStyle w:val="Heading2"/>
        <w:spacing w:line="480" w:lineRule="auto"/>
        <w:ind w:left="720"/>
        <w:rPr>
          <w:rFonts w:eastAsia="Calibri"/>
        </w:rPr>
      </w:pPr>
      <w:bookmarkStart w:id="108" w:name="_Toc147923097"/>
      <w:r>
        <w:rPr>
          <w:rFonts w:ascii="Times New Roman" w:eastAsia="Calibri"/>
          <w:b/>
          <w:i w:val="0"/>
          <w:strike w:val="0"/>
          <w:dstrike w:val="0"/>
          <w:emboss w:val="0"/>
          <w:imprint w:val="0"/>
          <w:outline w:val="0"/>
          <w:shadow w:val="0"/>
          <w:sz w:val="24"/>
          <w:szCs w:val="24"/>
          <w:u w:val="none"/>
        </w:rPr>
        <w:t xml:space="preserve">5.2.3 Practice of Solid Waste Management (SWM)</w:t>
      </w:r>
      <w:bookmarkEnd w:id="108"/>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third research question was: </w:t>
      </w:r>
      <w:r>
        <w:rPr>
          <w:highlight w:val="yellow"/>
          <w:rFonts w:hAnsi="Times New Roman" w:ascii="Times New Roman" w:eastAsia="Calibri" w:cs="Times New Roman"/>
          <w:b w:val="0"/>
          <w:i w:val="0"/>
          <w:strike w:val="0"/>
          <w:dstrike w:val="0"/>
          <w:emboss w:val="0"/>
          <w:imprint w:val="0"/>
          <w:outline w:val="0"/>
          <w:shadow w:val="0"/>
          <w:sz w:val="24"/>
          <w:szCs w:val="24"/>
          <w:u w:val="none"/>
        </w:rPr>
        <w:t xml:space="preserve">What solid waste management practices are employed by residents of Mangu community?</w:t>
      </w:r>
      <w:r>
        <w:rPr>
          <w:rFonts w:hAnsi="Times New Roman" w:ascii="Times New Roman" w:eastAsia="Calibri" w:cs="Times New Roman"/>
          <w:b w:val="0"/>
          <w:i w:val="0"/>
          <w:strike w:val="0"/>
          <w:dstrike w:val="0"/>
          <w:emboss w:val="0"/>
          <w:imprint w:val="0"/>
          <w:outline w:val="0"/>
          <w:shadow w:val="0"/>
          <w:sz w:val="24"/>
          <w:szCs w:val="24"/>
          <w:u w:val="none"/>
        </w:rPr>
        <w:t xml:space="preserve"> The study found that more than half (57%) of the residents have good SWM practices, such as the use of R3 which includes the reduction, reuse, and recycling of solid waste by selling solid waste as scraps to make money, and segregating solid waste from liquid waste before disposal. </w:t>
      </w:r>
      <w:bookmarkStart w:id="109" w:name="_Hlk144508805"/>
      <w:r>
        <w:rPr>
          <w:rFonts w:hAnsi="Times New Roman" w:ascii="Times New Roman" w:eastAsia="Calibri" w:cs="Times New Roman"/>
          <w:b w:val="0"/>
          <w:i w:val="0"/>
          <w:strike w:val="0"/>
          <w:dstrike w:val="0"/>
          <w:emboss w:val="0"/>
          <w:imprint w:val="0"/>
          <w:outline w:val="0"/>
          <w:shadow w:val="0"/>
          <w:sz w:val="24"/>
          <w:szCs w:val="24"/>
          <w:u w:val="none"/>
        </w:rPr>
        <w:t xml:space="preserve">However, the results showed that the vast majority (98.9%) of residents transported solid waste from family members to open landfills, sometimes in gutters</w:t>
      </w:r>
      <w:bookmarkEnd w:id="109"/>
      <w:r>
        <w:rPr>
          <w:rFonts w:hAnsi="Times New Roman" w:ascii="Times New Roman" w:eastAsia="Calibri" w:cs="Times New Roman"/>
          <w:b w:val="0"/>
          <w:i w:val="0"/>
          <w:strike w:val="0"/>
          <w:dstrike w:val="0"/>
          <w:emboss w:val="0"/>
          <w:imprint w:val="0"/>
          <w:outline w:val="0"/>
          <w:shadow w:val="0"/>
          <w:sz w:val="24"/>
          <w:szCs w:val="24"/>
          <w:u w:val="none"/>
        </w:rPr>
        <w:t xml:space="preserve">. In terms of residents’ WTP for solid waste disposal, the study found that the majority (78%) of residents were unwilling to pay for solid waste disposal, compared to a small percentage (22%) who were willing to pay for solid waste disposal. With regard to establishing the association between socio-demographic characteristics and resident practices of SWM, Chi-square analysis showed that gender, age, marital status, education, length of residence in the community, number of children and people living in a household, income, and occupation of residents had no significant association with their SWM practice. </w:t>
      </w:r>
    </w:p>
    <w:p>
      <w:pPr>
        <w:spacing w:line="480" w:lineRule="auto"/>
        <w:ind w:left="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When conducting a correlation analysis between residents' knowledge, attitude, and practice of SWM, the results indicated that there is a weak linear positive relationship between residents' knowledge and their attitude towards waste disposal. Similarly, the study found a weak linear positive association between residents' knowledge and their practice of SWM. However, this study found no significant association between residents' attitudes and practices. </w:t>
      </w:r>
    </w:p>
    <w:p>
      <w:pPr>
        <w:spacing w:line="480" w:lineRule="auto"/>
        <w:ind w:left="720"/>
        <w:jc w:val="both"/>
        <w:rPr>
          <w:rFonts w:hAnsi="Times New Roman" w:ascii="Times New Roman" w:eastAsia="Calibri" w:cs="Times New Roman"/>
          <w:bCs/>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Overall, the results suggest that residents' knowledge of SWM significantly increases their likelihood of attitude towards SWM by 12.74% and practice of SWM by 1.77% at the 95% confidence level. However, although residents' attitudes towards SWM increased their likelihood of SWM practice by 0.9% at the 95% confidence level, this was not statistically significant. The study, therefore, confirmed that there is a linear relationship between residents’ knowledge, attitude, and practice of SWM in the Mangu community.</w:t>
      </w:r>
    </w:p>
    <w:p>
      <w:pPr>
        <w:pStyle w:val="Heading2"/>
        <w:spacing w:line="480" w:lineRule="auto"/>
        <w:ind w:left="720"/>
        <w:rPr>
          <w:rFonts w:eastAsia="Calibri"/>
        </w:rPr>
      </w:pPr>
      <w:bookmarkStart w:id="110" w:name="_Toc147923098"/>
      <w:r>
        <w:rPr>
          <w:rFonts w:ascii="Times New Roman" w:eastAsia="Calibri"/>
          <w:b/>
          <w:i w:val="0"/>
          <w:strike w:val="0"/>
          <w:dstrike w:val="0"/>
          <w:emboss w:val="0"/>
          <w:imprint w:val="0"/>
          <w:outline w:val="0"/>
          <w:shadow w:val="0"/>
          <w:sz w:val="24"/>
          <w:szCs w:val="24"/>
          <w:u w:val="none"/>
        </w:rPr>
        <w:t xml:space="preserve">5.3 Conclusion</w:t>
      </w:r>
      <w:bookmarkEnd w:id="110"/>
    </w:p>
    <w:p>
      <w:pPr>
        <w:tabs>
          <w:tab w:val="left" w:leader="none" w:pos="1605"/>
        </w:tabs>
        <w:spacing w:line="480" w:lineRule="auto"/>
        <w:ind w:left="720"/>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study found that residents had a good knowledge of the types of solid waste they generated. The study concludes that residents of the Mangu community have a positive knowledge of solid waste management. The results indicate that residents of the Mangu community have a positive attitude towards solid waste management (SWM). However, in practice, the results indicate that residents of the Mangu community exhibit poor SWM practices. This study found a linear relationship between residents’ knowledge, attitudes, and </w:t>
        <w:t xml:space="preserve">SWM practices. That is, an increase in residents’ knowledge of SWM increases their attitude toward and practice of solid waste management. The study, therefore, concluded that there is a linear relationship between knowledge, attitude, and practice of solid waste management. However, there was no significant relationship between residents’ attitudes and practices regarding solid waste management. This is a result of inadequate skip containers in the community and residents’ unwillingness to pay for solid-waste storage, collection, and final disposal services. Thus, </w:t>
        <w:t xml:space="preserve">much of the solid waste generated was indiscriminately disposed along valleys, drainage systems, and roadsides. The socio-demographic factor associated with KAP was occupation, which was significantly associated with knowledge of SWM. Gender, age, number of children and people living in the household, occupation, and length of stay in the community were also associated with residents' attitudes towards SWM. However, socio-demographic factors did not have a significant association with poor SWM practices in the Mangu community of Wa Municipality.</w:t>
      </w:r>
    </w:p>
    <w:p>
      <w:pPr>
        <w:pStyle w:val="Heading2"/>
        <w:spacing w:line="480" w:lineRule="auto"/>
        <w:ind w:left="720"/>
        <w:rPr>
          <w:rFonts w:eastAsia="Calibri"/>
        </w:rPr>
      </w:pPr>
      <w:bookmarkStart w:id="111" w:name="_Toc147923099"/>
      <w:r>
        <w:rPr>
          <w:rFonts w:ascii="Times New Roman" w:eastAsia="Calibri"/>
          <w:b/>
          <w:i w:val="0"/>
          <w:strike w:val="0"/>
          <w:dstrike w:val="0"/>
          <w:emboss w:val="0"/>
          <w:imprint w:val="0"/>
          <w:outline w:val="0"/>
          <w:shadow w:val="0"/>
          <w:sz w:val="24"/>
          <w:szCs w:val="24"/>
          <w:u w:val="none"/>
        </w:rPr>
        <w:t xml:space="preserve">5.4 Recommendations</w:t>
      </w:r>
      <w:bookmarkEnd w:id="111"/>
    </w:p>
    <w:p>
      <w:pPr>
        <w:tabs>
          <w:tab w:val="left" w:leader="none" w:pos="1605"/>
        </w:tabs>
        <w:spacing w:line="480" w:lineRule="auto"/>
        <w:ind w:left="720"/>
        <w:jc w:val="both"/>
        <w:rPr>
          <w:rFonts w:hAnsi="Times New Roman" w:ascii="Times New Roman" w:eastAsia="Calibri" w:cs="Times New Roman"/>
          <w:b/>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Based on the major findings of this study, the following recommendations are suggested for policy planners and policymakers to improve the knowledge, attitudes, and practices of solid waste management among residents of Mangu and the Municipality as a whole. </w:t>
      </w:r>
    </w:p>
    <w:p>
      <w:pPr>
        <w:numPr>
          <w:ilvl w:val="0"/>
          <w:numId w:val="10"/>
        </w:numPr>
        <w:tabs>
          <w:tab w:val="left" w:leader="none" w:pos="1605"/>
        </w:tabs>
        <w:spacing w:line="480" w:lineRule="auto"/>
        <w:ind w:left="1440"/>
        <w:contextualSpacing w:val="1"/>
        <w:jc w:val="both"/>
        <w:rPr>
          <w:rFonts w:hAnsi="Times New Roman" w:ascii="Times New Roman" w:eastAsia="Calibri" w:cs="Times New Roman"/>
          <w:b/>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The study found that just over half of the residents in the Mangu community had good knowledge of solid waste management (SWM). It is recommended that the Municipal Assembly organize community-wide outreach programs to promote and reinforce solid waste management knowledge. This includes awareness campaigns </w:t>
      </w:r>
      <w:r>
        <w:rPr>
          <w:highlight w:val="yellow"/>
          <w:rFonts w:hAnsi="Times New Roman" w:ascii="Times New Roman" w:eastAsia="Calibri" w:cs="Times New Roman"/>
          <w:b w:val="0"/>
          <w:bCs/>
          <w:i w:val="0"/>
          <w:strike w:val="0"/>
          <w:dstrike w:val="0"/>
          <w:emboss w:val="0"/>
          <w:imprint w:val="0"/>
          <w:outline w:val="0"/>
          <w:shadow w:val="0"/>
          <w:sz w:val="24"/>
          <w:szCs w:val="24"/>
          <w:u w:val="none"/>
        </w:rPr>
        <w:t xml:space="preserve">through radio broadcasting</w:t>
      </w:r>
      <w:r>
        <w:rPr>
          <w:rFonts w:hAnsi="Times New Roman" w:ascii="Times New Roman" w:eastAsia="Calibri" w:cs="Times New Roman"/>
          <w:b w:val="0"/>
          <w:bCs/>
          <w:i w:val="0"/>
          <w:strike w:val="0"/>
          <w:dstrike w:val="0"/>
          <w:emboss w:val="0"/>
          <w:imprint w:val="0"/>
          <w:outline w:val="0"/>
          <w:shadow w:val="0"/>
          <w:sz w:val="24"/>
          <w:szCs w:val="24"/>
          <w:u w:val="none"/>
        </w:rPr>
        <w:t xml:space="preserve">, door-to-door visits, and public events focused on waste reduction and recycling. By engaging the entire community, residents can learn from one another and share their knowledge and experience.</w:t>
      </w:r>
    </w:p>
    <w:p>
      <w:pPr>
        <w:numPr>
          <w:ilvl w:val="0"/>
          <w:numId w:val="10"/>
        </w:numPr>
        <w:tabs>
          <w:tab w:val="left" w:leader="none" w:pos="1605"/>
        </w:tabs>
        <w:spacing w:line="480" w:lineRule="auto"/>
        <w:ind w:left="1440"/>
        <w:contextualSpacing w:val="1"/>
        <w:jc w:val="both"/>
        <w:rPr>
          <w:rFonts w:hAnsi="Times New Roman" w:ascii="Times New Roman" w:eastAsia="Calibri" w:cs="Times New Roman"/>
          <w:b/>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This study found that many residents had positive attitudes towards SWM compared to those with negative attitudes. The researcher recommends implementing educational campaigns and awareness programs by the Municipal Assembly through local radio stations to get locals more knowledgeable about SWM. The EPA and Ghana Health Service should work together to provide accurate information and challenge misconceptions about the environmental and health impacts of improper waste disposal, thereby promoting positive attitudes among individuals.</w:t>
        <w:t xml:space="preserve"> This further enhances residents' knowledge and reinforces their positive attitudes.</w:t>
      </w:r>
    </w:p>
    <w:p>
      <w:pPr>
        <w:numPr>
          <w:ilvl w:val="0"/>
          <w:numId w:val="10"/>
        </w:numPr>
        <w:tabs>
          <w:tab w:val="left" w:leader="none" w:pos="1605"/>
        </w:tabs>
        <w:spacing w:line="480" w:lineRule="auto"/>
        <w:ind w:left="1440"/>
        <w:contextualSpacing w:val="1"/>
        <w:jc w:val="both"/>
        <w:rPr>
          <w:rFonts w:hAnsi="Times New Roman" w:ascii="Times New Roman" w:eastAsia="Calibri" w:cs="Times New Roman"/>
          <w:b/>
          <w:sz w:val="24"/>
          <w:szCs w:val="24"/>
        </w:rPr>
        <w:sectPr w:rsidR="00455D00" w:rsidRPr="00136D7B" w:rsidSect="004A300E">
          <w:pgSz w:w="12240" w:h="15840"/>
          <w:pgMar w:top="1440" w:right="1440" w:bottom="1440" w:left="1440" w:header="720" w:footer="720"/>
          <w:cols w:space="720"/>
        </w:sectPr>
      </w:pPr>
      <w:r>
        <w:rPr>
          <w:rFonts w:hAnsi="Times New Roman" w:ascii="Times New Roman" w:eastAsia="Calibri" w:cs="Times New Roman"/>
          <w:b w:val="0"/>
          <w:i w:val="0"/>
          <w:strike w:val="0"/>
          <w:dstrike w:val="0"/>
          <w:emboss w:val="0"/>
          <w:imprint w:val="0"/>
          <w:outline w:val="0"/>
          <w:shadow w:val="0"/>
          <w:sz w:val="24"/>
          <w:szCs w:val="24"/>
          <w:u w:val="none"/>
        </w:rPr>
        <w:t xml:space="preserve">The study found that more than half of the residents had good SWM practices, such as the use of R3 which includes the reduction, reuse, and recycling of solid waste by selling solid waste as scraps to make money and segregating solid waste from liquid waste before disposal. The results further showed that the vast majority of residents transported solid waste from family members to open landfills, sometimes in gutters. The researcher recommends that the Wa Municipal Assembly, in collaboration with ZoomLion’s Ghana Limited, should provide skip containers and 240 L bins to households for solid waste storage and collection to ensure that residents do not dispose of waste indiscriminately. In addition, the Municipal Assembly should re-institute compulsory monthly clean-up exercises that involve residents as a way of building their attitudes and practices of waste management.</w:t>
      </w:r>
    </w:p>
    <w:p>
      <w:pPr>
        <w:pStyle w:val="Heading1"/>
        <w:spacing w:before="0" w:line="480" w:lineRule="auto"/>
        <w:ind w:left="720"/>
        <w:rPr>
          <w:rFonts w:eastAsia="Calibri"/>
        </w:rPr>
      </w:pPr>
      <w:bookmarkStart w:id="112" w:name="_Toc147923100"/>
      <w:r>
        <w:rPr>
          <w:rFonts w:ascii="Times New Roman" w:eastAsia="Calibri"/>
          <w:b/>
          <w:i w:val="0"/>
          <w:strike w:val="0"/>
          <w:dstrike w:val="0"/>
          <w:emboss w:val="0"/>
          <w:imprint w:val="0"/>
          <w:outline w:val="0"/>
          <w:shadow w:val="0"/>
          <w:sz w:val="24"/>
          <w:szCs w:val="24"/>
          <w:u w:val="none"/>
        </w:rPr>
        <w:lastRenderedPageBreak/>
        <w:t xml:space="preserve">REFERENCES</w:t>
      </w:r>
      <w:bookmarkEnd w:id="112"/>
    </w:p>
    <w:p>
      <w:pPr>
        <w:spacing w:line="480" w:lineRule="auto"/>
        <w:ind w:left="960" w:hanging="480"/>
        <w:jc w:val="both"/>
        <w:rPr>
          <w:rFonts w:hAnsi="Times New Roman" w:ascii="Times New Roman" w:cs="Times New Roman"/>
          <w:sz w:val="24"/>
          <w:szCs w:val="24"/>
        </w:rPr>
      </w:pPr>
      <w:r>
        <w:rPr>
          <w:rFonts w:hAnsi="Times New Roman" w:ascii="Times New Roman" w:eastAsia="Calibri" w:cs="Times New Roman"/>
          <w:b/>
          <w:sz w:val="24"/>
          <w:szCs w:val="24"/>
        </w:rPr>
        <w:fldChar w:fldCharType="begin"/>
      </w:r>
      <w:r>
        <w:rPr>
          <w:rFonts w:hAnsi="Times New Roman" w:ascii="Times New Roman" w:eastAsia="Calibri" w:cs="Times New Roman"/>
          <w:b/>
          <w:sz w:val="24"/>
          <w:szCs w:val="24"/>
        </w:rPr>
        <w:instrText xml:space="preserve">ADDIN Mendeley Bibliography CSL_BIBLIOGRAPHY </w:instrText>
      </w:r>
      <w:r>
        <w:rPr>
          <w:rFonts w:hAnsi="Times New Roman" w:ascii="Times New Roman" w:eastAsia="Calibri" w:cs="Times New Roman"/>
          <w:b/>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Adeolu, A. T., Enesi, D. O., &amp; Adeolu, M. O. (2014). Assessment of Secondary School Students ’ Knowledge , Attitude and Practice towards Waste Management in Ibadan , Oyo State , Nigeria. </w:t>
      </w:r>
      <w:r>
        <w:rPr>
          <w:rFonts w:hAnsi="Times New Roman" w:ascii="Times New Roman" w:cs="Times New Roman"/>
          <w:b w:val="0"/>
          <w:i/>
          <w:iCs/>
          <w:strike w:val="0"/>
          <w:dstrike w:val="0"/>
          <w:emboss w:val="0"/>
          <w:imprint w:val="0"/>
          <w:outline w:val="0"/>
          <w:shadow w:val="0"/>
          <w:sz w:val="24"/>
          <w:szCs w:val="24"/>
          <w:u w:val="none"/>
        </w:rPr>
        <w:t xml:space="preserve">Journal of Research in Environmental Science and Toxicology</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3</w:t>
      </w:r>
      <w:r>
        <w:rPr>
          <w:rFonts w:hAnsi="Times New Roman" w:ascii="Times New Roman" w:cs="Times New Roman"/>
          <w:b w:val="0"/>
          <w:i w:val="0"/>
          <w:strike w:val="0"/>
          <w:dstrike w:val="0"/>
          <w:emboss w:val="0"/>
          <w:imprint w:val="0"/>
          <w:outline w:val="0"/>
          <w:shadow w:val="0"/>
          <w:sz w:val="24"/>
          <w:szCs w:val="24"/>
          <w:u w:val="none"/>
        </w:rPr>
        <w:t xml:space="preserve">(5), 66–73. https://doi.org/DOI: http:/dx.doi.org/10.14303/jrest.2014.021</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Adu-boahen, K., Atampugre, G., Antwi, K. B., &amp; Osman, A. (2014). </w:t>
      </w:r>
      <w:r>
        <w:rPr>
          <w:rFonts w:hAnsi="Times New Roman" w:ascii="Times New Roman" w:cs="Times New Roman"/>
          <w:b w:val="0"/>
          <w:i/>
          <w:iCs/>
          <w:strike w:val="0"/>
          <w:dstrike w:val="0"/>
          <w:emboss w:val="0"/>
          <w:imprint w:val="0"/>
          <w:outline w:val="0"/>
          <w:shadow w:val="0"/>
          <w:sz w:val="24"/>
          <w:szCs w:val="24"/>
          <w:u w:val="none"/>
        </w:rPr>
        <w:t xml:space="preserve">Waste management practices in Ghana : challenges and prospect , Jukwa Central Region</w:t>
      </w:r>
      <w:r>
        <w:rPr>
          <w:rFonts w:hAnsi="Times New Roman" w:ascii="Times New Roman" w:cs="Times New Roman"/>
          <w:b w:val="0"/>
          <w:i w:val="0"/>
          <w:strike w:val="0"/>
          <w:dstrike w:val="0"/>
          <w:emboss w:val="0"/>
          <w:imprint w:val="0"/>
          <w:outline w:val="0"/>
          <w:shadow w:val="0"/>
          <w:sz w:val="24"/>
          <w:szCs w:val="24"/>
          <w:u w:val="none"/>
        </w:rPr>
        <w:t xml:space="preserve">. January.</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Adzawla, W., Tahidu, A., Mustapha, S., &amp;Azumah, S. B. (2019). Do socioeconomic factors influence households ’ solid waste disposal systems ? Evidence from Ghana. </w:t>
      </w:r>
      <w:r>
        <w:rPr>
          <w:rFonts w:hAnsi="Times New Roman" w:ascii="Times New Roman" w:cs="Times New Roman"/>
          <w:b w:val="0"/>
          <w:i/>
          <w:iCs/>
          <w:strike w:val="0"/>
          <w:dstrike w:val="0"/>
          <w:emboss w:val="0"/>
          <w:imprint w:val="0"/>
          <w:outline w:val="0"/>
          <w:shadow w:val="0"/>
          <w:sz w:val="24"/>
          <w:szCs w:val="24"/>
          <w:u w:val="none"/>
        </w:rPr>
        <w:t xml:space="preserve">Waste Management &amp; Research 37(1) Supplemen</w:t>
      </w:r>
      <w:r>
        <w:rPr>
          <w:rFonts w:hAnsi="Times New Roman" w:ascii="Times New Roman" w:cs="Times New Roman"/>
          <w:b w:val="0"/>
          <w:i w:val="0"/>
          <w:strike w:val="0"/>
          <w:dstrike w:val="0"/>
          <w:emboss w:val="0"/>
          <w:imprint w:val="0"/>
          <w:outline w:val="0"/>
          <w:shadow w:val="0"/>
          <w:sz w:val="24"/>
          <w:szCs w:val="24"/>
          <w:u w:val="none"/>
        </w:rPr>
        <w:t xml:space="preserve">. https://doi.org/10.1177/0734242X18817717</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Agwu, M. (2012). Issues and Challenges of Solid Waste Management Practices in Port-Harcourt City, Nigeria- a behavioural perspective. </w:t>
      </w:r>
      <w:r>
        <w:rPr>
          <w:rFonts w:hAnsi="Times New Roman" w:ascii="Times New Roman" w:cs="Times New Roman"/>
          <w:b w:val="0"/>
          <w:i/>
          <w:iCs/>
          <w:strike w:val="0"/>
          <w:dstrike w:val="0"/>
          <w:emboss w:val="0"/>
          <w:imprint w:val="0"/>
          <w:outline w:val="0"/>
          <w:shadow w:val="0"/>
          <w:sz w:val="24"/>
          <w:szCs w:val="24"/>
          <w:u w:val="none"/>
        </w:rPr>
        <w:t xml:space="preserve">American Journal of Social and Management Sciences</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3</w:t>
      </w:r>
      <w:r>
        <w:rPr>
          <w:rFonts w:hAnsi="Times New Roman" w:ascii="Times New Roman" w:cs="Times New Roman"/>
          <w:b w:val="0"/>
          <w:i w:val="0"/>
          <w:strike w:val="0"/>
          <w:dstrike w:val="0"/>
          <w:emboss w:val="0"/>
          <w:imprint w:val="0"/>
          <w:outline w:val="0"/>
          <w:shadow w:val="0"/>
          <w:sz w:val="24"/>
          <w:szCs w:val="24"/>
          <w:u w:val="none"/>
        </w:rPr>
        <w:t xml:space="preserve">(2), 83–92. https://doi.org/10.5251/ajsms.2012.3.2.83.92</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Ajzen, I. (1991). The Theory of Planned Behavior. </w:t>
      </w:r>
      <w:r>
        <w:rPr>
          <w:rFonts w:hAnsi="Times New Roman" w:ascii="Times New Roman" w:cs="Times New Roman"/>
          <w:b w:val="0"/>
          <w:i/>
          <w:iCs/>
          <w:strike w:val="0"/>
          <w:dstrike w:val="0"/>
          <w:emboss w:val="0"/>
          <w:imprint w:val="0"/>
          <w:outline w:val="0"/>
          <w:shadow w:val="0"/>
          <w:sz w:val="24"/>
          <w:szCs w:val="24"/>
          <w:u w:val="none"/>
        </w:rPr>
        <w:t xml:space="preserve">Organizational Behaviour and Human Decision Processes</w:t>
      </w:r>
      <w:r>
        <w:rPr>
          <w:rFonts w:hAnsi="Times New Roman" w:ascii="Times New Roman" w:cs="Times New Roman"/>
          <w:b w:val="0"/>
          <w:i w:val="0"/>
          <w:strike w:val="0"/>
          <w:dstrike w:val="0"/>
          <w:emboss w:val="0"/>
          <w:imprint w:val="0"/>
          <w:outline w:val="0"/>
          <w:shadow w:val="0"/>
          <w:sz w:val="24"/>
          <w:szCs w:val="24"/>
          <w:u w:val="none"/>
        </w:rPr>
        <w:t xml:space="preserve">, 50(2),179-211. doi:101016/0749-5978(91)90020-T.</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Ajzen, I. (2020). </w:t>
      </w:r>
      <w:r>
        <w:rPr>
          <w:rFonts w:hAnsi="Times New Roman" w:ascii="Times New Roman" w:cs="Times New Roman"/>
          <w:b w:val="0"/>
          <w:i/>
          <w:iCs/>
          <w:strike w:val="0"/>
          <w:dstrike w:val="0"/>
          <w:emboss w:val="0"/>
          <w:imprint w:val="0"/>
          <w:outline w:val="0"/>
          <w:shadow w:val="0"/>
          <w:sz w:val="24"/>
          <w:szCs w:val="24"/>
          <w:u w:val="none"/>
        </w:rPr>
        <w:t xml:space="preserve">The theory of planned behavior : Frequently asked questions</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April</w:t>
      </w:r>
      <w:r>
        <w:rPr>
          <w:rFonts w:hAnsi="Times New Roman" w:ascii="Times New Roman" w:cs="Times New Roman"/>
          <w:b w:val="0"/>
          <w:i w:val="0"/>
          <w:strike w:val="0"/>
          <w:dstrike w:val="0"/>
          <w:emboss w:val="0"/>
          <w:imprint w:val="0"/>
          <w:outline w:val="0"/>
          <w:shadow w:val="0"/>
          <w:sz w:val="24"/>
          <w:szCs w:val="24"/>
          <w:u w:val="none"/>
        </w:rPr>
        <w:t xml:space="preserve">, 1–11. https://doi.org/10.1002/hbe2.195</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Al-khateeb, A. J., Al-sari, M. I., Al-Khatib, I. A., &amp; Anayah, F. (2017). Factors affecting the sustainability of solid waste management system — the case of Palestine. </w:t>
      </w:r>
      <w:r>
        <w:rPr>
          <w:rFonts w:hAnsi="Times New Roman" w:ascii="Times New Roman" w:cs="Times New Roman"/>
          <w:b w:val="0"/>
          <w:i/>
          <w:iCs/>
          <w:strike w:val="0"/>
          <w:dstrike w:val="0"/>
          <w:emboss w:val="0"/>
          <w:imprint w:val="0"/>
          <w:outline w:val="0"/>
          <w:shadow w:val="0"/>
          <w:sz w:val="24"/>
          <w:szCs w:val="24"/>
          <w:u w:val="none"/>
        </w:rPr>
        <w:t xml:space="preserve">Springer International Publishing Switzerland</w:t>
      </w:r>
      <w:r>
        <w:rPr>
          <w:rFonts w:hAnsi="Times New Roman" w:ascii="Times New Roman" w:cs="Times New Roman"/>
          <w:b w:val="0"/>
          <w:i w:val="0"/>
          <w:strike w:val="0"/>
          <w:dstrike w:val="0"/>
          <w:emboss w:val="0"/>
          <w:imprint w:val="0"/>
          <w:outline w:val="0"/>
          <w:shadow w:val="0"/>
          <w:sz w:val="24"/>
          <w:szCs w:val="24"/>
          <w:u w:val="none"/>
        </w:rPr>
        <w:t xml:space="preserve">. https://doi.org/10.1007/s10661-017-5810-0</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Alfaia, R. G. S. ., Costa, A. M., &amp; Campos, J. C. (2017). </w:t>
      </w:r>
      <w:r>
        <w:rPr>
          <w:rFonts w:hAnsi="Times New Roman" w:ascii="Times New Roman" w:cs="Times New Roman"/>
          <w:b w:val="0"/>
          <w:i/>
          <w:iCs/>
          <w:strike w:val="0"/>
          <w:dstrike w:val="0"/>
          <w:emboss w:val="0"/>
          <w:imprint w:val="0"/>
          <w:outline w:val="0"/>
          <w:shadow w:val="0"/>
          <w:sz w:val="24"/>
          <w:szCs w:val="24"/>
          <w:u w:val="none"/>
        </w:rPr>
        <w:t xml:space="preserve">Municipal solid waste in Brazil : A review</w:t>
      </w:r>
      <w:r>
        <w:rPr>
          <w:rFonts w:hAnsi="Times New Roman" w:ascii="Times New Roman" w:cs="Times New Roman"/>
          <w:b w:val="0"/>
          <w:i w:val="0"/>
          <w:strike w:val="0"/>
          <w:dstrike w:val="0"/>
          <w:emboss w:val="0"/>
          <w:imprint w:val="0"/>
          <w:outline w:val="0"/>
          <w:shadow w:val="0"/>
          <w:sz w:val="24"/>
          <w:szCs w:val="24"/>
          <w:u w:val="none"/>
        </w:rPr>
        <w:t xml:space="preserve">. https://doi.org/10.1177/0734242X17735375</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Alhassan, H., Adjei, P., &amp; Owusu-sekyere, E. (2020). Households ’ source separation behaviour and solid waste disposal options in Ghana ’ s Millennium City. </w:t>
      </w:r>
      <w:r>
        <w:rPr>
          <w:rFonts w:hAnsi="Times New Roman" w:ascii="Times New Roman" w:cs="Times New Roman"/>
          <w:b w:val="0"/>
          <w:i/>
          <w:iCs/>
          <w:strike w:val="0"/>
          <w:dstrike w:val="0"/>
          <w:emboss w:val="0"/>
          <w:imprint w:val="0"/>
          <w:outline w:val="0"/>
          <w:shadow w:val="0"/>
          <w:sz w:val="24"/>
          <w:szCs w:val="24"/>
          <w:u w:val="none"/>
        </w:rPr>
        <w:t xml:space="preserve">Journal of Environmental Management</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259</w:t>
      </w:r>
      <w:r>
        <w:rPr>
          <w:rFonts w:hAnsi="Times New Roman" w:ascii="Times New Roman" w:cs="Times New Roman"/>
          <w:b w:val="0"/>
          <w:i w:val="0"/>
          <w:strike w:val="0"/>
          <w:dstrike w:val="0"/>
          <w:emboss w:val="0"/>
          <w:imprint w:val="0"/>
          <w:outline w:val="0"/>
          <w:shadow w:val="0"/>
          <w:sz w:val="24"/>
          <w:szCs w:val="24"/>
          <w:u w:val="none"/>
        </w:rPr>
        <w:t xml:space="preserve">(August 2019), 110055. https://doi.org/10.1016/j.jenvman.2019.110055</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Almasi, A., Mohammadi, M., Azizi, A., Berizi, Z., Shamsi, K., Shahbazi, A., &amp;Mosavi, S. A. (2019). Assessing the knowledge, attitude and practice of the kermanshahi women towards reducing, recycling and re-using of municipal solid waste. </w:t>
      </w:r>
      <w:r>
        <w:rPr>
          <w:rFonts w:hAnsi="Times New Roman" w:ascii="Times New Roman" w:cs="Times New Roman"/>
          <w:b w:val="0"/>
          <w:i/>
          <w:iCs/>
          <w:strike w:val="0"/>
          <w:dstrike w:val="0"/>
          <w:emboss w:val="0"/>
          <w:imprint w:val="0"/>
          <w:outline w:val="0"/>
          <w:shadow w:val="0"/>
          <w:sz w:val="24"/>
          <w:szCs w:val="24"/>
          <w:u w:val="none"/>
        </w:rPr>
        <w:t xml:space="preserve">Resources, Conservation and Recycling</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141</w:t>
      </w:r>
      <w:r>
        <w:rPr>
          <w:rFonts w:hAnsi="Times New Roman" w:ascii="Times New Roman" w:cs="Times New Roman"/>
          <w:b w:val="0"/>
          <w:i w:val="0"/>
          <w:strike w:val="0"/>
          <w:dstrike w:val="0"/>
          <w:emboss w:val="0"/>
          <w:imprint w:val="0"/>
          <w:outline w:val="0"/>
          <w:shadow w:val="0"/>
          <w:sz w:val="24"/>
          <w:szCs w:val="24"/>
          <w:u w:val="none"/>
        </w:rPr>
        <w:t xml:space="preserve">(October 2018), 329–338. https://doi.org/10.1016/j.resconrec.2018.10.017</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Ampofo, S., Sackey, I., Daanaa, L., &amp;Kusibu, M. M. (2022). </w:t>
      </w:r>
      <w:r>
        <w:rPr>
          <w:rFonts w:hAnsi="Times New Roman" w:ascii="Times New Roman" w:cs="Times New Roman"/>
          <w:b w:val="0"/>
          <w:i/>
          <w:iCs/>
          <w:strike w:val="0"/>
          <w:dstrike w:val="0"/>
          <w:emboss w:val="0"/>
          <w:imprint w:val="0"/>
          <w:outline w:val="0"/>
          <w:shadow w:val="0"/>
          <w:sz w:val="24"/>
          <w:szCs w:val="24"/>
          <w:u w:val="none"/>
        </w:rPr>
        <w:t xml:space="preserve">Journal of Wastes and Biomass Management multi-criteria assessment ( mca ) and selection of a solid waste disposal site within Wa Municipality , Upper West Region , Ghana</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4</w:t>
      </w:r>
      <w:r>
        <w:rPr>
          <w:rFonts w:hAnsi="Times New Roman" w:ascii="Times New Roman" w:cs="Times New Roman"/>
          <w:b w:val="0"/>
          <w:i w:val="0"/>
          <w:strike w:val="0"/>
          <w:dstrike w:val="0"/>
          <w:emboss w:val="0"/>
          <w:imprint w:val="0"/>
          <w:outline w:val="0"/>
          <w:shadow w:val="0"/>
          <w:sz w:val="24"/>
          <w:szCs w:val="24"/>
          <w:u w:val="none"/>
        </w:rPr>
        <w:t xml:space="preserve">(2), 83–91. https://doi.org/10.26480/jwbm.02.2022.</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Babaei, A. A., Alavi, N., Goudarzi, G., Teymouri, P., Ahmadi, K., &amp; Rafiee, M. (2015). Household recycling knowledge, attitudes and practices towards solid waste management. </w:t>
      </w:r>
      <w:r>
        <w:rPr>
          <w:rFonts w:hAnsi="Times New Roman" w:ascii="Times New Roman" w:cs="Times New Roman"/>
          <w:b w:val="0"/>
          <w:i/>
          <w:iCs/>
          <w:strike w:val="0"/>
          <w:dstrike w:val="0"/>
          <w:emboss w:val="0"/>
          <w:imprint w:val="0"/>
          <w:outline w:val="0"/>
          <w:shadow w:val="0"/>
          <w:sz w:val="24"/>
          <w:szCs w:val="24"/>
          <w:u w:val="none"/>
        </w:rPr>
        <w:t xml:space="preserve">Resources, Conservation and Recycling</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102</w:t>
      </w:r>
      <w:r>
        <w:rPr>
          <w:rFonts w:hAnsi="Times New Roman" w:ascii="Times New Roman" w:cs="Times New Roman"/>
          <w:b w:val="0"/>
          <w:i w:val="0"/>
          <w:strike w:val="0"/>
          <w:dstrike w:val="0"/>
          <w:emboss w:val="0"/>
          <w:imprint w:val="0"/>
          <w:outline w:val="0"/>
          <w:shadow w:val="0"/>
          <w:sz w:val="24"/>
          <w:szCs w:val="24"/>
          <w:u w:val="none"/>
        </w:rPr>
        <w:t xml:space="preserve">, 94–100. https://doi.org/10.1016/j.resconrec.2015.06.014</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Baidoo, A. H. (2017). </w:t>
      </w:r>
      <w:r>
        <w:rPr>
          <w:rFonts w:hAnsi="Times New Roman" w:ascii="Times New Roman" w:cs="Times New Roman"/>
          <w:b w:val="0"/>
          <w:i/>
          <w:iCs/>
          <w:strike w:val="0"/>
          <w:dstrike w:val="0"/>
          <w:emboss w:val="0"/>
          <w:imprint w:val="0"/>
          <w:outline w:val="0"/>
          <w:shadow w:val="0"/>
          <w:sz w:val="24"/>
          <w:szCs w:val="24"/>
          <w:u w:val="none"/>
        </w:rPr>
        <w:t xml:space="preserve">Assessing Municipal solid waste management in Mankessim in the Mfrantseman Municipality</w:t>
      </w:r>
      <w:r>
        <w:rPr>
          <w:rFonts w:hAnsi="Times New Roman" w:ascii="Times New Roman" w:cs="Times New Roman"/>
          <w:b w:val="0"/>
          <w:i w:val="0"/>
          <w:strike w:val="0"/>
          <w:dstrike w:val="0"/>
          <w:emboss w:val="0"/>
          <w:imprint w:val="0"/>
          <w:outline w:val="0"/>
          <w:shadow w:val="0"/>
          <w:sz w:val="24"/>
          <w:szCs w:val="24"/>
          <w:u w:val="none"/>
        </w:rPr>
        <w:t xml:space="preserve"> (Issue February). University Of Cape Coast.</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Batu, M. M., Admasu, E., &amp; Tolosa, F. (2016). Determinants of Households ’ Willingness t o Pay for Improved Solid Waste Management in Ethiopia : The Case Study of Jimma Town. </w:t>
      </w:r>
      <w:r>
        <w:rPr>
          <w:rFonts w:hAnsi="Times New Roman" w:ascii="Times New Roman" w:cs="Times New Roman"/>
          <w:b w:val="0"/>
          <w:i/>
          <w:iCs/>
          <w:strike w:val="0"/>
          <w:dstrike w:val="0"/>
          <w:emboss w:val="0"/>
          <w:imprint w:val="0"/>
          <w:outline w:val="0"/>
          <w:shadow w:val="0"/>
          <w:sz w:val="24"/>
          <w:szCs w:val="24"/>
          <w:u w:val="none"/>
        </w:rPr>
        <w:t xml:space="preserve">Journal of Environment and Earth Science</w:t>
      </w:r>
      <w:r>
        <w:rPr>
          <w:rFonts w:hAnsi="Times New Roman" w:ascii="Times New Roman" w:cs="Times New Roman"/>
          <w:b w:val="0"/>
          <w:i w:val="0"/>
          <w:strike w:val="0"/>
          <w:dstrike w:val="0"/>
          <w:emboss w:val="0"/>
          <w:imprint w:val="0"/>
          <w:outline w:val="0"/>
          <w:shadow w:val="0"/>
          <w:sz w:val="24"/>
          <w:szCs w:val="24"/>
          <w:u w:val="none"/>
        </w:rPr>
        <w:t xml:space="preserve">, 6(7), 64–77.</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Bhada-Tata, P., &amp;Hoornweg, D. (2016). Solid Waste and Climate Change. </w:t>
      </w:r>
      <w:r>
        <w:rPr>
          <w:rFonts w:hAnsi="Times New Roman" w:ascii="Times New Roman" w:cs="Times New Roman"/>
          <w:b w:val="0"/>
          <w:i/>
          <w:iCs/>
          <w:strike w:val="0"/>
          <w:dstrike w:val="0"/>
          <w:emboss w:val="0"/>
          <w:imprint w:val="0"/>
          <w:outline w:val="0"/>
          <w:shadow w:val="0"/>
          <w:sz w:val="24"/>
          <w:szCs w:val="24"/>
          <w:u w:val="none"/>
        </w:rPr>
        <w:t xml:space="preserve">Worldwatch Institute, State of the World</w:t>
      </w:r>
      <w:r>
        <w:rPr>
          <w:rFonts w:hAnsi="Times New Roman" w:ascii="Times New Roman" w:cs="Times New Roman"/>
          <w:b w:val="0"/>
          <w:i w:val="0"/>
          <w:strike w:val="0"/>
          <w:dstrike w:val="0"/>
          <w:emboss w:val="0"/>
          <w:imprint w:val="0"/>
          <w:outline w:val="0"/>
          <w:shadow w:val="0"/>
          <w:sz w:val="24"/>
          <w:szCs w:val="24"/>
          <w:u w:val="none"/>
        </w:rPr>
        <w:t xml:space="preserve">, 239–255. https://doi.org/DOI 10.5822/ 978-1-61091-756-8_20,</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Bhandari, P. (2022). </w:t>
      </w:r>
      <w:r>
        <w:rPr>
          <w:rFonts w:hAnsi="Times New Roman" w:ascii="Times New Roman" w:cs="Times New Roman"/>
          <w:b w:val="0"/>
          <w:i/>
          <w:iCs/>
          <w:strike w:val="0"/>
          <w:dstrike w:val="0"/>
          <w:emboss w:val="0"/>
          <w:imprint w:val="0"/>
          <w:outline w:val="0"/>
          <w:shadow w:val="0"/>
          <w:sz w:val="24"/>
          <w:szCs w:val="24"/>
          <w:u w:val="none"/>
        </w:rPr>
        <w:t xml:space="preserve">Ethical Considerations in Research:Types&amp; Examples</w:t>
      </w:r>
      <w:r>
        <w:rPr>
          <w:rFonts w:hAnsi="Times New Roman" w:ascii="Times New Roman" w:cs="Times New Roman"/>
          <w:b w:val="0"/>
          <w:i w:val="0"/>
          <w:strike w:val="0"/>
          <w:dstrike w:val="0"/>
          <w:emboss w:val="0"/>
          <w:imprint w:val="0"/>
          <w:outline w:val="0"/>
          <w:shadow w:val="0"/>
          <w:sz w:val="24"/>
          <w:szCs w:val="24"/>
          <w:u w:val="none"/>
        </w:rPr>
        <w:t xml:space="preserve">. https://www.scribbr.com/methodology/research-ethics/ Retrieved on October 4, 2022, from</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Bhardwaj, P. (2019). Types of sampling in research. </w:t>
      </w:r>
      <w:r>
        <w:rPr>
          <w:rFonts w:hAnsi="Times New Roman" w:ascii="Times New Roman" w:cs="Times New Roman"/>
          <w:b w:val="0"/>
          <w:i/>
          <w:iCs/>
          <w:strike w:val="0"/>
          <w:dstrike w:val="0"/>
          <w:emboss w:val="0"/>
          <w:imprint w:val="0"/>
          <w:outline w:val="0"/>
          <w:shadow w:val="0"/>
          <w:sz w:val="24"/>
          <w:szCs w:val="24"/>
          <w:u w:val="none"/>
        </w:rPr>
        <w:t xml:space="preserve">Journal of the Practice of Cardiovascular Sciences</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5</w:t>
      </w:r>
      <w:r>
        <w:rPr>
          <w:rFonts w:hAnsi="Times New Roman" w:ascii="Times New Roman" w:cs="Times New Roman"/>
          <w:b w:val="0"/>
          <w:i w:val="0"/>
          <w:strike w:val="0"/>
          <w:dstrike w:val="0"/>
          <w:emboss w:val="0"/>
          <w:imprint w:val="0"/>
          <w:outline w:val="0"/>
          <w:shadow w:val="0"/>
          <w:sz w:val="24"/>
          <w:szCs w:val="24"/>
          <w:u w:val="none"/>
        </w:rPr>
        <w:t xml:space="preserve">(3), 157. https://doi.org/10.4103/jpcs.jpcs_62_19</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Bosnjak, M., Ajzen, I., &amp; Schmidt, P. (2020). Editorial The Theory of Planned Behavior : Selected Recent Advances and Applications. </w:t>
      </w:r>
      <w:r>
        <w:rPr>
          <w:rFonts w:hAnsi="Times New Roman" w:ascii="Times New Roman" w:cs="Times New Roman"/>
          <w:b w:val="0"/>
          <w:i/>
          <w:iCs/>
          <w:strike w:val="0"/>
          <w:dstrike w:val="0"/>
          <w:emboss w:val="0"/>
          <w:imprint w:val="0"/>
          <w:outline w:val="0"/>
          <w:shadow w:val="0"/>
          <w:sz w:val="24"/>
          <w:szCs w:val="24"/>
          <w:u w:val="none"/>
        </w:rPr>
        <w:t xml:space="preserve">Europe’s Journal of Psychology Ejop.Psychopen.Eu | 1841-0413</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Vol. 16(3)</w:t>
      </w:r>
      <w:r>
        <w:rPr>
          <w:rFonts w:hAnsi="Times New Roman" w:ascii="Times New Roman" w:cs="Times New Roman"/>
          <w:b w:val="0"/>
          <w:i w:val="0"/>
          <w:strike w:val="0"/>
          <w:dstrike w:val="0"/>
          <w:emboss w:val="0"/>
          <w:imprint w:val="0"/>
          <w:outline w:val="0"/>
          <w:shadow w:val="0"/>
          <w:sz w:val="24"/>
          <w:szCs w:val="24"/>
          <w:u w:val="none"/>
        </w:rPr>
        <w:t xml:space="preserve">(April 2020). https://doi.org/https://doi.org/10.5964/ejop.v16i3.3107</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Bowan, P. A., Abdulai, S., &amp; Boamah, E. (2023). Household Solid Waste Management in the Household Solid Waste Management. </w:t>
      </w:r>
      <w:r>
        <w:rPr>
          <w:rFonts w:hAnsi="Times New Roman" w:ascii="Times New Roman" w:cs="Times New Roman"/>
          <w:b w:val="0"/>
          <w:i/>
          <w:iCs/>
          <w:strike w:val="0"/>
          <w:dstrike w:val="0"/>
          <w:emboss w:val="0"/>
          <w:imprint w:val="0"/>
          <w:outline w:val="0"/>
          <w:shadow w:val="0"/>
          <w:sz w:val="24"/>
          <w:szCs w:val="24"/>
          <w:u w:val="none"/>
        </w:rPr>
        <w:t xml:space="preserve">Journal of Multidisciplinary Engineering Science and Technology (JMEST)</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10</w:t>
      </w:r>
      <w:r>
        <w:rPr>
          <w:rFonts w:hAnsi="Times New Roman" w:ascii="Times New Roman" w:cs="Times New Roman"/>
          <w:b w:val="0"/>
          <w:i w:val="0"/>
          <w:strike w:val="0"/>
          <w:dstrike w:val="0"/>
          <w:emboss w:val="0"/>
          <w:imprint w:val="0"/>
          <w:outline w:val="0"/>
          <w:shadow w:val="0"/>
          <w:sz w:val="24"/>
          <w:szCs w:val="24"/>
          <w:u w:val="none"/>
        </w:rPr>
        <w:t xml:space="preserve">(7), 16238–16247.  www.jmest.org</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Bundhoo, Z. M. A. (2018). Solid waste management in least developed countries : current status and challenges faced. </w:t>
      </w:r>
      <w:r>
        <w:rPr>
          <w:rFonts w:hAnsi="Times New Roman" w:ascii="Times New Roman" w:cs="Times New Roman"/>
          <w:b w:val="0"/>
          <w:i/>
          <w:iCs/>
          <w:strike w:val="0"/>
          <w:dstrike w:val="0"/>
          <w:emboss w:val="0"/>
          <w:imprint w:val="0"/>
          <w:outline w:val="0"/>
          <w:shadow w:val="0"/>
          <w:sz w:val="24"/>
          <w:szCs w:val="24"/>
          <w:u w:val="none"/>
        </w:rPr>
        <w:t xml:space="preserve">Journal of Material Cycles and Waste Management</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0</w:t>
      </w:r>
      <w:r>
        <w:rPr>
          <w:rFonts w:hAnsi="Times New Roman" w:ascii="Times New Roman" w:cs="Times New Roman"/>
          <w:b w:val="0"/>
          <w:i w:val="0"/>
          <w:strike w:val="0"/>
          <w:dstrike w:val="0"/>
          <w:emboss w:val="0"/>
          <w:imprint w:val="0"/>
          <w:outline w:val="0"/>
          <w:shadow w:val="0"/>
          <w:sz w:val="24"/>
          <w:szCs w:val="24"/>
          <w:u w:val="none"/>
        </w:rPr>
        <w:t xml:space="preserve">(0), 0. https://doi.org/10.1007/s10163-018-0728-3</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Chikowore, N. (2020). Factors influencing household waste management practices in Zimbabwe. </w:t>
      </w:r>
      <w:r>
        <w:rPr>
          <w:rFonts w:hAnsi="Times New Roman" w:ascii="Times New Roman" w:cs="Times New Roman"/>
          <w:b w:val="0"/>
          <w:i/>
          <w:iCs/>
          <w:strike w:val="0"/>
          <w:dstrike w:val="0"/>
          <w:emboss w:val="0"/>
          <w:imprint w:val="0"/>
          <w:outline w:val="0"/>
          <w:shadow w:val="0"/>
          <w:sz w:val="24"/>
          <w:szCs w:val="24"/>
          <w:u w:val="none"/>
        </w:rPr>
        <w:t xml:space="preserve">Journal of Material Cycles and Waste Management</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23</w:t>
      </w:r>
      <w:r>
        <w:rPr>
          <w:rFonts w:hAnsi="Times New Roman" w:ascii="Times New Roman" w:cs="Times New Roman"/>
          <w:b w:val="0"/>
          <w:i w:val="0"/>
          <w:strike w:val="0"/>
          <w:dstrike w:val="0"/>
          <w:emboss w:val="0"/>
          <w:imprint w:val="0"/>
          <w:outline w:val="0"/>
          <w:shadow w:val="0"/>
          <w:sz w:val="24"/>
          <w:szCs w:val="24"/>
          <w:u w:val="none"/>
        </w:rPr>
        <w:t xml:space="preserve">(1), 386–393. https://doi.org/10.1007/s10163-020-01129-9</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Choon, S. W., Tan, S. H., &amp; Chong, L. L. (2017). The perception of households about solid waste management issues in Malaysia. </w:t>
      </w:r>
      <w:r>
        <w:rPr>
          <w:rFonts w:hAnsi="Times New Roman" w:ascii="Times New Roman" w:cs="Times New Roman"/>
          <w:b w:val="0"/>
          <w:i/>
          <w:iCs/>
          <w:strike w:val="0"/>
          <w:dstrike w:val="0"/>
          <w:emboss w:val="0"/>
          <w:imprint w:val="0"/>
          <w:outline w:val="0"/>
          <w:shadow w:val="0"/>
          <w:sz w:val="24"/>
          <w:szCs w:val="24"/>
          <w:u w:val="none"/>
        </w:rPr>
        <w:t xml:space="preserve">Environment, Development and Sustainability</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19</w:t>
      </w:r>
      <w:r>
        <w:rPr>
          <w:rFonts w:hAnsi="Times New Roman" w:ascii="Times New Roman" w:cs="Times New Roman"/>
          <w:b w:val="0"/>
          <w:i w:val="0"/>
          <w:strike w:val="0"/>
          <w:dstrike w:val="0"/>
          <w:emboss w:val="0"/>
          <w:imprint w:val="0"/>
          <w:outline w:val="0"/>
          <w:shadow w:val="0"/>
          <w:sz w:val="24"/>
          <w:szCs w:val="24"/>
          <w:u w:val="none"/>
        </w:rPr>
        <w:t xml:space="preserve">(5), 1685–1700. https://doi.org/10.1007/s10668-016-9821-8</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Cole, C., Gnanapragasam, A., Cooper, T., &amp; Singh, J. (2019). An assessment of achievements of the WEEE Directive in promoting movement up the waste hierarchy : experiences in the UK PrevenƟon Reuse Recycling Recovery Disposal. </w:t>
      </w:r>
      <w:r>
        <w:rPr>
          <w:rFonts w:hAnsi="Times New Roman" w:ascii="Times New Roman" w:cs="Times New Roman"/>
          <w:b w:val="0"/>
          <w:i/>
          <w:iCs/>
          <w:strike w:val="0"/>
          <w:dstrike w:val="0"/>
          <w:emboss w:val="0"/>
          <w:imprint w:val="0"/>
          <w:outline w:val="0"/>
          <w:shadow w:val="0"/>
          <w:sz w:val="24"/>
          <w:szCs w:val="24"/>
          <w:u w:val="none"/>
        </w:rPr>
        <w:t xml:space="preserve">Waste Management</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87</w:t>
      </w:r>
      <w:r>
        <w:rPr>
          <w:rFonts w:hAnsi="Times New Roman" w:ascii="Times New Roman" w:cs="Times New Roman"/>
          <w:b w:val="0"/>
          <w:i w:val="0"/>
          <w:strike w:val="0"/>
          <w:dstrike w:val="0"/>
          <w:emboss w:val="0"/>
          <w:imprint w:val="0"/>
          <w:outline w:val="0"/>
          <w:shadow w:val="0"/>
          <w:sz w:val="24"/>
          <w:szCs w:val="24"/>
          <w:u w:val="none"/>
        </w:rPr>
        <w:t xml:space="preserve">, 417–427. https://doi.org/10.1016/j.wasman.2019.01.046</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Creswell, J. W. (2009). </w:t>
      </w:r>
      <w:r>
        <w:rPr>
          <w:rFonts w:hAnsi="Times New Roman" w:ascii="Times New Roman" w:cs="Times New Roman"/>
          <w:b w:val="0"/>
          <w:i/>
          <w:iCs/>
          <w:strike w:val="0"/>
          <w:dstrike w:val="0"/>
          <w:emboss w:val="0"/>
          <w:imprint w:val="0"/>
          <w:outline w:val="0"/>
          <w:shadow w:val="0"/>
          <w:sz w:val="24"/>
          <w:szCs w:val="24"/>
          <w:u w:val="none"/>
        </w:rPr>
        <w:t xml:space="preserve">Research design: Qualitative, quantitative, and mixed methods approaches</w:t>
      </w:r>
      <w:r>
        <w:rPr>
          <w:rFonts w:hAnsi="Times New Roman" w:ascii="Times New Roman" w:cs="Times New Roman"/>
          <w:b w:val="0"/>
          <w:i w:val="0"/>
          <w:strike w:val="0"/>
          <w:dstrike w:val="0"/>
          <w:emboss w:val="0"/>
          <w:imprint w:val="0"/>
          <w:outline w:val="0"/>
          <w:shadow w:val="0"/>
          <w:sz w:val="24"/>
          <w:szCs w:val="24"/>
          <w:u w:val="none"/>
        </w:rPr>
        <w:t xml:space="preserve"> (3rd editio).</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Creswell, J. W. (2012). </w:t>
      </w:r>
      <w:r>
        <w:rPr>
          <w:rFonts w:hAnsi="Times New Roman" w:ascii="Times New Roman" w:cs="Times New Roman"/>
          <w:b w:val="0"/>
          <w:i/>
          <w:iCs/>
          <w:strike w:val="0"/>
          <w:dstrike w:val="0"/>
          <w:emboss w:val="0"/>
          <w:imprint w:val="0"/>
          <w:outline w:val="0"/>
          <w:shadow w:val="0"/>
          <w:sz w:val="24"/>
          <w:szCs w:val="24"/>
          <w:u w:val="none"/>
        </w:rPr>
        <w:t xml:space="preserve">Educational Research Planning,Conducting, and Evaluating Quantitative and Qualitative Research</w:t>
      </w:r>
      <w:r>
        <w:rPr>
          <w:rFonts w:hAnsi="Times New Roman" w:ascii="Times New Roman" w:cs="Times New Roman"/>
          <w:b w:val="0"/>
          <w:i w:val="0"/>
          <w:strike w:val="0"/>
          <w:dstrike w:val="0"/>
          <w:emboss w:val="0"/>
          <w:imprint w:val="0"/>
          <w:outline w:val="0"/>
          <w:shadow w:val="0"/>
          <w:sz w:val="24"/>
          <w:szCs w:val="24"/>
          <w:u w:val="none"/>
        </w:rPr>
        <w:t xml:space="preserve"> (4th editio).</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Daniel, J. (2012). Choosing the Type of Probability Sampling; In Sampling Essentials: Practical Guidelines for Making Sampling Choices. </w:t>
      </w:r>
      <w:r>
        <w:rPr>
          <w:rFonts w:hAnsi="Times New Roman" w:ascii="Times New Roman" w:cs="Times New Roman"/>
          <w:b w:val="0"/>
          <w:i/>
          <w:iCs/>
          <w:strike w:val="0"/>
          <w:dstrike w:val="0"/>
          <w:emboss w:val="0"/>
          <w:imprint w:val="0"/>
          <w:outline w:val="0"/>
          <w:shadow w:val="0"/>
          <w:sz w:val="24"/>
          <w:szCs w:val="24"/>
          <w:u w:val="none"/>
        </w:rPr>
        <w:t xml:space="preserve">SAGE Publications, Inc.</w:t>
      </w:r>
      <w:r>
        <w:rPr>
          <w:rFonts w:hAnsi="Times New Roman" w:ascii="Times New Roman" w:cs="Times New Roman"/>
          <w:b w:val="0"/>
          <w:i w:val="0"/>
          <w:strike w:val="0"/>
          <w:dstrike w:val="0"/>
          <w:emboss w:val="0"/>
          <w:imprint w:val="0"/>
          <w:outline w:val="0"/>
          <w:shadow w:val="0"/>
          <w:sz w:val="24"/>
          <w:szCs w:val="24"/>
          <w:u w:val="none"/>
        </w:rPr>
        <w:t xml:space="preserve"> https://doi.org/DOI: https://dx.doi.org/10.4135/9781452272047</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Dauda, S., Mariwah, S., &amp; Agyapong, R. (2015). Residents’ perceptions and attitudes towards urban solid waste management in the Berekum Municipality, Ghana. </w:t>
      </w:r>
      <w:r>
        <w:rPr>
          <w:rFonts w:hAnsi="Times New Roman" w:ascii="Times New Roman" w:cs="Times New Roman"/>
          <w:b w:val="0"/>
          <w:i/>
          <w:iCs/>
          <w:strike w:val="0"/>
          <w:dstrike w:val="0"/>
          <w:emboss w:val="0"/>
          <w:imprint w:val="0"/>
          <w:outline w:val="0"/>
          <w:shadow w:val="0"/>
          <w:sz w:val="24"/>
          <w:szCs w:val="24"/>
          <w:u w:val="none"/>
        </w:rPr>
        <w:t xml:space="preserve">Journal of Social Sciences Volume 7 No. 2 (2015) 27 - 41</w:t>
      </w:r>
      <w:r>
        <w:rPr>
          <w:rFonts w:hAnsi="Times New Roman" w:ascii="Times New Roman" w:cs="Times New Roman"/>
          <w:b w:val="0"/>
          <w:i w:val="0"/>
          <w:strike w:val="0"/>
          <w:dstrike w:val="0"/>
          <w:emboss w:val="0"/>
          <w:imprint w:val="0"/>
          <w:outline w:val="0"/>
          <w:shadow w:val="0"/>
          <w:sz w:val="24"/>
          <w:szCs w:val="24"/>
          <w:u w:val="none"/>
        </w:rPr>
        <w:t xml:space="preserve">.</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Dika, G., Nemie, A., &amp; Birhane, E. (2019). Household’s Willingness to Pay for Improved Solid Waste Management in Gulelle Sub City, Addis Ababa. </w:t>
      </w:r>
      <w:r>
        <w:rPr>
          <w:rFonts w:hAnsi="Times New Roman" w:ascii="Times New Roman" w:cs="Times New Roman"/>
          <w:b w:val="0"/>
          <w:i/>
          <w:iCs/>
          <w:strike w:val="0"/>
          <w:dstrike w:val="0"/>
          <w:emboss w:val="0"/>
          <w:imprint w:val="0"/>
          <w:outline w:val="0"/>
          <w:shadow w:val="0"/>
          <w:sz w:val="24"/>
          <w:szCs w:val="24"/>
          <w:u w:val="none"/>
        </w:rPr>
        <w:t xml:space="preserve">Energy and Environmental Engineering</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6</w:t>
      </w:r>
      <w:r>
        <w:rPr>
          <w:rFonts w:hAnsi="Times New Roman" w:ascii="Times New Roman" w:cs="Times New Roman"/>
          <w:b w:val="0"/>
          <w:i w:val="0"/>
          <w:strike w:val="0"/>
          <w:dstrike w:val="0"/>
          <w:emboss w:val="0"/>
          <w:imprint w:val="0"/>
          <w:outline w:val="0"/>
          <w:shadow w:val="0"/>
          <w:sz w:val="24"/>
          <w:szCs w:val="24"/>
          <w:u w:val="none"/>
        </w:rPr>
        <w:t xml:space="preserve">(1), 1–7. https://doi.org/10.13189/eee.2019.060101</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Dongballe, F. (2016). SOLID WASTE MANAGEMENT IN THE WA MUNICIPALITY: CHALLENGES AND OPTIONS. In </w:t>
      </w:r>
      <w:r>
        <w:rPr>
          <w:rFonts w:hAnsi="Times New Roman" w:ascii="Times New Roman" w:cs="Times New Roman"/>
          <w:b w:val="0"/>
          <w:i/>
          <w:iCs/>
          <w:strike w:val="0"/>
          <w:dstrike w:val="0"/>
          <w:emboss w:val="0"/>
          <w:imprint w:val="0"/>
          <w:outline w:val="0"/>
          <w:shadow w:val="0"/>
          <w:sz w:val="24"/>
          <w:szCs w:val="24"/>
          <w:u w:val="none"/>
        </w:rPr>
        <w:t xml:space="preserve">www.udsspace.uds.edu.gh</w:t>
      </w:r>
      <w:r>
        <w:rPr>
          <w:rFonts w:hAnsi="Times New Roman" w:ascii="Times New Roman" w:cs="Times New Roman"/>
          <w:b w:val="0"/>
          <w:i w:val="0"/>
          <w:strike w:val="0"/>
          <w:dstrike w:val="0"/>
          <w:emboss w:val="0"/>
          <w:imprint w:val="0"/>
          <w:outline w:val="0"/>
          <w:shadow w:val="0"/>
          <w:sz w:val="24"/>
          <w:szCs w:val="24"/>
          <w:u w:val="none"/>
        </w:rPr>
        <w:t xml:space="preserve"> (Vol. 147, Issue March).</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Eshete, H., Desalegn, A., &amp;Tigu, F. (2023). Knowledge, attitudes and practices on household solid waste management and associated factors in Gelemso town, Ethiopia. </w:t>
      </w:r>
      <w:r>
        <w:rPr>
          <w:rFonts w:hAnsi="Times New Roman" w:ascii="Times New Roman" w:cs="Times New Roman"/>
          <w:b w:val="0"/>
          <w:i/>
          <w:iCs/>
          <w:strike w:val="0"/>
          <w:dstrike w:val="0"/>
          <w:emboss w:val="0"/>
          <w:imprint w:val="0"/>
          <w:outline w:val="0"/>
          <w:shadow w:val="0"/>
          <w:sz w:val="24"/>
          <w:szCs w:val="24"/>
          <w:u w:val="none"/>
        </w:rPr>
        <w:t xml:space="preserve">PLoS ONE</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18</w:t>
      </w:r>
      <w:r>
        <w:rPr>
          <w:rFonts w:hAnsi="Times New Roman" w:ascii="Times New Roman" w:cs="Times New Roman"/>
          <w:b w:val="0"/>
          <w:i w:val="0"/>
          <w:strike w:val="0"/>
          <w:dstrike w:val="0"/>
          <w:emboss w:val="0"/>
          <w:imprint w:val="0"/>
          <w:outline w:val="0"/>
          <w:shadow w:val="0"/>
          <w:sz w:val="24"/>
          <w:szCs w:val="24"/>
          <w:u w:val="none"/>
        </w:rPr>
        <w:t xml:space="preserve">(2 February), 1–13. https://doi.org/10.1371/journal.pone.0278181</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Essuman, K. N. (2017). ‘Knowledge, attitudes and practices of coastal communities on waste management in Ghana.’ </w:t>
      </w:r>
      <w:r>
        <w:rPr>
          <w:rFonts w:hAnsi="Times New Roman" w:ascii="Times New Roman" w:cs="Times New Roman"/>
          <w:b w:val="0"/>
          <w:i/>
          <w:iCs/>
          <w:strike w:val="0"/>
          <w:dstrike w:val="0"/>
          <w:emboss w:val="0"/>
          <w:imprint w:val="0"/>
          <w:outline w:val="0"/>
          <w:shadow w:val="0"/>
          <w:sz w:val="24"/>
          <w:szCs w:val="24"/>
          <w:u w:val="none"/>
        </w:rPr>
        <w:t xml:space="preserve">Journal of Teacher Education for Sustainability</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17</w:t>
      </w:r>
      <w:r>
        <w:rPr>
          <w:rFonts w:hAnsi="Times New Roman" w:ascii="Times New Roman" w:cs="Times New Roman"/>
          <w:b w:val="0"/>
          <w:i w:val="0"/>
          <w:strike w:val="0"/>
          <w:dstrike w:val="0"/>
          <w:emboss w:val="0"/>
          <w:imprint w:val="0"/>
          <w:outline w:val="0"/>
          <w:shadow w:val="0"/>
          <w:sz w:val="24"/>
          <w:szCs w:val="24"/>
          <w:u w:val="none"/>
        </w:rPr>
        <w:t xml:space="preserve">(1), 23–91. www.theseus.fi/bitstream/10024/123788/1/Essuman_Nasir.pdf</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Gopi, M. (2022). KNOWLEDGE , ATTITUDE AND PRACTICE IN SOLID WASTE MANAGEMENT AMONG URBAN HOUSEHOLDS IN KUTHUPARAMBA – KANNUR DISTRICT KERALA. </w:t>
      </w:r>
      <w:r>
        <w:rPr>
          <w:rFonts w:hAnsi="Times New Roman" w:ascii="Times New Roman" w:cs="Times New Roman"/>
          <w:b w:val="0"/>
          <w:i/>
          <w:iCs/>
          <w:strike w:val="0"/>
          <w:dstrike w:val="0"/>
          <w:emboss w:val="0"/>
          <w:imprint w:val="0"/>
          <w:outline w:val="0"/>
          <w:shadow w:val="0"/>
          <w:sz w:val="24"/>
          <w:szCs w:val="24"/>
          <w:u w:val="none"/>
        </w:rPr>
        <w:t xml:space="preserve">Asian Journal of Multidisciplinary Research &amp; Review (AJMRR)</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Volume 3 I</w:t>
      </w:r>
      <w:r>
        <w:rPr>
          <w:rFonts w:hAnsi="Times New Roman" w:ascii="Times New Roman" w:cs="Times New Roman"/>
          <w:b w:val="0"/>
          <w:i w:val="0"/>
          <w:strike w:val="0"/>
          <w:dstrike w:val="0"/>
          <w:emboss w:val="0"/>
          <w:imprint w:val="0"/>
          <w:outline w:val="0"/>
          <w:shadow w:val="0"/>
          <w:sz w:val="24"/>
          <w:szCs w:val="24"/>
          <w:u w:val="none"/>
        </w:rPr>
        <w:t xml:space="preserve">(3), 64–86.</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Guo, W., Xi, B., Huang, C., Li, J., Tang, Z., Li, W., Ma, C., &amp; Wu, W. (2021). Resources , Conservation &amp; Recycling Solid waste management in China : Policy and driving factors in 2004 – 2019. </w:t>
      </w:r>
      <w:r>
        <w:rPr>
          <w:rFonts w:hAnsi="Times New Roman" w:ascii="Times New Roman" w:cs="Times New Roman"/>
          <w:b w:val="0"/>
          <w:i/>
          <w:iCs/>
          <w:strike w:val="0"/>
          <w:dstrike w:val="0"/>
          <w:emboss w:val="0"/>
          <w:imprint w:val="0"/>
          <w:outline w:val="0"/>
          <w:shadow w:val="0"/>
          <w:sz w:val="24"/>
          <w:szCs w:val="24"/>
          <w:u w:val="none"/>
        </w:rPr>
        <w:t xml:space="preserve">Resources, Conservation &amp; Recycling</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173</w:t>
      </w:r>
      <w:r>
        <w:rPr>
          <w:rFonts w:hAnsi="Times New Roman" w:ascii="Times New Roman" w:cs="Times New Roman"/>
          <w:b w:val="0"/>
          <w:i w:val="0"/>
          <w:strike w:val="0"/>
          <w:dstrike w:val="0"/>
          <w:emboss w:val="0"/>
          <w:imprint w:val="0"/>
          <w:outline w:val="0"/>
          <w:shadow w:val="0"/>
          <w:sz w:val="24"/>
          <w:szCs w:val="24"/>
          <w:u w:val="none"/>
        </w:rPr>
        <w:t xml:space="preserve">(March), 105727. https://doi.org/10.1016/j.resconrec.2021.105727</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Justice A. Ampofo. (2020. Waste disposal management practices in selected Senior High Schools within the Wa Municipality. </w:t>
      </w:r>
      <w:r>
        <w:rPr>
          <w:rFonts w:hAnsi="Times New Roman" w:ascii="Times New Roman" w:cs="Times New Roman"/>
          <w:b w:val="0"/>
          <w:i/>
          <w:strike w:val="0"/>
          <w:dstrike w:val="0"/>
          <w:emboss w:val="0"/>
          <w:imprint w:val="0"/>
          <w:outline w:val="0"/>
          <w:shadow w:val="0"/>
          <w:sz w:val="24"/>
          <w:szCs w:val="24"/>
          <w:u w:val="none"/>
        </w:rPr>
        <w:t xml:space="preserve">International Journal of Management &amp; Entrepreneurship Research</w:t>
      </w:r>
      <w:r>
        <w:rPr>
          <w:rFonts w:hAnsi="Times New Roman" w:ascii="Times New Roman" w:cs="Times New Roman"/>
          <w:b w:val="0"/>
          <w:i w:val="0"/>
          <w:strike w:val="0"/>
          <w:dstrike w:val="0"/>
          <w:emboss w:val="0"/>
          <w:imprint w:val="0"/>
          <w:outline w:val="0"/>
          <w:shadow w:val="0"/>
          <w:sz w:val="24"/>
          <w:szCs w:val="24"/>
          <w:u w:val="none"/>
        </w:rPr>
        <w:t xml:space="preserve"> P-ISSN: 2664-3588, E-ISSN:2664-3596 Volume 2, Issue 4, P.No. 273-290, August, 2020 Fair East Publishers Journal Homepage: www.fepbl.com/index.php/ijmer</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Kamarehie, B., Jafari, A., Ghaderpoori, M., Azimi, F., Faridan, M., &amp; Sharafi, K. (2020). </w:t>
      </w:r>
      <w:r>
        <w:rPr>
          <w:rFonts w:hAnsi="Times New Roman" w:ascii="Times New Roman" w:cs="Times New Roman"/>
          <w:b w:val="0"/>
          <w:i/>
          <w:iCs/>
          <w:strike w:val="0"/>
          <w:dstrike w:val="0"/>
          <w:emboss w:val="0"/>
          <w:imprint w:val="0"/>
          <w:outline w:val="0"/>
          <w:shadow w:val="0"/>
          <w:sz w:val="24"/>
          <w:szCs w:val="24"/>
          <w:u w:val="none"/>
        </w:rPr>
        <w:t xml:space="preserve">Qualitative and quantitative analysis of municipal solid waste in Iran for implementation of best waste management practice :</w:t>
      </w:r>
      <w:r>
        <w:rPr>
          <w:rFonts w:hAnsi="Times New Roman" w:ascii="Times New Roman" w:cs="Times New Roman"/>
          <w:b w:val="0"/>
          <w:i w:val="0"/>
          <w:iCs/>
          <w:strike w:val="0"/>
          <w:dstrike w:val="0"/>
          <w:emboss w:val="0"/>
          <w:imprint w:val="0"/>
          <w:outline w:val="0"/>
          <w:shadow w:val="0"/>
          <w:sz w:val="24"/>
          <w:szCs w:val="24"/>
          <w:u w:val="none"/>
        </w:rPr>
        <w:t xml:space="preserve"> a systematic review and meta-analysis.</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Karunarathne, L. (2015). </w:t>
      </w:r>
      <w:r>
        <w:rPr>
          <w:rFonts w:hAnsi="Times New Roman" w:ascii="Times New Roman" w:cs="Times New Roman"/>
          <w:b w:val="0"/>
          <w:i/>
          <w:iCs/>
          <w:strike w:val="0"/>
          <w:dstrike w:val="0"/>
          <w:emboss w:val="0"/>
          <w:imprint w:val="0"/>
          <w:outline w:val="0"/>
          <w:shadow w:val="0"/>
          <w:sz w:val="24"/>
          <w:szCs w:val="24"/>
          <w:u w:val="none"/>
        </w:rPr>
        <w:t xml:space="preserve">Municipal Solid Waste Management ( MSWM ) in Sri Lanka Municipal Solid Waste Management ( MSWM ) in Sri Lanka</w:t>
      </w:r>
      <w:r>
        <w:rPr>
          <w:rFonts w:hAnsi="Times New Roman" w:ascii="Times New Roman" w:cs="Times New Roman"/>
          <w:b w:val="0"/>
          <w:i w:val="0"/>
          <w:strike w:val="0"/>
          <w:dstrike w:val="0"/>
          <w:emboss w:val="0"/>
          <w:imprint w:val="0"/>
          <w:outline w:val="0"/>
          <w:shadow w:val="0"/>
          <w:sz w:val="24"/>
          <w:szCs w:val="24"/>
          <w:u w:val="none"/>
        </w:rPr>
        <w:t xml:space="preserve">. November.</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King, R. (2022). </w:t>
      </w:r>
      <w:r>
        <w:rPr>
          <w:rFonts w:hAnsi="Times New Roman" w:ascii="Times New Roman" w:cs="Times New Roman"/>
          <w:b w:val="0"/>
          <w:i/>
          <w:iCs/>
          <w:strike w:val="0"/>
          <w:dstrike w:val="0"/>
          <w:emboss w:val="0"/>
          <w:imprint w:val="0"/>
          <w:outline w:val="0"/>
          <w:shadow w:val="0"/>
          <w:sz w:val="24"/>
          <w:szCs w:val="24"/>
          <w:u w:val="none"/>
        </w:rPr>
        <w:t xml:space="preserve">The Utility of Pragmatism in Educational</w:t>
      </w:r>
      <w:r>
        <w:rPr>
          <w:rFonts w:hAnsi="Times New Roman" w:ascii="Times New Roman" w:cs="Times New Roman"/>
          <w:b w:val="0"/>
          <w:i w:val="0"/>
          <w:strike w:val="0"/>
          <w:dstrike w:val="0"/>
          <w:emboss w:val="0"/>
          <w:imprint w:val="0"/>
          <w:outline w:val="0"/>
          <w:shadow w:val="0"/>
          <w:sz w:val="24"/>
          <w:szCs w:val="24"/>
          <w:u w:val="none"/>
        </w:rPr>
        <w:t xml:space="preserve">. 3153–3161. https://doi.org/10.4236/ce.2022.1310199</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Kosoe, E. A., Akanbang, B. A. A., &amp; Ahmed, A. (2023). Unpacking the processes and factors affecting household solid waste collection within a democratic decentralised governance system:Experiences from the Wa Municipality, Ghana. </w:t>
      </w:r>
      <w:r>
        <w:rPr>
          <w:rFonts w:hAnsi="Times New Roman" w:ascii="Times New Roman" w:cs="Times New Roman"/>
          <w:b w:val="0"/>
          <w:i/>
          <w:iCs/>
          <w:strike w:val="0"/>
          <w:dstrike w:val="0"/>
          <w:emboss w:val="0"/>
          <w:imprint w:val="0"/>
          <w:outline w:val="0"/>
          <w:shadow w:val="0"/>
          <w:sz w:val="24"/>
          <w:szCs w:val="24"/>
          <w:u w:val="none"/>
        </w:rPr>
        <w:t xml:space="preserve">Journal of Planning and Land Management</w:t>
      </w:r>
      <w:r>
        <w:rPr>
          <w:rFonts w:hAnsi="Times New Roman" w:ascii="Times New Roman" w:cs="Times New Roman"/>
          <w:b w:val="0"/>
          <w:i w:val="0"/>
          <w:strike w:val="0"/>
          <w:dstrike w:val="0"/>
          <w:emboss w:val="0"/>
          <w:imprint w:val="0"/>
          <w:outline w:val="0"/>
          <w:shadow w:val="0"/>
          <w:sz w:val="24"/>
          <w:szCs w:val="24"/>
          <w:u w:val="none"/>
        </w:rPr>
        <w:t xml:space="preserve">, 60–70. https://doi.org/10.36005/jplm.v2i2.48</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Kumara, A. S., &amp; Pallegedara, A. (2020). Household waste disposal mechanisms in Sri Lanka : Nation-wide survey evidence for their trends and determinants. </w:t>
      </w:r>
      <w:r>
        <w:rPr>
          <w:rFonts w:hAnsi="Times New Roman" w:ascii="Times New Roman" w:cs="Times New Roman"/>
          <w:b w:val="0"/>
          <w:i/>
          <w:iCs/>
          <w:strike w:val="0"/>
          <w:dstrike w:val="0"/>
          <w:emboss w:val="0"/>
          <w:imprint w:val="0"/>
          <w:outline w:val="0"/>
          <w:shadow w:val="0"/>
          <w:sz w:val="24"/>
          <w:szCs w:val="24"/>
          <w:u w:val="none"/>
        </w:rPr>
        <w:t xml:space="preserve">Waste Management</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114</w:t>
      </w:r>
      <w:r>
        <w:rPr>
          <w:rFonts w:hAnsi="Times New Roman" w:ascii="Times New Roman" w:cs="Times New Roman"/>
          <w:b w:val="0"/>
          <w:i w:val="0"/>
          <w:strike w:val="0"/>
          <w:dstrike w:val="0"/>
          <w:emboss w:val="0"/>
          <w:imprint w:val="0"/>
          <w:outline w:val="0"/>
          <w:shadow w:val="0"/>
          <w:sz w:val="24"/>
          <w:szCs w:val="24"/>
          <w:u w:val="none"/>
        </w:rPr>
        <w:t xml:space="preserve">, 62–71. https://doi.org/10.1016/j.wasman.2020.06.028</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Laor, P., Suma, Y., Keawdounglek, V., Hongtong, A., Apidechkul, T., &amp;Pasukphum, N. (2018). </w:t>
      </w:r>
      <w:r>
        <w:rPr>
          <w:rFonts w:hAnsi="Times New Roman" w:ascii="Times New Roman" w:cs="Times New Roman"/>
          <w:b w:val="0"/>
          <w:i/>
          <w:iCs/>
          <w:strike w:val="0"/>
          <w:dstrike w:val="0"/>
          <w:emboss w:val="0"/>
          <w:imprint w:val="0"/>
          <w:outline w:val="0"/>
          <w:shadow w:val="0"/>
          <w:sz w:val="24"/>
          <w:szCs w:val="24"/>
          <w:u w:val="none"/>
        </w:rPr>
        <w:t xml:space="preserve">Knowledge , attitude and practice of municipal solid waste management among highland residents in</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32</w:t>
      </w:r>
      <w:r>
        <w:rPr>
          <w:rFonts w:hAnsi="Times New Roman" w:ascii="Times New Roman" w:cs="Times New Roman"/>
          <w:b w:val="0"/>
          <w:i w:val="0"/>
          <w:strike w:val="0"/>
          <w:dstrike w:val="0"/>
          <w:emboss w:val="0"/>
          <w:imprint w:val="0"/>
          <w:outline w:val="0"/>
          <w:shadow w:val="0"/>
          <w:sz w:val="24"/>
          <w:szCs w:val="24"/>
          <w:u w:val="none"/>
        </w:rPr>
        <w:t xml:space="preserve">(2), 123–131. https://doi.org/10.1108/JHR-01-2018-013</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Launiala, A. (2009). </w:t>
      </w:r>
      <w:r>
        <w:rPr>
          <w:rFonts w:hAnsi="Times New Roman" w:ascii="Times New Roman" w:cs="Times New Roman"/>
          <w:b w:val="0"/>
          <w:i/>
          <w:iCs/>
          <w:strike w:val="0"/>
          <w:dstrike w:val="0"/>
          <w:emboss w:val="0"/>
          <w:imprint w:val="0"/>
          <w:outline w:val="0"/>
          <w:shadow w:val="0"/>
          <w:sz w:val="24"/>
          <w:szCs w:val="24"/>
          <w:u w:val="none"/>
        </w:rPr>
        <w:t xml:space="preserve">How much can a KAP survey tell us about people ’ s knowledge , attitudes and practices ? Some observations from medical anthropology on malaria in pregnancy in Malawi Background : KAP surveys</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11</w:t>
      </w:r>
      <w:r>
        <w:rPr>
          <w:rFonts w:hAnsi="Times New Roman" w:ascii="Times New Roman" w:cs="Times New Roman"/>
          <w:b w:val="0"/>
          <w:i w:val="0"/>
          <w:strike w:val="0"/>
          <w:dstrike w:val="0"/>
          <w:emboss w:val="0"/>
          <w:imprint w:val="0"/>
          <w:outline w:val="0"/>
          <w:shadow w:val="0"/>
          <w:sz w:val="24"/>
          <w:szCs w:val="24"/>
          <w:u w:val="none"/>
        </w:rPr>
        <w:t xml:space="preserve">(1), 1–13.</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Lema, G., Mesfun, M. G., Eshete, A., &amp; Abdeta, G. (2019). Assessment of status of solid waste management in Asella town, Ethiopia. </w:t>
      </w:r>
      <w:r>
        <w:rPr>
          <w:rFonts w:hAnsi="Times New Roman" w:ascii="Times New Roman" w:cs="Times New Roman"/>
          <w:b w:val="0"/>
          <w:i/>
          <w:iCs/>
          <w:strike w:val="0"/>
          <w:dstrike w:val="0"/>
          <w:emboss w:val="0"/>
          <w:imprint w:val="0"/>
          <w:outline w:val="0"/>
          <w:shadow w:val="0"/>
          <w:sz w:val="24"/>
          <w:szCs w:val="24"/>
          <w:u w:val="none"/>
        </w:rPr>
        <w:t xml:space="preserve">BMC Public Health</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19</w:t>
      </w:r>
      <w:r>
        <w:rPr>
          <w:rFonts w:hAnsi="Times New Roman" w:ascii="Times New Roman" w:cs="Times New Roman"/>
          <w:b w:val="0"/>
          <w:i w:val="0"/>
          <w:strike w:val="0"/>
          <w:dstrike w:val="0"/>
          <w:emboss w:val="0"/>
          <w:imprint w:val="0"/>
          <w:outline w:val="0"/>
          <w:shadow w:val="0"/>
          <w:sz w:val="24"/>
          <w:szCs w:val="24"/>
          <w:u w:val="none"/>
        </w:rPr>
        <w:t xml:space="preserve">(1), 1–7. https://doi.org/10.1186/s12889-019-7551-1</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Liao, C., &amp; Li, H. (2019). Environmental Education , Knowledge , and High School Students ’ Intention toward Separation of Solid Waste on Campus. </w:t>
      </w:r>
      <w:r>
        <w:rPr>
          <w:rFonts w:hAnsi="Times New Roman" w:ascii="Times New Roman" w:cs="Times New Roman"/>
          <w:b w:val="0"/>
          <w:i/>
          <w:iCs/>
          <w:strike w:val="0"/>
          <w:dstrike w:val="0"/>
          <w:emboss w:val="0"/>
          <w:imprint w:val="0"/>
          <w:outline w:val="0"/>
          <w:shadow w:val="0"/>
          <w:sz w:val="24"/>
          <w:szCs w:val="24"/>
          <w:u w:val="none"/>
        </w:rPr>
        <w:t xml:space="preserve">International Journal of Environmental Research and Public Health</w:t>
      </w:r>
      <w:r>
        <w:rPr>
          <w:rFonts w:hAnsi="Times New Roman" w:ascii="Times New Roman" w:cs="Times New Roman"/>
          <w:b w:val="0"/>
          <w:i w:val="0"/>
          <w:strike w:val="0"/>
          <w:dstrike w:val="0"/>
          <w:emboss w:val="0"/>
          <w:imprint w:val="0"/>
          <w:outline w:val="0"/>
          <w:shadow w:val="0"/>
          <w:sz w:val="24"/>
          <w:szCs w:val="24"/>
          <w:u w:val="none"/>
        </w:rPr>
        <w:t xml:space="preserve">. https://doi.org/doi:10.3390/ijerph16091659</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Lissah, S. Y., Ayanore, M. A., Krugu, J. K., Aberese-Ako, M., &amp; Ruiter, R. A. C. (2021). Managing urban solid waste in Ghana: Perspectives and experiences of municipal waste company managers and supervisors in an urban municipality. </w:t>
      </w:r>
      <w:r>
        <w:rPr>
          <w:rFonts w:hAnsi="Times New Roman" w:ascii="Times New Roman" w:cs="Times New Roman"/>
          <w:b w:val="0"/>
          <w:i/>
          <w:iCs/>
          <w:strike w:val="0"/>
          <w:dstrike w:val="0"/>
          <w:emboss w:val="0"/>
          <w:imprint w:val="0"/>
          <w:outline w:val="0"/>
          <w:shadow w:val="0"/>
          <w:sz w:val="24"/>
          <w:szCs w:val="24"/>
          <w:u w:val="none"/>
        </w:rPr>
        <w:t xml:space="preserve">PLoS ONE</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16</w:t>
      </w:r>
      <w:r>
        <w:rPr>
          <w:rFonts w:hAnsi="Times New Roman" w:ascii="Times New Roman" w:cs="Times New Roman"/>
          <w:b w:val="0"/>
          <w:i w:val="0"/>
          <w:strike w:val="0"/>
          <w:dstrike w:val="0"/>
          <w:emboss w:val="0"/>
          <w:imprint w:val="0"/>
          <w:outline w:val="0"/>
          <w:shadow w:val="0"/>
          <w:sz w:val="24"/>
          <w:szCs w:val="24"/>
          <w:u w:val="none"/>
        </w:rPr>
        <w:t xml:space="preserve">(3 March), 1–18. https://doi.org/10.1371/journal.pone.0248392</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Masoumidezfouli, Z. (2019). </w:t>
      </w:r>
      <w:r>
        <w:rPr>
          <w:rFonts w:hAnsi="Times New Roman" w:ascii="Times New Roman" w:cs="Times New Roman"/>
          <w:b w:val="0"/>
          <w:i/>
          <w:iCs/>
          <w:strike w:val="0"/>
          <w:dstrike w:val="0"/>
          <w:emboss w:val="0"/>
          <w:imprint w:val="0"/>
          <w:outline w:val="0"/>
          <w:shadow w:val="0"/>
          <w:sz w:val="24"/>
          <w:szCs w:val="24"/>
          <w:u w:val="none"/>
        </w:rPr>
        <w:t xml:space="preserve">AN INVESTIGATION ON KNOWLEDGE, ATTITUDE AND PRACTICE AMONG STUDENTS OF UNIVERSITY MALAYA TOWARDS SOLID WASTE MANAGEMENT</w:t>
      </w:r>
      <w:r>
        <w:rPr>
          <w:rFonts w:hAnsi="Times New Roman" w:ascii="Times New Roman" w:cs="Times New Roman"/>
          <w:b w:val="0"/>
          <w:i w:val="0"/>
          <w:strike w:val="0"/>
          <w:dstrike w:val="0"/>
          <w:emboss w:val="0"/>
          <w:imprint w:val="0"/>
          <w:outline w:val="0"/>
          <w:shadow w:val="0"/>
          <w:sz w:val="24"/>
          <w:szCs w:val="24"/>
          <w:u w:val="none"/>
        </w:rPr>
        <w:t xml:space="preserve"> [UNIVERSITY OF MALAYA]. http://studentsrepo.um.edu.my/id/eprint/12195</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Mensah, I. (2020). Waste management practices of small hotels in Accra : An application of the waste management hierarchy model. </w:t>
      </w:r>
      <w:r>
        <w:rPr>
          <w:rFonts w:hAnsi="Times New Roman" w:ascii="Times New Roman" w:cs="Times New Roman"/>
          <w:b w:val="0"/>
          <w:i/>
          <w:iCs/>
          <w:strike w:val="0"/>
          <w:dstrike w:val="0"/>
          <w:emboss w:val="0"/>
          <w:imprint w:val="0"/>
          <w:outline w:val="0"/>
          <w:shadow w:val="0"/>
          <w:sz w:val="24"/>
          <w:szCs w:val="24"/>
          <w:u w:val="none"/>
        </w:rPr>
        <w:t xml:space="preserve">Journal of Global Business Insights, 5(1), 33-46.</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5</w:t>
      </w:r>
      <w:r>
        <w:rPr>
          <w:rFonts w:hAnsi="Times New Roman" w:ascii="Times New Roman" w:cs="Times New Roman"/>
          <w:b w:val="0"/>
          <w:i w:val="0"/>
          <w:strike w:val="0"/>
          <w:dstrike w:val="0"/>
          <w:emboss w:val="0"/>
          <w:imprint w:val="0"/>
          <w:outline w:val="0"/>
          <w:shadow w:val="0"/>
          <w:sz w:val="24"/>
          <w:szCs w:val="24"/>
          <w:u w:val="none"/>
        </w:rPr>
        <w:t xml:space="preserve">(1), 33–46. https://doi.org/https://www.doi.org/ 10.5038/2640-6489.5.1.1081</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Ministry of Sanitation and Water Resources. (2020). </w:t>
      </w:r>
      <w:r>
        <w:rPr>
          <w:rFonts w:hAnsi="Times New Roman" w:ascii="Times New Roman" w:cs="Times New Roman"/>
          <w:b w:val="0"/>
          <w:i/>
          <w:iCs/>
          <w:strike w:val="0"/>
          <w:dstrike w:val="0"/>
          <w:emboss w:val="0"/>
          <w:imprint w:val="0"/>
          <w:outline w:val="0"/>
          <w:shadow w:val="0"/>
          <w:sz w:val="24"/>
          <w:szCs w:val="24"/>
          <w:u w:val="none"/>
        </w:rPr>
        <w:t xml:space="preserve">National Solid Waste Management Strategy for Ghana</w:t>
      </w:r>
      <w:r>
        <w:rPr>
          <w:rFonts w:hAnsi="Times New Roman" w:ascii="Times New Roman" w:cs="Times New Roman"/>
          <w:b w:val="0"/>
          <w:i w:val="0"/>
          <w:strike w:val="0"/>
          <w:dstrike w:val="0"/>
          <w:emboss w:val="0"/>
          <w:imprint w:val="0"/>
          <w:outline w:val="0"/>
          <w:shadow w:val="0"/>
          <w:sz w:val="24"/>
          <w:szCs w:val="24"/>
          <w:u w:val="none"/>
        </w:rPr>
        <w:t xml:space="preserve"> (Issue June).</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Muiruri, J. M. (2022). ASSESSMENT OF RESIDENTS’ KNOWLEDGE, ATTITUDE AND PRACTICES ON SOLID WASTE MANAGEMENT IN EASTLEIGH SOUTH WARD, NAIROBI, KENYA. In </w:t>
      </w:r>
      <w:r>
        <w:rPr>
          <w:rFonts w:hAnsi="Times New Roman" w:ascii="Times New Roman" w:cs="Times New Roman"/>
          <w:b w:val="0"/>
          <w:i/>
          <w:iCs/>
          <w:strike w:val="0"/>
          <w:dstrike w:val="0"/>
          <w:emboss w:val="0"/>
          <w:imprint w:val="0"/>
          <w:outline w:val="0"/>
          <w:shadow w:val="0"/>
          <w:sz w:val="24"/>
          <w:szCs w:val="24"/>
          <w:u w:val="none"/>
        </w:rPr>
        <w:t xml:space="preserve">Braz Dent J.</w:t>
      </w:r>
      <w:r>
        <w:rPr>
          <w:rFonts w:hAnsi="Times New Roman" w:ascii="Times New Roman" w:cs="Times New Roman"/>
          <w:b w:val="0"/>
          <w:i w:val="0"/>
          <w:strike w:val="0"/>
          <w:dstrike w:val="0"/>
          <w:emboss w:val="0"/>
          <w:imprint w:val="0"/>
          <w:outline w:val="0"/>
          <w:shadow w:val="0"/>
          <w:sz w:val="24"/>
          <w:szCs w:val="24"/>
          <w:u w:val="none"/>
        </w:rPr>
        <w:t xml:space="preserve"> (Vol. 33, Issue 1). University of Nairobi.</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Ng, S. (2019). Resources , Conservation &amp; Recycling Predicting multi-family dwelling recycling behaviors using structural equation modelling : A case study of Hong Kong. </w:t>
      </w:r>
      <w:r>
        <w:rPr>
          <w:rFonts w:hAnsi="Times New Roman" w:ascii="Times New Roman" w:cs="Times New Roman"/>
          <w:b w:val="0"/>
          <w:i/>
          <w:iCs/>
          <w:strike w:val="0"/>
          <w:dstrike w:val="0"/>
          <w:emboss w:val="0"/>
          <w:imprint w:val="0"/>
          <w:outline w:val="0"/>
          <w:shadow w:val="0"/>
          <w:sz w:val="24"/>
          <w:szCs w:val="24"/>
          <w:u w:val="none"/>
        </w:rPr>
        <w:t xml:space="preserve">Resources, Conservation &amp; Recycling</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149</w:t>
      </w:r>
      <w:r>
        <w:rPr>
          <w:rFonts w:hAnsi="Times New Roman" w:ascii="Times New Roman" w:cs="Times New Roman"/>
          <w:b w:val="0"/>
          <w:i w:val="0"/>
          <w:strike w:val="0"/>
          <w:dstrike w:val="0"/>
          <w:emboss w:val="0"/>
          <w:imprint w:val="0"/>
          <w:outline w:val="0"/>
          <w:shadow w:val="0"/>
          <w:sz w:val="24"/>
          <w:szCs w:val="24"/>
          <w:u w:val="none"/>
        </w:rPr>
        <w:t xml:space="preserve">(June), 468–478. https://doi.org/10.1016/j.resconrec.2019.06.007</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Nyaguthii, K. G. (2019). </w:t>
      </w:r>
      <w:r>
        <w:rPr>
          <w:rFonts w:hAnsi="Times New Roman" w:ascii="Times New Roman" w:cs="Times New Roman"/>
          <w:b w:val="0"/>
          <w:i/>
          <w:iCs/>
          <w:strike w:val="0"/>
          <w:dstrike w:val="0"/>
          <w:emboss w:val="0"/>
          <w:imprint w:val="0"/>
          <w:outline w:val="0"/>
          <w:shadow w:val="0"/>
          <w:sz w:val="24"/>
          <w:szCs w:val="24"/>
          <w:u w:val="none"/>
        </w:rPr>
        <w:t xml:space="preserve">ASSESSMENT OF HOUSEHOLDS ’ KNOWLEDGE , ATTITUDES AND PRACTICES ON SOLID WASTE MANAGEMENT IN NAKURU TOWN</w:t>
      </w:r>
      <w:r>
        <w:rPr>
          <w:rFonts w:hAnsi="Times New Roman" w:ascii="Times New Roman" w:cs="Times New Roman"/>
          <w:b w:val="0"/>
          <w:i w:val="0"/>
          <w:strike w:val="0"/>
          <w:dstrike w:val="0"/>
          <w:emboss w:val="0"/>
          <w:imprint w:val="0"/>
          <w:outline w:val="0"/>
          <w:shadow w:val="0"/>
          <w:sz w:val="24"/>
          <w:szCs w:val="24"/>
          <w:u w:val="none"/>
        </w:rPr>
        <w:t xml:space="preserve">. University of Nairobi.</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Odonkor, S. T., Frimpong, K., &amp;Kurantin, N. (2020). An assessment of house-hold solid waste management in a large Ghanaian district. </w:t>
      </w:r>
      <w:r>
        <w:rPr>
          <w:rFonts w:hAnsi="Times New Roman" w:ascii="Times New Roman" w:cs="Times New Roman"/>
          <w:b w:val="0"/>
          <w:i/>
          <w:iCs/>
          <w:strike w:val="0"/>
          <w:dstrike w:val="0"/>
          <w:emboss w:val="0"/>
          <w:imprint w:val="0"/>
          <w:outline w:val="0"/>
          <w:shadow w:val="0"/>
          <w:sz w:val="24"/>
          <w:szCs w:val="24"/>
          <w:u w:val="none"/>
        </w:rPr>
        <w:t xml:space="preserve">Heliyon</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6</w:t>
      </w:r>
      <w:r>
        <w:rPr>
          <w:rFonts w:hAnsi="Times New Roman" w:ascii="Times New Roman" w:cs="Times New Roman"/>
          <w:b w:val="0"/>
          <w:i w:val="0"/>
          <w:strike w:val="0"/>
          <w:dstrike w:val="0"/>
          <w:emboss w:val="0"/>
          <w:imprint w:val="0"/>
          <w:outline w:val="0"/>
          <w:shadow w:val="0"/>
          <w:sz w:val="24"/>
          <w:szCs w:val="24"/>
          <w:u w:val="none"/>
        </w:rPr>
        <w:t xml:space="preserve">(1), e03040. https://doi.org/10.1016/j.heliyon.2019.e03040</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Oteng-Ababio, M., Owusu, G., &amp; Asafo, D. M. (2019). Following the footsteps: Urbanisation of Wa Municipality and its synergism in risk accumulation, uncertainties and complexities in urban Ghana. </w:t>
      </w:r>
      <w:r>
        <w:rPr>
          <w:rFonts w:hAnsi="Times New Roman" w:ascii="Times New Roman" w:cs="Times New Roman"/>
          <w:b w:val="0"/>
          <w:i/>
          <w:iCs/>
          <w:strike w:val="0"/>
          <w:dstrike w:val="0"/>
          <w:emboss w:val="0"/>
          <w:imprint w:val="0"/>
          <w:outline w:val="0"/>
          <w:shadow w:val="0"/>
          <w:sz w:val="24"/>
          <w:szCs w:val="24"/>
          <w:u w:val="none"/>
        </w:rPr>
        <w:t xml:space="preserve">Jamba: Journal of Disaster Risk Studies</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11</w:t>
      </w:r>
      <w:r>
        <w:rPr>
          <w:rFonts w:hAnsi="Times New Roman" w:ascii="Times New Roman" w:cs="Times New Roman"/>
          <w:b w:val="0"/>
          <w:i w:val="0"/>
          <w:strike w:val="0"/>
          <w:dstrike w:val="0"/>
          <w:emboss w:val="0"/>
          <w:imprint w:val="0"/>
          <w:outline w:val="0"/>
          <w:shadow w:val="0"/>
          <w:sz w:val="24"/>
          <w:szCs w:val="24"/>
          <w:u w:val="none"/>
        </w:rPr>
        <w:t xml:space="preserve">(1), 1–10. https://doi.org/10.4102/JAMBA.V11I1.479</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Owojori, O. M., Mulaudzi, R., &amp;Edokpayi, J. N. (2022). </w:t>
      </w:r>
      <w:r>
        <w:rPr>
          <w:rFonts w:hAnsi="Times New Roman" w:ascii="Times New Roman" w:cs="Times New Roman"/>
          <w:b w:val="0"/>
          <w:i/>
          <w:iCs/>
          <w:strike w:val="0"/>
          <w:dstrike w:val="0"/>
          <w:emboss w:val="0"/>
          <w:imprint w:val="0"/>
          <w:outline w:val="0"/>
          <w:shadow w:val="0"/>
          <w:sz w:val="24"/>
          <w:szCs w:val="24"/>
          <w:u w:val="none"/>
        </w:rPr>
        <w:t xml:space="preserve">Student ’ s Knowledge , Attitude , and Perception ( KAP ) to Solid Waste Management : A Survey towards a More Circular Economy from a Rural-Based Tertiary Institution in South Africa</w:t>
      </w:r>
      <w:r>
        <w:rPr>
          <w:rFonts w:hAnsi="Times New Roman" w:ascii="Times New Roman" w:cs="Times New Roman"/>
          <w:b w:val="0"/>
          <w:i w:val="0"/>
          <w:strike w:val="0"/>
          <w:dstrike w:val="0"/>
          <w:emboss w:val="0"/>
          <w:imprint w:val="0"/>
          <w:outline w:val="0"/>
          <w:shadow w:val="0"/>
          <w:sz w:val="24"/>
          <w:szCs w:val="24"/>
          <w:u w:val="none"/>
        </w:rPr>
        <w:t xml:space="preserve">.</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Owusu-Sekyere, E., Amoah, T. S., &amp; Wedam, E. A. (2017). Solid waste generation, planning and projection in Wa, Ghana. </w:t>
      </w:r>
      <w:r>
        <w:rPr>
          <w:rFonts w:hAnsi="Times New Roman" w:ascii="Times New Roman" w:cs="Times New Roman"/>
          <w:b w:val="0"/>
          <w:i/>
          <w:iCs/>
          <w:strike w:val="0"/>
          <w:dstrike w:val="0"/>
          <w:emboss w:val="0"/>
          <w:imprint w:val="0"/>
          <w:outline w:val="0"/>
          <w:shadow w:val="0"/>
          <w:sz w:val="24"/>
          <w:szCs w:val="24"/>
          <w:u w:val="none"/>
        </w:rPr>
        <w:t xml:space="preserve">UDS International Journal of Development [UDSIJD]</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4</w:t>
      </w:r>
      <w:r>
        <w:rPr>
          <w:rFonts w:hAnsi="Times New Roman" w:ascii="Times New Roman" w:cs="Times New Roman"/>
          <w:b w:val="0"/>
          <w:i w:val="0"/>
          <w:strike w:val="0"/>
          <w:dstrike w:val="0"/>
          <w:emboss w:val="0"/>
          <w:imprint w:val="0"/>
          <w:outline w:val="0"/>
          <w:shadow w:val="0"/>
          <w:sz w:val="24"/>
          <w:szCs w:val="24"/>
          <w:u w:val="none"/>
        </w:rPr>
        <w:t xml:space="preserve">(1), 46–63. http://www.udsijd.org</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Parkar, S., Mulukh, R., Narhari, G., &amp;Kulkami, S. (2021). </w:t>
      </w:r>
      <w:r>
        <w:rPr>
          <w:rFonts w:hAnsi="Times New Roman" w:ascii="Times New Roman" w:cs="Times New Roman"/>
          <w:b w:val="0"/>
          <w:i/>
          <w:iCs/>
          <w:strike w:val="0"/>
          <w:dstrike w:val="0"/>
          <w:emboss w:val="0"/>
          <w:imprint w:val="0"/>
          <w:outline w:val="0"/>
          <w:shadow w:val="0"/>
          <w:sz w:val="24"/>
          <w:szCs w:val="24"/>
          <w:u w:val="none"/>
        </w:rPr>
        <w:t xml:space="preserve">An insight into treatment , reuse , recycle and disposal of biodegradable and non-biodegradable solid waste</w:t>
      </w:r>
      <w:r>
        <w:rPr>
          <w:rFonts w:hAnsi="Times New Roman" w:ascii="Times New Roman" w:cs="Times New Roman"/>
          <w:b w:val="0"/>
          <w:i w:val="0"/>
          <w:strike w:val="0"/>
          <w:dstrike w:val="0"/>
          <w:emboss w:val="0"/>
          <w:imprint w:val="0"/>
          <w:outline w:val="0"/>
          <w:shadow w:val="0"/>
          <w:sz w:val="24"/>
          <w:szCs w:val="24"/>
          <w:u w:val="none"/>
        </w:rPr>
        <w:t xml:space="preserve">.</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Peprah, K., Amoah, S. T., &amp;Achana, G. T. W. (2015). </w:t>
      </w:r>
      <w:r>
        <w:rPr>
          <w:rFonts w:hAnsi="Times New Roman" w:ascii="Times New Roman" w:cs="Times New Roman"/>
          <w:b w:val="0"/>
          <w:i/>
          <w:iCs/>
          <w:strike w:val="0"/>
          <w:dstrike w:val="0"/>
          <w:emboss w:val="0"/>
          <w:imprint w:val="0"/>
          <w:outline w:val="0"/>
          <w:shadow w:val="0"/>
          <w:sz w:val="24"/>
          <w:szCs w:val="24"/>
          <w:u w:val="none"/>
        </w:rPr>
        <w:t xml:space="preserve">Assessing ‘ 3Rs ’ Model in Relation to Municipal Solid Waste Management in Wa , Ghana</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5</w:t>
      </w:r>
      <w:r>
        <w:rPr>
          <w:rFonts w:hAnsi="Times New Roman" w:ascii="Times New Roman" w:cs="Times New Roman"/>
          <w:b w:val="0"/>
          <w:i w:val="0"/>
          <w:strike w:val="0"/>
          <w:dstrike w:val="0"/>
          <w:emboss w:val="0"/>
          <w:imprint w:val="0"/>
          <w:outline w:val="0"/>
          <w:shadow w:val="0"/>
          <w:sz w:val="24"/>
          <w:szCs w:val="24"/>
          <w:u w:val="none"/>
        </w:rPr>
        <w:t xml:space="preserve">(3), 112–120. https://doi.org/10.5923/j.env.20150503.03</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Puopiel, F. (2010). </w:t>
      </w:r>
      <w:r>
        <w:rPr>
          <w:rFonts w:hAnsi="Times New Roman" w:ascii="Times New Roman" w:cs="Times New Roman"/>
          <w:b w:val="0"/>
          <w:i/>
          <w:iCs/>
          <w:strike w:val="0"/>
          <w:dstrike w:val="0"/>
          <w:emboss w:val="0"/>
          <w:imprint w:val="0"/>
          <w:outline w:val="0"/>
          <w:shadow w:val="0"/>
          <w:sz w:val="24"/>
          <w:szCs w:val="24"/>
          <w:u w:val="none"/>
        </w:rPr>
        <w:t xml:space="preserve">Solid Waste Management in Ghana: the Case of Tamale Metropolitan Area</w:t>
      </w:r>
      <w:r>
        <w:rPr>
          <w:rFonts w:hAnsi="Times New Roman" w:ascii="Times New Roman" w:cs="Times New Roman"/>
          <w:b w:val="0"/>
          <w:i w:val="0"/>
          <w:strike w:val="0"/>
          <w:dstrike w:val="0"/>
          <w:emboss w:val="0"/>
          <w:imprint w:val="0"/>
          <w:outline w:val="0"/>
          <w:shadow w:val="0"/>
          <w:sz w:val="24"/>
          <w:szCs w:val="24"/>
          <w:u w:val="none"/>
        </w:rPr>
        <w:t xml:space="preserve">. https://doi.org/10.1017/CBO9781107415324.004</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Rahi, S. (2017). </w:t>
      </w:r>
      <w:r>
        <w:rPr>
          <w:rFonts w:hAnsi="Times New Roman" w:ascii="Times New Roman" w:cs="Times New Roman"/>
          <w:b w:val="0"/>
          <w:i/>
          <w:iCs/>
          <w:strike w:val="0"/>
          <w:dstrike w:val="0"/>
          <w:emboss w:val="0"/>
          <w:imprint w:val="0"/>
          <w:outline w:val="0"/>
          <w:shadow w:val="0"/>
          <w:sz w:val="24"/>
          <w:szCs w:val="24"/>
          <w:u w:val="none"/>
        </w:rPr>
        <w:t xml:space="preserve">Research Design and Methods : A Systematic Review of Research Paradigms , Sampling Issues and Instruments Development International Journal of Economics &amp;</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6</w:t>
      </w:r>
      <w:r>
        <w:rPr>
          <w:rFonts w:hAnsi="Times New Roman" w:ascii="Times New Roman" w:cs="Times New Roman"/>
          <w:b w:val="0"/>
          <w:i w:val="0"/>
          <w:strike w:val="0"/>
          <w:dstrike w:val="0"/>
          <w:emboss w:val="0"/>
          <w:imprint w:val="0"/>
          <w:outline w:val="0"/>
          <w:shadow w:val="0"/>
          <w:sz w:val="24"/>
          <w:szCs w:val="24"/>
          <w:u w:val="none"/>
        </w:rPr>
        <w:t xml:space="preserve">(2). https://doi.org/10.4172/2162-6359.1000403</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Rodic, L., &amp; Wilson, D. C. (2017). </w:t>
      </w:r>
      <w:r>
        <w:rPr>
          <w:rFonts w:hAnsi="Times New Roman" w:ascii="Times New Roman" w:cs="Times New Roman"/>
          <w:b w:val="0"/>
          <w:i/>
          <w:iCs/>
          <w:strike w:val="0"/>
          <w:dstrike w:val="0"/>
          <w:emboss w:val="0"/>
          <w:imprint w:val="0"/>
          <w:outline w:val="0"/>
          <w:shadow w:val="0"/>
          <w:sz w:val="24"/>
          <w:szCs w:val="24"/>
          <w:u w:val="none"/>
        </w:rPr>
        <w:t xml:space="preserve">Resolving Governance Issues to Achieve Priority Sustainable Development sustainability Resolving Governance Issues to Achieve Priority Sustainable Development Goals Related to Solid Waste Management in Developing Countries</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March</w:t>
      </w:r>
      <w:r>
        <w:rPr>
          <w:rFonts w:hAnsi="Times New Roman" w:ascii="Times New Roman" w:cs="Times New Roman"/>
          <w:b w:val="0"/>
          <w:i w:val="0"/>
          <w:strike w:val="0"/>
          <w:dstrike w:val="0"/>
          <w:emboss w:val="0"/>
          <w:imprint w:val="0"/>
          <w:outline w:val="0"/>
          <w:shadow w:val="0"/>
          <w:sz w:val="24"/>
          <w:szCs w:val="24"/>
          <w:u w:val="none"/>
        </w:rPr>
        <w:t xml:space="preserve">. https://doi.org/10.3390/su9030404</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Saunders, M., Lewis, P., &amp; Thornhill, A. (2009). </w:t>
      </w:r>
      <w:r>
        <w:rPr>
          <w:rFonts w:hAnsi="Times New Roman" w:ascii="Times New Roman" w:cs="Times New Roman"/>
          <w:b w:val="0"/>
          <w:i/>
          <w:iCs/>
          <w:strike w:val="0"/>
          <w:dstrike w:val="0"/>
          <w:emboss w:val="0"/>
          <w:imprint w:val="0"/>
          <w:outline w:val="0"/>
          <w:shadow w:val="0"/>
          <w:sz w:val="24"/>
          <w:szCs w:val="24"/>
          <w:u w:val="none"/>
        </w:rPr>
        <w:t xml:space="preserve">Research methods for business students</w:t>
      </w:r>
      <w:r>
        <w:rPr>
          <w:rFonts w:hAnsi="Times New Roman" w:ascii="Times New Roman" w:cs="Times New Roman"/>
          <w:b w:val="0"/>
          <w:i w:val="0"/>
          <w:strike w:val="0"/>
          <w:dstrike w:val="0"/>
          <w:emboss w:val="0"/>
          <w:imprint w:val="0"/>
          <w:outline w:val="0"/>
          <w:shadow w:val="0"/>
          <w:sz w:val="24"/>
          <w:szCs w:val="24"/>
          <w:u w:val="none"/>
        </w:rPr>
        <w:t xml:space="preserve"> (5th editio). British Library Cataloguing-in-Publication Data. www.pearsoned.co.uk</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Saunders, M., Lewis, P., &amp; Thornhill, A. (2019). Research methods for business students. In </w:t>
      </w:r>
      <w:r>
        <w:rPr>
          <w:rFonts w:hAnsi="Times New Roman" w:ascii="Times New Roman" w:cs="Times New Roman"/>
          <w:b w:val="0"/>
          <w:i/>
          <w:iCs/>
          <w:strike w:val="0"/>
          <w:dstrike w:val="0"/>
          <w:emboss w:val="0"/>
          <w:imprint w:val="0"/>
          <w:outline w:val="0"/>
          <w:shadow w:val="0"/>
          <w:sz w:val="24"/>
          <w:szCs w:val="24"/>
          <w:u w:val="none"/>
        </w:rPr>
        <w:t xml:space="preserve">Research Methods For Business Students</w:t>
      </w:r>
      <w:r>
        <w:rPr>
          <w:rFonts w:hAnsi="Times New Roman" w:ascii="Times New Roman" w:cs="Times New Roman"/>
          <w:b w:val="0"/>
          <w:i w:val="0"/>
          <w:strike w:val="0"/>
          <w:dstrike w:val="0"/>
          <w:emboss w:val="0"/>
          <w:imprint w:val="0"/>
          <w:outline w:val="0"/>
          <w:shadow w:val="0"/>
          <w:sz w:val="24"/>
          <w:szCs w:val="24"/>
          <w:u w:val="none"/>
        </w:rPr>
        <w:t xml:space="preserve"> (8th editio, pp. 128–170). web: www.pearson.com/uk%0AFirst</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Seng, B., Fujiwara, T., &amp;Spoann, V. (2018). Households ’ knowledge , attitudes , and practices toward solid waste management in suburbs of Phnom Penh , Cambodia. </w:t>
      </w:r>
      <w:r>
        <w:rPr>
          <w:rFonts w:hAnsi="Times New Roman" w:ascii="Times New Roman" w:cs="Times New Roman"/>
          <w:b w:val="0"/>
          <w:i/>
          <w:iCs/>
          <w:strike w:val="0"/>
          <w:dstrike w:val="0"/>
          <w:emboss w:val="0"/>
          <w:imprint w:val="0"/>
          <w:outline w:val="0"/>
          <w:shadow w:val="0"/>
          <w:sz w:val="24"/>
          <w:szCs w:val="24"/>
          <w:u w:val="none"/>
        </w:rPr>
        <w:t xml:space="preserve">Sagepub.Com/Journals-Permissions</w:t>
      </w:r>
      <w:r>
        <w:rPr>
          <w:rFonts w:hAnsi="Times New Roman" w:ascii="Times New Roman" w:cs="Times New Roman"/>
          <w:b w:val="0"/>
          <w:i w:val="0"/>
          <w:strike w:val="0"/>
          <w:dstrike w:val="0"/>
          <w:emboss w:val="0"/>
          <w:imprint w:val="0"/>
          <w:outline w:val="0"/>
          <w:shadow w:val="0"/>
          <w:sz w:val="24"/>
          <w:szCs w:val="24"/>
          <w:u w:val="none"/>
        </w:rPr>
        <w:t xml:space="preserve">. https://doi.org/10.1177/0734242X18790800</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Sharma, G. (2017). </w:t>
      </w:r>
      <w:r>
        <w:rPr>
          <w:rFonts w:hAnsi="Times New Roman" w:ascii="Times New Roman" w:cs="Times New Roman"/>
          <w:b w:val="0"/>
          <w:i/>
          <w:iCs/>
          <w:strike w:val="0"/>
          <w:dstrike w:val="0"/>
          <w:emboss w:val="0"/>
          <w:imprint w:val="0"/>
          <w:outline w:val="0"/>
          <w:shadow w:val="0"/>
          <w:sz w:val="24"/>
          <w:szCs w:val="24"/>
          <w:u w:val="none"/>
        </w:rPr>
        <w:t xml:space="preserve">Pros and cons of different sampling techniques</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3</w:t>
      </w:r>
      <w:r>
        <w:rPr>
          <w:rFonts w:hAnsi="Times New Roman" w:ascii="Times New Roman" w:cs="Times New Roman"/>
          <w:b w:val="0"/>
          <w:i w:val="0"/>
          <w:strike w:val="0"/>
          <w:dstrike w:val="0"/>
          <w:emboss w:val="0"/>
          <w:imprint w:val="0"/>
          <w:outline w:val="0"/>
          <w:shadow w:val="0"/>
          <w:sz w:val="24"/>
          <w:szCs w:val="24"/>
          <w:u w:val="none"/>
        </w:rPr>
        <w:t xml:space="preserve">(7), 749–752.</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Srigirisetty, S., Jayasri, T., &amp; Netaji, C. (2017). Open dumping of Municipal solid waste: Impact on groundwater and soil. </w:t>
      </w:r>
      <w:r>
        <w:rPr>
          <w:rFonts w:hAnsi="Times New Roman" w:ascii="Times New Roman" w:cs="Times New Roman"/>
          <w:b w:val="0"/>
          <w:i/>
          <w:iCs/>
          <w:strike w:val="0"/>
          <w:dstrike w:val="0"/>
          <w:emboss w:val="0"/>
          <w:imprint w:val="0"/>
          <w:outline w:val="0"/>
          <w:shadow w:val="0"/>
          <w:sz w:val="24"/>
          <w:szCs w:val="24"/>
          <w:u w:val="none"/>
        </w:rPr>
        <w:t xml:space="preserve">International Journal of Current Engineering and Scientific Research (IJCESR)</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6</w:t>
      </w:r>
      <w:r>
        <w:rPr>
          <w:rFonts w:hAnsi="Times New Roman" w:ascii="Times New Roman" w:cs="Times New Roman"/>
          <w:b w:val="0"/>
          <w:i w:val="0"/>
          <w:strike w:val="0"/>
          <w:dstrike w:val="0"/>
          <w:emboss w:val="0"/>
          <w:imprint w:val="0"/>
          <w:outline w:val="0"/>
          <w:shadow w:val="0"/>
          <w:sz w:val="24"/>
          <w:szCs w:val="24"/>
          <w:u w:val="none"/>
        </w:rPr>
        <w:t xml:space="preserve">, 26–33.</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Tassie, K., &amp;Endalew, B. (2020). Willingness to pay for improved solid waste management services and associated factors among urban households: One and one half bounded contingent valuation study in Bahir Dar city, Ethiopia. </w:t>
      </w:r>
      <w:r>
        <w:rPr>
          <w:rFonts w:hAnsi="Times New Roman" w:ascii="Times New Roman" w:cs="Times New Roman"/>
          <w:b w:val="0"/>
          <w:i/>
          <w:iCs/>
          <w:strike w:val="0"/>
          <w:dstrike w:val="0"/>
          <w:emboss w:val="0"/>
          <w:imprint w:val="0"/>
          <w:outline w:val="0"/>
          <w:shadow w:val="0"/>
          <w:sz w:val="24"/>
          <w:szCs w:val="24"/>
          <w:u w:val="none"/>
        </w:rPr>
        <w:t xml:space="preserve">Cogent Environmental Science</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6</w:t>
      </w:r>
      <w:r>
        <w:rPr>
          <w:rFonts w:hAnsi="Times New Roman" w:ascii="Times New Roman" w:cs="Times New Roman"/>
          <w:b w:val="0"/>
          <w:i w:val="0"/>
          <w:strike w:val="0"/>
          <w:dstrike w:val="0"/>
          <w:emboss w:val="0"/>
          <w:imprint w:val="0"/>
          <w:outline w:val="0"/>
          <w:shadow w:val="0"/>
          <w:sz w:val="24"/>
          <w:szCs w:val="24"/>
          <w:u w:val="none"/>
        </w:rPr>
        <w:t xml:space="preserve">(1). https://doi.org/10.1080/23311843.2020.1807275</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Tatlonghari, R. V, &amp; Jamias, S. B. (2010). </w:t>
      </w:r>
      <w:r>
        <w:rPr>
          <w:rFonts w:hAnsi="Times New Roman" w:ascii="Times New Roman" w:cs="Times New Roman"/>
          <w:b w:val="0"/>
          <w:i/>
          <w:iCs/>
          <w:strike w:val="0"/>
          <w:dstrike w:val="0"/>
          <w:emboss w:val="0"/>
          <w:imprint w:val="0"/>
          <w:outline w:val="0"/>
          <w:shadow w:val="0"/>
          <w:sz w:val="24"/>
          <w:szCs w:val="24"/>
          <w:u w:val="none"/>
        </w:rPr>
        <w:t xml:space="preserve">Village-Level Knowledge , Attitudes and Practices on Solid Waste Management in Sta . Rosa City , Laguna , Philippines</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13</w:t>
      </w:r>
      <w:r>
        <w:rPr>
          <w:rFonts w:hAnsi="Times New Roman" w:ascii="Times New Roman" w:cs="Times New Roman"/>
          <w:b w:val="0"/>
          <w:i w:val="0"/>
          <w:strike w:val="0"/>
          <w:dstrike w:val="0"/>
          <w:emboss w:val="0"/>
          <w:imprint w:val="0"/>
          <w:outline w:val="0"/>
          <w:shadow w:val="0"/>
          <w:sz w:val="24"/>
          <w:szCs w:val="24"/>
          <w:u w:val="none"/>
        </w:rPr>
        <w:t xml:space="preserve">(December 2005), 35–51.</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Teferi, S. C. (2022). </w:t>
      </w:r>
      <w:r>
        <w:rPr>
          <w:rFonts w:hAnsi="Times New Roman" w:ascii="Times New Roman" w:cs="Times New Roman"/>
          <w:b w:val="0"/>
          <w:i/>
          <w:iCs/>
          <w:strike w:val="0"/>
          <w:dstrike w:val="0"/>
          <w:emboss w:val="0"/>
          <w:imprint w:val="0"/>
          <w:outline w:val="0"/>
          <w:shadow w:val="0"/>
          <w:sz w:val="24"/>
          <w:szCs w:val="24"/>
          <w:u w:val="none"/>
        </w:rPr>
        <w:t xml:space="preserve">The Status of Household Solid Waste Management and its Associated Factors in Fiche Town , North Shewa</w:t>
      </w:r>
      <w:r>
        <w:rPr>
          <w:rFonts w:hAnsi="Times New Roman" w:ascii="Times New Roman" w:cs="Times New Roman"/>
          <w:b w:val="0"/>
          <w:i w:val="0"/>
          <w:strike w:val="0"/>
          <w:dstrike w:val="0"/>
          <w:emboss w:val="0"/>
          <w:imprint w:val="0"/>
          <w:outline w:val="0"/>
          <w:shadow w:val="0"/>
          <w:sz w:val="24"/>
          <w:szCs w:val="24"/>
          <w:u w:val="none"/>
        </w:rPr>
        <w:t xml:space="preserve">. https://doi.org/10.1177/11786302221117007</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Thomas, F. B. (2022). </w:t>
      </w:r>
      <w:r>
        <w:rPr>
          <w:rFonts w:hAnsi="Times New Roman" w:ascii="Times New Roman" w:cs="Times New Roman"/>
          <w:b w:val="0"/>
          <w:i/>
          <w:iCs/>
          <w:strike w:val="0"/>
          <w:dstrike w:val="0"/>
          <w:emboss w:val="0"/>
          <w:imprint w:val="0"/>
          <w:outline w:val="0"/>
          <w:shadow w:val="0"/>
          <w:sz w:val="24"/>
          <w:szCs w:val="24"/>
          <w:u w:val="none"/>
        </w:rPr>
        <w:t xml:space="preserve">The Role of Purposive Sampling Technique as a Tool for Informal Choices in a Social Sciences in Research Methods</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2</w:t>
      </w:r>
      <w:r>
        <w:rPr>
          <w:rFonts w:hAnsi="Times New Roman" w:ascii="Times New Roman" w:cs="Times New Roman"/>
          <w:b w:val="0"/>
          <w:i w:val="0"/>
          <w:strike w:val="0"/>
          <w:dstrike w:val="0"/>
          <w:emboss w:val="0"/>
          <w:imprint w:val="0"/>
          <w:outline w:val="0"/>
          <w:shadow w:val="0"/>
          <w:sz w:val="24"/>
          <w:szCs w:val="24"/>
          <w:u w:val="none"/>
        </w:rPr>
        <w:t xml:space="preserve">(5). www.justagriculture.in</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Tukiman, N. F. I., Seman, N. A. A., &amp; Mustaffa, S. A. (2021). </w:t>
      </w:r>
      <w:r>
        <w:rPr>
          <w:rFonts w:hAnsi="Times New Roman" w:ascii="Times New Roman" w:cs="Times New Roman"/>
          <w:b w:val="0"/>
          <w:i/>
          <w:iCs/>
          <w:strike w:val="0"/>
          <w:dstrike w:val="0"/>
          <w:emboss w:val="0"/>
          <w:imprint w:val="0"/>
          <w:outline w:val="0"/>
          <w:shadow w:val="0"/>
          <w:sz w:val="24"/>
          <w:szCs w:val="24"/>
          <w:u w:val="none"/>
        </w:rPr>
        <w:t xml:space="preserve">A Study of E-Waste Disposal Management Awareness among Local Community based on KAP Model</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2</w:t>
      </w:r>
      <w:r>
        <w:rPr>
          <w:rFonts w:hAnsi="Times New Roman" w:ascii="Times New Roman" w:cs="Times New Roman"/>
          <w:b w:val="0"/>
          <w:i w:val="0"/>
          <w:strike w:val="0"/>
          <w:dstrike w:val="0"/>
          <w:emboss w:val="0"/>
          <w:imprint w:val="0"/>
          <w:outline w:val="0"/>
          <w:shadow w:val="0"/>
          <w:sz w:val="24"/>
          <w:szCs w:val="24"/>
          <w:u w:val="none"/>
        </w:rPr>
        <w:t xml:space="preserve">(2), 881–892.</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UN-Habitat. (2010). </w:t>
      </w:r>
      <w:r>
        <w:rPr>
          <w:rFonts w:hAnsi="Times New Roman" w:ascii="Times New Roman" w:cs="Times New Roman"/>
          <w:b w:val="0"/>
          <w:i/>
          <w:iCs/>
          <w:strike w:val="0"/>
          <w:dstrike w:val="0"/>
          <w:emboss w:val="0"/>
          <w:imprint w:val="0"/>
          <w:outline w:val="0"/>
          <w:shadow w:val="0"/>
          <w:sz w:val="24"/>
          <w:szCs w:val="24"/>
          <w:u w:val="none"/>
        </w:rPr>
        <w:t xml:space="preserve">SOLID WASTE MANAGEMENT IN THE WORLD’S CITIES</w:t>
      </w:r>
      <w:r>
        <w:rPr>
          <w:rFonts w:hAnsi="Times New Roman" w:ascii="Times New Roman" w:cs="Times New Roman"/>
          <w:b w:val="0"/>
          <w:i w:val="0"/>
          <w:strike w:val="0"/>
          <w:dstrike w:val="0"/>
          <w:emboss w:val="0"/>
          <w:imprint w:val="0"/>
          <w:outline w:val="0"/>
          <w:shadow w:val="0"/>
          <w:sz w:val="24"/>
          <w:szCs w:val="24"/>
          <w:u w:val="none"/>
        </w:rPr>
        <w:t xml:space="preserve">. London: Routledge.https://doi.org/10.4324/9781849774871.</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Velvizhi, G., Shanthakumar, S., Das, B., Pugazhendhi, A., Priya, T. S., Ashok, B., Nanthagopal, K., Vignesh, R., &amp; Karthick, C. (2020). Biodegradable and non-biodegradable fraction of municipal solid waste for multifaceted applications through a closed loop integrated re fi neryplatform : Paving a path towards circular economy. </w:t>
      </w:r>
      <w:r>
        <w:rPr>
          <w:rFonts w:hAnsi="Times New Roman" w:ascii="Times New Roman" w:cs="Times New Roman"/>
          <w:b w:val="0"/>
          <w:i/>
          <w:iCs/>
          <w:strike w:val="0"/>
          <w:dstrike w:val="0"/>
          <w:emboss w:val="0"/>
          <w:imprint w:val="0"/>
          <w:outline w:val="0"/>
          <w:shadow w:val="0"/>
          <w:sz w:val="24"/>
          <w:szCs w:val="24"/>
          <w:u w:val="none"/>
        </w:rPr>
        <w:t xml:space="preserve">Science of the Total Environment</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731</w:t>
      </w:r>
      <w:r>
        <w:rPr>
          <w:rFonts w:hAnsi="Times New Roman" w:ascii="Times New Roman" w:cs="Times New Roman"/>
          <w:b w:val="0"/>
          <w:i w:val="0"/>
          <w:strike w:val="0"/>
          <w:dstrike w:val="0"/>
          <w:emboss w:val="0"/>
          <w:imprint w:val="0"/>
          <w:outline w:val="0"/>
          <w:shadow w:val="0"/>
          <w:sz w:val="24"/>
          <w:szCs w:val="24"/>
          <w:u w:val="none"/>
        </w:rPr>
        <w:t xml:space="preserve">, 138049. https://doi.org/10.1016/j.scitotenv.2020.138049</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Vistharakula, U. R., Lakshmi, V. V., &amp;Ramala, G. R. (2021). Knowledge , attitude , practice and socio-economic factors influence on households waste management practices. </w:t>
      </w:r>
      <w:r>
        <w:rPr>
          <w:rFonts w:hAnsi="Times New Roman" w:ascii="Times New Roman" w:cs="Times New Roman"/>
          <w:b w:val="0"/>
          <w:i/>
          <w:iCs/>
          <w:strike w:val="0"/>
          <w:dstrike w:val="0"/>
          <w:emboss w:val="0"/>
          <w:imprint w:val="0"/>
          <w:outline w:val="0"/>
          <w:shadow w:val="0"/>
          <w:sz w:val="24"/>
          <w:szCs w:val="24"/>
          <w:u w:val="none"/>
        </w:rPr>
        <w:t xml:space="preserve">The Pharma Innovation Journal</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10</w:t>
      </w:r>
      <w:r>
        <w:rPr>
          <w:rFonts w:hAnsi="Times New Roman" w:ascii="Times New Roman" w:cs="Times New Roman"/>
          <w:b w:val="0"/>
          <w:i w:val="0"/>
          <w:strike w:val="0"/>
          <w:dstrike w:val="0"/>
          <w:emboss w:val="0"/>
          <w:imprint w:val="0"/>
          <w:outline w:val="0"/>
          <w:shadow w:val="0"/>
          <w:sz w:val="24"/>
          <w:szCs w:val="24"/>
          <w:u w:val="none"/>
        </w:rPr>
        <w:t xml:space="preserve">(5), 545–550.</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WHO. (2021).  </w:t>
      </w:r>
      <w:r>
        <w:rPr>
          <w:rFonts w:hAnsi="Times New Roman" w:ascii="Times New Roman" w:cs="Times New Roman"/>
          <w:b w:val="0"/>
          <w:i/>
          <w:iCs/>
          <w:strike w:val="0"/>
          <w:dstrike w:val="0"/>
          <w:emboss w:val="0"/>
          <w:imprint w:val="0"/>
          <w:outline w:val="0"/>
          <w:shadow w:val="0"/>
          <w:sz w:val="24"/>
          <w:szCs w:val="24"/>
          <w:u w:val="none"/>
        </w:rPr>
        <w:t xml:space="preserve">Compendium of WHO and other UN guidance on health and environment</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2021</w:t>
      </w:r>
      <w:r>
        <w:rPr>
          <w:rFonts w:hAnsi="Times New Roman" w:ascii="Times New Roman" w:cs="Times New Roman"/>
          <w:b w:val="0"/>
          <w:i w:val="0"/>
          <w:strike w:val="0"/>
          <w:dstrike w:val="0"/>
          <w:emboss w:val="0"/>
          <w:imprint w:val="0"/>
          <w:outline w:val="0"/>
          <w:shadow w:val="0"/>
          <w:sz w:val="24"/>
          <w:szCs w:val="24"/>
          <w:u w:val="none"/>
        </w:rPr>
        <w:t xml:space="preserve">, 0–7. www.who.int/teams/environment-climate-change-and-health</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World Bank. (2012). </w:t>
      </w:r>
      <w:r>
        <w:rPr>
          <w:rFonts w:hAnsi="Times New Roman" w:ascii="Times New Roman" w:cs="Times New Roman"/>
          <w:b w:val="0"/>
          <w:i/>
          <w:iCs/>
          <w:strike w:val="0"/>
          <w:dstrike w:val="0"/>
          <w:emboss w:val="0"/>
          <w:imprint w:val="0"/>
          <w:outline w:val="0"/>
          <w:shadow w:val="0"/>
          <w:sz w:val="24"/>
          <w:szCs w:val="24"/>
          <w:u w:val="none"/>
        </w:rPr>
        <w:t xml:space="preserve">What a waste: </w:t>
      </w:r>
      <w:r>
        <w:rPr>
          <w:rFonts w:hAnsi="Times New Roman" w:ascii="Times New Roman" w:cs="Times New Roman"/>
          <w:b w:val="0"/>
          <w:i w:val="0"/>
          <w:iCs/>
          <w:strike w:val="0"/>
          <w:dstrike w:val="0"/>
          <w:emboss w:val="0"/>
          <w:imprint w:val="0"/>
          <w:outline w:val="0"/>
          <w:shadow w:val="0"/>
          <w:sz w:val="24"/>
          <w:szCs w:val="24"/>
          <w:u w:val="none"/>
        </w:rPr>
        <w:t xml:space="preserve">A Global Review of Solid Waste Management.</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Yakubu, Y., &amp; Zhou, J. (2018). Novel approach to quantify municipal solid waste management hierarchy based on analytical hierarchy process. </w:t>
      </w:r>
      <w:r>
        <w:rPr>
          <w:rFonts w:hAnsi="Times New Roman" w:ascii="Times New Roman" w:cs="Times New Roman"/>
          <w:b w:val="0"/>
          <w:i/>
          <w:iCs/>
          <w:strike w:val="0"/>
          <w:dstrike w:val="0"/>
          <w:emboss w:val="0"/>
          <w:imprint w:val="0"/>
          <w:outline w:val="0"/>
          <w:shadow w:val="0"/>
          <w:sz w:val="24"/>
          <w:szCs w:val="24"/>
          <w:u w:val="none"/>
        </w:rPr>
        <w:t xml:space="preserve">International Journal of Environmental Science and Technology</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0123456789</w:t>
      </w:r>
      <w:r>
        <w:rPr>
          <w:rFonts w:hAnsi="Times New Roman" w:ascii="Times New Roman" w:cs="Times New Roman"/>
          <w:b w:val="0"/>
          <w:i w:val="0"/>
          <w:strike w:val="0"/>
          <w:dstrike w:val="0"/>
          <w:emboss w:val="0"/>
          <w:imprint w:val="0"/>
          <w:outline w:val="0"/>
          <w:shadow w:val="0"/>
          <w:sz w:val="24"/>
          <w:szCs w:val="24"/>
          <w:u w:val="none"/>
        </w:rPr>
        <w:t xml:space="preserve">. https://doi.org/10.1007/s13762-018-1768-x</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Yeung, I. M. H., &amp; Chung, W. (2017). Factors that affect the willingness of residents to pay for solid waste management in Hong Kong. </w:t>
      </w:r>
      <w:r>
        <w:rPr>
          <w:rFonts w:hAnsi="Times New Roman" w:ascii="Times New Roman" w:cs="Times New Roman"/>
          <w:b w:val="0"/>
          <w:i/>
          <w:iCs/>
          <w:strike w:val="0"/>
          <w:dstrike w:val="0"/>
          <w:emboss w:val="0"/>
          <w:imprint w:val="0"/>
          <w:outline w:val="0"/>
          <w:shadow w:val="0"/>
          <w:sz w:val="24"/>
          <w:szCs w:val="24"/>
          <w:u w:val="none"/>
        </w:rPr>
        <w:t xml:space="preserve">Environmental Science and Pollution Research</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cs="Times New Roman"/>
          <w:b w:val="0"/>
          <w:i/>
          <w:iCs/>
          <w:strike w:val="0"/>
          <w:dstrike w:val="0"/>
          <w:emboss w:val="0"/>
          <w:imprint w:val="0"/>
          <w:outline w:val="0"/>
          <w:shadow w:val="0"/>
          <w:sz w:val="24"/>
          <w:szCs w:val="24"/>
          <w:u w:val="none"/>
        </w:rPr>
        <w:t xml:space="preserve">25</w:t>
      </w:r>
      <w:r>
        <w:rPr>
          <w:rFonts w:hAnsi="Times New Roman" w:ascii="Times New Roman" w:cs="Times New Roman"/>
          <w:b w:val="0"/>
          <w:i w:val="0"/>
          <w:strike w:val="0"/>
          <w:dstrike w:val="0"/>
          <w:emboss w:val="0"/>
          <w:imprint w:val="0"/>
          <w:outline w:val="0"/>
          <w:shadow w:val="0"/>
          <w:sz w:val="24"/>
          <w:szCs w:val="24"/>
          <w:u w:val="none"/>
        </w:rPr>
        <w:t xml:space="preserve">(8), 7504–7517. https://doi.org/10.1007/s11356-017-1009-8</w:t>
      </w:r>
    </w:p>
    <w:p>
      <w:pPr>
        <w:spacing w:line="480" w:lineRule="auto"/>
        <w:ind w:left="960" w:hanging="48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Zhao, Y., Diunugala, H. P., &amp;Mombeuil, C. (2021). Factors affecting household solid waste generation and management in Sri Lanka : an empirical study. </w:t>
      </w:r>
      <w:r>
        <w:rPr>
          <w:rFonts w:hAnsi="Times New Roman" w:ascii="Times New Roman" w:cs="Times New Roman"/>
          <w:b w:val="0"/>
          <w:i/>
          <w:iCs/>
          <w:strike w:val="0"/>
          <w:dstrike w:val="0"/>
          <w:emboss w:val="0"/>
          <w:imprint w:val="0"/>
          <w:outline w:val="0"/>
          <w:shadow w:val="0"/>
          <w:sz w:val="24"/>
          <w:szCs w:val="24"/>
          <w:u w:val="none"/>
        </w:rPr>
        <w:t xml:space="preserve">Environmental Monitoring and Assessment</w:t>
      </w:r>
      <w:r>
        <w:rPr>
          <w:rFonts w:hAnsi="Times New Roman" w:ascii="Times New Roman" w:cs="Times New Roman"/>
          <w:b w:val="0"/>
          <w:i w:val="0"/>
          <w:strike w:val="0"/>
          <w:dstrike w:val="0"/>
          <w:emboss w:val="0"/>
          <w:imprint w:val="0"/>
          <w:outline w:val="0"/>
          <w:shadow w:val="0"/>
          <w:sz w:val="24"/>
          <w:szCs w:val="24"/>
          <w:u w:val="none"/>
        </w:rPr>
        <w:t xml:space="preserve">. https://doi.org/10.1007/s10661-021-09633-7</w:t>
      </w:r>
    </w:p>
    <w:p>
      <w:pPr>
        <w:tabs>
          <w:tab w:val="left" w:leader="none" w:pos="1605"/>
        </w:tabs>
        <w:ind w:left="1200"/>
        <w:jc w:val="both"/>
        <w:rPr>
          <w:rFonts w:hAnsi="Times New Roman" w:ascii="Times New Roman" w:eastAsia="Calibri" w:cs="Times New Roman"/>
          <w:b/>
        </w:rPr>
        <w:sectPr w:rsidR="00455D00" w:rsidRPr="00136D7B" w:rsidSect="00F863B3">
          <w:pgSz w:w="12240" w:h="15840"/>
          <w:pgMar w:top="1440" w:right="1440" w:bottom="1440" w:left="1440" w:header="720" w:footer="720"/>
          <w:cols w:space="720"/>
        </w:sectPr>
      </w:pPr>
      <w:r>
        <w:rPr>
          <w:rFonts w:hAnsi="Times New Roman" w:ascii="Times New Roman" w:eastAsia="Calibri" w:cs="Times New Roman"/>
          <w:b/>
          <w:sz w:val="24"/>
          <w:szCs w:val="24"/>
        </w:rPr>
        <w:fldChar w:fldCharType="end"/>
      </w:r>
    </w:p>
    <w:p>
      <w:pPr>
        <w:pStyle w:val="Heading1"/>
        <w:ind w:left="720"/>
        <w:rPr>
          <w:rFonts w:eastAsia="Calibri"/>
        </w:rPr>
      </w:pPr>
      <w:bookmarkStart w:id="113" w:name="_Toc147923101"/>
      <w:r>
        <w:rPr>
          <w:rFonts w:ascii="Times New Roman" w:eastAsia="Calibri"/>
          <w:b/>
          <w:i w:val="0"/>
          <w:strike w:val="0"/>
          <w:dstrike w:val="0"/>
          <w:emboss w:val="0"/>
          <w:imprint w:val="0"/>
          <w:outline w:val="0"/>
          <w:shadow w:val="0"/>
          <w:sz w:val="24"/>
          <w:szCs w:val="24"/>
          <w:u w:val="none"/>
        </w:rPr>
        <w:lastRenderedPageBreak/>
        <w:t xml:space="preserve">APPENDICE</w:t>
      </w:r>
      <w:bookmarkEnd w:id="113"/>
    </w:p>
    <w:p>
      <w:pPr>
        <w:jc w:val="center"/>
        <w:rPr>
          <w:rFonts w:hAnsi="Times New Roman" w:ascii="Times New Roman" w:cs="Times New Roman"/>
          <w:sz w:val="24"/>
          <w:szCs w:val="24"/>
        </w:rPr>
      </w:pPr>
      <w:r>
        <w:rPr>
          <w:rFonts w:hAnsi="Times New Roman" w:ascii="Times New Roman" w:cs="Times New Roman"/>
          <w:b/>
          <w:bCs/>
          <w:i w:val="0"/>
          <w:strike w:val="0"/>
          <w:dstrike w:val="0"/>
          <w:emboss w:val="0"/>
          <w:imprint w:val="0"/>
          <w:outline w:val="0"/>
          <w:shadow w:val="0"/>
          <w:sz w:val="24"/>
          <w:szCs w:val="24"/>
          <w:u w:val="none"/>
        </w:rPr>
        <w:t xml:space="preserve">SURVEY QUESTIONNAIRE FOR HOUSEHOLD RESIDENTS</w:t>
      </w: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Introduction</w:t>
      </w:r>
    </w:p>
    <w:p>
      <w:pPr>
        <w:jc w:val="both"/>
        <w:rPr>
          <w:rFonts w:hAnsi="Times New Roman" w:ascii="Times New Roman" w:cs="Times New Roman"/>
          <w:b/>
          <w:bCs/>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My name is </w:t>
      </w:r>
      <w:r>
        <w:rPr>
          <w:rFonts w:hAnsi="Times New Roman" w:ascii="Times New Roman" w:cs="Times New Roman"/>
          <w:b/>
          <w:bCs/>
          <w:i w:val="0"/>
          <w:strike w:val="0"/>
          <w:dstrike w:val="0"/>
          <w:emboss w:val="0"/>
          <w:imprint w:val="0"/>
          <w:outline w:val="0"/>
          <w:shadow w:val="0"/>
          <w:sz w:val="24"/>
          <w:szCs w:val="24"/>
          <w:u w:val="none"/>
        </w:rPr>
        <w:t xml:space="preserve">MR.SAKARA HAMIDU SAMSON (MPHIL COMMUNICATION DEVELOPMENT)</w:t>
      </w:r>
      <w:r>
        <w:rPr>
          <w:rFonts w:hAnsi="Times New Roman" w:ascii="Times New Roman" w:cs="Times New Roman"/>
          <w:b w:val="0"/>
          <w:i w:val="0"/>
          <w:strike w:val="0"/>
          <w:dstrike w:val="0"/>
          <w:emboss w:val="0"/>
          <w:imprint w:val="0"/>
          <w:outline w:val="0"/>
          <w:shadow w:val="0"/>
          <w:sz w:val="24"/>
          <w:szCs w:val="24"/>
          <w:u w:val="none"/>
        </w:rPr>
        <w:t xml:space="preserve">, a student of Simon Diedong Dombo University of Business and Integrated Development Studies (SDD-UBIDS), Wa. I am conducting my research on the topic: </w:t>
      </w:r>
      <w:r>
        <w:rPr>
          <w:rFonts w:hAnsi="Times New Roman" w:ascii="Times New Roman" w:cs="Times New Roman"/>
          <w:b/>
          <w:bCs/>
          <w:i w:val="0"/>
          <w:strike w:val="0"/>
          <w:dstrike w:val="0"/>
          <w:emboss w:val="0"/>
          <w:imprint w:val="0"/>
          <w:outline w:val="0"/>
          <w:shadow w:val="0"/>
          <w:sz w:val="24"/>
          <w:szCs w:val="24"/>
          <w:u w:val="none"/>
        </w:rPr>
        <w:t xml:space="preserve">ASSESSING RESIDENTS’ KNOWLEDGE, ATTITUDE, AND PRACTICE ON WASTE MANAGEMENT IN MANGU COMMUNITY IN THE WA MUNICIPALITY OF THE UPPER WEST REGION, GHANA</w:t>
      </w:r>
      <w:r>
        <w:rPr>
          <w:rFonts w:hAnsi="Times New Roman" w:ascii="Times New Roman" w:cs="Times New Roman"/>
          <w:b w:val="0"/>
          <w:i w:val="0"/>
          <w:strike w:val="0"/>
          <w:dstrike w:val="0"/>
          <w:emboss w:val="0"/>
          <w:imprint w:val="0"/>
          <w:outline w:val="0"/>
          <w:shadow w:val="0"/>
          <w:sz w:val="24"/>
          <w:szCs w:val="24"/>
          <w:u w:val="none"/>
        </w:rPr>
        <w:t xml:space="preserve">. The study partially meets the requirements the award </w:t>
      </w:r>
      <w:r>
        <w:rPr>
          <w:rFonts w:hAnsi="Times New Roman" w:ascii="Times New Roman" w:cs="Times New Roman"/>
          <w:b/>
          <w:bCs/>
          <w:i w:val="0"/>
          <w:strike w:val="0"/>
          <w:dstrike w:val="0"/>
          <w:emboss w:val="0"/>
          <w:imprint w:val="0"/>
          <w:outline w:val="0"/>
          <w:shadow w:val="0"/>
          <w:sz w:val="24"/>
          <w:szCs w:val="24"/>
          <w:u w:val="none"/>
        </w:rPr>
        <w:t xml:space="preserve">MPhil. in Communication Development</w:t>
      </w:r>
      <w:r>
        <w:rPr>
          <w:rFonts w:hAnsi="Times New Roman" w:ascii="Times New Roman" w:cs="Times New Roman"/>
          <w:b w:val="0"/>
          <w:i w:val="0"/>
          <w:strike w:val="0"/>
          <w:dstrike w:val="0"/>
          <w:emboss w:val="0"/>
          <w:imprint w:val="0"/>
          <w:outline w:val="0"/>
          <w:shadow w:val="0"/>
          <w:sz w:val="24"/>
          <w:szCs w:val="24"/>
          <w:u w:val="none"/>
        </w:rPr>
        <w:t xml:space="preserve">. Please be assured that the information you provide will be used for academic purposes only and will be kept confidential and the anonymity of the biodata is guaranteed. Participation in the study is voluntary and you can opt out of the survey at any time if you feel uncomfortable taking the survey. Thank you very much.</w:t>
      </w: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Informed Consent:</w:t>
      </w:r>
    </w:p>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Please do you agree to participate in this study? Yes [  ]  No [   ]</w:t>
      </w:r>
    </w:p>
    <w:p>
      <w:pPr>
        <w:jc w:val="both"/>
        <w:rPr>
          <w:rFonts w:hAnsi="Times New Roman" w:ascii="Times New Roman" w:cs="Times New Roman"/>
          <w:sz w:val="24"/>
          <w:szCs w:val="24"/>
        </w:rPr>
      </w:pP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SECTION I: DEMOGRAPHIC INFORMATION OF RESPONDENTS.</w:t>
      </w:r>
    </w:p>
    <w:p>
      <w:pPr>
        <w:numPr>
          <w:ilvl w:val="0"/>
          <w:numId w:val="11"/>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Gender.   (1) Male  [  ]  (2) Female[  ]</w:t>
      </w:r>
    </w:p>
    <w:p>
      <w:pPr>
        <w:numPr>
          <w:ilvl w:val="0"/>
          <w:numId w:val="11"/>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Age: ……………………………………………………………………………</w:t>
      </w:r>
    </w:p>
    <w:p>
      <w:pPr>
        <w:numPr>
          <w:ilvl w:val="0"/>
          <w:numId w:val="11"/>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Marital status. (1) Single  [  ] (2) married  [  ] (3) separated  [  ] (4) divorced  [  ] (5) widowed[  ]</w:t>
      </w:r>
    </w:p>
    <w:p>
      <w:pPr>
        <w:numPr>
          <w:ilvl w:val="0"/>
          <w:numId w:val="11"/>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Level of education. (1) No formal education [  ] (2) KG/ primary  [  ] (3) JHS  [  ] (4) SHS  [  ] (5) University  [  ] (6) Other [  ] ( specify)…………</w:t>
      </w:r>
    </w:p>
    <w:p>
      <w:pPr>
        <w:numPr>
          <w:ilvl w:val="0"/>
          <w:numId w:val="11"/>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How long have lived in Mangu Community? State your answer in years: ……………..</w:t>
      </w:r>
    </w:p>
    <w:p>
      <w:pPr>
        <w:numPr>
          <w:ilvl w:val="0"/>
          <w:numId w:val="11"/>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Number of children in the household…….</w:t>
      </w:r>
    </w:p>
    <w:p>
      <w:pPr>
        <w:numPr>
          <w:ilvl w:val="0"/>
          <w:numId w:val="11"/>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Number of people in the household………</w:t>
      </w:r>
    </w:p>
    <w:p>
      <w:pPr>
        <w:numPr>
          <w:ilvl w:val="0"/>
          <w:numId w:val="11"/>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Occupation: (1) Farming [  ] (2) Trading [  ] (3) Government employee [  ] (4) Private Sector employee [ ] (5) Self-employed/Entrepreneur [ ] (6) Not employed (7) Apprenticeship [  ] (8) Other [  ], specify ……….</w:t>
      </w:r>
    </w:p>
    <w:p>
      <w:pPr>
        <w:numPr>
          <w:ilvl w:val="0"/>
          <w:numId w:val="11"/>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Average monthly income………………………………………………………..</w:t>
      </w:r>
    </w:p>
    <w:p>
      <w:pPr>
        <w:jc w:val="both"/>
        <w:rPr>
          <w:rFonts w:hAnsi="Times New Roman" w:ascii="Times New Roman" w:cs="Times New Roman"/>
          <w:sz w:val="24"/>
          <w:szCs w:val="24"/>
        </w:rPr>
      </w:pP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SECTION II: RESIDENTS KNOWLEDGE OF SOLID WASTE MANAGEMENT</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Is solid waste source of pollution for the environment?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Burning solid waste causes health risks (bronchitis and asthma).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Waste papers, plastic bags, a piece of mental, wood and cloths are recyclable.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 consider solid waste as wealth.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Can solid waste be sorted and sold to recycling companies?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Compost and organic fertilizers can be made from solid waste.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The amount of solid waste can be reduced by re-using at the household level.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Illegal damping of solid waste causes diarrhea, typhoid and cholera.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Sorting of solid waste at home helps for SWM.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Improper damping of solid waste can eventually lead to pollution of water bodies.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What is the source of information on solid waste management?  (1) Media  [ ] (2) Community volunteers  [  ] (3) Municipal council workers  [  ] (4) None [  ]</w:t>
      </w:r>
    </w:p>
    <w:p>
      <w:pPr>
        <w:pStyle w:val="ListParagraph"/>
        <w:jc w:val="both"/>
        <w:rPr>
          <w:rFonts w:hAnsi="Times New Roman" w:ascii="Times New Roman" w:cs="Times New Roman"/>
          <w:sz w:val="24"/>
          <w:szCs w:val="24"/>
        </w:rPr>
      </w:pP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SECTION III: RESIDENTS’ ATTITUDE TO SOLID WASTE MANAGEMENT</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 feel solid waste is something with value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youfeel solid waste is one of the environmental problems that need an immediate attention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youfeel every household should have responsibility for the proper collection and disposal of the solid wastes.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youfeel proper solid waste disposal is the responsibility of everyone.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youfeel that proper SWM is important in creating a healthy environment?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youfeel SWM is a burning issue in the area of my community.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youfeel the city government should conduct regular supervision and control on illegal damping of solid waste in the communities.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youfeel the solid waste disposal and management by government is convenient.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 feel selling plastic waste for recycling is the best way to manage solid waste.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 feel bad when I see solid waste disposed in open spaces.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jc w:val="both"/>
        <w:rPr>
          <w:rFonts w:hAnsi="Times New Roman" w:ascii="Times New Roman" w:cs="Times New Roman"/>
          <w:sz w:val="24"/>
          <w:szCs w:val="24"/>
        </w:rPr>
      </w:pP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SECTION IV: RESIDENTS PRACTICE OF SOLID WASTE MANAGEMENT</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 separate solid waste before disposal.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 get rid of solid wastes from home by dumping in the backyard with sacks.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 get rid of solid wastes from home by dumping along roadsides or in gutters.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Do you get rid of solid wastes from home by dumping in disposal site.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 get rid of solid wastes from home by burying it in the soil.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 get rid of solid wastes from home by dumping in a waste container/dustbin.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The strategy you use to reduce, reuse, and recycle solid waste is by compost preparation (R1).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The strategy you use to reduce, reuse, and recycle solid waste is by reuse (R2).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The strategy you use to reduce, reuse, and recycle solid waste is by selling for recycling business (R3).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The strategy you use to reduce, reuse, and recycle solid waste is by burning, not use 3R’s.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There are adequate dumping sites in the community.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 have access to doo-to-door services for your solid waste disposal.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Do you do usually dispose off solid waste openly if the service providers fail to collect the solid waste. </w:t>
      </w:r>
      <w:r>
        <w:rPr>
          <w:rFonts w:hAnsi="Times New Roman" w:ascii="Times New Roman" w:cs="Times New Roman"/>
          <w:b/>
          <w:bCs/>
          <w:i w:val="0"/>
          <w:strike w:val="0"/>
          <w:dstrike w:val="0"/>
          <w:emboss w:val="0"/>
          <w:imprint w:val="0"/>
          <w:outline w:val="0"/>
          <w:shadow w:val="0"/>
          <w:sz w:val="24"/>
          <w:szCs w:val="24"/>
          <w:u w:val="none"/>
        </w:rPr>
        <w:t xml:space="preserve">(1) No [  ]  (2) Yes [  ]</w:t>
      </w:r>
    </w:p>
    <w:p>
      <w:pPr>
        <w:pStyle w:val="ListParagraph"/>
        <w:numPr>
          <w:ilvl w:val="0"/>
          <w:numId w:val="16"/>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How do you transport your solid waste to the nearby container: </w:t>
      </w:r>
      <w:r>
        <w:rPr>
          <w:rFonts w:hAnsi="Times New Roman" w:ascii="Times New Roman" w:cs="Times New Roman"/>
          <w:b/>
          <w:bCs/>
          <w:i w:val="0"/>
          <w:strike w:val="0"/>
          <w:dstrike w:val="0"/>
          <w:emboss w:val="0"/>
          <w:imprint w:val="0"/>
          <w:outline w:val="0"/>
          <w:shadow w:val="0"/>
          <w:sz w:val="24"/>
          <w:szCs w:val="24"/>
          <w:u w:val="none"/>
        </w:rPr>
        <w:t xml:space="preserve">Multiple response</w:t>
      </w:r>
    </w:p>
    <w:p>
      <w:pPr>
        <w:pStyle w:val="ListParagraph"/>
        <w:numPr>
          <w:ilvl w:val="0"/>
          <w:numId w:val="14"/>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By household member </w:t>
        <w:tab/>
        <w:t xml:space="preserve">[  ]</w:t>
      </w:r>
    </w:p>
    <w:p>
      <w:pPr>
        <w:pStyle w:val="ListParagraph"/>
        <w:numPr>
          <w:ilvl w:val="0"/>
          <w:numId w:val="14"/>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By MSE with little payment</w:t>
        <w:tab/>
        <w:t xml:space="preserve">[  ]</w:t>
      </w:r>
    </w:p>
    <w:p>
      <w:pPr>
        <w:pStyle w:val="ListParagraph"/>
        <w:numPr>
          <w:ilvl w:val="0"/>
          <w:numId w:val="14"/>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By private waste collector</w:t>
        <w:tab/>
        <w:t xml:space="preserve">[  ]</w:t>
      </w:r>
    </w:p>
    <w:p>
      <w:pPr>
        <w:pStyle w:val="ListParagraph"/>
        <w:numPr>
          <w:ilvl w:val="0"/>
          <w:numId w:val="14"/>
        </w:numPr>
        <w:spacing w:line="259"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Other, specify</w:t>
        <w:tab/>
        <w:tab/>
        <w:t xml:space="preserve">[  ]</w:t>
      </w:r>
    </w:p>
    <w:p>
      <w:pPr>
        <w:jc w:val="center"/>
        <w:rPr>
          <w:rFonts w:hAnsi="Times New Roman" w:ascii="Times New Roman" w:cs="Times New Roman"/>
          <w:b/>
          <w:bCs/>
          <w:sz w:val="24"/>
          <w:szCs w:val="24"/>
        </w:rPr>
      </w:pPr>
    </w:p>
    <w:p>
      <w:pPr>
        <w:jc w:val="center"/>
        <w:rPr>
          <w:rFonts w:hAnsi="Times New Roman" w:ascii="Times New Roman" w:cs="Times New Roman"/>
          <w:b/>
          <w:bCs/>
          <w:sz w:val="24"/>
          <w:szCs w:val="24"/>
        </w:rPr>
      </w:pPr>
    </w:p>
    <w:p>
      <w:pPr>
        <w:jc w:val="center"/>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End of Survey</w:t>
      </w:r>
    </w:p>
    <w:p>
      <w:pPr>
        <w:jc w:val="center"/>
        <w:rPr>
          <w:rFonts w:hAnsi="Times New Roman" w:ascii="Times New Roman" w:cs="Times New Roman"/>
          <w:b/>
          <w:bCs/>
          <w:sz w:val="24"/>
          <w:szCs w:val="24"/>
        </w:rPr>
        <w:sectPr w:rsidR="00455D00" w:rsidRPr="00136D7B" w:rsidSect="00F863B3">
          <w:pgSz w:w="11906" w:h="16838"/>
          <w:pgMar w:top="1440" w:right="1440" w:bottom="454" w:left="1440" w:header="708" w:footer="708"/>
          <w:cols w:space="708"/>
        </w:sectPr>
      </w:pPr>
      <w:r>
        <w:rPr>
          <w:rFonts w:hAnsi="Times New Roman" w:ascii="Times New Roman" w:cs="Times New Roman"/>
          <w:b/>
          <w:bCs/>
          <w:i w:val="0"/>
          <w:strike w:val="0"/>
          <w:dstrike w:val="0"/>
          <w:emboss w:val="0"/>
          <w:imprint w:val="0"/>
          <w:outline w:val="0"/>
          <w:shadow w:val="0"/>
          <w:sz w:val="24"/>
          <w:szCs w:val="24"/>
          <w:u w:val="none"/>
        </w:rPr>
        <w:t xml:space="preserve">Thank you</w:t>
      </w:r>
    </w:p>
    <w:p>
      <w:pPr>
        <w:jc w:val="center"/>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lastRenderedPageBreak/>
        <w:t xml:space="preserve">COMMUNITY LEADERS KEY INFORMANTS INTERVIEW GUIDE</w:t>
      </w: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Introduction</w:t>
      </w:r>
    </w:p>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My name is </w:t>
      </w:r>
      <w:r>
        <w:rPr>
          <w:rFonts w:hAnsi="Times New Roman" w:ascii="Times New Roman" w:cs="Times New Roman"/>
          <w:b/>
          <w:bCs/>
          <w:i w:val="0"/>
          <w:strike w:val="0"/>
          <w:dstrike w:val="0"/>
          <w:emboss w:val="0"/>
          <w:imprint w:val="0"/>
          <w:outline w:val="0"/>
          <w:shadow w:val="0"/>
          <w:sz w:val="24"/>
          <w:szCs w:val="24"/>
          <w:u w:val="none"/>
        </w:rPr>
        <w:t xml:space="preserve">MR.SAKARA HAMIDU SAMSON (MPHIL COMMUNICATION DEVELOPMENT)</w:t>
      </w:r>
      <w:r>
        <w:rPr>
          <w:rFonts w:hAnsi="Times New Roman" w:ascii="Times New Roman" w:cs="Times New Roman"/>
          <w:b w:val="0"/>
          <w:i w:val="0"/>
          <w:strike w:val="0"/>
          <w:dstrike w:val="0"/>
          <w:emboss w:val="0"/>
          <w:imprint w:val="0"/>
          <w:outline w:val="0"/>
          <w:shadow w:val="0"/>
          <w:sz w:val="24"/>
          <w:szCs w:val="24"/>
          <w:u w:val="none"/>
        </w:rPr>
        <w:t xml:space="preserve">, a student of Simon Diedong Dombo University of Business and Integrated Development Studies (SDD-UBIDS), Wa. I am conducting my research on the topic: </w:t>
      </w:r>
      <w:r>
        <w:rPr>
          <w:rFonts w:hAnsi="Times New Roman" w:ascii="Times New Roman" w:cs="Times New Roman"/>
          <w:b/>
          <w:bCs/>
          <w:i w:val="0"/>
          <w:strike w:val="0"/>
          <w:dstrike w:val="0"/>
          <w:emboss w:val="0"/>
          <w:imprint w:val="0"/>
          <w:outline w:val="0"/>
          <w:shadow w:val="0"/>
          <w:sz w:val="24"/>
          <w:szCs w:val="24"/>
          <w:u w:val="none"/>
        </w:rPr>
        <w:t xml:space="preserve">Knowledge, attitude and practice of waste management among household residents in Wa municipality</w:t>
      </w:r>
      <w:r>
        <w:rPr>
          <w:rFonts w:hAnsi="Times New Roman" w:ascii="Times New Roman" w:cs="Times New Roman"/>
          <w:b w:val="0"/>
          <w:i w:val="0"/>
          <w:strike w:val="0"/>
          <w:dstrike w:val="0"/>
          <w:emboss w:val="0"/>
          <w:imprint w:val="0"/>
          <w:outline w:val="0"/>
          <w:shadow w:val="0"/>
          <w:sz w:val="24"/>
          <w:szCs w:val="24"/>
          <w:u w:val="none"/>
        </w:rPr>
        <w:t xml:space="preserve">. The study partially meets the requirements the award </w:t>
      </w:r>
      <w:r>
        <w:rPr>
          <w:rFonts w:hAnsi="Times New Roman" w:ascii="Times New Roman" w:cs="Times New Roman"/>
          <w:b/>
          <w:bCs/>
          <w:i w:val="0"/>
          <w:strike w:val="0"/>
          <w:dstrike w:val="0"/>
          <w:emboss w:val="0"/>
          <w:imprint w:val="0"/>
          <w:outline w:val="0"/>
          <w:shadow w:val="0"/>
          <w:sz w:val="24"/>
          <w:szCs w:val="24"/>
          <w:u w:val="none"/>
        </w:rPr>
        <w:t xml:space="preserve">MPhil. in Communication Development</w:t>
      </w:r>
      <w:r>
        <w:rPr>
          <w:rFonts w:hAnsi="Times New Roman" w:ascii="Times New Roman" w:cs="Times New Roman"/>
          <w:b w:val="0"/>
          <w:i w:val="0"/>
          <w:strike w:val="0"/>
          <w:dstrike w:val="0"/>
          <w:emboss w:val="0"/>
          <w:imprint w:val="0"/>
          <w:outline w:val="0"/>
          <w:shadow w:val="0"/>
          <w:sz w:val="24"/>
          <w:szCs w:val="24"/>
          <w:u w:val="none"/>
        </w:rPr>
        <w:t xml:space="preserve">. Please be assured that the information you provide will be used for academic purposes only and will be kept confidential and the anonymity of the biodata is guaranteed. Participation in the study is voluntary and you can opt out of the survey at any time if you feel uncomfortable taking the survey. Thank you very much.</w:t>
      </w: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Informed Consent:</w:t>
      </w:r>
    </w:p>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Please do you agree to participate in this study? Yes [  ]  No [   ]</w:t>
      </w:r>
    </w:p>
    <w:p>
      <w:pPr>
        <w:jc w:val="both"/>
        <w:rPr>
          <w:rFonts w:hAnsi="Times New Roman" w:ascii="Times New Roman" w:cs="Times New Roman"/>
          <w:b/>
          <w:bCs/>
          <w:sz w:val="24"/>
          <w:szCs w:val="24"/>
        </w:rPr>
      </w:pP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SECTION I: SOCIO-DEMOGRAPHIC INFORMATION</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Name of community. ……..</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Age. ……….</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Gender. ………</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Level of education. ……..</w:t>
      </w:r>
    </w:p>
    <w:p>
      <w:pPr>
        <w:numPr>
          <w:ilvl w:val="0"/>
          <w:numId w:val="12"/>
        </w:numPr>
        <w:spacing w:line="48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Designation. …………</w:t>
      </w:r>
    </w:p>
    <w:p>
      <w:pPr>
        <w:numPr>
          <w:ilvl w:val="0"/>
          <w:numId w:val="12"/>
        </w:numPr>
        <w:spacing w:line="48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Date and time of interview………</w:t>
      </w:r>
    </w:p>
    <w:p>
      <w:pPr>
        <w:numPr>
          <w:ilvl w:val="0"/>
          <w:numId w:val="12"/>
        </w:numPr>
        <w:spacing w:line="48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Duration of interview …….</w:t>
      </w: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SECTION II: KAP INTERVIEW SCHEDULE</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What is the relative abundance of solid waste generation streams in construction site percentage?</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Which are the specific types of solid waste generated in household?</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Which are the specific types of solid waste generated in the municipality?</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Which are the solid waste collection modes do you rely on?</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What is the frequency of solid waste collection within your area of jurisdiction?</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How is solid waste collected, stored, and transported from the source?</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Who pays for the collection, storage, and transportation residents waste generated within your area?</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Is the solid waste collected separated?</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If yes, where, and how is it done? </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What are the health and environmental impacts of poor solid waste management in your administrative area? </w:t>
      </w:r>
    </w:p>
    <w:p>
      <w:pPr>
        <w:numPr>
          <w:ilvl w:val="0"/>
          <w:numId w:val="12"/>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Is there a policy document on solid waste management for the country Ghana?</w:t>
      </w:r>
    </w:p>
    <w:p>
      <w:pPr>
        <w:jc w:val="both"/>
        <w:rPr>
          <w:rFonts w:hAnsi="Times New Roman" w:ascii="Times New Roman" w:cs="Times New Roman"/>
          <w:b/>
          <w:bCs/>
          <w:sz w:val="24"/>
          <w:szCs w:val="24"/>
        </w:rPr>
        <w:sectPr w:rsidR="00455D00" w:rsidRPr="00136D7B" w:rsidSect="006A7A17">
          <w:pgSz w:w="11906" w:h="16838"/>
          <w:pgMar w:top="1440" w:right="1440" w:bottom="454" w:left="1440" w:header="708" w:footer="708"/>
          <w:cols w:space="708"/>
        </w:sectPr>
      </w:pPr>
    </w:p>
    <w:p>
      <w:pPr>
        <w:jc w:val="center"/>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lastRenderedPageBreak/>
        <w:t xml:space="preserve">STAKEHOLDERS KEY INFORMANTS INTERVIEW GUIDE</w:t>
      </w: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Introduction</w:t>
      </w:r>
    </w:p>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My name is </w:t>
      </w:r>
      <w:r>
        <w:rPr>
          <w:rFonts w:hAnsi="Times New Roman" w:ascii="Times New Roman" w:cs="Times New Roman"/>
          <w:b/>
          <w:bCs/>
          <w:i w:val="0"/>
          <w:strike w:val="0"/>
          <w:dstrike w:val="0"/>
          <w:emboss w:val="0"/>
          <w:imprint w:val="0"/>
          <w:outline w:val="0"/>
          <w:shadow w:val="0"/>
          <w:sz w:val="24"/>
          <w:szCs w:val="24"/>
          <w:u w:val="none"/>
        </w:rPr>
        <w:t xml:space="preserve">MR.SAKARA HAMIDU SAMSON (MPHIL COMMUNICATION DEVELOPMENT)</w:t>
      </w:r>
      <w:r>
        <w:rPr>
          <w:rFonts w:hAnsi="Times New Roman" w:ascii="Times New Roman" w:cs="Times New Roman"/>
          <w:b w:val="0"/>
          <w:i w:val="0"/>
          <w:strike w:val="0"/>
          <w:dstrike w:val="0"/>
          <w:emboss w:val="0"/>
          <w:imprint w:val="0"/>
          <w:outline w:val="0"/>
          <w:shadow w:val="0"/>
          <w:sz w:val="24"/>
          <w:szCs w:val="24"/>
          <w:u w:val="none"/>
        </w:rPr>
        <w:t xml:space="preserve">, a student of Simon Diedong Dombo University of Business and Integrated Development Studies (SDD-UBIDS), Wa. I am conducting my research on the topic: </w:t>
      </w:r>
      <w:r>
        <w:rPr>
          <w:rFonts w:hAnsi="Times New Roman" w:ascii="Times New Roman" w:cs="Times New Roman"/>
          <w:b/>
          <w:bCs/>
          <w:i w:val="0"/>
          <w:strike w:val="0"/>
          <w:dstrike w:val="0"/>
          <w:emboss w:val="0"/>
          <w:imprint w:val="0"/>
          <w:outline w:val="0"/>
          <w:shadow w:val="0"/>
          <w:sz w:val="24"/>
          <w:szCs w:val="24"/>
          <w:u w:val="none"/>
        </w:rPr>
        <w:t xml:space="preserve">Knowledge, attitude and practice of waste management among household residents in Wa municipality</w:t>
      </w:r>
      <w:r>
        <w:rPr>
          <w:rFonts w:hAnsi="Times New Roman" w:ascii="Times New Roman" w:cs="Times New Roman"/>
          <w:b w:val="0"/>
          <w:i w:val="0"/>
          <w:strike w:val="0"/>
          <w:dstrike w:val="0"/>
          <w:emboss w:val="0"/>
          <w:imprint w:val="0"/>
          <w:outline w:val="0"/>
          <w:shadow w:val="0"/>
          <w:sz w:val="24"/>
          <w:szCs w:val="24"/>
          <w:u w:val="none"/>
        </w:rPr>
        <w:t xml:space="preserve">. The study partially meets the requirements the award </w:t>
      </w:r>
      <w:r>
        <w:rPr>
          <w:rFonts w:hAnsi="Times New Roman" w:ascii="Times New Roman" w:cs="Times New Roman"/>
          <w:b/>
          <w:bCs/>
          <w:i w:val="0"/>
          <w:strike w:val="0"/>
          <w:dstrike w:val="0"/>
          <w:emboss w:val="0"/>
          <w:imprint w:val="0"/>
          <w:outline w:val="0"/>
          <w:shadow w:val="0"/>
          <w:sz w:val="24"/>
          <w:szCs w:val="24"/>
          <w:u w:val="none"/>
        </w:rPr>
        <w:t xml:space="preserve">MPhil. in Communication Development</w:t>
      </w:r>
      <w:r>
        <w:rPr>
          <w:rFonts w:hAnsi="Times New Roman" w:ascii="Times New Roman" w:cs="Times New Roman"/>
          <w:b w:val="0"/>
          <w:i w:val="0"/>
          <w:strike w:val="0"/>
          <w:dstrike w:val="0"/>
          <w:emboss w:val="0"/>
          <w:imprint w:val="0"/>
          <w:outline w:val="0"/>
          <w:shadow w:val="0"/>
          <w:sz w:val="24"/>
          <w:szCs w:val="24"/>
          <w:u w:val="none"/>
        </w:rPr>
        <w:t xml:space="preserve">. Please be assured that the information you provide will be used for academic purposes only and will be kept confidential and the anonymity of the biodata is guaranteed. Participation in the study is voluntary and you can opt out of the survey at any time if you feel uncomfortable taking the survey. Thank you very much.</w:t>
      </w: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Informed Consent:</w:t>
      </w:r>
    </w:p>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Please do you agree to participate in this study? Yes [  ]  No [   ]</w:t>
      </w:r>
    </w:p>
    <w:p>
      <w:pPr>
        <w:jc w:val="both"/>
        <w:rPr>
          <w:rFonts w:hAnsi="Times New Roman" w:ascii="Times New Roman" w:cs="Times New Roman"/>
          <w:sz w:val="24"/>
          <w:szCs w:val="24"/>
        </w:rPr>
      </w:pP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SECTION I: SOCIO-DEMOGRAPHIC INFORMATION</w:t>
      </w:r>
    </w:p>
    <w:p>
      <w:pPr>
        <w:numPr>
          <w:ilvl w:val="0"/>
          <w:numId w:val="15"/>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Administrative Unit/Department. ……………………………………..</w:t>
      </w:r>
    </w:p>
    <w:p>
      <w:pPr>
        <w:numPr>
          <w:ilvl w:val="0"/>
          <w:numId w:val="15"/>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Age. ……….</w:t>
      </w:r>
    </w:p>
    <w:p>
      <w:pPr>
        <w:numPr>
          <w:ilvl w:val="0"/>
          <w:numId w:val="15"/>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Gender. ………</w:t>
      </w:r>
    </w:p>
    <w:p>
      <w:pPr>
        <w:numPr>
          <w:ilvl w:val="0"/>
          <w:numId w:val="15"/>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Level of education. ……..</w:t>
      </w:r>
    </w:p>
    <w:p>
      <w:pPr>
        <w:numPr>
          <w:ilvl w:val="0"/>
          <w:numId w:val="15"/>
        </w:numPr>
        <w:spacing w:line="48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Designation. …………</w:t>
      </w:r>
    </w:p>
    <w:p>
      <w:pPr>
        <w:numPr>
          <w:ilvl w:val="0"/>
          <w:numId w:val="15"/>
        </w:numPr>
        <w:spacing w:line="48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Date and time of interview ……..</w:t>
      </w:r>
    </w:p>
    <w:p>
      <w:pPr>
        <w:numPr>
          <w:ilvl w:val="0"/>
          <w:numId w:val="15"/>
        </w:numPr>
        <w:spacing w:line="48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Duration of interview …….</w:t>
      </w:r>
    </w:p>
    <w:p>
      <w:pPr>
        <w:jc w:val="both"/>
        <w:rPr>
          <w:rFonts w:hAnsi="Times New Roman" w:ascii="Times New Roman" w:cs="Times New Roman"/>
          <w:b/>
          <w:bCs/>
          <w:sz w:val="24"/>
          <w:szCs w:val="24"/>
        </w:rPr>
      </w:pPr>
      <w:r>
        <w:rPr>
          <w:rFonts w:hAnsi="Times New Roman" w:ascii="Times New Roman" w:cs="Times New Roman"/>
          <w:b/>
          <w:bCs/>
          <w:i w:val="0"/>
          <w:strike w:val="0"/>
          <w:dstrike w:val="0"/>
          <w:emboss w:val="0"/>
          <w:imprint w:val="0"/>
          <w:outline w:val="0"/>
          <w:shadow w:val="0"/>
          <w:sz w:val="24"/>
          <w:szCs w:val="24"/>
          <w:u w:val="none"/>
        </w:rPr>
        <w:t xml:space="preserve">SECTION II: KAPOF SOLID WASTE MANAGEMENT</w:t>
      </w:r>
    </w:p>
    <w:p>
      <w:pPr>
        <w:numPr>
          <w:ilvl w:val="0"/>
          <w:numId w:val="13"/>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What are the problems associated with poor waste management in Mangu area, with regards to knowledge, attitude, and practice?</w:t>
      </w:r>
    </w:p>
    <w:p>
      <w:pPr>
        <w:numPr>
          <w:ilvl w:val="0"/>
          <w:numId w:val="13"/>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What type of waste storage and collection containers do households in Mangu use for household waste?</w:t>
      </w:r>
    </w:p>
    <w:p>
      <w:pPr>
        <w:numPr>
          <w:ilvl w:val="0"/>
          <w:numId w:val="13"/>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What methods do you think are effective for disposing generated waste?</w:t>
      </w:r>
    </w:p>
    <w:p>
      <w:pPr>
        <w:numPr>
          <w:ilvl w:val="0"/>
          <w:numId w:val="13"/>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How far away are the disposal points in Mangu from where people live to the nearest landfill/collection point?</w:t>
      </w:r>
    </w:p>
    <w:p>
      <w:pPr>
        <w:numPr>
          <w:ilvl w:val="0"/>
          <w:numId w:val="13"/>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How often is the solid waste picked from the collection point?</w:t>
      </w:r>
    </w:p>
    <w:p>
      <w:pPr>
        <w:numPr>
          <w:ilvl w:val="0"/>
          <w:numId w:val="13"/>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What do you think is the reason why more people are dumping their waste in open places?</w:t>
      </w:r>
    </w:p>
    <w:p>
      <w:pPr>
        <w:numPr>
          <w:ilvl w:val="0"/>
          <w:numId w:val="13"/>
        </w:num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 your view, what should be done to improve on solid waste disposal in Mangu?...................</w:t>
      </w:r>
    </w:p>
    <w:sectPr w:rsidR="00455D00" w:rsidRPr="00136D7B" w:rsidSect="006F51CE">
      <w:footerReference w:type="default" r:id="rId20"/>
      <w:pgSz w:w="12240" w:h="15840"/>
      <w:pgMar w:top="1440" w:right="1440" w:bottom="1440" w:left="1440" w:header="720" w:footer="720"/>
      <w:pgNumType w:start="1"/>
      <w:cols w:space="720"/>
    </w:sectPr>
  </w:body>
</w:document>
</file>

<file path=word/endnotes.xml><?xml version="1.0" encoding="utf-8"?>
<w:endnotes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mv w14 w15 w16se wp14">
  <w:endnote w:type="separator" w:id="0">
    <w:p>
      <w:pPr>
        <w:spacing w:after="0" w:line="240" w:lineRule="auto"/>
      </w:pPr>
      <w:r>
        <w:rPr>
          <w:rFonts w:ascii="Calibri"/>
          <w:b w:val="0"/>
          <w:i w:val="0"/>
          <w:strike w:val="0"/>
          <w:dstrike w:val="0"/>
          <w:emboss w:val="0"/>
          <w:imprint w:val="0"/>
          <w:outline w:val="0"/>
          <w:shadow w:val="0"/>
          <w:sz w:val="22"/>
          <w:szCs w:val="22"/>
          <w:u w:val="none"/>
        </w:rPr>
        <w:separator/>
      </w:r>
    </w:p>
  </w:endnote>
  <w:endnote w:type="continuationSeparator" w:id="1">
    <w:p>
      <w:pPr>
        <w:spacing w:after="0" w:line="240" w:lineRule="auto"/>
      </w:pPr>
      <w:r>
        <w:rPr>
          <w:rFonts w:ascii="Calibri"/>
          <w:b w:val="0"/>
          <w:i w:val="0"/>
          <w:strike w:val="0"/>
          <w:dstrike w:val="0"/>
          <w:emboss w:val="0"/>
          <w:imprint w:val="0"/>
          <w:outline w:val="0"/>
          <w:shadow w:val="0"/>
          <w:sz w:val="22"/>
          <w:szCs w:val="22"/>
          <w:u w:val="none"/>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DengXian Light">
    <w:altName w:val="Arial Unicode MS"/>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imesNewRomanPS-BoldMT">
    <w:altName w:val="Times New Roman"/>
    <w:panose1 w:val="00000000000000000000"/>
    <w:charset w:val="00"/>
    <w:family w:val="swiss"/>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w14 w15 w16se w16cid wp14">
  <w:p>
    <w:pPr>
      <w:pStyle w:val="Footer"/>
    </w:pPr>
  </w:p>
</w:ftr>
</file>

<file path=word/footer2.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w14 w15 w16se w16cid wp14">
  <w:p>
    <w:pPr>
      <w:pStyle w:val="Footer"/>
      <w:jc w:val="center"/>
    </w:pPr>
  </w:p>
  <w:p>
    <w:pPr>
      <w:pStyle w:val="Footer"/>
    </w:pPr>
  </w:p>
</w:ftr>
</file>

<file path=word/footer3.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w14 w15 w16se w16cid wp14">
  <w:sdt>
    <w:sdtPr>
      <w:id w:val="-2029625467"/>
      <w:docPartObj>
        <w:docPartGallery w:val="Page Numbers (Bottom of Page)"/>
        <w:docPartUnique/>
      </w:docPartObj>
    </w:sdtPr>
    <w:sdtEndPr>
      <w:rPr>
        <w:noProof/>
      </w:rPr>
    </w:sdtEndPr>
    <w:sdtContent>
      <w:p>
        <w:pPr>
          <w:pStyle w:val="Footer"/>
          <w:jc w:val="center"/>
        </w:pPr>
        <w:r>
          <w:fldChar w:fldCharType="begin"/>
        </w:r>
        <w:r>
          <w:instrText xml:space="preserve"> PAGE   \* MERGEFORMAT </w:instrText>
        </w:r>
        <w:r>
          <w:fldChar w:fldCharType="separate"/>
        </w:r>
        <w:r>
          <w:rPr>
            <w:rFonts w:ascii="Calibri"/>
            <w:b w:val="0"/>
            <w:i w:val="0"/>
            <w:strike w:val="0"/>
            <w:dstrike w:val="0"/>
            <w:emboss w:val="0"/>
            <w:imprint w:val="0"/>
            <w:outline w:val="0"/>
            <w:shadow w:val="0"/>
            <w:sz w:val="22"/>
            <w:szCs w:val="22"/>
            <w:u w:val="none"/>
          </w:rPr>
          <w:t xml:space="preserve">ix</w:t>
        </w:r>
        <w:r>
          <w:rPr>
            <w:rFonts w:ascii="Calibri"/>
          </w:rPr>
          <w:fldChar w:fldCharType="end"/>
        </w:r>
      </w:p>
    </w:sdtContent>
  </w:sdt>
  <w:p>
    <w:pPr>
      <w:pStyle w:val="Footer"/>
    </w:pPr>
  </w:p>
</w:ftr>
</file>

<file path=word/footer4.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w14 w15 w16se w16cid wp14">
  <w:sdt>
    <w:sdtPr>
      <w:id w:val="-613370760"/>
      <w:docPartObj>
        <w:docPartGallery w:val="Page Numbers (Bottom of Page)"/>
        <w:docPartUnique/>
      </w:docPartObj>
    </w:sdtPr>
    <w:sdtEndPr>
      <w:rPr>
        <w:noProof/>
      </w:rPr>
    </w:sdtEndPr>
    <w:sdtContent>
      <w:p>
        <w:pPr>
          <w:pStyle w:val="Footer"/>
          <w:jc w:val="center"/>
        </w:pPr>
        <w:r>
          <w:fldChar w:fldCharType="begin"/>
        </w:r>
        <w:r>
          <w:instrText xml:space="preserve"> PAGE   \* MERGEFORMAT </w:instrText>
        </w:r>
        <w:r>
          <w:fldChar w:fldCharType="separate"/>
        </w:r>
        <w:r>
          <w:rPr>
            <w:rFonts w:ascii="Calibri"/>
            <w:b w:val="0"/>
            <w:i w:val="0"/>
            <w:strike w:val="0"/>
            <w:dstrike w:val="0"/>
            <w:emboss w:val="0"/>
            <w:imprint w:val="0"/>
            <w:outline w:val="0"/>
            <w:shadow w:val="0"/>
            <w:sz w:val="22"/>
            <w:szCs w:val="22"/>
            <w:u w:val="none"/>
          </w:rPr>
          <w:t xml:space="preserve">8</w:t>
        </w:r>
        <w:r>
          <w:rPr>
            <w:rFonts w:ascii="Calibri"/>
          </w:rPr>
          <w:fldChar w:fldCharType="end"/>
        </w:r>
      </w:p>
    </w:sdtContent>
  </w:sdt>
  <w:p>
    <w:pPr>
      <w:pStyle w:val="Footer"/>
    </w:pPr>
  </w:p>
</w:ftr>
</file>

<file path=word/footer5.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w14 w15 w16se w16cid wp14">
  <w:p>
    <w:pPr>
      <w:pStyle w:val="Footer"/>
      <w:jc w:val="center"/>
    </w:pPr>
    <w:r>
      <w:fldChar w:fldCharType="begin"/>
    </w:r>
    <w:r>
      <w:instrText xml:space="preserve"> PAGE   \* MERGEFORMAT </w:instrText>
    </w:r>
    <w:r>
      <w:fldChar w:fldCharType="separate"/>
    </w:r>
    <w:r>
      <w:rPr>
        <w:rFonts w:ascii="Calibri"/>
        <w:b w:val="0"/>
        <w:i w:val="0"/>
        <w:strike w:val="0"/>
        <w:dstrike w:val="0"/>
        <w:emboss w:val="0"/>
        <w:imprint w:val="0"/>
        <w:outline w:val="0"/>
        <w:shadow w:val="0"/>
        <w:sz w:val="22"/>
        <w:szCs w:val="22"/>
        <w:u w:val="none"/>
      </w:rPr>
      <w:t xml:space="preserve">2</w:t>
    </w:r>
    <w:r>
      <w:rPr>
        <w:rFonts w:ascii="Calibri"/>
      </w:rPr>
      <w:fldChar w:fldCharType="end"/>
    </w:r>
  </w:p>
  <w:p>
    <w:pPr>
      <w:pStyle w:val="Footer"/>
    </w:pPr>
  </w:p>
</w:ftr>
</file>

<file path=word/footnotes.xml><?xml version="1.0" encoding="utf-8"?>
<w:footnotes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mv w14 w15 w16se wp14">
  <w:footnote w:type="separator" w:id="0">
    <w:p>
      <w:pPr>
        <w:spacing w:after="0" w:line="240" w:lineRule="auto"/>
      </w:pPr>
      <w:r>
        <w:rPr>
          <w:rFonts w:ascii="Calibri"/>
          <w:b w:val="0"/>
          <w:i w:val="0"/>
          <w:strike w:val="0"/>
          <w:dstrike w:val="0"/>
          <w:emboss w:val="0"/>
          <w:imprint w:val="0"/>
          <w:outline w:val="0"/>
          <w:shadow w:val="0"/>
          <w:sz w:val="22"/>
          <w:szCs w:val="22"/>
          <w:u w:val="none"/>
        </w:rPr>
        <w:separator/>
      </w:r>
    </w:p>
  </w:footnote>
  <w:footnote w:type="continuationSeparator" w:id="1">
    <w:p>
      <w:pPr>
        <w:spacing w:after="0" w:line="240" w:lineRule="auto"/>
      </w:pPr>
      <w:r>
        <w:rPr>
          <w:rFonts w:ascii="Calibri"/>
          <w:b w:val="0"/>
          <w:i w:val="0"/>
          <w:strike w:val="0"/>
          <w:dstrike w:val="0"/>
          <w:emboss w:val="0"/>
          <w:imprint w:val="0"/>
          <w:outline w:val="0"/>
          <w:shadow w:val="0"/>
          <w:sz w:val="22"/>
          <w:szCs w:val="22"/>
          <w:u w:val="none"/>
        </w:rPr>
        <w:continuationSeparator/>
      </w:r>
    </w:p>
  </w:footnote>
</w:footnotes>
</file>

<file path=word/numbering.xml><?xml version="1.0" encoding="utf-8"?>
<w:numbering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abstractNum w:abstractNumId="0">
    <w:nsid w:val="06285E25"/>
    <w:multiLevelType w:val="hybridMultilevel"/>
    <w:tmpl w:val="009CC906"/>
    <w:lvl w:ilvl="0" w:tplc="1A72CD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680929"/>
    <w:multiLevelType w:val="hybridMultilevel"/>
    <w:tmpl w:val="CF1851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nsid w:val="214D426C"/>
    <w:multiLevelType w:val="hybridMultilevel"/>
    <w:tmpl w:val="C7FE0ED4"/>
    <w:lvl w:ilvl="0" w:tplc="006CAE28">
      <w:start w:val="0"/>
      <w:numFmt w:val="bullet"/>
      <w:lvlText w:val="-"/>
      <w:lvlJc w:val="left"/>
      <w:pPr>
        <w:ind w:left="720" w:hanging="360"/>
      </w:pPr>
      <w:rPr>
        <w:rFonts w:hAnsi="Calibri" w:ascii="Calibri" w:eastAsiaTheme="minorHAnsi" w:hint="default"/>
      </w:rPr>
    </w:lvl>
    <w:lvl w:ilvl="1" w:tplc="04090003" w:tentative="1">
      <w:start w:val="1"/>
      <w:numFmt w:val="bullet"/>
      <w:lvlText w:val="o"/>
      <w:lvlJc w:val="left"/>
      <w:pPr>
        <w:ind w:left="1440" w:hanging="360"/>
      </w:pPr>
      <w:rPr>
        <w:rFonts w:hAnsi="Courier New" w:ascii="Courier New" w:cs="Courier New" w:hint="default"/>
      </w:rPr>
    </w:lvl>
    <w:lvl w:ilvl="2" w:tplc="04090005" w:tentative="1">
      <w:start w:val="1"/>
      <w:numFmt w:val="bullet"/>
      <w:lvlText w:val=""/>
      <w:lvlJc w:val="left"/>
      <w:pPr>
        <w:ind w:left="2160" w:hanging="360"/>
      </w:pPr>
      <w:rPr>
        <w:rFonts w:hAnsi="Wingdings" w:ascii="Wingdings" w:hint="default"/>
      </w:rPr>
    </w:lvl>
    <w:lvl w:ilvl="3" w:tplc="04090001" w:tentative="1">
      <w:start w:val="1"/>
      <w:numFmt w:val="bullet"/>
      <w:lvlText w:val=""/>
      <w:lvlJc w:val="left"/>
      <w:pPr>
        <w:ind w:left="2880" w:hanging="360"/>
      </w:pPr>
      <w:rPr>
        <w:rFonts w:hAnsi="Symbol" w:ascii="Symbol" w:hint="default"/>
      </w:rPr>
    </w:lvl>
    <w:lvl w:ilvl="4" w:tplc="04090003" w:tentative="1">
      <w:start w:val="1"/>
      <w:numFmt w:val="bullet"/>
      <w:lvlText w:val="o"/>
      <w:lvlJc w:val="left"/>
      <w:pPr>
        <w:ind w:left="3600" w:hanging="360"/>
      </w:pPr>
      <w:rPr>
        <w:rFonts w:hAnsi="Courier New" w:ascii="Courier New" w:cs="Courier New" w:hint="default"/>
      </w:rPr>
    </w:lvl>
    <w:lvl w:ilvl="5" w:tplc="04090005" w:tentative="1">
      <w:start w:val="1"/>
      <w:numFmt w:val="bullet"/>
      <w:lvlText w:val=""/>
      <w:lvlJc w:val="left"/>
      <w:pPr>
        <w:ind w:left="4320" w:hanging="360"/>
      </w:pPr>
      <w:rPr>
        <w:rFonts w:hAnsi="Wingdings" w:ascii="Wingdings" w:hint="default"/>
      </w:rPr>
    </w:lvl>
    <w:lvl w:ilvl="6" w:tplc="04090001" w:tentative="1">
      <w:start w:val="1"/>
      <w:numFmt w:val="bullet"/>
      <w:lvlText w:val=""/>
      <w:lvlJc w:val="left"/>
      <w:pPr>
        <w:ind w:left="5040" w:hanging="360"/>
      </w:pPr>
      <w:rPr>
        <w:rFonts w:hAnsi="Symbol" w:ascii="Symbol" w:hint="default"/>
      </w:rPr>
    </w:lvl>
    <w:lvl w:ilvl="7" w:tplc="04090003" w:tentative="1">
      <w:start w:val="1"/>
      <w:numFmt w:val="bullet"/>
      <w:lvlText w:val="o"/>
      <w:lvlJc w:val="left"/>
      <w:pPr>
        <w:ind w:left="5760" w:hanging="360"/>
      </w:pPr>
      <w:rPr>
        <w:rFonts w:hAnsi="Courier New" w:ascii="Courier New" w:cs="Courier New" w:hint="default"/>
      </w:rPr>
    </w:lvl>
    <w:lvl w:ilvl="8" w:tplc="04090005" w:tentative="1">
      <w:start w:val="1"/>
      <w:numFmt w:val="bullet"/>
      <w:lvlText w:val=""/>
      <w:lvlJc w:val="left"/>
      <w:pPr>
        <w:ind w:left="6480" w:hanging="360"/>
      </w:pPr>
      <w:rPr>
        <w:rFonts w:hAnsi="Wingdings" w:ascii="Wingdings" w:hint="default"/>
      </w:rPr>
    </w:lvl>
  </w:abstractNum>
  <w:abstractNum w:abstractNumId="3">
    <w:nsid w:val="25AD23AF"/>
    <w:multiLevelType w:val="hybridMultilevel"/>
    <w:tmpl w:val="73248FBE"/>
    <w:lvl w:ilvl="0" w:tplc="0409000F">
      <w:start w:val="1"/>
      <w:numFmt w:val="decimal"/>
      <w:lvlText w:val="%1."/>
      <w:lvlJc w:val="left"/>
      <w:pPr>
        <w:ind w:left="770" w:hanging="360"/>
      </w:pPr>
    </w:lvl>
    <w:lvl w:ilvl="1" w:tplc="04090019">
      <w:start w:val="1"/>
      <w:numFmt w:val="lowerLetter"/>
      <w:lvlText w:val="%2."/>
      <w:lvlJc w:val="left"/>
      <w:pPr>
        <w:ind w:left="1490" w:hanging="360"/>
      </w:pPr>
    </w:lvl>
    <w:lvl w:ilvl="2" w:tplc="0409001B">
      <w:start w:val="1"/>
      <w:numFmt w:val="lowerRoman"/>
      <w:lvlText w:val="%3."/>
      <w:lvlJc w:val="right"/>
      <w:pPr>
        <w:ind w:left="2210" w:hanging="180"/>
      </w:pPr>
    </w:lvl>
    <w:lvl w:ilvl="3" w:tplc="0409000F">
      <w:start w:val="1"/>
      <w:numFmt w:val="decimal"/>
      <w:lvlText w:val="%4."/>
      <w:lvlJc w:val="left"/>
      <w:pPr>
        <w:ind w:left="2930" w:hanging="360"/>
      </w:pPr>
    </w:lvl>
    <w:lvl w:ilvl="4" w:tplc="04090019">
      <w:start w:val="1"/>
      <w:numFmt w:val="lowerLetter"/>
      <w:lvlText w:val="%5."/>
      <w:lvlJc w:val="left"/>
      <w:pPr>
        <w:ind w:left="3650" w:hanging="360"/>
      </w:pPr>
    </w:lvl>
    <w:lvl w:ilvl="5" w:tplc="0409001B">
      <w:start w:val="1"/>
      <w:numFmt w:val="lowerRoman"/>
      <w:lvlText w:val="%6."/>
      <w:lvlJc w:val="right"/>
      <w:pPr>
        <w:ind w:left="4370" w:hanging="180"/>
      </w:pPr>
    </w:lvl>
    <w:lvl w:ilvl="6" w:tplc="0409000F">
      <w:start w:val="1"/>
      <w:numFmt w:val="decimal"/>
      <w:lvlText w:val="%7."/>
      <w:lvlJc w:val="left"/>
      <w:pPr>
        <w:ind w:left="5090" w:hanging="360"/>
      </w:pPr>
    </w:lvl>
    <w:lvl w:ilvl="7" w:tplc="04090019">
      <w:start w:val="1"/>
      <w:numFmt w:val="lowerLetter"/>
      <w:lvlText w:val="%8."/>
      <w:lvlJc w:val="left"/>
      <w:pPr>
        <w:ind w:left="5810" w:hanging="360"/>
      </w:pPr>
    </w:lvl>
    <w:lvl w:ilvl="8" w:tplc="0409001B">
      <w:start w:val="1"/>
      <w:numFmt w:val="lowerRoman"/>
      <w:lvlText w:val="%9."/>
      <w:lvlJc w:val="right"/>
      <w:pPr>
        <w:ind w:left="6530" w:hanging="180"/>
      </w:pPr>
    </w:lvl>
  </w:abstractNum>
  <w:abstractNum w:abstractNumId="4">
    <w:nsid w:val="2DF5450C"/>
    <w:multiLevelType w:val="hybridMultilevel"/>
    <w:tmpl w:val="BFC8F5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0586F5F"/>
    <w:multiLevelType w:val="multilevel"/>
    <w:tmpl w:val="0DE67386"/>
    <w:lvl w:ilvl="0">
      <w:start w:val="1"/>
      <w:numFmt w:val="decimal"/>
      <w:lvlText w:val="%1."/>
      <w:lvlJc w:val="right"/>
      <w:pPr>
        <w:ind w:left="720" w:hanging="360"/>
      </w:pPr>
      <w:rPr>
        <w:rFonts w:hAnsi="Times New Roman" w:ascii="Times New Roman" w:eastAsia="Times New Roman" w:cs="Times New Roman"/>
      </w:rPr>
    </w:lvl>
    <w:lvl w:ilvl="1">
      <w:start w:val="8"/>
      <w:numFmt w:val="decimal"/>
      <w:isLgl w:val="1"/>
      <w:lvlText w:val="%1.%2"/>
      <w:lvlJc w:val="left"/>
      <w:pPr>
        <w:ind w:left="720" w:hanging="360"/>
      </w:pPr>
      <w:rPr>
        <w:rFonts w:eastAsiaTheme="minorEastAsia" w:hint="default"/>
      </w:rPr>
    </w:lvl>
    <w:lvl w:ilvl="2">
      <w:start w:val="1"/>
      <w:numFmt w:val="decimal"/>
      <w:isLgl w:val="1"/>
      <w:lvlText w:val="%1.%2.%3"/>
      <w:lvlJc w:val="left"/>
      <w:pPr>
        <w:ind w:left="1080" w:hanging="720"/>
      </w:pPr>
      <w:rPr>
        <w:rFonts w:eastAsiaTheme="minorEastAsia" w:hint="default"/>
      </w:rPr>
    </w:lvl>
    <w:lvl w:ilvl="3">
      <w:start w:val="1"/>
      <w:numFmt w:val="decimal"/>
      <w:isLgl w:val="1"/>
      <w:lvlText w:val="%1.%2.%3.%4"/>
      <w:lvlJc w:val="left"/>
      <w:pPr>
        <w:ind w:left="1080" w:hanging="720"/>
      </w:pPr>
      <w:rPr>
        <w:rFonts w:eastAsiaTheme="minorEastAsia" w:hint="default"/>
      </w:rPr>
    </w:lvl>
    <w:lvl w:ilvl="4">
      <w:start w:val="1"/>
      <w:numFmt w:val="decimal"/>
      <w:isLgl w:val="1"/>
      <w:lvlText w:val="%1.%2.%3.%4.%5"/>
      <w:lvlJc w:val="left"/>
      <w:pPr>
        <w:ind w:left="1440" w:hanging="1080"/>
      </w:pPr>
      <w:rPr>
        <w:rFonts w:eastAsiaTheme="minorEastAsia" w:hint="default"/>
      </w:rPr>
    </w:lvl>
    <w:lvl w:ilvl="5">
      <w:start w:val="1"/>
      <w:numFmt w:val="decimal"/>
      <w:isLgl w:val="1"/>
      <w:lvlText w:val="%1.%2.%3.%4.%5.%6"/>
      <w:lvlJc w:val="left"/>
      <w:pPr>
        <w:ind w:left="1440" w:hanging="1080"/>
      </w:pPr>
      <w:rPr>
        <w:rFonts w:eastAsiaTheme="minorEastAsia" w:hint="default"/>
      </w:rPr>
    </w:lvl>
    <w:lvl w:ilvl="6">
      <w:start w:val="1"/>
      <w:numFmt w:val="decimal"/>
      <w:isLgl w:val="1"/>
      <w:lvlText w:val="%1.%2.%3.%4.%5.%6.%7"/>
      <w:lvlJc w:val="left"/>
      <w:pPr>
        <w:ind w:left="1800" w:hanging="1440"/>
      </w:pPr>
      <w:rPr>
        <w:rFonts w:eastAsiaTheme="minorEastAsia" w:hint="default"/>
      </w:rPr>
    </w:lvl>
    <w:lvl w:ilvl="7">
      <w:start w:val="1"/>
      <w:numFmt w:val="decimal"/>
      <w:isLgl w:val="1"/>
      <w:lvlText w:val="%1.%2.%3.%4.%5.%6.%7.%8"/>
      <w:lvlJc w:val="left"/>
      <w:pPr>
        <w:ind w:left="1800" w:hanging="1440"/>
      </w:pPr>
      <w:rPr>
        <w:rFonts w:eastAsiaTheme="minorEastAsia" w:hint="default"/>
      </w:rPr>
    </w:lvl>
    <w:lvl w:ilvl="8">
      <w:start w:val="1"/>
      <w:numFmt w:val="decimal"/>
      <w:isLgl w:val="1"/>
      <w:lvlText w:val="%1.%2.%3.%4.%5.%6.%7.%8.%9"/>
      <w:lvlJc w:val="left"/>
      <w:pPr>
        <w:ind w:left="2160" w:hanging="1800"/>
      </w:pPr>
      <w:rPr>
        <w:rFonts w:eastAsiaTheme="minorEastAsia" w:hint="default"/>
      </w:rPr>
    </w:lvl>
  </w:abstractNum>
  <w:abstractNum w:abstractNumId="6">
    <w:nsid w:val="398E2F55"/>
    <w:multiLevelType w:val="hybridMultilevel"/>
    <w:tmpl w:val="CF1851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B4330B2"/>
    <w:multiLevelType w:val="multilevel"/>
    <w:tmpl w:val="864E00BA"/>
    <w:lvl w:ilvl="0">
      <w:start w:val="1"/>
      <w:numFmt w:val="decimal"/>
      <w:lvlText w:val="%1."/>
      <w:lvlJc w:val="right"/>
      <w:pPr>
        <w:ind w:left="720" w:hanging="360"/>
      </w:pPr>
      <w:rPr>
        <w:rFonts w:hAnsi="Times New Roman" w:ascii="Times New Roman" w:eastAsia="Calibri" w:cs="Times New Roman"/>
      </w:rPr>
    </w:lvl>
    <w:lvl w:ilvl="1">
      <w:start w:val="3"/>
      <w:numFmt w:val="decimal"/>
      <w:isLgl w:val="1"/>
      <w:lvlText w:val="%1.%2"/>
      <w:lvlJc w:val="left"/>
      <w:pPr>
        <w:ind w:left="720" w:hanging="360"/>
      </w:pPr>
      <w:rPr>
        <w:rFonts w:hAnsiTheme="minorHAnsi" w:asciiTheme="minorHAnsi" w:eastAsiaTheme="minorHAnsi" w:hint="default"/>
        <w:sz w:val="22"/>
      </w:rPr>
    </w:lvl>
    <w:lvl w:ilvl="2">
      <w:start w:val="1"/>
      <w:numFmt w:val="decimal"/>
      <w:isLgl w:val="1"/>
      <w:lvlText w:val="%1.%2.%3"/>
      <w:lvlJc w:val="left"/>
      <w:pPr>
        <w:ind w:left="1080" w:hanging="720"/>
      </w:pPr>
      <w:rPr>
        <w:rFonts w:hAnsiTheme="minorHAnsi" w:asciiTheme="minorHAnsi" w:eastAsiaTheme="minorHAnsi" w:hint="default"/>
        <w:sz w:val="22"/>
      </w:rPr>
    </w:lvl>
    <w:lvl w:ilvl="3">
      <w:start w:val="1"/>
      <w:numFmt w:val="decimal"/>
      <w:isLgl w:val="1"/>
      <w:lvlText w:val="%1.%2.%3.%4"/>
      <w:lvlJc w:val="left"/>
      <w:pPr>
        <w:ind w:left="1080" w:hanging="720"/>
      </w:pPr>
      <w:rPr>
        <w:rFonts w:hAnsiTheme="minorHAnsi" w:asciiTheme="minorHAnsi" w:eastAsiaTheme="minorHAnsi" w:hint="default"/>
        <w:sz w:val="22"/>
      </w:rPr>
    </w:lvl>
    <w:lvl w:ilvl="4">
      <w:start w:val="1"/>
      <w:numFmt w:val="decimal"/>
      <w:isLgl w:val="1"/>
      <w:lvlText w:val="%1.%2.%3.%4.%5"/>
      <w:lvlJc w:val="left"/>
      <w:pPr>
        <w:ind w:left="1440" w:hanging="1080"/>
      </w:pPr>
      <w:rPr>
        <w:rFonts w:hAnsiTheme="minorHAnsi" w:asciiTheme="minorHAnsi" w:eastAsiaTheme="minorHAnsi" w:hint="default"/>
        <w:sz w:val="22"/>
      </w:rPr>
    </w:lvl>
    <w:lvl w:ilvl="5">
      <w:start w:val="1"/>
      <w:numFmt w:val="decimal"/>
      <w:isLgl w:val="1"/>
      <w:lvlText w:val="%1.%2.%3.%4.%5.%6"/>
      <w:lvlJc w:val="left"/>
      <w:pPr>
        <w:ind w:left="1440" w:hanging="1080"/>
      </w:pPr>
      <w:rPr>
        <w:rFonts w:hAnsiTheme="minorHAnsi" w:asciiTheme="minorHAnsi" w:eastAsiaTheme="minorHAnsi" w:hint="default"/>
        <w:sz w:val="22"/>
      </w:rPr>
    </w:lvl>
    <w:lvl w:ilvl="6">
      <w:start w:val="1"/>
      <w:numFmt w:val="decimal"/>
      <w:isLgl w:val="1"/>
      <w:lvlText w:val="%1.%2.%3.%4.%5.%6.%7"/>
      <w:lvlJc w:val="left"/>
      <w:pPr>
        <w:ind w:left="1800" w:hanging="1440"/>
      </w:pPr>
      <w:rPr>
        <w:rFonts w:hAnsiTheme="minorHAnsi" w:asciiTheme="minorHAnsi" w:eastAsiaTheme="minorHAnsi" w:hint="default"/>
        <w:sz w:val="22"/>
      </w:rPr>
    </w:lvl>
    <w:lvl w:ilvl="7">
      <w:start w:val="1"/>
      <w:numFmt w:val="decimal"/>
      <w:isLgl w:val="1"/>
      <w:lvlText w:val="%1.%2.%3.%4.%5.%6.%7.%8"/>
      <w:lvlJc w:val="left"/>
      <w:pPr>
        <w:ind w:left="1800" w:hanging="1440"/>
      </w:pPr>
      <w:rPr>
        <w:rFonts w:hAnsiTheme="minorHAnsi" w:asciiTheme="minorHAnsi" w:eastAsiaTheme="minorHAnsi" w:hint="default"/>
        <w:sz w:val="22"/>
      </w:rPr>
    </w:lvl>
    <w:lvl w:ilvl="8">
      <w:start w:val="1"/>
      <w:numFmt w:val="decimal"/>
      <w:isLgl w:val="1"/>
      <w:lvlText w:val="%1.%2.%3.%4.%5.%6.%7.%8.%9"/>
      <w:lvlJc w:val="left"/>
      <w:pPr>
        <w:ind w:left="2160" w:hanging="1800"/>
      </w:pPr>
      <w:rPr>
        <w:rFonts w:hAnsiTheme="minorHAnsi" w:asciiTheme="minorHAnsi" w:eastAsiaTheme="minorHAnsi" w:hint="default"/>
        <w:sz w:val="22"/>
      </w:rPr>
    </w:lvl>
  </w:abstractNum>
  <w:abstractNum w:abstractNumId="8">
    <w:nsid w:val="3D4E0714"/>
    <w:multiLevelType w:val="hybridMultilevel"/>
    <w:tmpl w:val="3C40C7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FA84E13"/>
    <w:multiLevelType w:val="hybridMultilevel"/>
    <w:tmpl w:val="87704E22"/>
    <w:lvl w:ilvl="0" w:tplc="092ADC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44B75317"/>
    <w:multiLevelType w:val="hybridMultilevel"/>
    <w:tmpl w:val="A54259B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nsid w:val="46A56E29"/>
    <w:multiLevelType w:val="hybridMultilevel"/>
    <w:tmpl w:val="9B348DA6"/>
    <w:lvl w:ilvl="0" w:tplc="D764D422">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4BBF21AE"/>
    <w:multiLevelType w:val="hybridMultilevel"/>
    <w:tmpl w:val="C25E084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3">
    <w:nsid w:val="657912C6"/>
    <w:multiLevelType w:val="hybridMultilevel"/>
    <w:tmpl w:val="FA449026"/>
    <w:lvl w:ilvl="0" w:tplc="08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6D2B4F79"/>
    <w:multiLevelType w:val="multilevel"/>
    <w:tmpl w:val="3852FE4E"/>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nsid w:val="71E405D0"/>
    <w:multiLevelType w:val="hybridMultilevel"/>
    <w:tmpl w:val="73248FBE"/>
    <w:lvl w:ilvl="0" w:tplc="FFFFFFFF">
      <w:start w:val="1"/>
      <w:numFmt w:val="decimal"/>
      <w:lvlText w:val="%1."/>
      <w:lvlJc w:val="left"/>
      <w:pPr>
        <w:ind w:left="770" w:hanging="360"/>
      </w:pPr>
    </w:lvl>
    <w:lvl w:ilvl="1" w:tplc="FFFFFFFF">
      <w:start w:val="1"/>
      <w:numFmt w:val="lowerLetter"/>
      <w:lvlText w:val="%2."/>
      <w:lvlJc w:val="left"/>
      <w:pPr>
        <w:ind w:left="1490" w:hanging="360"/>
      </w:pPr>
    </w:lvl>
    <w:lvl w:ilvl="2" w:tplc="FFFFFFFF">
      <w:start w:val="1"/>
      <w:numFmt w:val="lowerRoman"/>
      <w:lvlText w:val="%3."/>
      <w:lvlJc w:val="right"/>
      <w:pPr>
        <w:ind w:left="2210" w:hanging="180"/>
      </w:pPr>
    </w:lvl>
    <w:lvl w:ilvl="3" w:tplc="FFFFFFFF">
      <w:start w:val="1"/>
      <w:numFmt w:val="decimal"/>
      <w:lvlText w:val="%4."/>
      <w:lvlJc w:val="left"/>
      <w:pPr>
        <w:ind w:left="2930" w:hanging="360"/>
      </w:pPr>
    </w:lvl>
    <w:lvl w:ilvl="4" w:tplc="FFFFFFFF">
      <w:start w:val="1"/>
      <w:numFmt w:val="lowerLetter"/>
      <w:lvlText w:val="%5."/>
      <w:lvlJc w:val="left"/>
      <w:pPr>
        <w:ind w:left="3650" w:hanging="360"/>
      </w:pPr>
    </w:lvl>
    <w:lvl w:ilvl="5" w:tplc="FFFFFFFF">
      <w:start w:val="1"/>
      <w:numFmt w:val="lowerRoman"/>
      <w:lvlText w:val="%6."/>
      <w:lvlJc w:val="right"/>
      <w:pPr>
        <w:ind w:left="4370" w:hanging="180"/>
      </w:pPr>
    </w:lvl>
    <w:lvl w:ilvl="6" w:tplc="FFFFFFFF">
      <w:start w:val="1"/>
      <w:numFmt w:val="decimal"/>
      <w:lvlText w:val="%7."/>
      <w:lvlJc w:val="left"/>
      <w:pPr>
        <w:ind w:left="5090" w:hanging="360"/>
      </w:pPr>
    </w:lvl>
    <w:lvl w:ilvl="7" w:tplc="FFFFFFFF">
      <w:start w:val="1"/>
      <w:numFmt w:val="lowerLetter"/>
      <w:lvlText w:val="%8."/>
      <w:lvlJc w:val="left"/>
      <w:pPr>
        <w:ind w:left="5810" w:hanging="360"/>
      </w:pPr>
    </w:lvl>
    <w:lvl w:ilvl="8" w:tplc="FFFFFFFF">
      <w:start w:val="1"/>
      <w:numFmt w:val="lowerRoman"/>
      <w:lvlText w:val="%9."/>
      <w:lvlJc w:val="right"/>
      <w:pPr>
        <w:ind w:left="6530" w:hanging="180"/>
      </w:pPr>
    </w:lvl>
  </w:abstractNum>
  <w:abstractNum w:abstractNumId="16">
    <w:nsid w:val="7EFC7074"/>
    <w:multiLevelType w:val="multilevel"/>
    <w:tmpl w:val="A8B22DCA"/>
    <w:lvl w:ilvl="0">
      <w:start w:val="1"/>
      <w:numFmt w:val="decimal"/>
      <w:pStyle w:val="Heading11"/>
      <w:lvlText w:val="%1."/>
      <w:lvlJc w:val="left"/>
      <w:pPr>
        <w:tabs>
          <w:tab w:val="num" w:leader="none" w:pos="720"/>
        </w:tabs>
        <w:ind w:left="720" w:hanging="720"/>
      </w:pPr>
    </w:lvl>
    <w:lvl w:ilvl="1">
      <w:start w:val="1"/>
      <w:numFmt w:val="decimal"/>
      <w:lvlText w:val="%2."/>
      <w:lvlJc w:val="left"/>
      <w:pPr>
        <w:tabs>
          <w:tab w:val="num" w:leader="none" w:pos="1440"/>
        </w:tabs>
        <w:ind w:left="1440" w:hanging="720"/>
      </w:pPr>
    </w:lvl>
    <w:lvl w:ilvl="2">
      <w:start w:val="1"/>
      <w:numFmt w:val="decimal"/>
      <w:lvlText w:val="%3."/>
      <w:lvlJc w:val="left"/>
      <w:pPr>
        <w:tabs>
          <w:tab w:val="num" w:leader="none" w:pos="2160"/>
        </w:tabs>
        <w:ind w:left="2160" w:hanging="720"/>
      </w:pPr>
    </w:lvl>
    <w:lvl w:ilvl="3">
      <w:start w:val="1"/>
      <w:numFmt w:val="decimal"/>
      <w:lvlText w:val="%4."/>
      <w:lvlJc w:val="left"/>
      <w:pPr>
        <w:tabs>
          <w:tab w:val="num" w:leader="none" w:pos="2880"/>
        </w:tabs>
        <w:ind w:left="2880" w:hanging="720"/>
      </w:pPr>
    </w:lvl>
    <w:lvl w:ilvl="4">
      <w:start w:val="1"/>
      <w:numFmt w:val="decimal"/>
      <w:lvlText w:val="%5."/>
      <w:lvlJc w:val="left"/>
      <w:pPr>
        <w:tabs>
          <w:tab w:val="num" w:leader="none" w:pos="3600"/>
        </w:tabs>
        <w:ind w:left="3600" w:hanging="720"/>
      </w:pPr>
    </w:lvl>
    <w:lvl w:ilvl="5">
      <w:start w:val="1"/>
      <w:numFmt w:val="decimal"/>
      <w:lvlText w:val="%6."/>
      <w:lvlJc w:val="left"/>
      <w:pPr>
        <w:tabs>
          <w:tab w:val="num" w:leader="none" w:pos="4320"/>
        </w:tabs>
        <w:ind w:left="4320" w:hanging="720"/>
      </w:pPr>
    </w:lvl>
    <w:lvl w:ilvl="6">
      <w:start w:val="1"/>
      <w:numFmt w:val="decimal"/>
      <w:lvlText w:val="%7."/>
      <w:lvlJc w:val="left"/>
      <w:pPr>
        <w:tabs>
          <w:tab w:val="num" w:leader="none" w:pos="5040"/>
        </w:tabs>
        <w:ind w:left="5040" w:hanging="720"/>
      </w:pPr>
    </w:lvl>
    <w:lvl w:ilvl="7">
      <w:start w:val="1"/>
      <w:numFmt w:val="decimal"/>
      <w:lvlText w:val="%8."/>
      <w:lvlJc w:val="left"/>
      <w:pPr>
        <w:tabs>
          <w:tab w:val="num" w:leader="none" w:pos="5760"/>
        </w:tabs>
        <w:ind w:left="5760" w:hanging="720"/>
      </w:pPr>
    </w:lvl>
    <w:lvl w:ilvl="8">
      <w:start w:val="1"/>
      <w:numFmt w:val="decimal"/>
      <w:lvlText w:val="%9."/>
      <w:lvlJc w:val="left"/>
      <w:pPr>
        <w:tabs>
          <w:tab w:val="num" w:leader="none" w:pos="6480"/>
        </w:tabs>
        <w:ind w:left="6480" w:hanging="72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7"/>
  </w:num>
  <w:num w:numId="4">
    <w:abstractNumId w:val="0"/>
  </w:num>
  <w:num w:numId="5">
    <w:abstractNumId w:val="2"/>
  </w:num>
  <w:num w:numId="6">
    <w:abstractNumId w:val="11"/>
  </w:num>
  <w:num w:numId="7">
    <w:abstractNumId w:val="16"/>
  </w:num>
  <w:num w:numId="8">
    <w:abstractNumId w:val="9"/>
  </w:num>
  <w:num w:numId="9">
    <w:abstractNumId w:val="8"/>
  </w:num>
  <w:num w:numId="10">
    <w:abstractNumId w:val="6"/>
  </w:num>
  <w:num w:numId="11">
    <w:abstractNumId w:val="13"/>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0"/>
  </w:num>
  <w:num w:numId="15">
    <w:abstractNumId w:val="15"/>
  </w:num>
  <w:num w:numId="16">
    <w:abstractNumId w:val="4"/>
  </w:num>
  <w:num w:numId="1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20"/>
  <w:characterSpacingControl w:val="doNotCompress"/>
  <w:hdrShapeDefaults>
    <o:shapedefaults v:ext="edit" spidmax="6146"/>
  </w:hdrShapeDefaults>
  <w:footnotePr>
    <w:footnote w:id="0"/>
    <w:footnote w:id="1"/>
  </w:footnotePr>
  <w:endnotePr>
    <w:endnote w:id="0"/>
    <w:endnote w:id="1"/>
  </w:endnotePr>
  <w:compat/>
  <w:rsids>
    <w:rsidRoot w:val="00AF2288"/>
    <w:rsid w:val="0000123B"/>
    <w:rsid w:val="00002363"/>
    <w:rsid w:val="00003061"/>
    <w:rsid w:val="0000449B"/>
    <w:rsid w:val="00005027"/>
    <w:rsid w:val="00005273"/>
    <w:rsid w:val="0000569C"/>
    <w:rsid w:val="00006ECB"/>
    <w:rsid w:val="00010EA9"/>
    <w:rsid w:val="00011675"/>
    <w:rsid w:val="00012198"/>
    <w:rsid w:val="00012590"/>
    <w:rsid w:val="00013250"/>
    <w:rsid w:val="00013AB6"/>
    <w:rsid w:val="00014039"/>
    <w:rsid w:val="00015278"/>
    <w:rsid w:val="000164B1"/>
    <w:rsid w:val="00021596"/>
    <w:rsid w:val="000238F5"/>
    <w:rsid w:val="00023DF2"/>
    <w:rsid w:val="000240D9"/>
    <w:rsid w:val="000241D7"/>
    <w:rsid w:val="000257D8"/>
    <w:rsid w:val="000279B3"/>
    <w:rsid w:val="00027B0E"/>
    <w:rsid w:val="000317F8"/>
    <w:rsid w:val="00032081"/>
    <w:rsid w:val="000324B6"/>
    <w:rsid w:val="000342C3"/>
    <w:rsid w:val="000351B5"/>
    <w:rsid w:val="00035733"/>
    <w:rsid w:val="000373DF"/>
    <w:rsid w:val="0003752F"/>
    <w:rsid w:val="00037CD1"/>
    <w:rsid w:val="000412BA"/>
    <w:rsid w:val="00042969"/>
    <w:rsid w:val="0004316B"/>
    <w:rsid w:val="0004437A"/>
    <w:rsid w:val="00045A16"/>
    <w:rsid w:val="00047885"/>
    <w:rsid w:val="00047FF7"/>
    <w:rsid w:val="000504A8"/>
    <w:rsid w:val="000505A2"/>
    <w:rsid w:val="00050701"/>
    <w:rsid w:val="00052BBE"/>
    <w:rsid w:val="00052DE1"/>
    <w:rsid w:val="00052E3A"/>
    <w:rsid w:val="00055D16"/>
    <w:rsid w:val="00056488"/>
    <w:rsid w:val="00057395"/>
    <w:rsid w:val="0005782E"/>
    <w:rsid w:val="00057D46"/>
    <w:rsid w:val="00057E26"/>
    <w:rsid w:val="0006052E"/>
    <w:rsid w:val="00060E20"/>
    <w:rsid w:val="000613ED"/>
    <w:rsid w:val="00062439"/>
    <w:rsid w:val="0006566E"/>
    <w:rsid w:val="000659DB"/>
    <w:rsid w:val="00070A4C"/>
    <w:rsid w:val="000715C4"/>
    <w:rsid w:val="00072E6D"/>
    <w:rsid w:val="0007419E"/>
    <w:rsid w:val="00074B25"/>
    <w:rsid w:val="00076AB7"/>
    <w:rsid w:val="00076B3B"/>
    <w:rsid w:val="000775EF"/>
    <w:rsid w:val="00077668"/>
    <w:rsid w:val="000821B0"/>
    <w:rsid w:val="00082DAB"/>
    <w:rsid w:val="000834A1"/>
    <w:rsid w:val="00083D8E"/>
    <w:rsid w:val="00085F19"/>
    <w:rsid w:val="0008633D"/>
    <w:rsid w:val="0008645C"/>
    <w:rsid w:val="00086577"/>
    <w:rsid w:val="000865F4"/>
    <w:rsid w:val="00087E00"/>
    <w:rsid w:val="0009001F"/>
    <w:rsid w:val="00091267"/>
    <w:rsid w:val="000913F2"/>
    <w:rsid w:val="00091B59"/>
    <w:rsid w:val="0009359E"/>
    <w:rsid w:val="00095779"/>
    <w:rsid w:val="00095885"/>
    <w:rsid w:val="00096323"/>
    <w:rsid w:val="00096AD9"/>
    <w:rsid w:val="000A1C79"/>
    <w:rsid w:val="000A2143"/>
    <w:rsid w:val="000A2806"/>
    <w:rsid w:val="000A401C"/>
    <w:rsid w:val="000A4432"/>
    <w:rsid w:val="000A6489"/>
    <w:rsid w:val="000A7004"/>
    <w:rsid w:val="000B0FD9"/>
    <w:rsid w:val="000B300A"/>
    <w:rsid w:val="000B30BB"/>
    <w:rsid w:val="000B5870"/>
    <w:rsid w:val="000B60B2"/>
    <w:rsid w:val="000B68BA"/>
    <w:rsid w:val="000B712C"/>
    <w:rsid w:val="000B758E"/>
    <w:rsid w:val="000C2644"/>
    <w:rsid w:val="000C525A"/>
    <w:rsid w:val="000C68C9"/>
    <w:rsid w:val="000C6A94"/>
    <w:rsid w:val="000C6BEF"/>
    <w:rsid w:val="000C6DAE"/>
    <w:rsid w:val="000D28AC"/>
    <w:rsid w:val="000D4103"/>
    <w:rsid w:val="000D41BB"/>
    <w:rsid w:val="000D4C41"/>
    <w:rsid w:val="000E1899"/>
    <w:rsid w:val="000E3681"/>
    <w:rsid w:val="000E47CF"/>
    <w:rsid w:val="000E54E6"/>
    <w:rsid w:val="000E61F7"/>
    <w:rsid w:val="000E63BF"/>
    <w:rsid w:val="000E65D5"/>
    <w:rsid w:val="000E6F77"/>
    <w:rsid w:val="000E7267"/>
    <w:rsid w:val="000E7E9E"/>
    <w:rsid w:val="000F071D"/>
    <w:rsid w:val="000F1472"/>
    <w:rsid w:val="000F1F2F"/>
    <w:rsid w:val="000F228A"/>
    <w:rsid w:val="000F41C3"/>
    <w:rsid w:val="000F42CE"/>
    <w:rsid w:val="000F4924"/>
    <w:rsid w:val="000F6328"/>
    <w:rsid w:val="000F6C65"/>
    <w:rsid w:val="000F7E06"/>
    <w:rsid w:val="001006A9"/>
    <w:rsid w:val="00101D68"/>
    <w:rsid w:val="00101FE0"/>
    <w:rsid w:val="00102934"/>
    <w:rsid w:val="00102EEB"/>
    <w:rsid w:val="00103012"/>
    <w:rsid w:val="00103B83"/>
    <w:rsid w:val="00105976"/>
    <w:rsid w:val="00111996"/>
    <w:rsid w:val="001130D0"/>
    <w:rsid w:val="00115E69"/>
    <w:rsid w:val="00117884"/>
    <w:rsid w:val="0012062B"/>
    <w:rsid w:val="00121D31"/>
    <w:rsid w:val="00122672"/>
    <w:rsid w:val="001236B9"/>
    <w:rsid w:val="00125C16"/>
    <w:rsid w:val="00127116"/>
    <w:rsid w:val="00131E5B"/>
    <w:rsid w:val="001330B3"/>
    <w:rsid w:val="00134D69"/>
    <w:rsid w:val="001368BB"/>
    <w:rsid w:val="00136D7B"/>
    <w:rsid w:val="00137AF7"/>
    <w:rsid w:val="00140741"/>
    <w:rsid w:val="00141687"/>
    <w:rsid w:val="00145AB9"/>
    <w:rsid w:val="00146C61"/>
    <w:rsid w:val="0014789D"/>
    <w:rsid w:val="00147A82"/>
    <w:rsid w:val="001534DB"/>
    <w:rsid w:val="00156CD2"/>
    <w:rsid w:val="00157ABC"/>
    <w:rsid w:val="00160A8E"/>
    <w:rsid w:val="0016153A"/>
    <w:rsid w:val="0016193C"/>
    <w:rsid w:val="001622D3"/>
    <w:rsid w:val="001630B8"/>
    <w:rsid w:val="00163CEE"/>
    <w:rsid w:val="00164D7C"/>
    <w:rsid w:val="00165BBA"/>
    <w:rsid w:val="00165E4E"/>
    <w:rsid w:val="001667E9"/>
    <w:rsid w:val="001669BC"/>
    <w:rsid w:val="00167FC6"/>
    <w:rsid w:val="001702CE"/>
    <w:rsid w:val="00170809"/>
    <w:rsid w:val="00171E67"/>
    <w:rsid w:val="0017353A"/>
    <w:rsid w:val="001735E6"/>
    <w:rsid w:val="00173F81"/>
    <w:rsid w:val="00174006"/>
    <w:rsid w:val="001741F4"/>
    <w:rsid w:val="001743D4"/>
    <w:rsid w:val="001749F4"/>
    <w:rsid w:val="00175292"/>
    <w:rsid w:val="001753A8"/>
    <w:rsid w:val="00175BDE"/>
    <w:rsid w:val="00175DC2"/>
    <w:rsid w:val="001766AC"/>
    <w:rsid w:val="00176EEA"/>
    <w:rsid w:val="0018013B"/>
    <w:rsid w:val="001801C4"/>
    <w:rsid w:val="001814BA"/>
    <w:rsid w:val="00181BF9"/>
    <w:rsid w:val="00182AB5"/>
    <w:rsid w:val="001837ED"/>
    <w:rsid w:val="0018460B"/>
    <w:rsid w:val="00185D10"/>
    <w:rsid w:val="00185E11"/>
    <w:rsid w:val="00187125"/>
    <w:rsid w:val="001912B0"/>
    <w:rsid w:val="00193BC0"/>
    <w:rsid w:val="00193C2F"/>
    <w:rsid w:val="0019440D"/>
    <w:rsid w:val="001945CF"/>
    <w:rsid w:val="001948D0"/>
    <w:rsid w:val="00196552"/>
    <w:rsid w:val="001A0348"/>
    <w:rsid w:val="001A1060"/>
    <w:rsid w:val="001A1B0A"/>
    <w:rsid w:val="001A2216"/>
    <w:rsid w:val="001A2571"/>
    <w:rsid w:val="001A2C4C"/>
    <w:rsid w:val="001A49AF"/>
    <w:rsid w:val="001A67AD"/>
    <w:rsid w:val="001A7A45"/>
    <w:rsid w:val="001B1118"/>
    <w:rsid w:val="001B184F"/>
    <w:rsid w:val="001B2673"/>
    <w:rsid w:val="001B3EAB"/>
    <w:rsid w:val="001B4705"/>
    <w:rsid w:val="001B4858"/>
    <w:rsid w:val="001B4DC8"/>
    <w:rsid w:val="001B5895"/>
    <w:rsid w:val="001B5C06"/>
    <w:rsid w:val="001B684E"/>
    <w:rsid w:val="001B6D08"/>
    <w:rsid w:val="001B75C9"/>
    <w:rsid w:val="001B782B"/>
    <w:rsid w:val="001B7B16"/>
    <w:rsid w:val="001C03E4"/>
    <w:rsid w:val="001C2060"/>
    <w:rsid w:val="001C28F5"/>
    <w:rsid w:val="001C35FC"/>
    <w:rsid w:val="001C522D"/>
    <w:rsid w:val="001D02BC"/>
    <w:rsid w:val="001D1EA7"/>
    <w:rsid w:val="001D2187"/>
    <w:rsid w:val="001D4F36"/>
    <w:rsid w:val="001D610B"/>
    <w:rsid w:val="001D6247"/>
    <w:rsid w:val="001D6F57"/>
    <w:rsid w:val="001E0264"/>
    <w:rsid w:val="001E0DA5"/>
    <w:rsid w:val="001E1E8A"/>
    <w:rsid w:val="001E21F3"/>
    <w:rsid w:val="001E24D3"/>
    <w:rsid w:val="001E264E"/>
    <w:rsid w:val="001E3BDF"/>
    <w:rsid w:val="001E42D1"/>
    <w:rsid w:val="001E44B2"/>
    <w:rsid w:val="001E4983"/>
    <w:rsid w:val="001E5A73"/>
    <w:rsid w:val="001E757D"/>
    <w:rsid w:val="001F4AC3"/>
    <w:rsid w:val="001F51F2"/>
    <w:rsid w:val="001F5A85"/>
    <w:rsid w:val="001F5FFE"/>
    <w:rsid w:val="001F7B94"/>
    <w:rsid w:val="00200520"/>
    <w:rsid w:val="002012A5"/>
    <w:rsid w:val="0020147A"/>
    <w:rsid w:val="002018F6"/>
    <w:rsid w:val="00202F03"/>
    <w:rsid w:val="0020303B"/>
    <w:rsid w:val="00204570"/>
    <w:rsid w:val="00204719"/>
    <w:rsid w:val="00206211"/>
    <w:rsid w:val="002071ED"/>
    <w:rsid w:val="0021012D"/>
    <w:rsid w:val="00210D57"/>
    <w:rsid w:val="00212457"/>
    <w:rsid w:val="00213316"/>
    <w:rsid w:val="00214B53"/>
    <w:rsid w:val="0021511F"/>
    <w:rsid w:val="00215234"/>
    <w:rsid w:val="00216548"/>
    <w:rsid w:val="0022002C"/>
    <w:rsid w:val="0022044C"/>
    <w:rsid w:val="002213AC"/>
    <w:rsid w:val="0022177E"/>
    <w:rsid w:val="0022221C"/>
    <w:rsid w:val="00224864"/>
    <w:rsid w:val="002251DB"/>
    <w:rsid w:val="00227083"/>
    <w:rsid w:val="00231B75"/>
    <w:rsid w:val="00234D6E"/>
    <w:rsid w:val="0023763E"/>
    <w:rsid w:val="002404AE"/>
    <w:rsid w:val="00240C56"/>
    <w:rsid w:val="002419FC"/>
    <w:rsid w:val="00242504"/>
    <w:rsid w:val="002429B1"/>
    <w:rsid w:val="00243950"/>
    <w:rsid w:val="00244144"/>
    <w:rsid w:val="00244551"/>
    <w:rsid w:val="0024573F"/>
    <w:rsid w:val="002476BE"/>
    <w:rsid w:val="00250665"/>
    <w:rsid w:val="00250986"/>
    <w:rsid w:val="00250CA0"/>
    <w:rsid w:val="00251164"/>
    <w:rsid w:val="00251504"/>
    <w:rsid w:val="002516F0"/>
    <w:rsid w:val="002525A0"/>
    <w:rsid w:val="0025457E"/>
    <w:rsid w:val="00255279"/>
    <w:rsid w:val="00255895"/>
    <w:rsid w:val="002566DB"/>
    <w:rsid w:val="002578E0"/>
    <w:rsid w:val="00260A06"/>
    <w:rsid w:val="00261367"/>
    <w:rsid w:val="00261C12"/>
    <w:rsid w:val="00262E92"/>
    <w:rsid w:val="00264478"/>
    <w:rsid w:val="00264602"/>
    <w:rsid w:val="00265BCF"/>
    <w:rsid w:val="00265D0B"/>
    <w:rsid w:val="00267173"/>
    <w:rsid w:val="002707D4"/>
    <w:rsid w:val="00270A69"/>
    <w:rsid w:val="00270E91"/>
    <w:rsid w:val="0027338C"/>
    <w:rsid w:val="002734AC"/>
    <w:rsid w:val="002758BC"/>
    <w:rsid w:val="00276432"/>
    <w:rsid w:val="00281E09"/>
    <w:rsid w:val="0028266F"/>
    <w:rsid w:val="00285AB6"/>
    <w:rsid w:val="00285F16"/>
    <w:rsid w:val="0028711A"/>
    <w:rsid w:val="002871ED"/>
    <w:rsid w:val="0028761E"/>
    <w:rsid w:val="002900DA"/>
    <w:rsid w:val="002907DA"/>
    <w:rsid w:val="002910E7"/>
    <w:rsid w:val="00292056"/>
    <w:rsid w:val="00292298"/>
    <w:rsid w:val="00292690"/>
    <w:rsid w:val="00292ADE"/>
    <w:rsid w:val="00292EA9"/>
    <w:rsid w:val="002931B7"/>
    <w:rsid w:val="00293821"/>
    <w:rsid w:val="002947C3"/>
    <w:rsid w:val="00294B50"/>
    <w:rsid w:val="00296756"/>
    <w:rsid w:val="002969EC"/>
    <w:rsid w:val="00296A6A"/>
    <w:rsid w:val="002970FC"/>
    <w:rsid w:val="002974AF"/>
    <w:rsid w:val="002A02C5"/>
    <w:rsid w:val="002A1356"/>
    <w:rsid w:val="002A1E94"/>
    <w:rsid w:val="002A2A52"/>
    <w:rsid w:val="002A4124"/>
    <w:rsid w:val="002A416F"/>
    <w:rsid w:val="002A534F"/>
    <w:rsid w:val="002A53D7"/>
    <w:rsid w:val="002A7732"/>
    <w:rsid w:val="002A7E1B"/>
    <w:rsid w:val="002B0B0C"/>
    <w:rsid w:val="002B5325"/>
    <w:rsid w:val="002B5796"/>
    <w:rsid w:val="002C06CD"/>
    <w:rsid w:val="002C1FC1"/>
    <w:rsid w:val="002C2EA5"/>
    <w:rsid w:val="002C2EB3"/>
    <w:rsid w:val="002C61E2"/>
    <w:rsid w:val="002D19E7"/>
    <w:rsid w:val="002D1A1C"/>
    <w:rsid w:val="002D2C92"/>
    <w:rsid w:val="002D3BF6"/>
    <w:rsid w:val="002D3C7F"/>
    <w:rsid w:val="002D4479"/>
    <w:rsid w:val="002D78FB"/>
    <w:rsid w:val="002E0DB3"/>
    <w:rsid w:val="002E1DDB"/>
    <w:rsid w:val="002E262A"/>
    <w:rsid w:val="002E3BFC"/>
    <w:rsid w:val="002E5284"/>
    <w:rsid w:val="002E54A1"/>
    <w:rsid w:val="002E64F3"/>
    <w:rsid w:val="002E6D7A"/>
    <w:rsid w:val="002E712B"/>
    <w:rsid w:val="002F0EF0"/>
    <w:rsid w:val="002F1642"/>
    <w:rsid w:val="002F1C24"/>
    <w:rsid w:val="002F2539"/>
    <w:rsid w:val="002F29D8"/>
    <w:rsid w:val="002F342B"/>
    <w:rsid w:val="002F4FEE"/>
    <w:rsid w:val="002F5C3D"/>
    <w:rsid w:val="002F6A4F"/>
    <w:rsid w:val="002F73C6"/>
    <w:rsid w:val="002F7852"/>
    <w:rsid w:val="00300CB3"/>
    <w:rsid w:val="00300EC1"/>
    <w:rsid w:val="00301E83"/>
    <w:rsid w:val="00301FB1"/>
    <w:rsid w:val="003026FC"/>
    <w:rsid w:val="00302A0C"/>
    <w:rsid w:val="0030359C"/>
    <w:rsid w:val="00305557"/>
    <w:rsid w:val="003065C6"/>
    <w:rsid w:val="00306E81"/>
    <w:rsid w:val="003076E2"/>
    <w:rsid w:val="00310F2E"/>
    <w:rsid w:val="0031118E"/>
    <w:rsid w:val="00311F14"/>
    <w:rsid w:val="00312011"/>
    <w:rsid w:val="00312DA9"/>
    <w:rsid w:val="003134EC"/>
    <w:rsid w:val="003137EA"/>
    <w:rsid w:val="003139B3"/>
    <w:rsid w:val="00314DF7"/>
    <w:rsid w:val="00314F56"/>
    <w:rsid w:val="00315200"/>
    <w:rsid w:val="003159C9"/>
    <w:rsid w:val="00315FDD"/>
    <w:rsid w:val="003167A0"/>
    <w:rsid w:val="00320254"/>
    <w:rsid w:val="003230FB"/>
    <w:rsid w:val="003245E1"/>
    <w:rsid w:val="003251E5"/>
    <w:rsid w:val="00325480"/>
    <w:rsid w:val="00325C68"/>
    <w:rsid w:val="00326594"/>
    <w:rsid w:val="00326B8C"/>
    <w:rsid w:val="00326DE2"/>
    <w:rsid w:val="003272EC"/>
    <w:rsid w:val="00330D6D"/>
    <w:rsid w:val="00332CEC"/>
    <w:rsid w:val="00332E18"/>
    <w:rsid w:val="003340DC"/>
    <w:rsid w:val="00336114"/>
    <w:rsid w:val="003377C6"/>
    <w:rsid w:val="00337D4E"/>
    <w:rsid w:val="003420A2"/>
    <w:rsid w:val="00343AC3"/>
    <w:rsid w:val="00344575"/>
    <w:rsid w:val="00345011"/>
    <w:rsid w:val="00346F9F"/>
    <w:rsid w:val="003477C5"/>
    <w:rsid w:val="00350A4A"/>
    <w:rsid w:val="00350DCA"/>
    <w:rsid w:val="00350DFF"/>
    <w:rsid w:val="003511C0"/>
    <w:rsid w:val="00352A80"/>
    <w:rsid w:val="00354568"/>
    <w:rsid w:val="003545FD"/>
    <w:rsid w:val="00355029"/>
    <w:rsid w:val="003565F1"/>
    <w:rsid w:val="0035781C"/>
    <w:rsid w:val="003603C5"/>
    <w:rsid w:val="00361EEB"/>
    <w:rsid w:val="0036220C"/>
    <w:rsid w:val="00362841"/>
    <w:rsid w:val="00364377"/>
    <w:rsid w:val="003644B7"/>
    <w:rsid w:val="003652DF"/>
    <w:rsid w:val="00365C35"/>
    <w:rsid w:val="00366F12"/>
    <w:rsid w:val="003706CF"/>
    <w:rsid w:val="00370998"/>
    <w:rsid w:val="003739CA"/>
    <w:rsid w:val="00373C09"/>
    <w:rsid w:val="00374FB3"/>
    <w:rsid w:val="0037501A"/>
    <w:rsid w:val="00375E9E"/>
    <w:rsid w:val="003761C3"/>
    <w:rsid w:val="003765C9"/>
    <w:rsid w:val="00377D1F"/>
    <w:rsid w:val="00377EC0"/>
    <w:rsid w:val="0038283E"/>
    <w:rsid w:val="00382A07"/>
    <w:rsid w:val="00383CBE"/>
    <w:rsid w:val="00384DD0"/>
    <w:rsid w:val="00386A6A"/>
    <w:rsid w:val="003906D7"/>
    <w:rsid w:val="0039105F"/>
    <w:rsid w:val="00393312"/>
    <w:rsid w:val="00395FE6"/>
    <w:rsid w:val="003A199C"/>
    <w:rsid w:val="003A35DD"/>
    <w:rsid w:val="003A3645"/>
    <w:rsid w:val="003A3E12"/>
    <w:rsid w:val="003A7E9D"/>
    <w:rsid w:val="003B06A6"/>
    <w:rsid w:val="003B0874"/>
    <w:rsid w:val="003B41B6"/>
    <w:rsid w:val="003B49D5"/>
    <w:rsid w:val="003B6526"/>
    <w:rsid w:val="003B670A"/>
    <w:rsid w:val="003B6DF8"/>
    <w:rsid w:val="003B6EDE"/>
    <w:rsid w:val="003C08AC"/>
    <w:rsid w:val="003C2484"/>
    <w:rsid w:val="003C303B"/>
    <w:rsid w:val="003C53C0"/>
    <w:rsid w:val="003C7522"/>
    <w:rsid w:val="003C7638"/>
    <w:rsid w:val="003D0D75"/>
    <w:rsid w:val="003D136F"/>
    <w:rsid w:val="003D174F"/>
    <w:rsid w:val="003D1D04"/>
    <w:rsid w:val="003D3019"/>
    <w:rsid w:val="003D5678"/>
    <w:rsid w:val="003D5F62"/>
    <w:rsid w:val="003D640E"/>
    <w:rsid w:val="003D6BD7"/>
    <w:rsid w:val="003D7340"/>
    <w:rsid w:val="003E055A"/>
    <w:rsid w:val="003E0AF4"/>
    <w:rsid w:val="003E2BDB"/>
    <w:rsid w:val="003E3015"/>
    <w:rsid w:val="003E486F"/>
    <w:rsid w:val="003F0E9D"/>
    <w:rsid w:val="003F17D2"/>
    <w:rsid w:val="003F3744"/>
    <w:rsid w:val="003F579B"/>
    <w:rsid w:val="003F5E61"/>
    <w:rsid w:val="003F6E6A"/>
    <w:rsid w:val="00400605"/>
    <w:rsid w:val="00400924"/>
    <w:rsid w:val="004021E3"/>
    <w:rsid w:val="004027F5"/>
    <w:rsid w:val="00402EB5"/>
    <w:rsid w:val="00403234"/>
    <w:rsid w:val="004039E1"/>
    <w:rsid w:val="00403A70"/>
    <w:rsid w:val="004040A4"/>
    <w:rsid w:val="004044C6"/>
    <w:rsid w:val="004048D6"/>
    <w:rsid w:val="00405A5B"/>
    <w:rsid w:val="0040670A"/>
    <w:rsid w:val="00407116"/>
    <w:rsid w:val="004114DA"/>
    <w:rsid w:val="00411A19"/>
    <w:rsid w:val="004135B7"/>
    <w:rsid w:val="0041429F"/>
    <w:rsid w:val="004142EC"/>
    <w:rsid w:val="00414812"/>
    <w:rsid w:val="004163D3"/>
    <w:rsid w:val="0041686D"/>
    <w:rsid w:val="0041723C"/>
    <w:rsid w:val="00421623"/>
    <w:rsid w:val="00424D28"/>
    <w:rsid w:val="00426826"/>
    <w:rsid w:val="00426B36"/>
    <w:rsid w:val="00426E21"/>
    <w:rsid w:val="004278BA"/>
    <w:rsid w:val="00430A51"/>
    <w:rsid w:val="00432DF9"/>
    <w:rsid w:val="0043390A"/>
    <w:rsid w:val="00433CAC"/>
    <w:rsid w:val="004348DB"/>
    <w:rsid w:val="00436A1F"/>
    <w:rsid w:val="00437FCB"/>
    <w:rsid w:val="00440597"/>
    <w:rsid w:val="0044098C"/>
    <w:rsid w:val="00442EFD"/>
    <w:rsid w:val="004445D5"/>
    <w:rsid w:val="004462C5"/>
    <w:rsid w:val="00446F97"/>
    <w:rsid w:val="004471E1"/>
    <w:rsid w:val="0045242E"/>
    <w:rsid w:val="00452695"/>
    <w:rsid w:val="00453FC2"/>
    <w:rsid w:val="00454441"/>
    <w:rsid w:val="0045577B"/>
    <w:rsid w:val="00455D00"/>
    <w:rsid w:val="00462FA7"/>
    <w:rsid w:val="00463AA5"/>
    <w:rsid w:val="00463C62"/>
    <w:rsid w:val="00463EDC"/>
    <w:rsid w:val="00464113"/>
    <w:rsid w:val="00465C8B"/>
    <w:rsid w:val="004677C7"/>
    <w:rsid w:val="0047154E"/>
    <w:rsid w:val="00471587"/>
    <w:rsid w:val="004734D5"/>
    <w:rsid w:val="00473DB6"/>
    <w:rsid w:val="00474E74"/>
    <w:rsid w:val="0047595A"/>
    <w:rsid w:val="004762C0"/>
    <w:rsid w:val="004763AC"/>
    <w:rsid w:val="00476774"/>
    <w:rsid w:val="00476A07"/>
    <w:rsid w:val="004848C3"/>
    <w:rsid w:val="004860A7"/>
    <w:rsid w:val="0048710A"/>
    <w:rsid w:val="004929E7"/>
    <w:rsid w:val="00493E24"/>
    <w:rsid w:val="004952C7"/>
    <w:rsid w:val="00495373"/>
    <w:rsid w:val="004A0433"/>
    <w:rsid w:val="004A0F81"/>
    <w:rsid w:val="004A300E"/>
    <w:rsid w:val="004A329C"/>
    <w:rsid w:val="004A46A2"/>
    <w:rsid w:val="004A5348"/>
    <w:rsid w:val="004A5604"/>
    <w:rsid w:val="004A6607"/>
    <w:rsid w:val="004B08F1"/>
    <w:rsid w:val="004B0A64"/>
    <w:rsid w:val="004B0DAD"/>
    <w:rsid w:val="004B2948"/>
    <w:rsid w:val="004B2E69"/>
    <w:rsid w:val="004B6F5A"/>
    <w:rsid w:val="004B74A2"/>
    <w:rsid w:val="004B7BC6"/>
    <w:rsid w:val="004C20F1"/>
    <w:rsid w:val="004C450D"/>
    <w:rsid w:val="004C6BC7"/>
    <w:rsid w:val="004C7144"/>
    <w:rsid w:val="004D041B"/>
    <w:rsid w:val="004D075A"/>
    <w:rsid w:val="004D092D"/>
    <w:rsid w:val="004D0DD9"/>
    <w:rsid w:val="004D0F06"/>
    <w:rsid w:val="004D212A"/>
    <w:rsid w:val="004D4105"/>
    <w:rsid w:val="004D6832"/>
    <w:rsid w:val="004D6A32"/>
    <w:rsid w:val="004E054D"/>
    <w:rsid w:val="004E11F9"/>
    <w:rsid w:val="004E170A"/>
    <w:rsid w:val="004E2B0B"/>
    <w:rsid w:val="004E3797"/>
    <w:rsid w:val="004E3FED"/>
    <w:rsid w:val="004E4E0A"/>
    <w:rsid w:val="004F3221"/>
    <w:rsid w:val="004F353F"/>
    <w:rsid w:val="004F377E"/>
    <w:rsid w:val="004F41BF"/>
    <w:rsid w:val="004F449C"/>
    <w:rsid w:val="004F46D0"/>
    <w:rsid w:val="004F5061"/>
    <w:rsid w:val="004F6A1A"/>
    <w:rsid w:val="004F6E7B"/>
    <w:rsid w:val="00500C0E"/>
    <w:rsid w:val="00501225"/>
    <w:rsid w:val="0050166B"/>
    <w:rsid w:val="00502B99"/>
    <w:rsid w:val="00504528"/>
    <w:rsid w:val="00504CC0"/>
    <w:rsid w:val="00504EA8"/>
    <w:rsid w:val="00505C46"/>
    <w:rsid w:val="00506D9F"/>
    <w:rsid w:val="00506DB3"/>
    <w:rsid w:val="0050768B"/>
    <w:rsid w:val="00511F25"/>
    <w:rsid w:val="00512316"/>
    <w:rsid w:val="00512D8D"/>
    <w:rsid w:val="00512FC7"/>
    <w:rsid w:val="00513931"/>
    <w:rsid w:val="005142FB"/>
    <w:rsid w:val="00514708"/>
    <w:rsid w:val="00515FF7"/>
    <w:rsid w:val="005165AA"/>
    <w:rsid w:val="00517BA0"/>
    <w:rsid w:val="00517E31"/>
    <w:rsid w:val="00520615"/>
    <w:rsid w:val="00520A73"/>
    <w:rsid w:val="00522EAC"/>
    <w:rsid w:val="00523959"/>
    <w:rsid w:val="00523CD4"/>
    <w:rsid w:val="00523FB6"/>
    <w:rsid w:val="00526717"/>
    <w:rsid w:val="00527097"/>
    <w:rsid w:val="005271F9"/>
    <w:rsid w:val="00527628"/>
    <w:rsid w:val="00530F17"/>
    <w:rsid w:val="005318FB"/>
    <w:rsid w:val="00537462"/>
    <w:rsid w:val="005378FE"/>
    <w:rsid w:val="00537903"/>
    <w:rsid w:val="005405DB"/>
    <w:rsid w:val="0054088E"/>
    <w:rsid w:val="0054170D"/>
    <w:rsid w:val="005423EF"/>
    <w:rsid w:val="00542484"/>
    <w:rsid w:val="0054280D"/>
    <w:rsid w:val="00542F8C"/>
    <w:rsid w:val="00542FC1"/>
    <w:rsid w:val="00544B51"/>
    <w:rsid w:val="00544F59"/>
    <w:rsid w:val="00545537"/>
    <w:rsid w:val="005514EF"/>
    <w:rsid w:val="00552A9A"/>
    <w:rsid w:val="00553260"/>
    <w:rsid w:val="005537E1"/>
    <w:rsid w:val="005567C9"/>
    <w:rsid w:val="00556B13"/>
    <w:rsid w:val="005614AC"/>
    <w:rsid w:val="005625B3"/>
    <w:rsid w:val="005625E9"/>
    <w:rsid w:val="00562674"/>
    <w:rsid w:val="00563014"/>
    <w:rsid w:val="00563DCF"/>
    <w:rsid w:val="00565BBD"/>
    <w:rsid w:val="00571B3F"/>
    <w:rsid w:val="00571C5E"/>
    <w:rsid w:val="0057200A"/>
    <w:rsid w:val="00573E98"/>
    <w:rsid w:val="00575576"/>
    <w:rsid w:val="005761E0"/>
    <w:rsid w:val="00576663"/>
    <w:rsid w:val="005775B4"/>
    <w:rsid w:val="00577A24"/>
    <w:rsid w:val="00581C77"/>
    <w:rsid w:val="0058341C"/>
    <w:rsid w:val="00586761"/>
    <w:rsid w:val="00587DFB"/>
    <w:rsid w:val="005915F0"/>
    <w:rsid w:val="0059214D"/>
    <w:rsid w:val="00592B9D"/>
    <w:rsid w:val="00593A0B"/>
    <w:rsid w:val="00594C56"/>
    <w:rsid w:val="00596588"/>
    <w:rsid w:val="005A0998"/>
    <w:rsid w:val="005A1608"/>
    <w:rsid w:val="005A237D"/>
    <w:rsid w:val="005A41FD"/>
    <w:rsid w:val="005A597F"/>
    <w:rsid w:val="005A5C67"/>
    <w:rsid w:val="005B1AE0"/>
    <w:rsid w:val="005B2163"/>
    <w:rsid w:val="005B2A13"/>
    <w:rsid w:val="005B3B6E"/>
    <w:rsid w:val="005B4215"/>
    <w:rsid w:val="005B4A44"/>
    <w:rsid w:val="005B4D31"/>
    <w:rsid w:val="005B5862"/>
    <w:rsid w:val="005B68AD"/>
    <w:rsid w:val="005B73B7"/>
    <w:rsid w:val="005B78F9"/>
    <w:rsid w:val="005C0F15"/>
    <w:rsid w:val="005C1D55"/>
    <w:rsid w:val="005C264F"/>
    <w:rsid w:val="005C2D59"/>
    <w:rsid w:val="005C4144"/>
    <w:rsid w:val="005C50F3"/>
    <w:rsid w:val="005C54F0"/>
    <w:rsid w:val="005C5A91"/>
    <w:rsid w:val="005C6411"/>
    <w:rsid w:val="005C66F0"/>
    <w:rsid w:val="005C69F5"/>
    <w:rsid w:val="005D0431"/>
    <w:rsid w:val="005D0474"/>
    <w:rsid w:val="005D07D5"/>
    <w:rsid w:val="005D12E9"/>
    <w:rsid w:val="005D1581"/>
    <w:rsid w:val="005D1853"/>
    <w:rsid w:val="005D4B78"/>
    <w:rsid w:val="005D51F8"/>
    <w:rsid w:val="005D5842"/>
    <w:rsid w:val="005D6292"/>
    <w:rsid w:val="005D7016"/>
    <w:rsid w:val="005E107D"/>
    <w:rsid w:val="005E1B3F"/>
    <w:rsid w:val="005E1C2D"/>
    <w:rsid w:val="005E43D5"/>
    <w:rsid w:val="005E6717"/>
    <w:rsid w:val="005E68DB"/>
    <w:rsid w:val="005E6B61"/>
    <w:rsid w:val="005F10CE"/>
    <w:rsid w:val="005F5BBC"/>
    <w:rsid w:val="00600EC9"/>
    <w:rsid w:val="006021C4"/>
    <w:rsid w:val="006026D3"/>
    <w:rsid w:val="00602934"/>
    <w:rsid w:val="0060299E"/>
    <w:rsid w:val="0060338E"/>
    <w:rsid w:val="00603989"/>
    <w:rsid w:val="00604866"/>
    <w:rsid w:val="00605134"/>
    <w:rsid w:val="00605C90"/>
    <w:rsid w:val="0061115A"/>
    <w:rsid w:val="00611EC8"/>
    <w:rsid w:val="00612DE4"/>
    <w:rsid w:val="00614390"/>
    <w:rsid w:val="00616715"/>
    <w:rsid w:val="006167FF"/>
    <w:rsid w:val="00616ED2"/>
    <w:rsid w:val="0062207F"/>
    <w:rsid w:val="0062457F"/>
    <w:rsid w:val="00624A0B"/>
    <w:rsid w:val="00626081"/>
    <w:rsid w:val="0063163A"/>
    <w:rsid w:val="00633017"/>
    <w:rsid w:val="0063365D"/>
    <w:rsid w:val="00633F44"/>
    <w:rsid w:val="0063455F"/>
    <w:rsid w:val="006346F0"/>
    <w:rsid w:val="0063550C"/>
    <w:rsid w:val="00636C59"/>
    <w:rsid w:val="006406C1"/>
    <w:rsid w:val="00642F59"/>
    <w:rsid w:val="00643356"/>
    <w:rsid w:val="006437F6"/>
    <w:rsid w:val="006444DD"/>
    <w:rsid w:val="00647BB7"/>
    <w:rsid w:val="00653A59"/>
    <w:rsid w:val="006546E0"/>
    <w:rsid w:val="00654E8E"/>
    <w:rsid w:val="006552C2"/>
    <w:rsid w:val="006565B1"/>
    <w:rsid w:val="00656ACB"/>
    <w:rsid w:val="00656DB7"/>
    <w:rsid w:val="00656F08"/>
    <w:rsid w:val="006571A3"/>
    <w:rsid w:val="00657B5E"/>
    <w:rsid w:val="00660B5A"/>
    <w:rsid w:val="00663AF0"/>
    <w:rsid w:val="00664FD4"/>
    <w:rsid w:val="00665551"/>
    <w:rsid w:val="00675D1F"/>
    <w:rsid w:val="00677B21"/>
    <w:rsid w:val="006818A8"/>
    <w:rsid w:val="00682206"/>
    <w:rsid w:val="00682657"/>
    <w:rsid w:val="0068296B"/>
    <w:rsid w:val="00682EA2"/>
    <w:rsid w:val="00683A1C"/>
    <w:rsid w:val="00684B5F"/>
    <w:rsid w:val="00686461"/>
    <w:rsid w:val="006866DA"/>
    <w:rsid w:val="00686943"/>
    <w:rsid w:val="00690E71"/>
    <w:rsid w:val="00691DC8"/>
    <w:rsid w:val="00693168"/>
    <w:rsid w:val="0069344F"/>
    <w:rsid w:val="00693843"/>
    <w:rsid w:val="00693976"/>
    <w:rsid w:val="00693F4F"/>
    <w:rsid w:val="006949CE"/>
    <w:rsid w:val="00695489"/>
    <w:rsid w:val="00696C78"/>
    <w:rsid w:val="006A1651"/>
    <w:rsid w:val="006A1F14"/>
    <w:rsid w:val="006A3F7B"/>
    <w:rsid w:val="006A4C3A"/>
    <w:rsid w:val="006A7A17"/>
    <w:rsid w:val="006B21CA"/>
    <w:rsid w:val="006B2DED"/>
    <w:rsid w:val="006B39BC"/>
    <w:rsid w:val="006C1183"/>
    <w:rsid w:val="006C200D"/>
    <w:rsid w:val="006C360E"/>
    <w:rsid w:val="006C4B4F"/>
    <w:rsid w:val="006C4BA4"/>
    <w:rsid w:val="006C4CCE"/>
    <w:rsid w:val="006D0EFA"/>
    <w:rsid w:val="006D1E6C"/>
    <w:rsid w:val="006D29E1"/>
    <w:rsid w:val="006D4289"/>
    <w:rsid w:val="006D4C67"/>
    <w:rsid w:val="006D4E5B"/>
    <w:rsid w:val="006D5B5E"/>
    <w:rsid w:val="006D5C69"/>
    <w:rsid w:val="006D6811"/>
    <w:rsid w:val="006D7430"/>
    <w:rsid w:val="006E0252"/>
    <w:rsid w:val="006E1F47"/>
    <w:rsid w:val="006E2774"/>
    <w:rsid w:val="006E495F"/>
    <w:rsid w:val="006E4DCF"/>
    <w:rsid w:val="006E4F32"/>
    <w:rsid w:val="006E6601"/>
    <w:rsid w:val="006E735C"/>
    <w:rsid w:val="006E7D1F"/>
    <w:rsid w:val="006F0146"/>
    <w:rsid w:val="006F0FAC"/>
    <w:rsid w:val="006F12FC"/>
    <w:rsid w:val="006F16DE"/>
    <w:rsid w:val="006F27B3"/>
    <w:rsid w:val="006F2F66"/>
    <w:rsid w:val="006F3646"/>
    <w:rsid w:val="006F4A01"/>
    <w:rsid w:val="006F4EC8"/>
    <w:rsid w:val="006F51CE"/>
    <w:rsid w:val="006F58EC"/>
    <w:rsid w:val="006F6530"/>
    <w:rsid w:val="006F66E4"/>
    <w:rsid w:val="006F698C"/>
    <w:rsid w:val="006F6A6B"/>
    <w:rsid w:val="006F7599"/>
    <w:rsid w:val="006F79B4"/>
    <w:rsid w:val="00700960"/>
    <w:rsid w:val="00700B05"/>
    <w:rsid w:val="00702031"/>
    <w:rsid w:val="00702317"/>
    <w:rsid w:val="00705303"/>
    <w:rsid w:val="00710A3B"/>
    <w:rsid w:val="00710E2F"/>
    <w:rsid w:val="007112F4"/>
    <w:rsid w:val="007120C0"/>
    <w:rsid w:val="00714340"/>
    <w:rsid w:val="007149D3"/>
    <w:rsid w:val="00714A56"/>
    <w:rsid w:val="007151E3"/>
    <w:rsid w:val="007164E3"/>
    <w:rsid w:val="00716AAE"/>
    <w:rsid w:val="00717CAB"/>
    <w:rsid w:val="007203B4"/>
    <w:rsid w:val="00724C8B"/>
    <w:rsid w:val="00725EEF"/>
    <w:rsid w:val="00727259"/>
    <w:rsid w:val="00727479"/>
    <w:rsid w:val="00727DCE"/>
    <w:rsid w:val="00732E44"/>
    <w:rsid w:val="007334E2"/>
    <w:rsid w:val="00733B8D"/>
    <w:rsid w:val="007345D1"/>
    <w:rsid w:val="00735586"/>
    <w:rsid w:val="00736FD6"/>
    <w:rsid w:val="00740730"/>
    <w:rsid w:val="007414E6"/>
    <w:rsid w:val="0074193B"/>
    <w:rsid w:val="00741E9C"/>
    <w:rsid w:val="007427F1"/>
    <w:rsid w:val="00742F28"/>
    <w:rsid w:val="0074376A"/>
    <w:rsid w:val="00746B0C"/>
    <w:rsid w:val="00747A46"/>
    <w:rsid w:val="00747E86"/>
    <w:rsid w:val="00747EBC"/>
    <w:rsid w:val="00751664"/>
    <w:rsid w:val="00753679"/>
    <w:rsid w:val="00754128"/>
    <w:rsid w:val="00754165"/>
    <w:rsid w:val="007548A4"/>
    <w:rsid w:val="007552A9"/>
    <w:rsid w:val="00755F1F"/>
    <w:rsid w:val="007570B5"/>
    <w:rsid w:val="00757437"/>
    <w:rsid w:val="00757505"/>
    <w:rsid w:val="00757904"/>
    <w:rsid w:val="007600EB"/>
    <w:rsid w:val="007606FA"/>
    <w:rsid w:val="00766790"/>
    <w:rsid w:val="00767AC8"/>
    <w:rsid w:val="00767FF8"/>
    <w:rsid w:val="007706CA"/>
    <w:rsid w:val="0077198E"/>
    <w:rsid w:val="00772B55"/>
    <w:rsid w:val="00772C77"/>
    <w:rsid w:val="0077449B"/>
    <w:rsid w:val="00774951"/>
    <w:rsid w:val="00774AD2"/>
    <w:rsid w:val="00775D12"/>
    <w:rsid w:val="00775D94"/>
    <w:rsid w:val="0077642F"/>
    <w:rsid w:val="007770F0"/>
    <w:rsid w:val="00784980"/>
    <w:rsid w:val="007900A2"/>
    <w:rsid w:val="00790859"/>
    <w:rsid w:val="007908E1"/>
    <w:rsid w:val="00791A87"/>
    <w:rsid w:val="0079246B"/>
    <w:rsid w:val="0079483C"/>
    <w:rsid w:val="00794986"/>
    <w:rsid w:val="00796234"/>
    <w:rsid w:val="00796730"/>
    <w:rsid w:val="00797B61"/>
    <w:rsid w:val="00797E4D"/>
    <w:rsid w:val="007A2649"/>
    <w:rsid w:val="007A56EB"/>
    <w:rsid w:val="007A6212"/>
    <w:rsid w:val="007B0663"/>
    <w:rsid w:val="007B199E"/>
    <w:rsid w:val="007B2D8B"/>
    <w:rsid w:val="007B4264"/>
    <w:rsid w:val="007B48EF"/>
    <w:rsid w:val="007B4B4E"/>
    <w:rsid w:val="007B5F37"/>
    <w:rsid w:val="007C0152"/>
    <w:rsid w:val="007C3227"/>
    <w:rsid w:val="007C4C11"/>
    <w:rsid w:val="007C4D46"/>
    <w:rsid w:val="007C5A24"/>
    <w:rsid w:val="007C63EE"/>
    <w:rsid w:val="007D19F5"/>
    <w:rsid w:val="007D270E"/>
    <w:rsid w:val="007D3AE6"/>
    <w:rsid w:val="007D48BB"/>
    <w:rsid w:val="007D6800"/>
    <w:rsid w:val="007D72F3"/>
    <w:rsid w:val="007D7969"/>
    <w:rsid w:val="007E0C53"/>
    <w:rsid w:val="007E24D3"/>
    <w:rsid w:val="007E3FA4"/>
    <w:rsid w:val="007E439C"/>
    <w:rsid w:val="007E5A61"/>
    <w:rsid w:val="007E6EEB"/>
    <w:rsid w:val="007E7491"/>
    <w:rsid w:val="007F0726"/>
    <w:rsid w:val="007F2687"/>
    <w:rsid w:val="007F348D"/>
    <w:rsid w:val="007F495F"/>
    <w:rsid w:val="007F5385"/>
    <w:rsid w:val="007F5F98"/>
    <w:rsid w:val="007F63BA"/>
    <w:rsid w:val="007F6497"/>
    <w:rsid w:val="007F6B5A"/>
    <w:rsid w:val="007F6BD3"/>
    <w:rsid w:val="007F7625"/>
    <w:rsid w:val="00800A6E"/>
    <w:rsid w:val="00800E80"/>
    <w:rsid w:val="008019A2"/>
    <w:rsid w:val="008023ED"/>
    <w:rsid w:val="008024EA"/>
    <w:rsid w:val="00802517"/>
    <w:rsid w:val="008039C7"/>
    <w:rsid w:val="008044B8"/>
    <w:rsid w:val="00804A2C"/>
    <w:rsid w:val="0080531C"/>
    <w:rsid w:val="00810176"/>
    <w:rsid w:val="00810317"/>
    <w:rsid w:val="0081050E"/>
    <w:rsid w:val="00812072"/>
    <w:rsid w:val="008127DB"/>
    <w:rsid w:val="0081370C"/>
    <w:rsid w:val="00813800"/>
    <w:rsid w:val="0081425B"/>
    <w:rsid w:val="00814670"/>
    <w:rsid w:val="00814B17"/>
    <w:rsid w:val="00814F60"/>
    <w:rsid w:val="00815279"/>
    <w:rsid w:val="00816D9B"/>
    <w:rsid w:val="00817D45"/>
    <w:rsid w:val="00817EF8"/>
    <w:rsid w:val="00817F95"/>
    <w:rsid w:val="00824EB3"/>
    <w:rsid w:val="008250E6"/>
    <w:rsid w:val="00832ABD"/>
    <w:rsid w:val="00833350"/>
    <w:rsid w:val="00833C72"/>
    <w:rsid w:val="00834366"/>
    <w:rsid w:val="0083462A"/>
    <w:rsid w:val="00834CCC"/>
    <w:rsid w:val="00835F5A"/>
    <w:rsid w:val="008378A1"/>
    <w:rsid w:val="00837FA9"/>
    <w:rsid w:val="00842CF0"/>
    <w:rsid w:val="00842EE6"/>
    <w:rsid w:val="0084519E"/>
    <w:rsid w:val="00846ECC"/>
    <w:rsid w:val="00850437"/>
    <w:rsid w:val="00850891"/>
    <w:rsid w:val="00851D70"/>
    <w:rsid w:val="00853E8F"/>
    <w:rsid w:val="008549AC"/>
    <w:rsid w:val="00855677"/>
    <w:rsid w:val="00855ADB"/>
    <w:rsid w:val="0085728B"/>
    <w:rsid w:val="00857C69"/>
    <w:rsid w:val="008601A5"/>
    <w:rsid w:val="008614C1"/>
    <w:rsid w:val="00861888"/>
    <w:rsid w:val="00864472"/>
    <w:rsid w:val="0086594F"/>
    <w:rsid w:val="00866C01"/>
    <w:rsid w:val="008676B1"/>
    <w:rsid w:val="008678FF"/>
    <w:rsid w:val="00867E01"/>
    <w:rsid w:val="0087050D"/>
    <w:rsid w:val="00871437"/>
    <w:rsid w:val="008719D4"/>
    <w:rsid w:val="008722BC"/>
    <w:rsid w:val="0087241D"/>
    <w:rsid w:val="00873786"/>
    <w:rsid w:val="008737D2"/>
    <w:rsid w:val="00874A35"/>
    <w:rsid w:val="008751BB"/>
    <w:rsid w:val="0087704F"/>
    <w:rsid w:val="008800EB"/>
    <w:rsid w:val="00880B88"/>
    <w:rsid w:val="008813A3"/>
    <w:rsid w:val="00881AE8"/>
    <w:rsid w:val="00885541"/>
    <w:rsid w:val="00885B13"/>
    <w:rsid w:val="00885DF7"/>
    <w:rsid w:val="00886DCF"/>
    <w:rsid w:val="0088768A"/>
    <w:rsid w:val="008907BB"/>
    <w:rsid w:val="00892E75"/>
    <w:rsid w:val="00894125"/>
    <w:rsid w:val="0089453F"/>
    <w:rsid w:val="008950AB"/>
    <w:rsid w:val="0089532A"/>
    <w:rsid w:val="00895F68"/>
    <w:rsid w:val="00896FD1"/>
    <w:rsid w:val="008A5101"/>
    <w:rsid w:val="008A5550"/>
    <w:rsid w:val="008A5E5F"/>
    <w:rsid w:val="008A631F"/>
    <w:rsid w:val="008B0088"/>
    <w:rsid w:val="008B1AA3"/>
    <w:rsid w:val="008B36AD"/>
    <w:rsid w:val="008B415C"/>
    <w:rsid w:val="008B6A74"/>
    <w:rsid w:val="008B6DAD"/>
    <w:rsid w:val="008B7347"/>
    <w:rsid w:val="008C04BD"/>
    <w:rsid w:val="008C0773"/>
    <w:rsid w:val="008C080B"/>
    <w:rsid w:val="008C15A5"/>
    <w:rsid w:val="008C18B4"/>
    <w:rsid w:val="008C3363"/>
    <w:rsid w:val="008C4093"/>
    <w:rsid w:val="008C563E"/>
    <w:rsid w:val="008C5A94"/>
    <w:rsid w:val="008C6677"/>
    <w:rsid w:val="008C773A"/>
    <w:rsid w:val="008D021D"/>
    <w:rsid w:val="008D0439"/>
    <w:rsid w:val="008D0ADE"/>
    <w:rsid w:val="008D15D1"/>
    <w:rsid w:val="008D1900"/>
    <w:rsid w:val="008D203A"/>
    <w:rsid w:val="008D2FC0"/>
    <w:rsid w:val="008D3255"/>
    <w:rsid w:val="008D41A8"/>
    <w:rsid w:val="008D54E3"/>
    <w:rsid w:val="008D5927"/>
    <w:rsid w:val="008D67B3"/>
    <w:rsid w:val="008D6EC0"/>
    <w:rsid w:val="008D7628"/>
    <w:rsid w:val="008D76D0"/>
    <w:rsid w:val="008D7EEC"/>
    <w:rsid w:val="008D7F1C"/>
    <w:rsid w:val="008E29D8"/>
    <w:rsid w:val="008E347A"/>
    <w:rsid w:val="008E4525"/>
    <w:rsid w:val="008E4DFB"/>
    <w:rsid w:val="008E5034"/>
    <w:rsid w:val="008E52B8"/>
    <w:rsid w:val="008E6E6D"/>
    <w:rsid w:val="008F1AD2"/>
    <w:rsid w:val="008F3220"/>
    <w:rsid w:val="008F3D28"/>
    <w:rsid w:val="008F4BFF"/>
    <w:rsid w:val="008F4D65"/>
    <w:rsid w:val="008F52BC"/>
    <w:rsid w:val="008F5D91"/>
    <w:rsid w:val="008F6C83"/>
    <w:rsid w:val="008F6F79"/>
    <w:rsid w:val="009043A2"/>
    <w:rsid w:val="0090764D"/>
    <w:rsid w:val="00907F4D"/>
    <w:rsid w:val="009100C8"/>
    <w:rsid w:val="00911809"/>
    <w:rsid w:val="00912007"/>
    <w:rsid w:val="0091212B"/>
    <w:rsid w:val="00912572"/>
    <w:rsid w:val="0091276F"/>
    <w:rsid w:val="00912F31"/>
    <w:rsid w:val="009135E3"/>
    <w:rsid w:val="00914235"/>
    <w:rsid w:val="009142F2"/>
    <w:rsid w:val="00916122"/>
    <w:rsid w:val="009162B0"/>
    <w:rsid w:val="00916A32"/>
    <w:rsid w:val="00917FDA"/>
    <w:rsid w:val="00922A89"/>
    <w:rsid w:val="009234E3"/>
    <w:rsid w:val="0092441D"/>
    <w:rsid w:val="009257DC"/>
    <w:rsid w:val="009260A2"/>
    <w:rsid w:val="0092681C"/>
    <w:rsid w:val="00926B63"/>
    <w:rsid w:val="00927913"/>
    <w:rsid w:val="00927F21"/>
    <w:rsid w:val="009308D3"/>
    <w:rsid w:val="00931594"/>
    <w:rsid w:val="00931A8C"/>
    <w:rsid w:val="0093357D"/>
    <w:rsid w:val="00933A4B"/>
    <w:rsid w:val="00933F46"/>
    <w:rsid w:val="00934932"/>
    <w:rsid w:val="00934E6A"/>
    <w:rsid w:val="009350EE"/>
    <w:rsid w:val="00936E35"/>
    <w:rsid w:val="00937945"/>
    <w:rsid w:val="009379B6"/>
    <w:rsid w:val="00941E3E"/>
    <w:rsid w:val="009432EA"/>
    <w:rsid w:val="009442AA"/>
    <w:rsid w:val="00944423"/>
    <w:rsid w:val="00946528"/>
    <w:rsid w:val="00947CF3"/>
    <w:rsid w:val="009504CD"/>
    <w:rsid w:val="00950A91"/>
    <w:rsid w:val="00950F42"/>
    <w:rsid w:val="00951C8E"/>
    <w:rsid w:val="00952393"/>
    <w:rsid w:val="009527D3"/>
    <w:rsid w:val="0095376A"/>
    <w:rsid w:val="00953E62"/>
    <w:rsid w:val="0095549E"/>
    <w:rsid w:val="00957594"/>
    <w:rsid w:val="0095784C"/>
    <w:rsid w:val="009635E0"/>
    <w:rsid w:val="0096558D"/>
    <w:rsid w:val="00966CF4"/>
    <w:rsid w:val="0097026B"/>
    <w:rsid w:val="0097404C"/>
    <w:rsid w:val="00975028"/>
    <w:rsid w:val="009750FE"/>
    <w:rsid w:val="0097552B"/>
    <w:rsid w:val="00975C58"/>
    <w:rsid w:val="00975F90"/>
    <w:rsid w:val="00976A29"/>
    <w:rsid w:val="00976B82"/>
    <w:rsid w:val="0097747D"/>
    <w:rsid w:val="00977577"/>
    <w:rsid w:val="00977716"/>
    <w:rsid w:val="009809CD"/>
    <w:rsid w:val="00981809"/>
    <w:rsid w:val="00981C2A"/>
    <w:rsid w:val="00981C78"/>
    <w:rsid w:val="00981D4D"/>
    <w:rsid w:val="00982063"/>
    <w:rsid w:val="00990E7E"/>
    <w:rsid w:val="0099267E"/>
    <w:rsid w:val="00994CC0"/>
    <w:rsid w:val="00994FB5"/>
    <w:rsid w:val="009950DA"/>
    <w:rsid w:val="0099542B"/>
    <w:rsid w:val="00996448"/>
    <w:rsid w:val="009974C5"/>
    <w:rsid w:val="0099797D"/>
    <w:rsid w:val="00997B6A"/>
    <w:rsid w:val="009A095B"/>
    <w:rsid w:val="009A0C88"/>
    <w:rsid w:val="009A13DB"/>
    <w:rsid w:val="009A1BE6"/>
    <w:rsid w:val="009A33FC"/>
    <w:rsid w:val="009A3AF0"/>
    <w:rsid w:val="009A493B"/>
    <w:rsid w:val="009A5213"/>
    <w:rsid w:val="009A569A"/>
    <w:rsid w:val="009A770B"/>
    <w:rsid w:val="009A7CF4"/>
    <w:rsid w:val="009B022D"/>
    <w:rsid w:val="009B24F4"/>
    <w:rsid w:val="009B35EB"/>
    <w:rsid w:val="009B4C5C"/>
    <w:rsid w:val="009B542C"/>
    <w:rsid w:val="009B7CC4"/>
    <w:rsid w:val="009C0200"/>
    <w:rsid w:val="009C0A92"/>
    <w:rsid w:val="009C0A97"/>
    <w:rsid w:val="009C0FE8"/>
    <w:rsid w:val="009C10BA"/>
    <w:rsid w:val="009C2509"/>
    <w:rsid w:val="009C2C51"/>
    <w:rsid w:val="009C430A"/>
    <w:rsid w:val="009C7CF5"/>
    <w:rsid w:val="009D1A9E"/>
    <w:rsid w:val="009D2C19"/>
    <w:rsid w:val="009D4602"/>
    <w:rsid w:val="009D5F68"/>
    <w:rsid w:val="009D6BE9"/>
    <w:rsid w:val="009D7377"/>
    <w:rsid w:val="009E026B"/>
    <w:rsid w:val="009E0825"/>
    <w:rsid w:val="009E0B8E"/>
    <w:rsid w:val="009E11E2"/>
    <w:rsid w:val="009E24EF"/>
    <w:rsid w:val="009E45FF"/>
    <w:rsid w:val="009E5AC6"/>
    <w:rsid w:val="009F1A0D"/>
    <w:rsid w:val="009F1B9C"/>
    <w:rsid w:val="009F2079"/>
    <w:rsid w:val="009F3E80"/>
    <w:rsid w:val="009F4018"/>
    <w:rsid w:val="009F4582"/>
    <w:rsid w:val="009F566E"/>
    <w:rsid w:val="009F58F9"/>
    <w:rsid w:val="009F67E1"/>
    <w:rsid w:val="00A02A5F"/>
    <w:rsid w:val="00A03CE7"/>
    <w:rsid w:val="00A04463"/>
    <w:rsid w:val="00A066D3"/>
    <w:rsid w:val="00A06FDE"/>
    <w:rsid w:val="00A07A7B"/>
    <w:rsid w:val="00A07E03"/>
    <w:rsid w:val="00A10597"/>
    <w:rsid w:val="00A10B02"/>
    <w:rsid w:val="00A10BA4"/>
    <w:rsid w:val="00A10C47"/>
    <w:rsid w:val="00A1328C"/>
    <w:rsid w:val="00A13ABF"/>
    <w:rsid w:val="00A145C5"/>
    <w:rsid w:val="00A146AF"/>
    <w:rsid w:val="00A14C46"/>
    <w:rsid w:val="00A1562F"/>
    <w:rsid w:val="00A17869"/>
    <w:rsid w:val="00A17BE6"/>
    <w:rsid w:val="00A17F87"/>
    <w:rsid w:val="00A21B31"/>
    <w:rsid w:val="00A225AD"/>
    <w:rsid w:val="00A22918"/>
    <w:rsid w:val="00A255FD"/>
    <w:rsid w:val="00A26465"/>
    <w:rsid w:val="00A26A65"/>
    <w:rsid w:val="00A26D1F"/>
    <w:rsid w:val="00A30102"/>
    <w:rsid w:val="00A301A1"/>
    <w:rsid w:val="00A30748"/>
    <w:rsid w:val="00A3104E"/>
    <w:rsid w:val="00A334D9"/>
    <w:rsid w:val="00A33821"/>
    <w:rsid w:val="00A349C7"/>
    <w:rsid w:val="00A34A65"/>
    <w:rsid w:val="00A34AFE"/>
    <w:rsid w:val="00A35622"/>
    <w:rsid w:val="00A37930"/>
    <w:rsid w:val="00A37A00"/>
    <w:rsid w:val="00A408EB"/>
    <w:rsid w:val="00A4157A"/>
    <w:rsid w:val="00A41C90"/>
    <w:rsid w:val="00A427F3"/>
    <w:rsid w:val="00A429E0"/>
    <w:rsid w:val="00A45483"/>
    <w:rsid w:val="00A46013"/>
    <w:rsid w:val="00A46101"/>
    <w:rsid w:val="00A46218"/>
    <w:rsid w:val="00A47D22"/>
    <w:rsid w:val="00A50610"/>
    <w:rsid w:val="00A50611"/>
    <w:rsid w:val="00A52238"/>
    <w:rsid w:val="00A527FA"/>
    <w:rsid w:val="00A52C73"/>
    <w:rsid w:val="00A553C2"/>
    <w:rsid w:val="00A55750"/>
    <w:rsid w:val="00A55C34"/>
    <w:rsid w:val="00A56BB7"/>
    <w:rsid w:val="00A57171"/>
    <w:rsid w:val="00A602B5"/>
    <w:rsid w:val="00A60790"/>
    <w:rsid w:val="00A61A08"/>
    <w:rsid w:val="00A65247"/>
    <w:rsid w:val="00A6618A"/>
    <w:rsid w:val="00A672DC"/>
    <w:rsid w:val="00A67940"/>
    <w:rsid w:val="00A6799B"/>
    <w:rsid w:val="00A71F55"/>
    <w:rsid w:val="00A723D6"/>
    <w:rsid w:val="00A731E0"/>
    <w:rsid w:val="00A7479D"/>
    <w:rsid w:val="00A74A08"/>
    <w:rsid w:val="00A75624"/>
    <w:rsid w:val="00A76629"/>
    <w:rsid w:val="00A812A2"/>
    <w:rsid w:val="00A82AC0"/>
    <w:rsid w:val="00A83C5B"/>
    <w:rsid w:val="00A84068"/>
    <w:rsid w:val="00A85171"/>
    <w:rsid w:val="00A85791"/>
    <w:rsid w:val="00A85CB5"/>
    <w:rsid w:val="00A86480"/>
    <w:rsid w:val="00A8694A"/>
    <w:rsid w:val="00A9008B"/>
    <w:rsid w:val="00A92634"/>
    <w:rsid w:val="00A93584"/>
    <w:rsid w:val="00A96967"/>
    <w:rsid w:val="00A973C3"/>
    <w:rsid w:val="00A97C21"/>
    <w:rsid w:val="00AA12DB"/>
    <w:rsid w:val="00AA140E"/>
    <w:rsid w:val="00AA4015"/>
    <w:rsid w:val="00AA58CE"/>
    <w:rsid w:val="00AA5D61"/>
    <w:rsid w:val="00AA6003"/>
    <w:rsid w:val="00AA6A46"/>
    <w:rsid w:val="00AA7BB8"/>
    <w:rsid w:val="00AB1C6C"/>
    <w:rsid w:val="00AB2230"/>
    <w:rsid w:val="00AB40AE"/>
    <w:rsid w:val="00AB46F0"/>
    <w:rsid w:val="00AB489C"/>
    <w:rsid w:val="00AB4952"/>
    <w:rsid w:val="00AC0841"/>
    <w:rsid w:val="00AC1633"/>
    <w:rsid w:val="00AC17BC"/>
    <w:rsid w:val="00AC1A97"/>
    <w:rsid w:val="00AC21E6"/>
    <w:rsid w:val="00AC3D5F"/>
    <w:rsid w:val="00AC3FA6"/>
    <w:rsid w:val="00AC407E"/>
    <w:rsid w:val="00AC4590"/>
    <w:rsid w:val="00AC470E"/>
    <w:rsid w:val="00AC6ED9"/>
    <w:rsid w:val="00AD1496"/>
    <w:rsid w:val="00AD4116"/>
    <w:rsid w:val="00AD4D63"/>
    <w:rsid w:val="00AD4E65"/>
    <w:rsid w:val="00AD708F"/>
    <w:rsid w:val="00AE04CD"/>
    <w:rsid w:val="00AE163B"/>
    <w:rsid w:val="00AE1BB3"/>
    <w:rsid w:val="00AE3F80"/>
    <w:rsid w:val="00AE4DDE"/>
    <w:rsid w:val="00AE5339"/>
    <w:rsid w:val="00AE59D8"/>
    <w:rsid w:val="00AE70B5"/>
    <w:rsid w:val="00AE75F8"/>
    <w:rsid w:val="00AE7DAD"/>
    <w:rsid w:val="00AF2288"/>
    <w:rsid w:val="00AF3444"/>
    <w:rsid w:val="00AF7510"/>
    <w:rsid w:val="00B01B53"/>
    <w:rsid w:val="00B01BE9"/>
    <w:rsid w:val="00B01DD0"/>
    <w:rsid w:val="00B025C0"/>
    <w:rsid w:val="00B0328D"/>
    <w:rsid w:val="00B03339"/>
    <w:rsid w:val="00B05121"/>
    <w:rsid w:val="00B054DD"/>
    <w:rsid w:val="00B06964"/>
    <w:rsid w:val="00B12E91"/>
    <w:rsid w:val="00B148F8"/>
    <w:rsid w:val="00B14FEF"/>
    <w:rsid w:val="00B157FD"/>
    <w:rsid w:val="00B16044"/>
    <w:rsid w:val="00B168F2"/>
    <w:rsid w:val="00B1777E"/>
    <w:rsid w:val="00B20861"/>
    <w:rsid w:val="00B20CE8"/>
    <w:rsid w:val="00B215F5"/>
    <w:rsid w:val="00B21EAE"/>
    <w:rsid w:val="00B21F93"/>
    <w:rsid w:val="00B2216A"/>
    <w:rsid w:val="00B23DBD"/>
    <w:rsid w:val="00B23E63"/>
    <w:rsid w:val="00B23EF3"/>
    <w:rsid w:val="00B24AAB"/>
    <w:rsid w:val="00B25307"/>
    <w:rsid w:val="00B27B42"/>
    <w:rsid w:val="00B33769"/>
    <w:rsid w:val="00B34FB2"/>
    <w:rsid w:val="00B35E12"/>
    <w:rsid w:val="00B3643E"/>
    <w:rsid w:val="00B403D7"/>
    <w:rsid w:val="00B41857"/>
    <w:rsid w:val="00B4330C"/>
    <w:rsid w:val="00B43A33"/>
    <w:rsid w:val="00B43DA9"/>
    <w:rsid w:val="00B43F2C"/>
    <w:rsid w:val="00B45026"/>
    <w:rsid w:val="00B46A06"/>
    <w:rsid w:val="00B47040"/>
    <w:rsid w:val="00B4769C"/>
    <w:rsid w:val="00B47F5D"/>
    <w:rsid w:val="00B509BC"/>
    <w:rsid w:val="00B527FF"/>
    <w:rsid w:val="00B537CE"/>
    <w:rsid w:val="00B54FE0"/>
    <w:rsid w:val="00B5515B"/>
    <w:rsid w:val="00B577AD"/>
    <w:rsid w:val="00B601EC"/>
    <w:rsid w:val="00B602C2"/>
    <w:rsid w:val="00B60D1F"/>
    <w:rsid w:val="00B60E08"/>
    <w:rsid w:val="00B62C8C"/>
    <w:rsid w:val="00B637B6"/>
    <w:rsid w:val="00B64891"/>
    <w:rsid w:val="00B64E06"/>
    <w:rsid w:val="00B65FC2"/>
    <w:rsid w:val="00B67500"/>
    <w:rsid w:val="00B70B9A"/>
    <w:rsid w:val="00B717DE"/>
    <w:rsid w:val="00B720B2"/>
    <w:rsid w:val="00B72750"/>
    <w:rsid w:val="00B73EE2"/>
    <w:rsid w:val="00B747D3"/>
    <w:rsid w:val="00B748FC"/>
    <w:rsid w:val="00B75205"/>
    <w:rsid w:val="00B752F2"/>
    <w:rsid w:val="00B76E12"/>
    <w:rsid w:val="00B76F1E"/>
    <w:rsid w:val="00B77302"/>
    <w:rsid w:val="00B81959"/>
    <w:rsid w:val="00B826CF"/>
    <w:rsid w:val="00B82B49"/>
    <w:rsid w:val="00B84632"/>
    <w:rsid w:val="00B85940"/>
    <w:rsid w:val="00B85AF0"/>
    <w:rsid w:val="00B85ECA"/>
    <w:rsid w:val="00B87159"/>
    <w:rsid w:val="00B92F36"/>
    <w:rsid w:val="00B938E7"/>
    <w:rsid w:val="00B94E2F"/>
    <w:rsid w:val="00B9521C"/>
    <w:rsid w:val="00B95467"/>
    <w:rsid w:val="00B95A98"/>
    <w:rsid w:val="00B961F5"/>
    <w:rsid w:val="00B976B9"/>
    <w:rsid w:val="00B9784F"/>
    <w:rsid w:val="00BA02E0"/>
    <w:rsid w:val="00BA191A"/>
    <w:rsid w:val="00BA1D2D"/>
    <w:rsid w:val="00BA2214"/>
    <w:rsid w:val="00BA3534"/>
    <w:rsid w:val="00BA35F8"/>
    <w:rsid w:val="00BA4E68"/>
    <w:rsid w:val="00BA534E"/>
    <w:rsid w:val="00BA58E5"/>
    <w:rsid w:val="00BA6A4A"/>
    <w:rsid w:val="00BB04F7"/>
    <w:rsid w:val="00BB0FC5"/>
    <w:rsid w:val="00BB150D"/>
    <w:rsid w:val="00BB23CA"/>
    <w:rsid w:val="00BB39D3"/>
    <w:rsid w:val="00BB42B0"/>
    <w:rsid w:val="00BB4B62"/>
    <w:rsid w:val="00BB5435"/>
    <w:rsid w:val="00BB6516"/>
    <w:rsid w:val="00BB75EB"/>
    <w:rsid w:val="00BC08C2"/>
    <w:rsid w:val="00BC4F78"/>
    <w:rsid w:val="00BC6599"/>
    <w:rsid w:val="00BD0488"/>
    <w:rsid w:val="00BD0ED6"/>
    <w:rsid w:val="00BD1039"/>
    <w:rsid w:val="00BD1D27"/>
    <w:rsid w:val="00BD2C2E"/>
    <w:rsid w:val="00BD34CE"/>
    <w:rsid w:val="00BD3EE3"/>
    <w:rsid w:val="00BD557A"/>
    <w:rsid w:val="00BD6A31"/>
    <w:rsid w:val="00BD73F7"/>
    <w:rsid w:val="00BE14BE"/>
    <w:rsid w:val="00BE18BC"/>
    <w:rsid w:val="00BE5738"/>
    <w:rsid w:val="00BE60D9"/>
    <w:rsid w:val="00BE70E7"/>
    <w:rsid w:val="00BE70EC"/>
    <w:rsid w:val="00BF1577"/>
    <w:rsid w:val="00BF292E"/>
    <w:rsid w:val="00BF2A45"/>
    <w:rsid w:val="00BF51E6"/>
    <w:rsid w:val="00BF7318"/>
    <w:rsid w:val="00C018F6"/>
    <w:rsid w:val="00C01FB5"/>
    <w:rsid w:val="00C0245A"/>
    <w:rsid w:val="00C02780"/>
    <w:rsid w:val="00C02B86"/>
    <w:rsid w:val="00C03037"/>
    <w:rsid w:val="00C03112"/>
    <w:rsid w:val="00C0393C"/>
    <w:rsid w:val="00C04D8F"/>
    <w:rsid w:val="00C05A5E"/>
    <w:rsid w:val="00C07A37"/>
    <w:rsid w:val="00C07B25"/>
    <w:rsid w:val="00C07F30"/>
    <w:rsid w:val="00C11065"/>
    <w:rsid w:val="00C11EEA"/>
    <w:rsid w:val="00C151C8"/>
    <w:rsid w:val="00C217AA"/>
    <w:rsid w:val="00C220BE"/>
    <w:rsid w:val="00C225AA"/>
    <w:rsid w:val="00C22C27"/>
    <w:rsid w:val="00C22CA3"/>
    <w:rsid w:val="00C230B9"/>
    <w:rsid w:val="00C23531"/>
    <w:rsid w:val="00C241B5"/>
    <w:rsid w:val="00C24B84"/>
    <w:rsid w:val="00C24F8D"/>
    <w:rsid w:val="00C304E3"/>
    <w:rsid w:val="00C320AE"/>
    <w:rsid w:val="00C332D2"/>
    <w:rsid w:val="00C3394C"/>
    <w:rsid w:val="00C33B38"/>
    <w:rsid w:val="00C34EC6"/>
    <w:rsid w:val="00C34F64"/>
    <w:rsid w:val="00C35D19"/>
    <w:rsid w:val="00C35D68"/>
    <w:rsid w:val="00C35E35"/>
    <w:rsid w:val="00C367FA"/>
    <w:rsid w:val="00C3717C"/>
    <w:rsid w:val="00C40573"/>
    <w:rsid w:val="00C413EA"/>
    <w:rsid w:val="00C419E5"/>
    <w:rsid w:val="00C42A85"/>
    <w:rsid w:val="00C44286"/>
    <w:rsid w:val="00C44B0B"/>
    <w:rsid w:val="00C44FD7"/>
    <w:rsid w:val="00C46401"/>
    <w:rsid w:val="00C46C1B"/>
    <w:rsid w:val="00C473CD"/>
    <w:rsid w:val="00C5051B"/>
    <w:rsid w:val="00C50D6F"/>
    <w:rsid w:val="00C513F8"/>
    <w:rsid w:val="00C51932"/>
    <w:rsid w:val="00C53BEA"/>
    <w:rsid w:val="00C53CA9"/>
    <w:rsid w:val="00C572DE"/>
    <w:rsid w:val="00C579B0"/>
    <w:rsid w:val="00C60C93"/>
    <w:rsid w:val="00C61A54"/>
    <w:rsid w:val="00C62F58"/>
    <w:rsid w:val="00C64271"/>
    <w:rsid w:val="00C643DD"/>
    <w:rsid w:val="00C64E95"/>
    <w:rsid w:val="00C65605"/>
    <w:rsid w:val="00C669B1"/>
    <w:rsid w:val="00C67297"/>
    <w:rsid w:val="00C7111C"/>
    <w:rsid w:val="00C741B9"/>
    <w:rsid w:val="00C74382"/>
    <w:rsid w:val="00C7447C"/>
    <w:rsid w:val="00C74755"/>
    <w:rsid w:val="00C76328"/>
    <w:rsid w:val="00C773AD"/>
    <w:rsid w:val="00C77EC5"/>
    <w:rsid w:val="00C80280"/>
    <w:rsid w:val="00C804CC"/>
    <w:rsid w:val="00C80D30"/>
    <w:rsid w:val="00C81708"/>
    <w:rsid w:val="00C8263A"/>
    <w:rsid w:val="00C83520"/>
    <w:rsid w:val="00C836FF"/>
    <w:rsid w:val="00C84231"/>
    <w:rsid w:val="00C84F4B"/>
    <w:rsid w:val="00C853A2"/>
    <w:rsid w:val="00C85B7F"/>
    <w:rsid w:val="00C86A5E"/>
    <w:rsid w:val="00C8746B"/>
    <w:rsid w:val="00C879BD"/>
    <w:rsid w:val="00C87EE2"/>
    <w:rsid w:val="00C900AE"/>
    <w:rsid w:val="00C90761"/>
    <w:rsid w:val="00C93B1D"/>
    <w:rsid w:val="00C944E6"/>
    <w:rsid w:val="00C9555F"/>
    <w:rsid w:val="00C95586"/>
    <w:rsid w:val="00C967A9"/>
    <w:rsid w:val="00C9682F"/>
    <w:rsid w:val="00C9744E"/>
    <w:rsid w:val="00C97923"/>
    <w:rsid w:val="00CA1894"/>
    <w:rsid w:val="00CA36D2"/>
    <w:rsid w:val="00CA5400"/>
    <w:rsid w:val="00CA775D"/>
    <w:rsid w:val="00CA7CCE"/>
    <w:rsid w:val="00CB061A"/>
    <w:rsid w:val="00CB23C5"/>
    <w:rsid w:val="00CB269F"/>
    <w:rsid w:val="00CB3178"/>
    <w:rsid w:val="00CB3A24"/>
    <w:rsid w:val="00CB4D9B"/>
    <w:rsid w:val="00CB4EE8"/>
    <w:rsid w:val="00CB5E2A"/>
    <w:rsid w:val="00CB6834"/>
    <w:rsid w:val="00CB6A3F"/>
    <w:rsid w:val="00CB77B3"/>
    <w:rsid w:val="00CB78AF"/>
    <w:rsid w:val="00CC12DF"/>
    <w:rsid w:val="00CC2C8D"/>
    <w:rsid w:val="00CC2F1D"/>
    <w:rsid w:val="00CC3B93"/>
    <w:rsid w:val="00CC4225"/>
    <w:rsid w:val="00CC43E2"/>
    <w:rsid w:val="00CC4C3A"/>
    <w:rsid w:val="00CC6648"/>
    <w:rsid w:val="00CC7354"/>
    <w:rsid w:val="00CD0B39"/>
    <w:rsid w:val="00CD0E08"/>
    <w:rsid w:val="00CD1DD5"/>
    <w:rsid w:val="00CD3AC5"/>
    <w:rsid w:val="00CD53BE"/>
    <w:rsid w:val="00CD556D"/>
    <w:rsid w:val="00CD59F7"/>
    <w:rsid w:val="00CD739B"/>
    <w:rsid w:val="00CD751D"/>
    <w:rsid w:val="00CE0050"/>
    <w:rsid w:val="00CE0074"/>
    <w:rsid w:val="00CE05B2"/>
    <w:rsid w:val="00CE0EAD"/>
    <w:rsid w:val="00CE1E67"/>
    <w:rsid w:val="00CE4545"/>
    <w:rsid w:val="00CE5457"/>
    <w:rsid w:val="00CE5957"/>
    <w:rsid w:val="00CE5A76"/>
    <w:rsid w:val="00CE5A90"/>
    <w:rsid w:val="00CE625B"/>
    <w:rsid w:val="00CE672E"/>
    <w:rsid w:val="00CE73D1"/>
    <w:rsid w:val="00CF2218"/>
    <w:rsid w:val="00CF2673"/>
    <w:rsid w:val="00CF376C"/>
    <w:rsid w:val="00CF4543"/>
    <w:rsid w:val="00CF45B8"/>
    <w:rsid w:val="00CF6F14"/>
    <w:rsid w:val="00D00686"/>
    <w:rsid w:val="00D00702"/>
    <w:rsid w:val="00D00809"/>
    <w:rsid w:val="00D04B0B"/>
    <w:rsid w:val="00D05851"/>
    <w:rsid w:val="00D0589B"/>
    <w:rsid w:val="00D06A3F"/>
    <w:rsid w:val="00D07B3E"/>
    <w:rsid w:val="00D1010A"/>
    <w:rsid w:val="00D13E2E"/>
    <w:rsid w:val="00D1455C"/>
    <w:rsid w:val="00D15880"/>
    <w:rsid w:val="00D16180"/>
    <w:rsid w:val="00D16312"/>
    <w:rsid w:val="00D17008"/>
    <w:rsid w:val="00D17071"/>
    <w:rsid w:val="00D17D5F"/>
    <w:rsid w:val="00D202DE"/>
    <w:rsid w:val="00D2127F"/>
    <w:rsid w:val="00D222C7"/>
    <w:rsid w:val="00D23241"/>
    <w:rsid w:val="00D247BD"/>
    <w:rsid w:val="00D24A84"/>
    <w:rsid w:val="00D24CDB"/>
    <w:rsid w:val="00D26FC5"/>
    <w:rsid w:val="00D30DC6"/>
    <w:rsid w:val="00D32916"/>
    <w:rsid w:val="00D33059"/>
    <w:rsid w:val="00D378A7"/>
    <w:rsid w:val="00D40B09"/>
    <w:rsid w:val="00D419FF"/>
    <w:rsid w:val="00D424A7"/>
    <w:rsid w:val="00D427C8"/>
    <w:rsid w:val="00D42C0A"/>
    <w:rsid w:val="00D43181"/>
    <w:rsid w:val="00D44068"/>
    <w:rsid w:val="00D447EC"/>
    <w:rsid w:val="00D46A97"/>
    <w:rsid w:val="00D509F1"/>
    <w:rsid w:val="00D50BCB"/>
    <w:rsid w:val="00D53774"/>
    <w:rsid w:val="00D53E8D"/>
    <w:rsid w:val="00D54C66"/>
    <w:rsid w:val="00D553AF"/>
    <w:rsid w:val="00D56670"/>
    <w:rsid w:val="00D57450"/>
    <w:rsid w:val="00D575DD"/>
    <w:rsid w:val="00D57A5C"/>
    <w:rsid w:val="00D6053C"/>
    <w:rsid w:val="00D613BD"/>
    <w:rsid w:val="00D6341A"/>
    <w:rsid w:val="00D64B75"/>
    <w:rsid w:val="00D652D6"/>
    <w:rsid w:val="00D66D5C"/>
    <w:rsid w:val="00D674A2"/>
    <w:rsid w:val="00D67EA1"/>
    <w:rsid w:val="00D736F2"/>
    <w:rsid w:val="00D744F8"/>
    <w:rsid w:val="00D746B7"/>
    <w:rsid w:val="00D74C7F"/>
    <w:rsid w:val="00D75513"/>
    <w:rsid w:val="00D755B5"/>
    <w:rsid w:val="00D758D0"/>
    <w:rsid w:val="00D75E0B"/>
    <w:rsid w:val="00D76FD4"/>
    <w:rsid w:val="00D778B5"/>
    <w:rsid w:val="00D80686"/>
    <w:rsid w:val="00D81872"/>
    <w:rsid w:val="00D82D7E"/>
    <w:rsid w:val="00D840DE"/>
    <w:rsid w:val="00D85580"/>
    <w:rsid w:val="00D863EB"/>
    <w:rsid w:val="00D901A2"/>
    <w:rsid w:val="00D9047B"/>
    <w:rsid w:val="00D9069C"/>
    <w:rsid w:val="00D9196C"/>
    <w:rsid w:val="00D9232E"/>
    <w:rsid w:val="00D9238E"/>
    <w:rsid w:val="00D92D16"/>
    <w:rsid w:val="00D92DEB"/>
    <w:rsid w:val="00D94D32"/>
    <w:rsid w:val="00D9571E"/>
    <w:rsid w:val="00D95935"/>
    <w:rsid w:val="00D95FFB"/>
    <w:rsid w:val="00D96E78"/>
    <w:rsid w:val="00D96FEC"/>
    <w:rsid w:val="00D97495"/>
    <w:rsid w:val="00DA103D"/>
    <w:rsid w:val="00DA1615"/>
    <w:rsid w:val="00DA478B"/>
    <w:rsid w:val="00DA4966"/>
    <w:rsid w:val="00DA4B18"/>
    <w:rsid w:val="00DA5D0A"/>
    <w:rsid w:val="00DA68F9"/>
    <w:rsid w:val="00DA6BDF"/>
    <w:rsid w:val="00DA76BE"/>
    <w:rsid w:val="00DB1BED"/>
    <w:rsid w:val="00DB3449"/>
    <w:rsid w:val="00DB4F6A"/>
    <w:rsid w:val="00DB5061"/>
    <w:rsid w:val="00DB5A00"/>
    <w:rsid w:val="00DB6235"/>
    <w:rsid w:val="00DC123E"/>
    <w:rsid w:val="00DC1EC5"/>
    <w:rsid w:val="00DC211B"/>
    <w:rsid w:val="00DC3370"/>
    <w:rsid w:val="00DC52FD"/>
    <w:rsid w:val="00DC5D92"/>
    <w:rsid w:val="00DC6C8B"/>
    <w:rsid w:val="00DC730E"/>
    <w:rsid w:val="00DC7949"/>
    <w:rsid w:val="00DD19B6"/>
    <w:rsid w:val="00DD1EAB"/>
    <w:rsid w:val="00DD2696"/>
    <w:rsid w:val="00DD540A"/>
    <w:rsid w:val="00DD55E3"/>
    <w:rsid w:val="00DD6095"/>
    <w:rsid w:val="00DE0024"/>
    <w:rsid w:val="00DE0BE8"/>
    <w:rsid w:val="00DE17CA"/>
    <w:rsid w:val="00DE2726"/>
    <w:rsid w:val="00DE2E11"/>
    <w:rsid w:val="00DE4766"/>
    <w:rsid w:val="00DE5C89"/>
    <w:rsid w:val="00DE70FC"/>
    <w:rsid w:val="00DE79F7"/>
    <w:rsid w:val="00DF0346"/>
    <w:rsid w:val="00DF05F9"/>
    <w:rsid w:val="00DF0BB6"/>
    <w:rsid w:val="00DF237E"/>
    <w:rsid w:val="00DF3DDA"/>
    <w:rsid w:val="00DF40F4"/>
    <w:rsid w:val="00DF495F"/>
    <w:rsid w:val="00DF756C"/>
    <w:rsid w:val="00DF78EC"/>
    <w:rsid w:val="00E007AB"/>
    <w:rsid w:val="00E00BEA"/>
    <w:rsid w:val="00E00C74"/>
    <w:rsid w:val="00E010BD"/>
    <w:rsid w:val="00E0159E"/>
    <w:rsid w:val="00E01A13"/>
    <w:rsid w:val="00E01E5D"/>
    <w:rsid w:val="00E0281D"/>
    <w:rsid w:val="00E031E0"/>
    <w:rsid w:val="00E04B1A"/>
    <w:rsid w:val="00E060E3"/>
    <w:rsid w:val="00E1097A"/>
    <w:rsid w:val="00E10EDF"/>
    <w:rsid w:val="00E10F06"/>
    <w:rsid w:val="00E11294"/>
    <w:rsid w:val="00E112B6"/>
    <w:rsid w:val="00E11680"/>
    <w:rsid w:val="00E13226"/>
    <w:rsid w:val="00E14706"/>
    <w:rsid w:val="00E15926"/>
    <w:rsid w:val="00E17A8E"/>
    <w:rsid w:val="00E20B67"/>
    <w:rsid w:val="00E220ED"/>
    <w:rsid w:val="00E22949"/>
    <w:rsid w:val="00E22A20"/>
    <w:rsid w:val="00E23B2D"/>
    <w:rsid w:val="00E25CCE"/>
    <w:rsid w:val="00E2794D"/>
    <w:rsid w:val="00E3096C"/>
    <w:rsid w:val="00E36BA5"/>
    <w:rsid w:val="00E37936"/>
    <w:rsid w:val="00E408CF"/>
    <w:rsid w:val="00E41923"/>
    <w:rsid w:val="00E41A3F"/>
    <w:rsid w:val="00E43CA0"/>
    <w:rsid w:val="00E441AE"/>
    <w:rsid w:val="00E44C6F"/>
    <w:rsid w:val="00E45EC1"/>
    <w:rsid w:val="00E463A9"/>
    <w:rsid w:val="00E465E8"/>
    <w:rsid w:val="00E46AAD"/>
    <w:rsid w:val="00E50F1D"/>
    <w:rsid w:val="00E51925"/>
    <w:rsid w:val="00E51A42"/>
    <w:rsid w:val="00E51AEA"/>
    <w:rsid w:val="00E51E97"/>
    <w:rsid w:val="00E52AC1"/>
    <w:rsid w:val="00E53608"/>
    <w:rsid w:val="00E54F53"/>
    <w:rsid w:val="00E55D21"/>
    <w:rsid w:val="00E60EE0"/>
    <w:rsid w:val="00E61B0F"/>
    <w:rsid w:val="00E62D9A"/>
    <w:rsid w:val="00E63FE4"/>
    <w:rsid w:val="00E647E4"/>
    <w:rsid w:val="00E656D4"/>
    <w:rsid w:val="00E65D34"/>
    <w:rsid w:val="00E66892"/>
    <w:rsid w:val="00E72DB8"/>
    <w:rsid w:val="00E74AE4"/>
    <w:rsid w:val="00E74D09"/>
    <w:rsid w:val="00E752C0"/>
    <w:rsid w:val="00E75563"/>
    <w:rsid w:val="00E7581B"/>
    <w:rsid w:val="00E7605E"/>
    <w:rsid w:val="00E760B9"/>
    <w:rsid w:val="00E77AE6"/>
    <w:rsid w:val="00E77DA3"/>
    <w:rsid w:val="00E82416"/>
    <w:rsid w:val="00E82BC9"/>
    <w:rsid w:val="00E82F0D"/>
    <w:rsid w:val="00E86672"/>
    <w:rsid w:val="00E90F8E"/>
    <w:rsid w:val="00E91D64"/>
    <w:rsid w:val="00E93A23"/>
    <w:rsid w:val="00E946D4"/>
    <w:rsid w:val="00E94B1B"/>
    <w:rsid w:val="00E96547"/>
    <w:rsid w:val="00EA1C0D"/>
    <w:rsid w:val="00EA20C7"/>
    <w:rsid w:val="00EA343E"/>
    <w:rsid w:val="00EA3779"/>
    <w:rsid w:val="00EA3DF1"/>
    <w:rsid w:val="00EA444C"/>
    <w:rsid w:val="00EA57FE"/>
    <w:rsid w:val="00EA5AE2"/>
    <w:rsid w:val="00EA651D"/>
    <w:rsid w:val="00EB0144"/>
    <w:rsid w:val="00EB058D"/>
    <w:rsid w:val="00EB14B9"/>
    <w:rsid w:val="00EB4EF6"/>
    <w:rsid w:val="00EB5F92"/>
    <w:rsid w:val="00EB63C9"/>
    <w:rsid w:val="00EB7775"/>
    <w:rsid w:val="00EC0D64"/>
    <w:rsid w:val="00EC1773"/>
    <w:rsid w:val="00EC3B44"/>
    <w:rsid w:val="00EC6BE5"/>
    <w:rsid w:val="00EC7DEF"/>
    <w:rsid w:val="00ED0204"/>
    <w:rsid w:val="00ED2906"/>
    <w:rsid w:val="00ED3744"/>
    <w:rsid w:val="00ED7812"/>
    <w:rsid w:val="00ED79AE"/>
    <w:rsid w:val="00EE0629"/>
    <w:rsid w:val="00EE09CD"/>
    <w:rsid w:val="00EE13D4"/>
    <w:rsid w:val="00EE19A9"/>
    <w:rsid w:val="00EE5080"/>
    <w:rsid w:val="00EE56C2"/>
    <w:rsid w:val="00EE5EE7"/>
    <w:rsid w:val="00EE6C11"/>
    <w:rsid w:val="00EE7226"/>
    <w:rsid w:val="00EF06EF"/>
    <w:rsid w:val="00EF0D5D"/>
    <w:rsid w:val="00EF1BEF"/>
    <w:rsid w:val="00EF245A"/>
    <w:rsid w:val="00EF25AC"/>
    <w:rsid w:val="00EF3CA5"/>
    <w:rsid w:val="00EF3DA8"/>
    <w:rsid w:val="00EF42A3"/>
    <w:rsid w:val="00EF6A25"/>
    <w:rsid w:val="00F016D2"/>
    <w:rsid w:val="00F01E07"/>
    <w:rsid w:val="00F03ED6"/>
    <w:rsid w:val="00F04C1B"/>
    <w:rsid w:val="00F055F0"/>
    <w:rsid w:val="00F05E5C"/>
    <w:rsid w:val="00F05FD4"/>
    <w:rsid w:val="00F1112F"/>
    <w:rsid w:val="00F11FD7"/>
    <w:rsid w:val="00F12E2F"/>
    <w:rsid w:val="00F12EB8"/>
    <w:rsid w:val="00F13475"/>
    <w:rsid w:val="00F16AEB"/>
    <w:rsid w:val="00F16E4F"/>
    <w:rsid w:val="00F17721"/>
    <w:rsid w:val="00F17A0B"/>
    <w:rsid w:val="00F17F17"/>
    <w:rsid w:val="00F20F4C"/>
    <w:rsid w:val="00F21C51"/>
    <w:rsid w:val="00F22187"/>
    <w:rsid w:val="00F22565"/>
    <w:rsid w:val="00F22E85"/>
    <w:rsid w:val="00F25378"/>
    <w:rsid w:val="00F270DA"/>
    <w:rsid w:val="00F30731"/>
    <w:rsid w:val="00F32380"/>
    <w:rsid w:val="00F32A7D"/>
    <w:rsid w:val="00F3562E"/>
    <w:rsid w:val="00F365EC"/>
    <w:rsid w:val="00F37279"/>
    <w:rsid w:val="00F419E1"/>
    <w:rsid w:val="00F43EFD"/>
    <w:rsid w:val="00F456BC"/>
    <w:rsid w:val="00F45BD1"/>
    <w:rsid w:val="00F45EBF"/>
    <w:rsid w:val="00F465B1"/>
    <w:rsid w:val="00F46804"/>
    <w:rsid w:val="00F46C12"/>
    <w:rsid w:val="00F506E1"/>
    <w:rsid w:val="00F52C8C"/>
    <w:rsid w:val="00F53800"/>
    <w:rsid w:val="00F56209"/>
    <w:rsid w:val="00F565B3"/>
    <w:rsid w:val="00F570FD"/>
    <w:rsid w:val="00F621CD"/>
    <w:rsid w:val="00F622E4"/>
    <w:rsid w:val="00F65C28"/>
    <w:rsid w:val="00F70873"/>
    <w:rsid w:val="00F714A0"/>
    <w:rsid w:val="00F719E7"/>
    <w:rsid w:val="00F71E89"/>
    <w:rsid w:val="00F72C00"/>
    <w:rsid w:val="00F73BBC"/>
    <w:rsid w:val="00F74302"/>
    <w:rsid w:val="00F7517B"/>
    <w:rsid w:val="00F762CF"/>
    <w:rsid w:val="00F76C27"/>
    <w:rsid w:val="00F76C40"/>
    <w:rsid w:val="00F77061"/>
    <w:rsid w:val="00F772C8"/>
    <w:rsid w:val="00F80621"/>
    <w:rsid w:val="00F81051"/>
    <w:rsid w:val="00F821CE"/>
    <w:rsid w:val="00F82CD0"/>
    <w:rsid w:val="00F837EF"/>
    <w:rsid w:val="00F83A36"/>
    <w:rsid w:val="00F8421F"/>
    <w:rsid w:val="00F845CC"/>
    <w:rsid w:val="00F848F1"/>
    <w:rsid w:val="00F85005"/>
    <w:rsid w:val="00F863B3"/>
    <w:rsid w:val="00F87896"/>
    <w:rsid w:val="00F90A4B"/>
    <w:rsid w:val="00F933B0"/>
    <w:rsid w:val="00F93568"/>
    <w:rsid w:val="00F9362E"/>
    <w:rsid w:val="00F93AD2"/>
    <w:rsid w:val="00F94BE0"/>
    <w:rsid w:val="00F96275"/>
    <w:rsid w:val="00F96B93"/>
    <w:rsid w:val="00F97A26"/>
    <w:rsid w:val="00FA2544"/>
    <w:rsid w:val="00FA2A0F"/>
    <w:rsid w:val="00FA38E2"/>
    <w:rsid w:val="00FA52BD"/>
    <w:rsid w:val="00FA5359"/>
    <w:rsid w:val="00FB2496"/>
    <w:rsid w:val="00FB35EC"/>
    <w:rsid w:val="00FB4FEC"/>
    <w:rsid w:val="00FB5902"/>
    <w:rsid w:val="00FB66C9"/>
    <w:rsid w:val="00FB710B"/>
    <w:rsid w:val="00FC0020"/>
    <w:rsid w:val="00FC0464"/>
    <w:rsid w:val="00FC091B"/>
    <w:rsid w:val="00FC2267"/>
    <w:rsid w:val="00FC391C"/>
    <w:rsid w:val="00FC4250"/>
    <w:rsid w:val="00FD012E"/>
    <w:rsid w:val="00FD13D8"/>
    <w:rsid w:val="00FD2289"/>
    <w:rsid w:val="00FD2828"/>
    <w:rsid w:val="00FD33C6"/>
    <w:rsid w:val="00FD42D6"/>
    <w:rsid w:val="00FD4839"/>
    <w:rsid w:val="00FD521C"/>
    <w:rsid w:val="00FD6EFF"/>
    <w:rsid w:val="00FD71B9"/>
    <w:rsid w:val="00FD73FA"/>
    <w:rsid w:val="00FE0CBA"/>
    <w:rsid w:val="00FE46D2"/>
    <w:rsid w:val="00FE698F"/>
    <w:rsid w:val="00FE6EF9"/>
    <w:rsid w:val="00FE7868"/>
    <w:rsid w:val="00FE79CE"/>
    <w:rsid w:val="00FF0299"/>
    <w:rsid w:val="00FF1209"/>
    <w:rsid w:val="00FF1A65"/>
    <w:rsid w:val="00FF305A"/>
    <w:rsid w:val="00FF3D15"/>
    <w:rsid w:val="00FF73B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trackRevisions w:val="false"/>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FEE"/>
  </w:style>
  <w:style w:type="paragraph" w:styleId="Heading1">
    <w:name w:val="heading 1"/>
    <w:basedOn w:val="Normal"/>
    <w:next w:val="Normal"/>
    <w:link w:val="Heading1Char"/>
    <w:uiPriority w:val="9"/>
    <w:qFormat/>
    <w:rsid w:val="00E112B6"/>
    <w:pPr>
      <w:keepNext/>
      <w:keepLines/>
      <w:spacing w:before="480" w:after="240"/>
      <w:jc w:val="center"/>
      <w:outlineLvl w:val="0"/>
    </w:pPr>
    <w:rPr>
      <w:rFonts w:ascii="Times New Roman" w:eastAsia="Times New Roman" w:hAnsi="Times New Roman" w:cs="Times New Roman"/>
      <w:b/>
      <w:sz w:val="24"/>
      <w:szCs w:val="32"/>
    </w:rPr>
  </w:style>
  <w:style w:type="paragraph" w:styleId="Heading2">
    <w:name w:val="heading 2"/>
    <w:basedOn w:val="Normal"/>
    <w:next w:val="Normal"/>
    <w:link w:val="Heading2Char"/>
    <w:uiPriority w:val="9"/>
    <w:unhideWhenUsed/>
    <w:qFormat/>
    <w:rsid w:val="00C03112"/>
    <w:pPr>
      <w:keepNext/>
      <w:keepLines/>
      <w:spacing w:before="40" w:after="0"/>
      <w:outlineLvl w:val="1"/>
    </w:pPr>
    <w:rPr>
      <w:rFonts w:ascii="Times New Roman" w:eastAsia="Times New Roman" w:hAnsi="Times New Roman" w:cs="Times New Roman"/>
      <w:b/>
      <w:sz w:val="24"/>
      <w:szCs w:val="26"/>
    </w:rPr>
  </w:style>
  <w:style w:type="paragraph" w:styleId="Heading3">
    <w:name w:val="heading 3"/>
    <w:basedOn w:val="Normal"/>
    <w:next w:val="Normal"/>
    <w:link w:val="Heading3Char"/>
    <w:uiPriority w:val="9"/>
    <w:unhideWhenUsed/>
    <w:qFormat/>
    <w:rsid w:val="00C03112"/>
    <w:pPr>
      <w:keepNext/>
      <w:keepLines/>
      <w:spacing w:before="40" w:after="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CB78A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90E7E"/>
    <w:pPr>
      <w:spacing w:line="256" w:lineRule="auto"/>
      <w:ind w:left="720"/>
      <w:contextualSpacing/>
    </w:pPr>
    <w:rPr>
      <w:lang w:val="en-GB"/>
    </w:rPr>
  </w:style>
  <w:style w:type="table" w:styleId="TableGrid">
    <w:name w:val="Table Grid"/>
    <w:basedOn w:val="TableNormal"/>
    <w:uiPriority w:val="59"/>
    <w:rsid w:val="003E30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683A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3A1C"/>
  </w:style>
  <w:style w:type="paragraph" w:styleId="Footer">
    <w:name w:val="footer"/>
    <w:basedOn w:val="Normal"/>
    <w:link w:val="FooterChar"/>
    <w:uiPriority w:val="99"/>
    <w:unhideWhenUsed/>
    <w:rsid w:val="00683A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3A1C"/>
  </w:style>
  <w:style w:type="paragraph" w:customStyle="1" w:styleId="Heading11">
    <w:name w:val="Heading 11"/>
    <w:basedOn w:val="Normal"/>
    <w:next w:val="Normal"/>
    <w:uiPriority w:val="9"/>
    <w:rsid w:val="00462FA7"/>
    <w:pPr>
      <w:keepNext/>
      <w:keepLines/>
      <w:numPr>
        <w:numId w:val="7"/>
      </w:numPr>
      <w:tabs>
        <w:tab w:val="clear" w:pos="720"/>
      </w:tabs>
      <w:spacing w:before="240" w:after="0"/>
      <w:ind w:hanging="360"/>
      <w:outlineLvl w:val="0"/>
    </w:pPr>
    <w:rPr>
      <w:rFonts w:ascii="Calibri Light" w:eastAsia="Times New Roman" w:hAnsi="Calibri Light" w:cs="Times New Roman"/>
      <w:color w:val="2F5496"/>
      <w:sz w:val="32"/>
      <w:szCs w:val="32"/>
      <w:lang w:val="en-GB"/>
    </w:rPr>
  </w:style>
  <w:style w:type="paragraph" w:customStyle="1" w:styleId="Heading21">
    <w:name w:val="Heading 21"/>
    <w:basedOn w:val="Normal"/>
    <w:next w:val="Normal"/>
    <w:uiPriority w:val="9"/>
    <w:semiHidden/>
    <w:unhideWhenUsed/>
    <w:qFormat/>
    <w:rsid w:val="00462FA7"/>
    <w:pPr>
      <w:keepNext/>
      <w:keepLines/>
      <w:spacing w:before="40" w:after="0"/>
      <w:outlineLvl w:val="1"/>
    </w:pPr>
    <w:rPr>
      <w:rFonts w:ascii="Calibri Light" w:eastAsia="Times New Roman" w:hAnsi="Calibri Light" w:cs="Times New Roman"/>
      <w:color w:val="2F5496"/>
      <w:sz w:val="26"/>
      <w:szCs w:val="26"/>
      <w:lang w:val="en-GB"/>
    </w:rPr>
  </w:style>
  <w:style w:type="character" w:customStyle="1" w:styleId="Heading1Char">
    <w:name w:val="Heading 1 Char"/>
    <w:basedOn w:val="DefaultParagraphFont"/>
    <w:link w:val="Heading1"/>
    <w:uiPriority w:val="9"/>
    <w:rsid w:val="00E112B6"/>
    <w:rPr>
      <w:rFonts w:ascii="Times New Roman" w:eastAsia="Times New Roman" w:hAnsi="Times New Roman" w:cs="Times New Roman"/>
      <w:b/>
      <w:sz w:val="24"/>
      <w:szCs w:val="32"/>
    </w:rPr>
  </w:style>
  <w:style w:type="numbering" w:customStyle="1" w:styleId="NoList1">
    <w:name w:val="No List1"/>
    <w:next w:val="NoList"/>
    <w:uiPriority w:val="99"/>
    <w:semiHidden/>
    <w:unhideWhenUsed/>
    <w:rsid w:val="00462FA7"/>
  </w:style>
  <w:style w:type="paragraph" w:styleId="Revision">
    <w:name w:val="Revision"/>
    <w:hidden/>
    <w:uiPriority w:val="99"/>
    <w:semiHidden/>
    <w:rsid w:val="00462FA7"/>
    <w:pPr>
      <w:spacing w:after="0" w:line="240" w:lineRule="auto"/>
    </w:pPr>
    <w:rPr>
      <w:lang w:val="en-GB"/>
    </w:rPr>
  </w:style>
  <w:style w:type="character" w:customStyle="1" w:styleId="Heading2Char">
    <w:name w:val="Heading 2 Char"/>
    <w:basedOn w:val="DefaultParagraphFont"/>
    <w:link w:val="Heading2"/>
    <w:uiPriority w:val="9"/>
    <w:rsid w:val="00C03112"/>
    <w:rPr>
      <w:rFonts w:ascii="Times New Roman" w:eastAsia="Times New Roman" w:hAnsi="Times New Roman" w:cs="Times New Roman"/>
      <w:b/>
      <w:sz w:val="24"/>
      <w:szCs w:val="26"/>
    </w:rPr>
  </w:style>
  <w:style w:type="character" w:customStyle="1" w:styleId="Heading1Char1">
    <w:name w:val="Heading 1 Char1"/>
    <w:basedOn w:val="DefaultParagraphFont"/>
    <w:uiPriority w:val="9"/>
    <w:rsid w:val="00462FA7"/>
    <w:rPr>
      <w:rFonts w:asciiTheme="majorHAnsi" w:eastAsiaTheme="majorEastAsia" w:hAnsiTheme="majorHAnsi" w:cstheme="majorBidi"/>
      <w:color w:val="2E74B5" w:themeColor="accent1" w:themeShade="BF"/>
      <w:sz w:val="32"/>
      <w:szCs w:val="32"/>
    </w:rPr>
  </w:style>
  <w:style w:type="character" w:customStyle="1" w:styleId="Heading2Char1">
    <w:name w:val="Heading 2 Char1"/>
    <w:basedOn w:val="DefaultParagraphFont"/>
    <w:uiPriority w:val="9"/>
    <w:semiHidden/>
    <w:rsid w:val="00462FA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CB78AF"/>
    <w:pPr>
      <w:spacing w:after="0" w:line="240" w:lineRule="auto"/>
    </w:pPr>
  </w:style>
  <w:style w:type="character" w:customStyle="1" w:styleId="Heading3Char">
    <w:name w:val="Heading 3 Char"/>
    <w:basedOn w:val="DefaultParagraphFont"/>
    <w:link w:val="Heading3"/>
    <w:uiPriority w:val="9"/>
    <w:rsid w:val="00C03112"/>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CB78AF"/>
    <w:rPr>
      <w:rFonts w:asciiTheme="majorHAnsi" w:eastAsiaTheme="majorEastAsia" w:hAnsiTheme="majorHAnsi" w:cstheme="majorBidi"/>
      <w:i/>
      <w:iCs/>
      <w:color w:val="2E74B5" w:themeColor="accent1" w:themeShade="BF"/>
    </w:rPr>
  </w:style>
  <w:style w:type="paragraph" w:styleId="TOCHeading">
    <w:name w:val="TOC Heading"/>
    <w:basedOn w:val="Heading1"/>
    <w:next w:val="Normal"/>
    <w:uiPriority w:val="39"/>
    <w:unhideWhenUsed/>
    <w:qFormat/>
    <w:rsid w:val="00592B9D"/>
    <w:pPr>
      <w:spacing w:before="240" w:after="0"/>
      <w:jc w:val="left"/>
      <w:outlineLvl w:val="9"/>
    </w:pPr>
    <w:rPr>
      <w:rFonts w:asciiTheme="majorHAnsi" w:eastAsiaTheme="majorEastAsia" w:hAnsiTheme="majorHAnsi" w:cstheme="majorBidi"/>
      <w:color w:val="2E74B5" w:themeColor="accent1" w:themeShade="BF"/>
      <w:sz w:val="32"/>
    </w:rPr>
  </w:style>
  <w:style w:type="paragraph" w:styleId="TOC2">
    <w:name w:val="toc 2"/>
    <w:basedOn w:val="Normal"/>
    <w:next w:val="Normal"/>
    <w:autoRedefine/>
    <w:uiPriority w:val="39"/>
    <w:unhideWhenUsed/>
    <w:rsid w:val="00301E83"/>
    <w:pPr>
      <w:tabs>
        <w:tab w:val="right" w:leader="dot" w:pos="9350"/>
      </w:tabs>
      <w:spacing w:after="100"/>
    </w:pPr>
    <w:rPr>
      <w:rFonts w:ascii="Times New Roman" w:eastAsia="DengXian Light" w:hAnsi="Times New Roman" w:cs="Times New Roman"/>
      <w:noProof/>
      <w:sz w:val="24"/>
      <w:szCs w:val="24"/>
      <w:lang w:val="en-GB"/>
    </w:rPr>
  </w:style>
  <w:style w:type="paragraph" w:styleId="TOC1">
    <w:name w:val="toc 1"/>
    <w:basedOn w:val="Normal"/>
    <w:next w:val="Normal"/>
    <w:autoRedefine/>
    <w:uiPriority w:val="39"/>
    <w:unhideWhenUsed/>
    <w:rsid w:val="004F3221"/>
    <w:pPr>
      <w:tabs>
        <w:tab w:val="left" w:pos="660"/>
        <w:tab w:val="right" w:leader="dot" w:pos="9350"/>
      </w:tabs>
      <w:spacing w:after="100"/>
    </w:pPr>
    <w:rPr>
      <w:rFonts w:ascii="Times New Roman" w:hAnsi="Times New Roman" w:cs="Times New Roman"/>
      <w:b/>
      <w:bCs/>
      <w:noProof/>
      <w:sz w:val="24"/>
    </w:rPr>
  </w:style>
  <w:style w:type="paragraph" w:styleId="TOC3">
    <w:name w:val="toc 3"/>
    <w:basedOn w:val="Normal"/>
    <w:next w:val="Normal"/>
    <w:autoRedefine/>
    <w:uiPriority w:val="39"/>
    <w:unhideWhenUsed/>
    <w:rsid w:val="004F3221"/>
    <w:pPr>
      <w:tabs>
        <w:tab w:val="right" w:leader="dot" w:pos="9350"/>
      </w:tabs>
      <w:spacing w:after="100"/>
    </w:pPr>
    <w:rPr>
      <w:rFonts w:ascii="Times New Roman" w:eastAsia="Calibri" w:hAnsi="Times New Roman" w:cs="Times New Roman"/>
      <w:noProof/>
      <w:sz w:val="24"/>
      <w:szCs w:val="24"/>
      <w:lang w:val="en-GB"/>
    </w:rPr>
  </w:style>
  <w:style w:type="character" w:styleId="Hyperlink">
    <w:name w:val="Hyperlink"/>
    <w:basedOn w:val="DefaultParagraphFont"/>
    <w:uiPriority w:val="99"/>
    <w:unhideWhenUsed/>
    <w:rsid w:val="00592B9D"/>
    <w:rPr>
      <w:color w:val="0563C1" w:themeColor="hyperlink"/>
      <w:u w:val="single"/>
    </w:rPr>
  </w:style>
  <w:style w:type="paragraph" w:styleId="Caption">
    <w:name w:val="caption"/>
    <w:basedOn w:val="Normal"/>
    <w:next w:val="Normal"/>
    <w:uiPriority w:val="35"/>
    <w:unhideWhenUsed/>
    <w:qFormat/>
    <w:rsid w:val="0041429F"/>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D33059"/>
    <w:pPr>
      <w:spacing w:after="0"/>
      <w:ind w:left="440" w:hanging="440"/>
    </w:pPr>
    <w:rPr>
      <w:rFonts w:cstheme="minorHAnsi"/>
      <w:b/>
      <w:bCs/>
      <w:sz w:val="20"/>
      <w:szCs w:val="20"/>
    </w:rPr>
  </w:style>
  <w:style w:type="paragraph" w:styleId="BalloonText">
    <w:name w:val="Balloon Text"/>
    <w:basedOn w:val="Normal"/>
    <w:link w:val="BalloonTextChar"/>
    <w:uiPriority w:val="99"/>
    <w:semiHidden/>
    <w:unhideWhenUsed/>
    <w:rsid w:val="008023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23ED"/>
    <w:rPr>
      <w:rFonts w:ascii="Tahoma" w:hAnsi="Tahoma" w:cs="Tahoma"/>
      <w:sz w:val="16"/>
      <w:szCs w:val="16"/>
    </w:rPr>
  </w:style>
  <w:style w:type="character" w:styleId="CommentReference">
    <w:name w:val="annotation reference"/>
    <w:basedOn w:val="DefaultParagraphFont"/>
    <w:uiPriority w:val="99"/>
    <w:semiHidden/>
    <w:unhideWhenUsed/>
    <w:rsid w:val="00A55C34"/>
    <w:rPr>
      <w:sz w:val="16"/>
      <w:szCs w:val="16"/>
    </w:rPr>
  </w:style>
  <w:style w:type="paragraph" w:styleId="CommentText">
    <w:name w:val="annotation text"/>
    <w:basedOn w:val="Normal"/>
    <w:link w:val="CommentTextChar"/>
    <w:uiPriority w:val="99"/>
    <w:semiHidden/>
    <w:unhideWhenUsed/>
    <w:rsid w:val="00A55C34"/>
    <w:pPr>
      <w:spacing w:line="240" w:lineRule="auto"/>
    </w:pPr>
    <w:rPr>
      <w:sz w:val="20"/>
      <w:szCs w:val="20"/>
    </w:rPr>
  </w:style>
  <w:style w:type="character" w:customStyle="1" w:styleId="CommentTextChar">
    <w:name w:val="Comment Text Char"/>
    <w:basedOn w:val="DefaultParagraphFont"/>
    <w:link w:val="CommentText"/>
    <w:uiPriority w:val="99"/>
    <w:semiHidden/>
    <w:rsid w:val="00A55C34"/>
    <w:rPr>
      <w:sz w:val="20"/>
      <w:szCs w:val="20"/>
    </w:rPr>
  </w:style>
  <w:style w:type="paragraph" w:styleId="CommentSubject">
    <w:name w:val="annotation subject"/>
    <w:basedOn w:val="CommentText"/>
    <w:next w:val="CommentText"/>
    <w:link w:val="CommentSubjectChar"/>
    <w:uiPriority w:val="99"/>
    <w:semiHidden/>
    <w:unhideWhenUsed/>
    <w:rsid w:val="00A55C34"/>
    <w:rPr>
      <w:b/>
      <w:bCs/>
    </w:rPr>
  </w:style>
  <w:style w:type="character" w:customStyle="1" w:styleId="CommentSubjectChar">
    <w:name w:val="Comment Subject Char"/>
    <w:basedOn w:val="CommentTextChar"/>
    <w:link w:val="CommentSubject"/>
    <w:uiPriority w:val="99"/>
    <w:semiHidden/>
    <w:rsid w:val="00A55C34"/>
    <w:rPr>
      <w:b/>
      <w:bCs/>
      <w:sz w:val="20"/>
      <w:szCs w:val="20"/>
    </w:rPr>
  </w:style>
</w:styles>
</file>

<file path=word/webSettings.xml><?xml version="1.0" encoding="utf-8"?>
<w:webSettings xmlns:r="http://schemas.openxmlformats.org/officeDocument/2006/relationships" xmlns:w="http://schemas.openxmlformats.org/wordprocessingml/2006/main">
  <w:divs>
    <w:div w:id="83846346">
      <w:bodyDiv w:val="1"/>
      <w:marLeft w:val="0"/>
      <w:marRight w:val="0"/>
      <w:marTop w:val="0"/>
      <w:marBottom w:val="0"/>
      <w:divBdr>
        <w:top w:val="none" w:sz="0" w:space="0" w:color="auto"/>
        <w:left w:val="none" w:sz="0" w:space="0" w:color="auto"/>
        <w:bottom w:val="none" w:sz="0" w:space="0" w:color="auto"/>
        <w:right w:val="none" w:sz="0" w:space="0" w:color="auto"/>
      </w:divBdr>
    </w:div>
    <w:div w:id="954020242">
      <w:bodyDiv w:val="1"/>
      <w:marLeft w:val="0"/>
      <w:marRight w:val="0"/>
      <w:marTop w:val="0"/>
      <w:marBottom w:val="0"/>
      <w:divBdr>
        <w:top w:val="none" w:sz="0" w:space="0" w:color="auto"/>
        <w:left w:val="none" w:sz="0" w:space="0" w:color="auto"/>
        <w:bottom w:val="none" w:sz="0" w:space="0" w:color="auto"/>
        <w:right w:val="none" w:sz="0" w:space="0" w:color="auto"/>
      </w:divBdr>
    </w:div>
    <w:div w:id="1900285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 Type="http://schemas.openxmlformats.org/officeDocument/2006/relationships/customXml" Target="../customXml/item1.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image" Target="media/image1.png"/><Relationship Id="rId13" Type="http://schemas.openxmlformats.org/officeDocument/2006/relationships/image" Target="media/image2.emf"/><Relationship Id="rId14" Type="http://schemas.openxmlformats.org/officeDocument/2006/relationships/chart" Target="charts/chart1.xml"/><Relationship Id="rId15" Type="http://schemas.openxmlformats.org/officeDocument/2006/relationships/chart" Target="charts/chart2.xml"/><Relationship Id="rId16" Type="http://schemas.openxmlformats.org/officeDocument/2006/relationships/chart" Target="charts/chart3.xml"/><Relationship Id="rId17" Type="http://schemas.openxmlformats.org/officeDocument/2006/relationships/chart" Target="charts/chart4.xml"/><Relationship Id="rId18" Type="http://schemas.openxmlformats.org/officeDocument/2006/relationships/chart" Target="charts/chart5.xml"/><Relationship Id="rId19" Type="http://schemas.openxmlformats.org/officeDocument/2006/relationships/chart" Target="charts/chart6.xml"/><Relationship Id="rId2" Type="http://schemas.openxmlformats.org/officeDocument/2006/relationships/numbering" Target="numbering.xml"/><Relationship Id="rId20" Type="http://schemas.openxmlformats.org/officeDocument/2006/relationships/footer" Target="footer5.xml"/><Relationship Id="rId21" Type="http://schemas.openxmlformats.org/officeDocument/2006/relationships/fontTable" Target="fontTable.xml"/><Relationship Id="rId22" Type="http://schemas.openxmlformats.org/officeDocument/2006/relationships/theme" Target="theme/theme1.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s>
</file>

<file path=word/_rels/endnotes.xml.rels><?xml version="1.0" encoding="UTF-8" standalone="yes"?>
<Relationships xmlns="http://schemas.openxmlformats.org/package/2006/relationships"/>
</file>

<file path=word/_rels/footnotes.xml.rels><?xml version="1.0" encoding="UTF-8" standalone="yes"?>
<Relationships xmlns="http://schemas.openxmlformats.org/package/2006/relationships"/>
</file>

<file path=word/charts/_rels/chart1.xml.rels><?xml version="1.0" encoding="UTF-8" standalone="yes"?>
<Relationships xmlns="http://schemas.openxmlformats.org/package/2006/relationships"><Relationship Id="rId2" Type="http://schemas.openxmlformats.org/officeDocument/2006/relationships/oleObject" Target="file:///C:\Users\tuolo\OneDrive\Desktop\BBRI%20PROJECTS\Sakara%20MDC\Sakara%20Descriptive%20Results.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tuolo\OneDrive\Desktop\BBRI%20PROJECTS\Sakara%20MDC\Sakara%20Descriptive%20Results.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tuolo\OneDrive\Desktop\BBRI%20PROJECTS\Sakara%20MDC\Sakara%20Descriptive%20Results.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tuolo\OneDrive\Desktop\BBRI%20PROJECTS\Sakara%20MDC\Sakara%20Descriptive%20Results.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tuolo\OneDrive\Desktop\BBRI%20PROJECTS\Sakara%20MDC\Sakara%20Descriptive%20Results.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tuolo\OneDrive\Desktop\BBRI%20PROJECTS\Sakara%20MDC\Sakara%20Descriptive%20Results.xlsx" TargetMode="External"/><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1"/>
          <c:order val="0"/>
          <c:tx>
            <c:strRef>
              <c:f>Sheet1!$D$77</c:f>
              <c:strCache>
                <c:ptCount val="1"/>
                <c:pt idx="0">
                  <c:v>Percent</c:v>
                </c:pt>
              </c:strCache>
            </c:strRef>
          </c:tx>
          <c:spPr>
            <a:solidFill>
              <a:schemeClr val="accent2"/>
            </a:solidFill>
            <a:ln>
              <a:noFill/>
            </a:ln>
            <a:effectLst/>
          </c:spP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Sheet1!$B$78:$B$79</c:f>
              <c:strCache>
                <c:ptCount val="2"/>
                <c:pt idx="0">
                  <c:v>Low</c:v>
                </c:pt>
                <c:pt idx="1">
                  <c:v>High</c:v>
                </c:pt>
              </c:strCache>
            </c:strRef>
          </c:cat>
          <c:val>
            <c:numRef>
              <c:f>Sheet1!$D$78:$D$79</c:f>
              <c:numCache>
                <c:formatCode>###0.0</c:formatCode>
                <c:ptCount val="2"/>
                <c:pt idx="0">
                  <c:v>46.280991735537192</c:v>
                </c:pt>
                <c:pt idx="1">
                  <c:v>53.719008264462808</c:v>
                </c:pt>
              </c:numCache>
            </c:numRef>
          </c:val>
          <c:extLst xmlns:c16r2="http://schemas.microsoft.com/office/drawing/2015/06/chart">
            <c:ext xmlns:c16="http://schemas.microsoft.com/office/drawing/2014/chart" uri="{C3380CC4-5D6E-409C-BE32-E72D297353CC}">
              <c16:uniqueId val="{00000000-9389-4878-A88C-4643CA445874}"/>
            </c:ext>
          </c:extLst>
        </c:ser>
        <c:axId val="155843968"/>
        <c:axId val="158901376"/>
      </c:barChart>
      <c:catAx>
        <c:axId val="155843968"/>
        <c:scaling>
          <c:orientation val="minMax"/>
        </c:scaling>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Residents Knowledge of SWM</a:t>
                </a:r>
              </a:p>
            </c:rich>
          </c:tx>
          <c:layout>
            <c:manualLayout>
              <c:xMode val="edge"/>
              <c:yMode val="edge"/>
              <c:x val="0.38162729658792682"/>
              <c:y val="0.89907407407408235"/>
            </c:manualLayout>
          </c:layout>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8901376"/>
        <c:crosses val="autoZero"/>
        <c:auto val="1"/>
        <c:lblAlgn val="ctr"/>
        <c:lblOffset val="100"/>
      </c:catAx>
      <c:valAx>
        <c:axId val="158901376"/>
        <c:scaling>
          <c:orientation val="minMax"/>
        </c:scaling>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Percentages</a:t>
                </a:r>
              </a:p>
            </c:rich>
          </c:tx>
          <c:layout>
            <c:manualLayout>
              <c:xMode val="edge"/>
              <c:yMode val="edge"/>
              <c:x val="1.5712682379349044E-2"/>
              <c:y val="0.2653357392825898"/>
            </c:manualLayout>
          </c:layout>
          <c:spPr>
            <a:noFill/>
            <a:ln>
              <a:noFill/>
            </a:ln>
            <a:effectLst/>
          </c:spPr>
        </c:title>
        <c:numFmt formatCode="###0.0" sourceLinked="1"/>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843968"/>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1"/>
          <c:order val="0"/>
          <c:tx>
            <c:strRef>
              <c:f>Sheet1!$D$83</c:f>
              <c:strCache>
                <c:ptCount val="1"/>
                <c:pt idx="0">
                  <c:v>Percent</c:v>
                </c:pt>
              </c:strCache>
            </c:strRef>
          </c:tx>
          <c:spPr>
            <a:solidFill>
              <a:schemeClr val="accent2"/>
            </a:solidFill>
            <a:ln>
              <a:noFill/>
            </a:ln>
            <a:effectLst/>
          </c:spP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Sheet1!$B$84:$B$87</c:f>
              <c:strCache>
                <c:ptCount val="4"/>
                <c:pt idx="0">
                  <c:v>Media</c:v>
                </c:pt>
                <c:pt idx="1">
                  <c:v>Community volunteers</c:v>
                </c:pt>
                <c:pt idx="2">
                  <c:v>None</c:v>
                </c:pt>
                <c:pt idx="3">
                  <c:v>Other</c:v>
                </c:pt>
              </c:strCache>
            </c:strRef>
          </c:cat>
          <c:val>
            <c:numRef>
              <c:f>Sheet1!$D$84:$D$87</c:f>
              <c:numCache>
                <c:formatCode>###0.0</c:formatCode>
                <c:ptCount val="4"/>
                <c:pt idx="0">
                  <c:v>42.148760330579165</c:v>
                </c:pt>
                <c:pt idx="1">
                  <c:v>34.710743801652896</c:v>
                </c:pt>
                <c:pt idx="2">
                  <c:v>19.283746556473467</c:v>
                </c:pt>
                <c:pt idx="3">
                  <c:v>3.8567493112947329</c:v>
                </c:pt>
              </c:numCache>
            </c:numRef>
          </c:val>
          <c:extLst xmlns:c16r2="http://schemas.microsoft.com/office/drawing/2015/06/chart">
            <c:ext xmlns:c16="http://schemas.microsoft.com/office/drawing/2014/chart" uri="{C3380CC4-5D6E-409C-BE32-E72D297353CC}">
              <c16:uniqueId val="{00000000-AFA8-47F9-BE08-DFA98306B3D6}"/>
            </c:ext>
          </c:extLst>
        </c:ser>
        <c:axId val="84623360"/>
        <c:axId val="84625280"/>
      </c:barChart>
      <c:catAx>
        <c:axId val="84623360"/>
        <c:scaling>
          <c:orientation val="minMax"/>
        </c:scaling>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Source of information on SWM</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625280"/>
        <c:crosses val="autoZero"/>
        <c:auto val="1"/>
        <c:lblAlgn val="ctr"/>
        <c:lblOffset val="100"/>
      </c:catAx>
      <c:valAx>
        <c:axId val="84625280"/>
        <c:scaling>
          <c:orientation val="minMax"/>
        </c:scaling>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Percentagges</a:t>
                </a:r>
              </a:p>
            </c:rich>
          </c:tx>
          <c:spPr>
            <a:noFill/>
            <a:ln>
              <a:noFill/>
            </a:ln>
            <a:effectLst/>
          </c:spPr>
        </c:title>
        <c:numFmt formatCode="###0.0" sourceLinked="1"/>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623360"/>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1"/>
          <c:order val="0"/>
          <c:tx>
            <c:strRef>
              <c:f>Sheet1!$D$133</c:f>
              <c:strCache>
                <c:ptCount val="1"/>
                <c:pt idx="0">
                  <c:v>Percent</c:v>
                </c:pt>
              </c:strCache>
            </c:strRef>
          </c:tx>
          <c:spPr>
            <a:solidFill>
              <a:schemeClr val="accent2"/>
            </a:solidFill>
            <a:ln>
              <a:noFill/>
            </a:ln>
            <a:effectLst/>
          </c:spP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Sheet1!$B$134:$B$135</c:f>
              <c:strCache>
                <c:ptCount val="2"/>
                <c:pt idx="0">
                  <c:v>Low</c:v>
                </c:pt>
                <c:pt idx="1">
                  <c:v>High</c:v>
                </c:pt>
              </c:strCache>
            </c:strRef>
          </c:cat>
          <c:val>
            <c:numRef>
              <c:f>Sheet1!$D$134:$D$135</c:f>
              <c:numCache>
                <c:formatCode>###0.0</c:formatCode>
                <c:ptCount val="2"/>
                <c:pt idx="0">
                  <c:v>33.057851239668999</c:v>
                </c:pt>
                <c:pt idx="1">
                  <c:v>66.942148760330596</c:v>
                </c:pt>
              </c:numCache>
            </c:numRef>
          </c:val>
          <c:extLst xmlns:c16r2="http://schemas.microsoft.com/office/drawing/2015/06/chart">
            <c:ext xmlns:c16="http://schemas.microsoft.com/office/drawing/2014/chart" uri="{C3380CC4-5D6E-409C-BE32-E72D297353CC}">
              <c16:uniqueId val="{00000000-B682-438B-B1D3-3A12A808FFB9}"/>
            </c:ext>
          </c:extLst>
        </c:ser>
        <c:axId val="84572416"/>
        <c:axId val="84652416"/>
      </c:barChart>
      <c:catAx>
        <c:axId val="84572416"/>
        <c:scaling>
          <c:orientation val="minMax"/>
        </c:scaling>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Residents Attitude towards SWM</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652416"/>
        <c:crosses val="autoZero"/>
        <c:auto val="1"/>
        <c:lblAlgn val="ctr"/>
        <c:lblOffset val="100"/>
      </c:catAx>
      <c:valAx>
        <c:axId val="84652416"/>
        <c:scaling>
          <c:orientation val="minMax"/>
        </c:scaling>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Percentages</a:t>
                </a:r>
              </a:p>
            </c:rich>
          </c:tx>
          <c:spPr>
            <a:noFill/>
            <a:ln>
              <a:noFill/>
            </a:ln>
            <a:effectLst/>
          </c:spPr>
        </c:title>
        <c:numFmt formatCode="###0.0" sourceLinked="1"/>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57241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1"/>
          <c:order val="0"/>
          <c:tx>
            <c:strRef>
              <c:f>Sheet1!$D$171</c:f>
              <c:strCache>
                <c:ptCount val="1"/>
                <c:pt idx="0">
                  <c:v>Percent</c:v>
                </c:pt>
              </c:strCache>
            </c:strRef>
          </c:tx>
          <c:spPr>
            <a:solidFill>
              <a:schemeClr val="accent2"/>
            </a:solidFill>
            <a:ln>
              <a:noFill/>
            </a:ln>
            <a:effectLst/>
          </c:spP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Sheet1!$B$172:$B$173</c:f>
              <c:strCache>
                <c:ptCount val="2"/>
                <c:pt idx="0">
                  <c:v>Low</c:v>
                </c:pt>
                <c:pt idx="1">
                  <c:v>High</c:v>
                </c:pt>
              </c:strCache>
            </c:strRef>
          </c:cat>
          <c:val>
            <c:numRef>
              <c:f>Sheet1!$D$172:$D$173</c:f>
              <c:numCache>
                <c:formatCode>###0.0</c:formatCode>
                <c:ptCount val="2"/>
                <c:pt idx="0">
                  <c:v>57.024793388430012</c:v>
                </c:pt>
                <c:pt idx="1">
                  <c:v>42.97520661157025</c:v>
                </c:pt>
              </c:numCache>
            </c:numRef>
          </c:val>
          <c:extLst xmlns:c16r2="http://schemas.microsoft.com/office/drawing/2015/06/chart">
            <c:ext xmlns:c16="http://schemas.microsoft.com/office/drawing/2014/chart" uri="{C3380CC4-5D6E-409C-BE32-E72D297353CC}">
              <c16:uniqueId val="{00000000-F106-4B51-BEE7-6D8150CA54FA}"/>
            </c:ext>
          </c:extLst>
        </c:ser>
        <c:dLbls>
          <c:showVal val="1"/>
        </c:dLbls>
        <c:axId val="84710144"/>
        <c:axId val="84712064"/>
      </c:barChart>
      <c:catAx>
        <c:axId val="84710144"/>
        <c:scaling>
          <c:orientation val="minMax"/>
        </c:scaling>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Residents Practice of SWM</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712064"/>
        <c:crosses val="autoZero"/>
        <c:auto val="1"/>
        <c:lblAlgn val="ctr"/>
        <c:lblOffset val="100"/>
      </c:catAx>
      <c:valAx>
        <c:axId val="84712064"/>
        <c:scaling>
          <c:orientation val="minMax"/>
        </c:scaling>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Percentages</a:t>
                </a:r>
              </a:p>
            </c:rich>
          </c:tx>
          <c:layout>
            <c:manualLayout>
              <c:xMode val="edge"/>
              <c:yMode val="edge"/>
              <c:x val="2.0761245674740764E-2"/>
              <c:y val="0.29076359263141627"/>
            </c:manualLayout>
          </c:layout>
          <c:spPr>
            <a:noFill/>
            <a:ln>
              <a:noFill/>
            </a:ln>
            <a:effectLst/>
          </c:spPr>
        </c:title>
        <c:numFmt formatCode="###0.0" sourceLinked="1"/>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710144"/>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1"/>
          <c:order val="0"/>
          <c:tx>
            <c:strRef>
              <c:f>Sheet1!$D$187</c:f>
              <c:strCache>
                <c:ptCount val="1"/>
                <c:pt idx="0">
                  <c:v>Percent</c:v>
                </c:pt>
              </c:strCache>
            </c:strRef>
          </c:tx>
          <c:spPr>
            <a:solidFill>
              <a:schemeClr val="accent2"/>
            </a:solidFill>
            <a:ln>
              <a:noFill/>
            </a:ln>
            <a:effectLst/>
          </c:spPr>
          <c:dLbls>
            <c:dLbl>
              <c:idx val="2"/>
              <c:tx>
                <c:rich>
                  <a:bodyPr/>
                  <a:lstStyle/>
                  <a:p>
                    <a:r>
                      <a:rPr lang="en-US"/>
                      <a:t>0</a:t>
                    </a:r>
                    <a:fld id="{491D7B51-0FEB-4AA0-AC64-DC09BFA1DBB3}" type="VALUE">
                      <a:rPr lang="en-US"/>
                      <a:pPr/>
                      <a:t>[VALUE]</a:t>
                    </a:fld>
                    <a:endParaRPr lang="en-US"/>
                  </a:p>
                </c:rich>
              </c:tx>
              <c:dLblPos val="outEnd"/>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0-F29B-49CB-A68E-9B9BE31FE188}"/>
                </c:ext>
              </c:extLst>
            </c:dLbl>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Sheet1!$B$188:$B$191</c:f>
              <c:strCache>
                <c:ptCount val="4"/>
                <c:pt idx="0">
                  <c:v>By household member</c:v>
                </c:pt>
                <c:pt idx="1">
                  <c:v>By municipal service providers with little payment</c:v>
                </c:pt>
                <c:pt idx="2">
                  <c:v>By private waste collector</c:v>
                </c:pt>
                <c:pt idx="3">
                  <c:v>Other</c:v>
                </c:pt>
              </c:strCache>
            </c:strRef>
          </c:cat>
          <c:val>
            <c:numRef>
              <c:f>Sheet1!$D$188:$D$191</c:f>
              <c:numCache>
                <c:formatCode>###0.0</c:formatCode>
                <c:ptCount val="4"/>
                <c:pt idx="0">
                  <c:v>98.898071625344357</c:v>
                </c:pt>
                <c:pt idx="1">
                  <c:v>4.4077134986225914</c:v>
                </c:pt>
                <c:pt idx="2" formatCode="####.0">
                  <c:v>0.27548209366391502</c:v>
                </c:pt>
                <c:pt idx="3">
                  <c:v>2.4793388429752072</c:v>
                </c:pt>
              </c:numCache>
            </c:numRef>
          </c:val>
          <c:extLst xmlns:c16r2="http://schemas.microsoft.com/office/drawing/2015/06/chart">
            <c:ext xmlns:c16="http://schemas.microsoft.com/office/drawing/2014/chart" uri="{C3380CC4-5D6E-409C-BE32-E72D297353CC}">
              <c16:uniqueId val="{00000001-F29B-49CB-A68E-9B9BE31FE188}"/>
            </c:ext>
          </c:extLst>
        </c:ser>
        <c:axId val="84728832"/>
        <c:axId val="84821120"/>
      </c:barChart>
      <c:catAx>
        <c:axId val="84728832"/>
        <c:scaling>
          <c:orientation val="minMax"/>
        </c:scaling>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Ways of transporting solid waste for disposal</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821120"/>
        <c:crosses val="autoZero"/>
        <c:auto val="1"/>
        <c:lblAlgn val="ctr"/>
        <c:lblOffset val="100"/>
      </c:catAx>
      <c:valAx>
        <c:axId val="84821120"/>
        <c:scaling>
          <c:orientation val="minMax"/>
        </c:scaling>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Percentages</a:t>
                </a:r>
              </a:p>
            </c:rich>
          </c:tx>
          <c:spPr>
            <a:noFill/>
            <a:ln>
              <a:noFill/>
            </a:ln>
            <a:effectLst/>
          </c:spPr>
        </c:title>
        <c:numFmt formatCode="###0.0" sourceLinked="1"/>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728832"/>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Sheet1!$C$205</c:f>
              <c:strCache>
                <c:ptCount val="1"/>
                <c:pt idx="0">
                  <c:v>Frequency</c:v>
                </c:pt>
              </c:strCache>
            </c:strRef>
          </c:tx>
          <c:dPt>
            <c:idx val="0"/>
            <c:explosion val="29"/>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CF49-42A4-94ED-9510E96426A0}"/>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CF49-42A4-94ED-9510E96426A0}"/>
              </c:ext>
            </c:extLst>
          </c:dPt>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Sheet1!$B$206:$B$207</c:f>
              <c:strCache>
                <c:ptCount val="2"/>
                <c:pt idx="0">
                  <c:v>No</c:v>
                </c:pt>
                <c:pt idx="1">
                  <c:v>Yes</c:v>
                </c:pt>
              </c:strCache>
            </c:strRef>
          </c:cat>
          <c:val>
            <c:numRef>
              <c:f>Sheet1!$C$206:$C$207</c:f>
              <c:numCache>
                <c:formatCode>###0</c:formatCode>
                <c:ptCount val="2"/>
                <c:pt idx="0">
                  <c:v>283</c:v>
                </c:pt>
                <c:pt idx="1">
                  <c:v>80</c:v>
                </c:pt>
              </c:numCache>
            </c:numRef>
          </c:val>
          <c:extLst xmlns:c16r2="http://schemas.microsoft.com/office/drawing/2015/06/chart">
            <c:ext xmlns:c16="http://schemas.microsoft.com/office/drawing/2014/chart" uri="{C3380CC4-5D6E-409C-BE32-E72D297353CC}">
              <c16:uniqueId val="{00000004-CF49-42A4-94ED-9510E96426A0}"/>
            </c:ext>
          </c:extLst>
        </c:ser>
        <c:ser>
          <c:idx val="1"/>
          <c:order val="1"/>
          <c:tx>
            <c:strRef>
              <c:f>Sheet1!$D$205</c:f>
              <c:strCache>
                <c:ptCount val="1"/>
                <c:pt idx="0">
                  <c:v>Percent</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6-CF49-42A4-94ED-9510E96426A0}"/>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8-CF49-42A4-94ED-9510E96426A0}"/>
              </c:ext>
            </c:extLst>
          </c:dPt>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Sheet1!$B$206:$B$207</c:f>
              <c:strCache>
                <c:ptCount val="2"/>
                <c:pt idx="0">
                  <c:v>No</c:v>
                </c:pt>
                <c:pt idx="1">
                  <c:v>Yes</c:v>
                </c:pt>
              </c:strCache>
            </c:strRef>
          </c:cat>
          <c:val>
            <c:numRef>
              <c:f>Sheet1!$D$206:$D$207</c:f>
              <c:numCache>
                <c:formatCode>###0.0</c:formatCode>
                <c:ptCount val="2"/>
                <c:pt idx="0">
                  <c:v>77.96143250688705</c:v>
                </c:pt>
                <c:pt idx="1">
                  <c:v>22.038567493112946</c:v>
                </c:pt>
              </c:numCache>
            </c:numRef>
          </c:val>
          <c:extLst xmlns:c16r2="http://schemas.microsoft.com/office/drawing/2015/06/chart">
            <c:ext xmlns:c16="http://schemas.microsoft.com/office/drawing/2014/chart" uri="{C3380CC4-5D6E-409C-BE32-E72D297353CC}">
              <c16:uniqueId val="{00000009-CF49-42A4-94ED-9510E96426A0}"/>
            </c:ext>
          </c:extLst>
        </c:ser>
        <c:dLbls>
          <c:showPercent val="1"/>
        </c:dLbls>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DDB2874-FA4A-40F0-902E-D3232462DD4E}">
  <we:reference id="wa200001361" version="2.2.1.0" store="en-US" storeType="OMEX"/>
  <we:alternateReferences>
    <we:reference id="wa200001361" version="2.2.1.0" store="WA200001361" storeType="OMEX"/>
  </we:alternateReferences>
  <we:properties>
    <we:property name="paperpal-document-id" value="&quot;6e1b171b-1c9a-4aaf-9a17-00abd487ebb2&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F7A0BC-DD51-431F-A3DF-FF2149E72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5224</TotalTime>
  <Pages>145</Pages>
  <Words>107316</Words>
  <Characters>611706</Characters>
  <Application>Microsoft Office Word</Application>
  <DocSecurity>0</DocSecurity>
  <Lines>5097</Lines>
  <Paragraphs>1435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717587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Sakara Hamidu Samson</dc:creator>
  <cp:keywords/>
  <dc:description/>
  <cp:lastModifiedBy>USER</cp:lastModifiedBy>
  <cp:revision>100</cp:revision>
  <dcterms:created xsi:type="dcterms:W3CDTF">2023-10-06T10:22:00Z</dcterms:created>
  <dcterms:modified xsi:type="dcterms:W3CDTF">2024-02-05T01:48:00Z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18819a2f-9e18-38d2-8c98-b0d981143307</vt:lpwstr>
  </property>
  <property fmtid="{D5CDD505-2E9C-101B-9397-08002B2CF9AE}" pid="24" name="Mendeley Citation Style_1">
    <vt:lpwstr>http://www.zotero.org/styles/apa</vt:lpwstr>
  </property>
  <property fmtid="{D5CDD505-2E9C-101B-9397-08002B2CF9AE}" pid="25" name="GrammarlyDocumentId">
    <vt:lpwstr>c0f26be6cdeb0162d476c42058fd0ab9d31f5dabc0a4aa953f33749a2f27756a</vt:lpwstr>
  </property>
</Properties>
</file>