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119CD1" w14:textId="299D97A4" w:rsidR="0008415E" w:rsidRPr="00446A7C" w:rsidRDefault="00446A7C" w:rsidP="00446A7C">
      <w:pPr>
        <w:spacing w:line="360" w:lineRule="auto"/>
        <w:ind w:firstLine="0"/>
        <w:contextualSpacing/>
        <w:jc w:val="center"/>
        <w:rPr>
          <w:rFonts w:cs="Times New Roman"/>
          <w:b/>
          <w:bCs/>
          <w:szCs w:val="24"/>
        </w:rPr>
      </w:pPr>
      <w:r w:rsidRPr="00446A7C">
        <w:rPr>
          <w:rFonts w:cs="Times New Roman"/>
          <w:b/>
          <w:bCs/>
          <w:szCs w:val="24"/>
        </w:rPr>
        <w:t>SIMON DIEDONG DOMBO UNIVERSITY OF BUSINESS AND INTEGRATED DEVELOPMENT STUDIES</w:t>
      </w:r>
    </w:p>
    <w:p w14:paraId="49B9C40F" w14:textId="77777777" w:rsidR="0008415E" w:rsidRDefault="0008415E" w:rsidP="00446A7C">
      <w:pPr>
        <w:spacing w:line="360" w:lineRule="auto"/>
        <w:ind w:firstLine="0"/>
        <w:contextualSpacing/>
        <w:jc w:val="center"/>
        <w:rPr>
          <w:rFonts w:cs="Times New Roman"/>
          <w:b/>
          <w:bCs/>
          <w:szCs w:val="24"/>
        </w:rPr>
      </w:pPr>
    </w:p>
    <w:p w14:paraId="74671F47" w14:textId="77777777" w:rsidR="00446A7C" w:rsidRPr="00446A7C" w:rsidRDefault="00446A7C" w:rsidP="00446A7C">
      <w:pPr>
        <w:spacing w:line="360" w:lineRule="auto"/>
        <w:ind w:firstLine="0"/>
        <w:contextualSpacing/>
        <w:jc w:val="center"/>
        <w:rPr>
          <w:rFonts w:cs="Times New Roman"/>
          <w:b/>
          <w:bCs/>
          <w:szCs w:val="24"/>
        </w:rPr>
      </w:pPr>
    </w:p>
    <w:p w14:paraId="76A34DE2" w14:textId="77777777" w:rsidR="0008415E" w:rsidRDefault="0008415E">
      <w:pPr>
        <w:spacing w:line="240" w:lineRule="auto"/>
        <w:ind w:firstLine="0"/>
        <w:contextualSpacing/>
        <w:jc w:val="center"/>
        <w:rPr>
          <w:rFonts w:cs="Times New Roman"/>
          <w:b/>
          <w:bCs/>
          <w:szCs w:val="24"/>
        </w:rPr>
      </w:pPr>
    </w:p>
    <w:p w14:paraId="0AD9B01D" w14:textId="77777777" w:rsidR="00446A7C" w:rsidRDefault="00446A7C">
      <w:pPr>
        <w:spacing w:line="240" w:lineRule="auto"/>
        <w:ind w:firstLine="0"/>
        <w:contextualSpacing/>
        <w:jc w:val="center"/>
        <w:rPr>
          <w:rFonts w:cs="Times New Roman"/>
          <w:b/>
          <w:bCs/>
          <w:szCs w:val="24"/>
        </w:rPr>
      </w:pPr>
    </w:p>
    <w:p w14:paraId="682EAE8C" w14:textId="77777777" w:rsidR="008A5D2D" w:rsidRPr="00446A7C" w:rsidRDefault="008A5D2D">
      <w:pPr>
        <w:spacing w:line="240" w:lineRule="auto"/>
        <w:ind w:firstLine="0"/>
        <w:contextualSpacing/>
        <w:jc w:val="center"/>
        <w:rPr>
          <w:rFonts w:cs="Times New Roman"/>
          <w:b/>
          <w:bCs/>
          <w:szCs w:val="24"/>
        </w:rPr>
      </w:pPr>
    </w:p>
    <w:p w14:paraId="7A096DAD" w14:textId="77777777" w:rsidR="0008415E" w:rsidRPr="00446A7C" w:rsidRDefault="0008415E">
      <w:pPr>
        <w:spacing w:line="240" w:lineRule="auto"/>
        <w:ind w:firstLine="0"/>
        <w:contextualSpacing/>
        <w:jc w:val="center"/>
        <w:rPr>
          <w:rFonts w:cs="Times New Roman"/>
          <w:b/>
          <w:bCs/>
          <w:szCs w:val="24"/>
          <w:lang w:val="en-US"/>
        </w:rPr>
      </w:pPr>
    </w:p>
    <w:p w14:paraId="56C176B0" w14:textId="75188132" w:rsidR="0008415E" w:rsidRPr="00446A7C" w:rsidRDefault="00446A7C" w:rsidP="00446A7C">
      <w:pPr>
        <w:spacing w:line="360" w:lineRule="auto"/>
        <w:ind w:firstLine="0"/>
        <w:contextualSpacing/>
        <w:jc w:val="center"/>
        <w:rPr>
          <w:rFonts w:cs="Times New Roman"/>
          <w:b/>
          <w:bCs/>
          <w:szCs w:val="24"/>
          <w:lang w:val="en-US"/>
        </w:rPr>
      </w:pPr>
      <w:r w:rsidRPr="00446A7C">
        <w:rPr>
          <w:rFonts w:cs="Times New Roman"/>
          <w:b/>
          <w:bCs/>
          <w:szCs w:val="24"/>
          <w:lang w:val="en-US"/>
        </w:rPr>
        <w:t>TOWARDS SUSTAINABLE POVERTY REDUCTION: THE ROLE OF DIGITAL TECHNOLOGY</w:t>
      </w:r>
      <w:r>
        <w:rPr>
          <w:rFonts w:cs="Times New Roman"/>
          <w:b/>
          <w:bCs/>
          <w:szCs w:val="24"/>
          <w:lang w:val="en-US"/>
        </w:rPr>
        <w:t xml:space="preserve"> </w:t>
      </w:r>
      <w:r w:rsidRPr="00446A7C">
        <w:rPr>
          <w:rFonts w:cs="Times New Roman"/>
          <w:b/>
          <w:bCs/>
          <w:szCs w:val="24"/>
          <w:lang w:val="en-US"/>
        </w:rPr>
        <w:t>IN ENHANCING THE LIVELIHOOD EMPOWERMENT AGAINST POVERTY (LEAP) PROGRAMME</w:t>
      </w:r>
    </w:p>
    <w:p w14:paraId="56F32D0E" w14:textId="77777777" w:rsidR="0008415E" w:rsidRPr="00446A7C" w:rsidRDefault="0008415E" w:rsidP="00446A7C">
      <w:pPr>
        <w:spacing w:line="360" w:lineRule="auto"/>
        <w:ind w:firstLine="0"/>
        <w:contextualSpacing/>
        <w:jc w:val="center"/>
        <w:rPr>
          <w:rFonts w:cs="Times New Roman"/>
          <w:b/>
          <w:bCs/>
          <w:szCs w:val="24"/>
          <w:lang w:val="en-US"/>
        </w:rPr>
      </w:pPr>
    </w:p>
    <w:p w14:paraId="4A145A3C" w14:textId="77777777" w:rsidR="0008415E" w:rsidRDefault="0008415E">
      <w:pPr>
        <w:spacing w:line="240" w:lineRule="auto"/>
        <w:ind w:firstLine="0"/>
        <w:contextualSpacing/>
        <w:jc w:val="center"/>
        <w:rPr>
          <w:rFonts w:cs="Times New Roman"/>
          <w:b/>
          <w:bCs/>
          <w:szCs w:val="24"/>
          <w:lang w:val="en-US"/>
        </w:rPr>
      </w:pPr>
    </w:p>
    <w:p w14:paraId="051842CC" w14:textId="77777777" w:rsidR="00446A7C" w:rsidRDefault="00446A7C">
      <w:pPr>
        <w:spacing w:line="240" w:lineRule="auto"/>
        <w:ind w:firstLine="0"/>
        <w:contextualSpacing/>
        <w:jc w:val="center"/>
        <w:rPr>
          <w:rFonts w:cs="Times New Roman"/>
          <w:b/>
          <w:bCs/>
          <w:szCs w:val="24"/>
          <w:lang w:val="en-US"/>
        </w:rPr>
      </w:pPr>
    </w:p>
    <w:p w14:paraId="133F6D19" w14:textId="77777777" w:rsidR="008A5D2D" w:rsidRDefault="008A5D2D">
      <w:pPr>
        <w:spacing w:line="240" w:lineRule="auto"/>
        <w:ind w:firstLine="0"/>
        <w:contextualSpacing/>
        <w:jc w:val="center"/>
        <w:rPr>
          <w:rFonts w:cs="Times New Roman"/>
          <w:b/>
          <w:bCs/>
          <w:szCs w:val="24"/>
          <w:lang w:val="en-US"/>
        </w:rPr>
      </w:pPr>
    </w:p>
    <w:p w14:paraId="22AF513F" w14:textId="77777777" w:rsidR="008A5D2D" w:rsidRPr="00446A7C" w:rsidRDefault="008A5D2D">
      <w:pPr>
        <w:spacing w:line="240" w:lineRule="auto"/>
        <w:ind w:firstLine="0"/>
        <w:contextualSpacing/>
        <w:jc w:val="center"/>
        <w:rPr>
          <w:rFonts w:cs="Times New Roman"/>
          <w:b/>
          <w:bCs/>
          <w:szCs w:val="24"/>
          <w:lang w:val="en-US"/>
        </w:rPr>
      </w:pPr>
    </w:p>
    <w:p w14:paraId="092E2414" w14:textId="77777777" w:rsidR="0008415E" w:rsidRPr="00446A7C" w:rsidRDefault="0008415E">
      <w:pPr>
        <w:spacing w:line="240" w:lineRule="auto"/>
        <w:ind w:firstLine="0"/>
        <w:contextualSpacing/>
        <w:jc w:val="center"/>
        <w:rPr>
          <w:rFonts w:cs="Times New Roman"/>
          <w:b/>
          <w:bCs/>
          <w:szCs w:val="24"/>
          <w:lang w:val="en-US"/>
        </w:rPr>
      </w:pPr>
    </w:p>
    <w:p w14:paraId="4A2AB5F5" w14:textId="21E7772F" w:rsidR="0008415E" w:rsidRPr="00446A7C" w:rsidRDefault="00446A7C" w:rsidP="00446A7C">
      <w:pPr>
        <w:spacing w:line="360" w:lineRule="auto"/>
        <w:ind w:firstLine="0"/>
        <w:contextualSpacing/>
        <w:jc w:val="center"/>
        <w:rPr>
          <w:rFonts w:cs="Times New Roman"/>
          <w:b/>
          <w:bCs/>
          <w:szCs w:val="24"/>
        </w:rPr>
      </w:pPr>
      <w:r w:rsidRPr="00446A7C">
        <w:rPr>
          <w:rFonts w:cs="Times New Roman"/>
          <w:b/>
          <w:bCs/>
          <w:szCs w:val="24"/>
        </w:rPr>
        <w:t>ABUBAKARI ZAKIATU</w:t>
      </w:r>
    </w:p>
    <w:p w14:paraId="264A368C" w14:textId="77777777" w:rsidR="0008415E" w:rsidRDefault="0008415E">
      <w:pPr>
        <w:spacing w:line="240" w:lineRule="auto"/>
        <w:ind w:firstLine="0"/>
        <w:contextualSpacing/>
        <w:jc w:val="center"/>
        <w:rPr>
          <w:rFonts w:cs="Times New Roman"/>
          <w:b/>
          <w:bCs/>
          <w:szCs w:val="24"/>
        </w:rPr>
      </w:pPr>
    </w:p>
    <w:p w14:paraId="5F049C2D" w14:textId="77777777" w:rsidR="00446A7C" w:rsidRPr="00446A7C" w:rsidRDefault="00446A7C">
      <w:pPr>
        <w:spacing w:line="240" w:lineRule="auto"/>
        <w:ind w:firstLine="0"/>
        <w:contextualSpacing/>
        <w:jc w:val="center"/>
        <w:rPr>
          <w:rFonts w:cs="Times New Roman"/>
          <w:b/>
          <w:bCs/>
          <w:szCs w:val="24"/>
        </w:rPr>
      </w:pPr>
    </w:p>
    <w:p w14:paraId="081B5FE5" w14:textId="77777777" w:rsidR="0008415E" w:rsidRPr="00446A7C" w:rsidRDefault="0008415E">
      <w:pPr>
        <w:spacing w:line="240" w:lineRule="auto"/>
        <w:ind w:firstLine="0"/>
        <w:contextualSpacing/>
        <w:jc w:val="center"/>
        <w:rPr>
          <w:rFonts w:cs="Times New Roman"/>
          <w:b/>
          <w:bCs/>
          <w:szCs w:val="24"/>
        </w:rPr>
      </w:pPr>
    </w:p>
    <w:p w14:paraId="6A92EFDC" w14:textId="77777777" w:rsidR="0008415E" w:rsidRDefault="0008415E">
      <w:pPr>
        <w:spacing w:line="240" w:lineRule="auto"/>
        <w:ind w:firstLine="0"/>
        <w:contextualSpacing/>
        <w:jc w:val="center"/>
        <w:rPr>
          <w:rFonts w:cs="Times New Roman"/>
          <w:b/>
          <w:bCs/>
          <w:szCs w:val="24"/>
        </w:rPr>
      </w:pPr>
    </w:p>
    <w:p w14:paraId="0F185590" w14:textId="77777777" w:rsidR="00446A7C" w:rsidRDefault="00446A7C">
      <w:pPr>
        <w:spacing w:line="240" w:lineRule="auto"/>
        <w:ind w:firstLine="0"/>
        <w:contextualSpacing/>
        <w:jc w:val="center"/>
        <w:rPr>
          <w:rFonts w:cs="Times New Roman"/>
          <w:b/>
          <w:bCs/>
          <w:szCs w:val="24"/>
        </w:rPr>
      </w:pPr>
    </w:p>
    <w:p w14:paraId="4766B1AD" w14:textId="77777777" w:rsidR="00446A7C" w:rsidRPr="00446A7C" w:rsidRDefault="00446A7C">
      <w:pPr>
        <w:spacing w:line="240" w:lineRule="auto"/>
        <w:ind w:firstLine="0"/>
        <w:contextualSpacing/>
        <w:jc w:val="center"/>
        <w:rPr>
          <w:rFonts w:cs="Times New Roman"/>
          <w:b/>
          <w:bCs/>
          <w:szCs w:val="24"/>
        </w:rPr>
      </w:pPr>
    </w:p>
    <w:p w14:paraId="420FCE38" w14:textId="77777777" w:rsidR="0008415E" w:rsidRPr="00446A7C" w:rsidRDefault="0008415E" w:rsidP="00446A7C">
      <w:pPr>
        <w:spacing w:line="360" w:lineRule="auto"/>
        <w:ind w:firstLine="0"/>
        <w:contextualSpacing/>
        <w:jc w:val="center"/>
        <w:rPr>
          <w:rFonts w:cs="Times New Roman"/>
          <w:b/>
          <w:bCs/>
          <w:szCs w:val="24"/>
        </w:rPr>
      </w:pPr>
    </w:p>
    <w:p w14:paraId="7366FF33" w14:textId="77777777" w:rsidR="0008415E" w:rsidRDefault="0008415E">
      <w:pPr>
        <w:spacing w:line="240" w:lineRule="auto"/>
        <w:ind w:firstLine="0"/>
        <w:contextualSpacing/>
        <w:jc w:val="center"/>
        <w:rPr>
          <w:rFonts w:cs="Times New Roman"/>
          <w:b/>
          <w:bCs/>
          <w:szCs w:val="24"/>
        </w:rPr>
      </w:pPr>
    </w:p>
    <w:p w14:paraId="2B8FBA59" w14:textId="77777777" w:rsidR="00446A7C" w:rsidRDefault="00446A7C">
      <w:pPr>
        <w:spacing w:line="240" w:lineRule="auto"/>
        <w:ind w:firstLine="0"/>
        <w:contextualSpacing/>
        <w:jc w:val="center"/>
        <w:rPr>
          <w:rFonts w:cs="Times New Roman"/>
          <w:b/>
          <w:bCs/>
          <w:szCs w:val="24"/>
        </w:rPr>
      </w:pPr>
    </w:p>
    <w:p w14:paraId="6C076D7C" w14:textId="77777777" w:rsidR="00446A7C" w:rsidRDefault="00446A7C">
      <w:pPr>
        <w:spacing w:line="240" w:lineRule="auto"/>
        <w:ind w:firstLine="0"/>
        <w:contextualSpacing/>
        <w:jc w:val="center"/>
        <w:rPr>
          <w:rFonts w:cs="Times New Roman"/>
          <w:b/>
          <w:bCs/>
          <w:szCs w:val="24"/>
        </w:rPr>
      </w:pPr>
    </w:p>
    <w:p w14:paraId="411B9720" w14:textId="77777777" w:rsidR="00446A7C" w:rsidRDefault="00446A7C">
      <w:pPr>
        <w:spacing w:line="240" w:lineRule="auto"/>
        <w:ind w:firstLine="0"/>
        <w:contextualSpacing/>
        <w:jc w:val="center"/>
        <w:rPr>
          <w:rFonts w:cs="Times New Roman"/>
          <w:b/>
          <w:bCs/>
          <w:szCs w:val="24"/>
        </w:rPr>
      </w:pPr>
    </w:p>
    <w:p w14:paraId="33F9749D" w14:textId="77777777" w:rsidR="00446A7C" w:rsidRDefault="00446A7C">
      <w:pPr>
        <w:spacing w:line="240" w:lineRule="auto"/>
        <w:ind w:firstLine="0"/>
        <w:contextualSpacing/>
        <w:jc w:val="center"/>
        <w:rPr>
          <w:rFonts w:cs="Times New Roman"/>
          <w:b/>
          <w:bCs/>
          <w:szCs w:val="24"/>
        </w:rPr>
      </w:pPr>
    </w:p>
    <w:p w14:paraId="18FE829E" w14:textId="77777777" w:rsidR="00446A7C" w:rsidRDefault="00446A7C">
      <w:pPr>
        <w:spacing w:line="240" w:lineRule="auto"/>
        <w:ind w:firstLine="0"/>
        <w:contextualSpacing/>
        <w:jc w:val="center"/>
        <w:rPr>
          <w:rFonts w:cs="Times New Roman"/>
          <w:b/>
          <w:bCs/>
          <w:szCs w:val="24"/>
        </w:rPr>
      </w:pPr>
    </w:p>
    <w:p w14:paraId="60EC3B20" w14:textId="77777777" w:rsidR="00446A7C" w:rsidRDefault="00446A7C">
      <w:pPr>
        <w:spacing w:line="240" w:lineRule="auto"/>
        <w:ind w:firstLine="0"/>
        <w:contextualSpacing/>
        <w:jc w:val="center"/>
        <w:rPr>
          <w:rFonts w:cs="Times New Roman"/>
          <w:b/>
          <w:bCs/>
          <w:szCs w:val="24"/>
        </w:rPr>
      </w:pPr>
    </w:p>
    <w:p w14:paraId="15486852" w14:textId="77777777" w:rsidR="00446A7C" w:rsidRDefault="00446A7C">
      <w:pPr>
        <w:spacing w:line="240" w:lineRule="auto"/>
        <w:ind w:firstLine="0"/>
        <w:contextualSpacing/>
        <w:jc w:val="center"/>
        <w:rPr>
          <w:rFonts w:cs="Times New Roman"/>
          <w:b/>
          <w:bCs/>
          <w:szCs w:val="24"/>
        </w:rPr>
      </w:pPr>
    </w:p>
    <w:p w14:paraId="5F8D806E" w14:textId="77777777" w:rsidR="00446A7C" w:rsidRDefault="00446A7C">
      <w:pPr>
        <w:spacing w:line="240" w:lineRule="auto"/>
        <w:ind w:firstLine="0"/>
        <w:contextualSpacing/>
        <w:jc w:val="center"/>
        <w:rPr>
          <w:rFonts w:cs="Times New Roman"/>
          <w:b/>
          <w:bCs/>
          <w:szCs w:val="24"/>
        </w:rPr>
      </w:pPr>
    </w:p>
    <w:p w14:paraId="4F219317" w14:textId="77777777" w:rsidR="00446A7C" w:rsidRDefault="00446A7C">
      <w:pPr>
        <w:spacing w:line="240" w:lineRule="auto"/>
        <w:ind w:firstLine="0"/>
        <w:contextualSpacing/>
        <w:jc w:val="center"/>
        <w:rPr>
          <w:rFonts w:cs="Times New Roman"/>
          <w:b/>
          <w:bCs/>
          <w:szCs w:val="24"/>
        </w:rPr>
      </w:pPr>
    </w:p>
    <w:p w14:paraId="57922732" w14:textId="77777777" w:rsidR="008A5D2D" w:rsidRDefault="008A5D2D">
      <w:pPr>
        <w:spacing w:line="240" w:lineRule="auto"/>
        <w:ind w:firstLine="0"/>
        <w:contextualSpacing/>
        <w:jc w:val="center"/>
        <w:rPr>
          <w:rFonts w:cs="Times New Roman"/>
          <w:b/>
          <w:bCs/>
          <w:szCs w:val="24"/>
        </w:rPr>
      </w:pPr>
    </w:p>
    <w:p w14:paraId="3B96064C" w14:textId="77777777" w:rsidR="008A5D2D" w:rsidRDefault="008A5D2D">
      <w:pPr>
        <w:spacing w:line="240" w:lineRule="auto"/>
        <w:ind w:firstLine="0"/>
        <w:contextualSpacing/>
        <w:jc w:val="center"/>
        <w:rPr>
          <w:rFonts w:cs="Times New Roman"/>
          <w:b/>
          <w:bCs/>
          <w:szCs w:val="24"/>
        </w:rPr>
      </w:pPr>
    </w:p>
    <w:p w14:paraId="1210427F" w14:textId="77777777" w:rsidR="008A5D2D" w:rsidRDefault="008A5D2D">
      <w:pPr>
        <w:spacing w:line="240" w:lineRule="auto"/>
        <w:ind w:firstLine="0"/>
        <w:contextualSpacing/>
        <w:jc w:val="center"/>
        <w:rPr>
          <w:rFonts w:cs="Times New Roman"/>
          <w:b/>
          <w:bCs/>
          <w:szCs w:val="24"/>
        </w:rPr>
      </w:pPr>
    </w:p>
    <w:p w14:paraId="174A4C76" w14:textId="77777777" w:rsidR="008A5D2D" w:rsidRDefault="008A5D2D">
      <w:pPr>
        <w:spacing w:line="240" w:lineRule="auto"/>
        <w:ind w:firstLine="0"/>
        <w:contextualSpacing/>
        <w:jc w:val="center"/>
        <w:rPr>
          <w:rFonts w:cs="Times New Roman"/>
          <w:b/>
          <w:bCs/>
          <w:szCs w:val="24"/>
        </w:rPr>
      </w:pPr>
    </w:p>
    <w:p w14:paraId="52600244" w14:textId="77777777" w:rsidR="008A5D2D" w:rsidRDefault="008A5D2D">
      <w:pPr>
        <w:spacing w:line="240" w:lineRule="auto"/>
        <w:ind w:firstLine="0"/>
        <w:contextualSpacing/>
        <w:jc w:val="center"/>
        <w:rPr>
          <w:rFonts w:cs="Times New Roman"/>
          <w:b/>
          <w:bCs/>
          <w:szCs w:val="24"/>
        </w:rPr>
      </w:pPr>
    </w:p>
    <w:p w14:paraId="6A847DEB" w14:textId="77777777" w:rsidR="008A5D2D" w:rsidRDefault="008A5D2D">
      <w:pPr>
        <w:spacing w:line="240" w:lineRule="auto"/>
        <w:ind w:firstLine="0"/>
        <w:contextualSpacing/>
        <w:jc w:val="center"/>
        <w:rPr>
          <w:rFonts w:cs="Times New Roman"/>
          <w:b/>
          <w:bCs/>
          <w:szCs w:val="24"/>
        </w:rPr>
      </w:pPr>
    </w:p>
    <w:p w14:paraId="7336D651" w14:textId="77777777" w:rsidR="00446A7C" w:rsidRDefault="00446A7C">
      <w:pPr>
        <w:spacing w:line="240" w:lineRule="auto"/>
        <w:ind w:firstLine="0"/>
        <w:contextualSpacing/>
        <w:jc w:val="center"/>
        <w:rPr>
          <w:rFonts w:cs="Times New Roman"/>
          <w:b/>
          <w:bCs/>
          <w:szCs w:val="24"/>
        </w:rPr>
      </w:pPr>
    </w:p>
    <w:p w14:paraId="47FB0C76" w14:textId="77777777" w:rsidR="00446A7C" w:rsidRDefault="00446A7C">
      <w:pPr>
        <w:spacing w:line="240" w:lineRule="auto"/>
        <w:ind w:firstLine="0"/>
        <w:contextualSpacing/>
        <w:jc w:val="center"/>
        <w:rPr>
          <w:rFonts w:cs="Times New Roman"/>
          <w:b/>
          <w:bCs/>
          <w:szCs w:val="24"/>
        </w:rPr>
      </w:pPr>
    </w:p>
    <w:p w14:paraId="515944F5" w14:textId="77777777" w:rsidR="0008415E" w:rsidRPr="00446A7C" w:rsidRDefault="0008415E">
      <w:pPr>
        <w:spacing w:line="240" w:lineRule="auto"/>
        <w:ind w:firstLine="0"/>
        <w:contextualSpacing/>
        <w:jc w:val="center"/>
        <w:rPr>
          <w:rFonts w:cs="Times New Roman"/>
          <w:b/>
          <w:bCs/>
          <w:szCs w:val="24"/>
        </w:rPr>
      </w:pPr>
    </w:p>
    <w:p w14:paraId="68B7478A" w14:textId="0F42855D" w:rsidR="0008415E" w:rsidRPr="00446A7C" w:rsidRDefault="00402705">
      <w:pPr>
        <w:spacing w:line="240" w:lineRule="auto"/>
        <w:ind w:firstLine="0"/>
        <w:contextualSpacing/>
        <w:jc w:val="center"/>
        <w:rPr>
          <w:rFonts w:cs="Times New Roman"/>
          <w:b/>
          <w:bCs/>
          <w:szCs w:val="24"/>
        </w:rPr>
      </w:pPr>
      <w:r>
        <w:rPr>
          <w:rFonts w:cs="Times New Roman"/>
          <w:b/>
          <w:bCs/>
          <w:noProof/>
          <w:szCs w:val="24"/>
        </w:rPr>
        <w:pict w14:anchorId="06030413">
          <v:shapetype id="_x0000_t202" coordsize="21600,21600" o:spt="202" path="m,l,21600r21600,l21600,xe">
            <v:stroke joinstyle="miter"/>
            <v:path gradientshapeok="t" o:connecttype="rect"/>
          </v:shapetype>
          <v:shape id="_x0000_s1030" type="#_x0000_t202" style="position:absolute;left:0;text-align:left;margin-left:211.9pt;margin-top:24.8pt;width:32.6pt;height:25.85pt;z-index:251679744" stroked="f">
            <v:textbox>
              <w:txbxContent>
                <w:p w14:paraId="2D821369" w14:textId="77777777" w:rsidR="00402705" w:rsidRDefault="00402705"/>
              </w:txbxContent>
            </v:textbox>
          </v:shape>
        </w:pict>
      </w:r>
      <w:r w:rsidR="00000000" w:rsidRPr="00446A7C">
        <w:rPr>
          <w:rFonts w:cs="Times New Roman"/>
          <w:b/>
          <w:bCs/>
          <w:szCs w:val="24"/>
        </w:rPr>
        <w:t>2024</w:t>
      </w:r>
    </w:p>
    <w:p w14:paraId="2C4071B5" w14:textId="77777777" w:rsidR="00446A7C" w:rsidRDefault="00446A7C" w:rsidP="00446A7C">
      <w:pPr>
        <w:spacing w:line="360" w:lineRule="auto"/>
        <w:ind w:firstLine="0"/>
        <w:contextualSpacing/>
        <w:jc w:val="center"/>
        <w:rPr>
          <w:rFonts w:cs="Times New Roman"/>
          <w:b/>
          <w:bCs/>
          <w:szCs w:val="24"/>
        </w:rPr>
        <w:sectPr w:rsidR="00446A7C" w:rsidSect="00446A7C">
          <w:footerReference w:type="default" r:id="rId9"/>
          <w:footerReference w:type="first" r:id="rId10"/>
          <w:pgSz w:w="11906" w:h="16838" w:code="9"/>
          <w:pgMar w:top="1440" w:right="1440" w:bottom="1440" w:left="2160" w:header="0" w:footer="720" w:gutter="0"/>
          <w:pgNumType w:fmt="lowerRoman" w:start="1"/>
          <w:cols w:space="720"/>
          <w:formProt w:val="0"/>
          <w:titlePg/>
          <w:docGrid w:linePitch="360"/>
        </w:sectPr>
      </w:pPr>
    </w:p>
    <w:p w14:paraId="644D9B1E" w14:textId="407E577C" w:rsidR="0008415E" w:rsidRPr="00446A7C" w:rsidRDefault="00000000" w:rsidP="00446A7C">
      <w:pPr>
        <w:spacing w:line="360" w:lineRule="auto"/>
        <w:ind w:firstLine="0"/>
        <w:contextualSpacing/>
        <w:jc w:val="center"/>
        <w:rPr>
          <w:rFonts w:cs="Times New Roman"/>
          <w:b/>
          <w:bCs/>
          <w:szCs w:val="24"/>
        </w:rPr>
      </w:pPr>
      <w:r w:rsidRPr="00446A7C">
        <w:rPr>
          <w:rFonts w:cs="Times New Roman"/>
          <w:b/>
          <w:bCs/>
          <w:szCs w:val="24"/>
        </w:rPr>
        <w:lastRenderedPageBreak/>
        <w:t>SIMON DIEDONG DOMBO UNIVERSITY OF BUSINESS AND INTEGRATED DEVELOPMENT STUDIES</w:t>
      </w:r>
    </w:p>
    <w:p w14:paraId="00CB46E7" w14:textId="77777777" w:rsidR="0008415E" w:rsidRPr="00446A7C" w:rsidRDefault="0008415E" w:rsidP="00446A7C">
      <w:pPr>
        <w:spacing w:line="240" w:lineRule="auto"/>
        <w:ind w:firstLine="0"/>
        <w:contextualSpacing/>
        <w:jc w:val="center"/>
        <w:rPr>
          <w:rFonts w:cs="Times New Roman"/>
          <w:b/>
          <w:bCs/>
          <w:szCs w:val="24"/>
        </w:rPr>
      </w:pPr>
    </w:p>
    <w:p w14:paraId="116BCC5C" w14:textId="1868BB3F" w:rsidR="0008415E" w:rsidRPr="00446A7C" w:rsidRDefault="00000000" w:rsidP="00446A7C">
      <w:pPr>
        <w:spacing w:after="0" w:line="480" w:lineRule="auto"/>
        <w:ind w:firstLine="0"/>
        <w:jc w:val="center"/>
        <w:rPr>
          <w:rFonts w:cs="Times New Roman"/>
          <w:b/>
          <w:bCs/>
          <w:szCs w:val="24"/>
        </w:rPr>
      </w:pPr>
      <w:r w:rsidRPr="00446A7C">
        <w:rPr>
          <w:rFonts w:cs="Times New Roman"/>
          <w:b/>
          <w:bCs/>
          <w:szCs w:val="24"/>
        </w:rPr>
        <w:t>FACULTY OF PUBLIC POLICY AND GOVERNANCE</w:t>
      </w:r>
    </w:p>
    <w:p w14:paraId="6F8BA0FD" w14:textId="77777777" w:rsidR="0008415E" w:rsidRPr="00446A7C" w:rsidRDefault="00000000" w:rsidP="00446A7C">
      <w:pPr>
        <w:spacing w:line="480" w:lineRule="auto"/>
        <w:ind w:firstLine="0"/>
        <w:contextualSpacing/>
        <w:jc w:val="center"/>
        <w:rPr>
          <w:rFonts w:cs="Times New Roman"/>
          <w:b/>
          <w:bCs/>
          <w:szCs w:val="24"/>
        </w:rPr>
      </w:pPr>
      <w:r w:rsidRPr="00446A7C">
        <w:rPr>
          <w:rFonts w:cs="Times New Roman"/>
          <w:b/>
          <w:bCs/>
          <w:szCs w:val="24"/>
        </w:rPr>
        <w:t>DEPARTMENT OF PUBLIC POLICY AND MANAGEMEN</w:t>
      </w:r>
    </w:p>
    <w:p w14:paraId="5AABFEC2" w14:textId="77777777" w:rsidR="0008415E" w:rsidRDefault="0008415E">
      <w:pPr>
        <w:spacing w:line="480" w:lineRule="auto"/>
        <w:ind w:firstLine="0"/>
        <w:contextualSpacing/>
        <w:jc w:val="center"/>
        <w:rPr>
          <w:rFonts w:cs="Times New Roman"/>
          <w:b/>
          <w:bCs/>
          <w:szCs w:val="24"/>
        </w:rPr>
      </w:pPr>
    </w:p>
    <w:p w14:paraId="1B4C7848" w14:textId="77777777" w:rsidR="00446A7C" w:rsidRDefault="00446A7C">
      <w:pPr>
        <w:spacing w:line="480" w:lineRule="auto"/>
        <w:ind w:firstLine="0"/>
        <w:contextualSpacing/>
        <w:jc w:val="center"/>
        <w:rPr>
          <w:rFonts w:cs="Times New Roman"/>
          <w:b/>
          <w:bCs/>
          <w:szCs w:val="24"/>
        </w:rPr>
      </w:pPr>
    </w:p>
    <w:p w14:paraId="64E58D85" w14:textId="77777777" w:rsidR="00446A7C" w:rsidRPr="00446A7C" w:rsidRDefault="00446A7C" w:rsidP="00446A7C">
      <w:pPr>
        <w:spacing w:line="360" w:lineRule="auto"/>
        <w:ind w:firstLine="0"/>
        <w:contextualSpacing/>
        <w:jc w:val="center"/>
        <w:rPr>
          <w:rFonts w:cs="Times New Roman"/>
          <w:b/>
          <w:bCs/>
          <w:szCs w:val="24"/>
          <w:lang w:val="en-US"/>
        </w:rPr>
      </w:pPr>
      <w:r w:rsidRPr="00446A7C">
        <w:rPr>
          <w:rFonts w:cs="Times New Roman"/>
          <w:b/>
          <w:bCs/>
          <w:szCs w:val="24"/>
          <w:lang w:val="en-US"/>
        </w:rPr>
        <w:t>TOWARDS SUSTAINABLE POVERTY REDUCTION: THE ROLE OF DIGITAL TECHNOLOGY</w:t>
      </w:r>
      <w:r>
        <w:rPr>
          <w:rFonts w:cs="Times New Roman"/>
          <w:b/>
          <w:bCs/>
          <w:szCs w:val="24"/>
          <w:lang w:val="en-US"/>
        </w:rPr>
        <w:t xml:space="preserve"> </w:t>
      </w:r>
      <w:r w:rsidRPr="00446A7C">
        <w:rPr>
          <w:rFonts w:cs="Times New Roman"/>
          <w:b/>
          <w:bCs/>
          <w:szCs w:val="24"/>
          <w:lang w:val="en-US"/>
        </w:rPr>
        <w:t>IN ENHANCING THE LIVELIHOOD EMPOWERMENT AGAINST POVERTY (LEAP) PROGRAMME</w:t>
      </w:r>
    </w:p>
    <w:p w14:paraId="55730580" w14:textId="77777777" w:rsidR="00446A7C" w:rsidRPr="00446A7C" w:rsidRDefault="00446A7C" w:rsidP="00446A7C">
      <w:pPr>
        <w:spacing w:line="360" w:lineRule="auto"/>
        <w:ind w:firstLine="0"/>
        <w:contextualSpacing/>
        <w:jc w:val="center"/>
        <w:rPr>
          <w:rFonts w:cs="Times New Roman"/>
          <w:b/>
          <w:bCs/>
          <w:szCs w:val="24"/>
          <w:lang w:val="en-US"/>
        </w:rPr>
      </w:pPr>
    </w:p>
    <w:p w14:paraId="38A6E5B4" w14:textId="77777777" w:rsidR="00446A7C" w:rsidRDefault="00446A7C" w:rsidP="00446A7C">
      <w:pPr>
        <w:spacing w:line="240" w:lineRule="auto"/>
        <w:ind w:firstLine="0"/>
        <w:contextualSpacing/>
        <w:jc w:val="center"/>
        <w:rPr>
          <w:rFonts w:cs="Times New Roman"/>
          <w:b/>
          <w:bCs/>
          <w:szCs w:val="24"/>
          <w:lang w:val="en-US"/>
        </w:rPr>
      </w:pPr>
    </w:p>
    <w:p w14:paraId="75C6FAF0" w14:textId="77777777" w:rsidR="00446A7C" w:rsidRPr="00446A7C" w:rsidRDefault="00446A7C" w:rsidP="00446A7C">
      <w:pPr>
        <w:spacing w:line="240" w:lineRule="auto"/>
        <w:ind w:firstLine="0"/>
        <w:contextualSpacing/>
        <w:jc w:val="center"/>
        <w:rPr>
          <w:rFonts w:cs="Times New Roman"/>
          <w:b/>
          <w:bCs/>
          <w:szCs w:val="24"/>
          <w:lang w:val="en-US"/>
        </w:rPr>
      </w:pPr>
    </w:p>
    <w:p w14:paraId="6D95AD24" w14:textId="77777777" w:rsidR="00446A7C" w:rsidRPr="00446A7C" w:rsidRDefault="00446A7C" w:rsidP="00446A7C">
      <w:pPr>
        <w:spacing w:line="240" w:lineRule="auto"/>
        <w:ind w:firstLine="0"/>
        <w:contextualSpacing/>
        <w:jc w:val="center"/>
        <w:rPr>
          <w:rFonts w:cs="Times New Roman"/>
          <w:b/>
          <w:bCs/>
          <w:szCs w:val="24"/>
          <w:lang w:val="en-US"/>
        </w:rPr>
      </w:pPr>
    </w:p>
    <w:p w14:paraId="222023E8" w14:textId="77777777" w:rsidR="00446A7C" w:rsidRPr="00446A7C" w:rsidRDefault="00446A7C" w:rsidP="00446A7C">
      <w:pPr>
        <w:spacing w:line="360" w:lineRule="auto"/>
        <w:ind w:firstLine="0"/>
        <w:contextualSpacing/>
        <w:jc w:val="center"/>
        <w:rPr>
          <w:rFonts w:cs="Times New Roman"/>
          <w:b/>
          <w:bCs/>
          <w:szCs w:val="24"/>
        </w:rPr>
      </w:pPr>
      <w:r w:rsidRPr="00446A7C">
        <w:rPr>
          <w:rFonts w:cs="Times New Roman"/>
          <w:b/>
          <w:bCs/>
          <w:szCs w:val="24"/>
        </w:rPr>
        <w:t>ABUBAKARI ZAKIATU</w:t>
      </w:r>
    </w:p>
    <w:p w14:paraId="460E4F6D" w14:textId="77777777" w:rsidR="00446A7C" w:rsidRPr="00446A7C" w:rsidRDefault="00446A7C" w:rsidP="00446A7C">
      <w:pPr>
        <w:spacing w:line="360" w:lineRule="auto"/>
        <w:ind w:firstLine="0"/>
        <w:contextualSpacing/>
        <w:jc w:val="center"/>
        <w:rPr>
          <w:rFonts w:cs="Times New Roman"/>
          <w:b/>
          <w:bCs/>
          <w:szCs w:val="24"/>
        </w:rPr>
      </w:pPr>
      <w:r w:rsidRPr="00446A7C">
        <w:rPr>
          <w:rFonts w:cs="Times New Roman"/>
          <w:b/>
          <w:bCs/>
          <w:szCs w:val="24"/>
        </w:rPr>
        <w:t>PG0109021</w:t>
      </w:r>
    </w:p>
    <w:p w14:paraId="2E09E1C4" w14:textId="77777777" w:rsidR="00446A7C" w:rsidRPr="00446A7C" w:rsidRDefault="00446A7C" w:rsidP="00446A7C">
      <w:pPr>
        <w:spacing w:line="240" w:lineRule="auto"/>
        <w:ind w:firstLine="0"/>
        <w:contextualSpacing/>
        <w:jc w:val="center"/>
        <w:rPr>
          <w:rFonts w:cs="Times New Roman"/>
          <w:b/>
          <w:bCs/>
          <w:szCs w:val="24"/>
        </w:rPr>
      </w:pPr>
    </w:p>
    <w:p w14:paraId="4C26D586" w14:textId="77777777" w:rsidR="00446A7C" w:rsidRPr="00446A7C" w:rsidRDefault="00446A7C" w:rsidP="00446A7C">
      <w:pPr>
        <w:spacing w:line="240" w:lineRule="auto"/>
        <w:ind w:firstLine="0"/>
        <w:contextualSpacing/>
        <w:jc w:val="center"/>
        <w:rPr>
          <w:rFonts w:cs="Times New Roman"/>
          <w:b/>
          <w:bCs/>
          <w:szCs w:val="24"/>
        </w:rPr>
      </w:pPr>
    </w:p>
    <w:p w14:paraId="08DA4DCD" w14:textId="77777777" w:rsidR="00446A7C" w:rsidRDefault="00446A7C" w:rsidP="00446A7C">
      <w:pPr>
        <w:spacing w:line="240" w:lineRule="auto"/>
        <w:ind w:firstLine="0"/>
        <w:contextualSpacing/>
        <w:jc w:val="center"/>
        <w:rPr>
          <w:rFonts w:cs="Times New Roman"/>
          <w:b/>
          <w:bCs/>
          <w:szCs w:val="24"/>
        </w:rPr>
      </w:pPr>
    </w:p>
    <w:p w14:paraId="39E755F7" w14:textId="77777777" w:rsidR="00446A7C" w:rsidRDefault="00446A7C" w:rsidP="00446A7C">
      <w:pPr>
        <w:spacing w:line="240" w:lineRule="auto"/>
        <w:ind w:firstLine="0"/>
        <w:contextualSpacing/>
        <w:jc w:val="center"/>
        <w:rPr>
          <w:rFonts w:cs="Times New Roman"/>
          <w:b/>
          <w:bCs/>
          <w:szCs w:val="24"/>
        </w:rPr>
      </w:pPr>
    </w:p>
    <w:p w14:paraId="7AD9A9D0" w14:textId="77777777" w:rsidR="00446A7C" w:rsidRPr="00446A7C" w:rsidRDefault="00446A7C" w:rsidP="00446A7C">
      <w:pPr>
        <w:spacing w:line="240" w:lineRule="auto"/>
        <w:ind w:firstLine="0"/>
        <w:contextualSpacing/>
        <w:jc w:val="center"/>
        <w:rPr>
          <w:rFonts w:cs="Times New Roman"/>
          <w:b/>
          <w:bCs/>
          <w:szCs w:val="24"/>
        </w:rPr>
      </w:pPr>
    </w:p>
    <w:p w14:paraId="0B547C8A" w14:textId="672B9C49" w:rsidR="00446A7C" w:rsidRPr="00446A7C" w:rsidRDefault="00446A7C" w:rsidP="00446A7C">
      <w:pPr>
        <w:spacing w:line="360" w:lineRule="auto"/>
        <w:ind w:firstLine="0"/>
        <w:contextualSpacing/>
        <w:jc w:val="center"/>
        <w:rPr>
          <w:rFonts w:cs="Times New Roman"/>
          <w:b/>
          <w:bCs/>
          <w:szCs w:val="24"/>
        </w:rPr>
      </w:pPr>
      <w:r w:rsidRPr="00446A7C">
        <w:rPr>
          <w:rFonts w:cs="Times New Roman"/>
          <w:b/>
          <w:bCs/>
          <w:szCs w:val="24"/>
        </w:rPr>
        <w:t xml:space="preserve">THESIS SUBMITTED TO THE DEPARTMENT OF PUBLIC POLICY AND MANAGEMENT, FACULTY OF PUBLIC POLICY AND GOVERNANCE, SIMON DIEDONG DOMBO UNIVERSITY OF BUSINESS AND INTEGRATED DEVELOPMENT STUDIES, IN PARTIAL </w:t>
      </w:r>
      <w:r w:rsidR="00402705">
        <w:rPr>
          <w:rFonts w:cs="Times New Roman"/>
          <w:b/>
          <w:bCs/>
          <w:szCs w:val="24"/>
        </w:rPr>
        <w:t xml:space="preserve">                         </w:t>
      </w:r>
      <w:r w:rsidRPr="00446A7C">
        <w:rPr>
          <w:rFonts w:cs="Times New Roman"/>
          <w:b/>
          <w:bCs/>
          <w:szCs w:val="24"/>
        </w:rPr>
        <w:t>FULFILMENT</w:t>
      </w:r>
      <w:r w:rsidR="00402705">
        <w:rPr>
          <w:rFonts w:cs="Times New Roman"/>
          <w:b/>
          <w:bCs/>
          <w:szCs w:val="24"/>
        </w:rPr>
        <w:t xml:space="preserve"> </w:t>
      </w:r>
      <w:r w:rsidRPr="00446A7C">
        <w:rPr>
          <w:rFonts w:cs="Times New Roman"/>
          <w:b/>
          <w:bCs/>
          <w:szCs w:val="24"/>
        </w:rPr>
        <w:t xml:space="preserve">OF THE REQUIREMENTS FOR THE </w:t>
      </w:r>
      <w:r w:rsidR="00402705">
        <w:rPr>
          <w:rFonts w:cs="Times New Roman"/>
          <w:b/>
          <w:bCs/>
          <w:szCs w:val="24"/>
        </w:rPr>
        <w:t xml:space="preserve">                                            </w:t>
      </w:r>
      <w:r w:rsidRPr="00446A7C">
        <w:rPr>
          <w:rFonts w:cs="Times New Roman"/>
          <w:b/>
          <w:bCs/>
          <w:szCs w:val="24"/>
        </w:rPr>
        <w:t>AWARD</w:t>
      </w:r>
      <w:r w:rsidR="00402705">
        <w:rPr>
          <w:rFonts w:cs="Times New Roman"/>
          <w:b/>
          <w:bCs/>
          <w:szCs w:val="24"/>
        </w:rPr>
        <w:t xml:space="preserve"> </w:t>
      </w:r>
      <w:r w:rsidRPr="00446A7C">
        <w:rPr>
          <w:rFonts w:cs="Times New Roman"/>
          <w:b/>
          <w:bCs/>
          <w:szCs w:val="24"/>
        </w:rPr>
        <w:t>OF MASTER OF PHILOSOPHY</w:t>
      </w:r>
      <w:r w:rsidR="0061579B">
        <w:rPr>
          <w:rFonts w:cs="Times New Roman"/>
          <w:b/>
          <w:bCs/>
          <w:szCs w:val="24"/>
        </w:rPr>
        <w:t xml:space="preserve"> </w:t>
      </w:r>
      <w:r w:rsidRPr="00446A7C">
        <w:rPr>
          <w:rFonts w:cs="Times New Roman"/>
          <w:b/>
          <w:bCs/>
          <w:szCs w:val="24"/>
        </w:rPr>
        <w:t xml:space="preserve">IN </w:t>
      </w:r>
      <w:r w:rsidR="00402705">
        <w:rPr>
          <w:rFonts w:cs="Times New Roman"/>
          <w:b/>
          <w:bCs/>
          <w:szCs w:val="24"/>
        </w:rPr>
        <w:t xml:space="preserve">                                                             </w:t>
      </w:r>
      <w:r w:rsidRPr="00446A7C">
        <w:rPr>
          <w:rFonts w:cs="Times New Roman"/>
          <w:b/>
          <w:bCs/>
          <w:szCs w:val="24"/>
        </w:rPr>
        <w:t>SOCIAL POLICY AND SERVICES MANAGEMENT</w:t>
      </w:r>
    </w:p>
    <w:p w14:paraId="433A63DE" w14:textId="77777777" w:rsidR="00446A7C" w:rsidRPr="00446A7C" w:rsidRDefault="00446A7C" w:rsidP="00446A7C">
      <w:pPr>
        <w:spacing w:line="360" w:lineRule="auto"/>
        <w:ind w:firstLine="0"/>
        <w:contextualSpacing/>
        <w:jc w:val="center"/>
        <w:rPr>
          <w:rFonts w:cs="Times New Roman"/>
          <w:b/>
          <w:bCs/>
          <w:szCs w:val="24"/>
        </w:rPr>
      </w:pPr>
    </w:p>
    <w:p w14:paraId="11987F34" w14:textId="77777777" w:rsidR="00446A7C" w:rsidRDefault="00446A7C" w:rsidP="00446A7C">
      <w:pPr>
        <w:spacing w:line="240" w:lineRule="auto"/>
        <w:ind w:firstLine="0"/>
        <w:contextualSpacing/>
        <w:jc w:val="center"/>
        <w:rPr>
          <w:rFonts w:cs="Times New Roman"/>
          <w:b/>
          <w:bCs/>
          <w:szCs w:val="24"/>
        </w:rPr>
      </w:pPr>
    </w:p>
    <w:p w14:paraId="2254A1F8" w14:textId="77777777" w:rsidR="00446A7C" w:rsidRDefault="00446A7C" w:rsidP="00446A7C">
      <w:pPr>
        <w:spacing w:line="240" w:lineRule="auto"/>
        <w:ind w:firstLine="0"/>
        <w:contextualSpacing/>
        <w:jc w:val="center"/>
        <w:rPr>
          <w:rFonts w:cs="Times New Roman"/>
          <w:b/>
          <w:bCs/>
          <w:szCs w:val="24"/>
        </w:rPr>
      </w:pPr>
    </w:p>
    <w:p w14:paraId="117717EE" w14:textId="77777777" w:rsidR="0061579B" w:rsidRDefault="0061579B" w:rsidP="00446A7C">
      <w:pPr>
        <w:spacing w:line="240" w:lineRule="auto"/>
        <w:ind w:firstLine="0"/>
        <w:contextualSpacing/>
        <w:jc w:val="center"/>
        <w:rPr>
          <w:rFonts w:cs="Times New Roman"/>
          <w:b/>
          <w:bCs/>
          <w:szCs w:val="24"/>
        </w:rPr>
      </w:pPr>
    </w:p>
    <w:p w14:paraId="744EE964" w14:textId="77777777" w:rsidR="0061579B" w:rsidRDefault="0061579B" w:rsidP="00446A7C">
      <w:pPr>
        <w:spacing w:line="240" w:lineRule="auto"/>
        <w:ind w:firstLine="0"/>
        <w:contextualSpacing/>
        <w:jc w:val="center"/>
        <w:rPr>
          <w:rFonts w:cs="Times New Roman"/>
          <w:b/>
          <w:bCs/>
          <w:szCs w:val="24"/>
        </w:rPr>
      </w:pPr>
    </w:p>
    <w:p w14:paraId="0720AAFC" w14:textId="77777777" w:rsidR="0061579B" w:rsidRDefault="0061579B" w:rsidP="00446A7C">
      <w:pPr>
        <w:spacing w:line="240" w:lineRule="auto"/>
        <w:ind w:firstLine="0"/>
        <w:contextualSpacing/>
        <w:jc w:val="center"/>
        <w:rPr>
          <w:rFonts w:cs="Times New Roman"/>
          <w:b/>
          <w:bCs/>
          <w:szCs w:val="24"/>
        </w:rPr>
      </w:pPr>
    </w:p>
    <w:p w14:paraId="05799543" w14:textId="77777777" w:rsidR="0061579B" w:rsidRDefault="0061579B" w:rsidP="00446A7C">
      <w:pPr>
        <w:spacing w:line="240" w:lineRule="auto"/>
        <w:ind w:firstLine="0"/>
        <w:contextualSpacing/>
        <w:jc w:val="center"/>
        <w:rPr>
          <w:rFonts w:cs="Times New Roman"/>
          <w:b/>
          <w:bCs/>
          <w:szCs w:val="24"/>
        </w:rPr>
      </w:pPr>
    </w:p>
    <w:p w14:paraId="23D663CA" w14:textId="77777777" w:rsidR="00446A7C" w:rsidRDefault="00446A7C" w:rsidP="00446A7C">
      <w:pPr>
        <w:spacing w:line="240" w:lineRule="auto"/>
        <w:ind w:firstLine="0"/>
        <w:contextualSpacing/>
        <w:jc w:val="center"/>
        <w:rPr>
          <w:rFonts w:cs="Times New Roman"/>
          <w:b/>
          <w:bCs/>
          <w:szCs w:val="24"/>
        </w:rPr>
      </w:pPr>
    </w:p>
    <w:p w14:paraId="72BEF4CD" w14:textId="77777777" w:rsidR="00446A7C" w:rsidRPr="00446A7C" w:rsidRDefault="00446A7C" w:rsidP="00446A7C">
      <w:pPr>
        <w:spacing w:line="240" w:lineRule="auto"/>
        <w:ind w:firstLine="0"/>
        <w:contextualSpacing/>
        <w:jc w:val="center"/>
        <w:rPr>
          <w:rFonts w:cs="Times New Roman"/>
          <w:b/>
          <w:bCs/>
          <w:szCs w:val="24"/>
        </w:rPr>
      </w:pPr>
    </w:p>
    <w:p w14:paraId="13594FD7" w14:textId="0B7327AB" w:rsidR="0008415E" w:rsidRPr="00446A7C" w:rsidRDefault="00402705" w:rsidP="00446A7C">
      <w:pPr>
        <w:spacing w:line="240" w:lineRule="auto"/>
        <w:ind w:firstLine="0"/>
        <w:contextualSpacing/>
        <w:jc w:val="center"/>
        <w:rPr>
          <w:rFonts w:cs="Times New Roman"/>
          <w:b/>
          <w:bCs/>
          <w:szCs w:val="24"/>
        </w:rPr>
      </w:pPr>
      <w:r>
        <w:rPr>
          <w:rFonts w:cs="Times New Roman"/>
          <w:b/>
          <w:bCs/>
          <w:noProof/>
          <w:szCs w:val="24"/>
        </w:rPr>
        <w:pict w14:anchorId="5BC59347">
          <v:shape id="_x0000_s1029" type="#_x0000_t202" style="position:absolute;left:0;text-align:left;margin-left:211.25pt;margin-top:17.95pt;width:27.85pt;height:27.85pt;z-index:251678720" stroked="f">
            <v:textbox>
              <w:txbxContent>
                <w:p w14:paraId="076D11D4" w14:textId="77777777" w:rsidR="00402705" w:rsidRDefault="00402705"/>
              </w:txbxContent>
            </v:textbox>
          </v:shape>
        </w:pict>
      </w:r>
      <w:r w:rsidR="00446A7C">
        <w:rPr>
          <w:rFonts w:cs="Times New Roman"/>
          <w:b/>
          <w:bCs/>
          <w:szCs w:val="24"/>
        </w:rPr>
        <w:t>JULY</w:t>
      </w:r>
      <w:r w:rsidR="00446A7C" w:rsidRPr="00446A7C">
        <w:rPr>
          <w:rFonts w:cs="Times New Roman"/>
          <w:b/>
          <w:bCs/>
          <w:szCs w:val="24"/>
        </w:rPr>
        <w:t>, 2024</w:t>
      </w:r>
    </w:p>
    <w:p w14:paraId="7B75F18D" w14:textId="77777777" w:rsidR="00446A7C" w:rsidRDefault="00446A7C" w:rsidP="00446A7C">
      <w:pPr>
        <w:pStyle w:val="Heading1"/>
        <w:sectPr w:rsidR="00446A7C" w:rsidSect="00446A7C">
          <w:pgSz w:w="11906" w:h="16838" w:code="9"/>
          <w:pgMar w:top="1440" w:right="1440" w:bottom="1440" w:left="2160" w:header="0" w:footer="720" w:gutter="0"/>
          <w:pgNumType w:fmt="lowerRoman" w:start="1"/>
          <w:cols w:space="720"/>
          <w:formProt w:val="0"/>
          <w:titlePg/>
          <w:docGrid w:linePitch="360"/>
        </w:sectPr>
      </w:pPr>
      <w:bookmarkStart w:id="0" w:name="_Toc153206044"/>
    </w:p>
    <w:p w14:paraId="7563220B" w14:textId="77777777" w:rsidR="0008415E" w:rsidRPr="00446A7C" w:rsidRDefault="00000000" w:rsidP="00446A7C">
      <w:pPr>
        <w:pStyle w:val="Heading1"/>
      </w:pPr>
      <w:bookmarkStart w:id="1" w:name="_Toc171703185"/>
      <w:r w:rsidRPr="00446A7C">
        <w:lastRenderedPageBreak/>
        <w:t>DECLARATION</w:t>
      </w:r>
      <w:bookmarkEnd w:id="0"/>
      <w:bookmarkEnd w:id="1"/>
    </w:p>
    <w:p w14:paraId="771E031E" w14:textId="77777777" w:rsidR="0008415E" w:rsidRPr="00446A7C" w:rsidRDefault="00000000">
      <w:pPr>
        <w:spacing w:after="0" w:line="480" w:lineRule="auto"/>
        <w:ind w:firstLine="0"/>
        <w:contextualSpacing/>
        <w:jc w:val="both"/>
        <w:rPr>
          <w:rFonts w:eastAsia="Times New Roman" w:cs="Times New Roman"/>
          <w:b/>
          <w:bCs/>
          <w:szCs w:val="24"/>
          <w:lang w:val="en-US"/>
        </w:rPr>
      </w:pPr>
      <w:r w:rsidRPr="00446A7C">
        <w:rPr>
          <w:rFonts w:eastAsia="Times New Roman" w:cs="Times New Roman"/>
          <w:b/>
          <w:bCs/>
          <w:szCs w:val="24"/>
          <w:lang w:val="en-US"/>
        </w:rPr>
        <w:t>Student</w:t>
      </w:r>
    </w:p>
    <w:p w14:paraId="556A914E" w14:textId="77777777" w:rsidR="0008415E" w:rsidRPr="00446A7C" w:rsidRDefault="00000000">
      <w:pPr>
        <w:spacing w:after="0" w:line="480" w:lineRule="auto"/>
        <w:ind w:firstLine="0"/>
        <w:contextualSpacing/>
        <w:jc w:val="both"/>
        <w:rPr>
          <w:rFonts w:eastAsia="Times New Roman" w:cs="Times New Roman"/>
          <w:szCs w:val="24"/>
          <w:lang w:val="en-US"/>
        </w:rPr>
      </w:pPr>
      <w:r w:rsidRPr="00446A7C">
        <w:rPr>
          <w:rFonts w:eastAsia="Times New Roman" w:cs="Times New Roman"/>
          <w:szCs w:val="24"/>
          <w:lang w:val="en-US"/>
        </w:rPr>
        <w:t>I hereby declare that this thesis is the result of my own original work and that no part of it has been presented for another degree in this University or elsewhere:</w:t>
      </w:r>
    </w:p>
    <w:p w14:paraId="74553D77" w14:textId="77777777" w:rsidR="0008415E" w:rsidRPr="00446A7C" w:rsidRDefault="0008415E">
      <w:pPr>
        <w:spacing w:after="0" w:line="480" w:lineRule="auto"/>
        <w:ind w:firstLine="0"/>
        <w:contextualSpacing/>
        <w:jc w:val="both"/>
        <w:rPr>
          <w:rFonts w:eastAsia="Times New Roman" w:cs="Times New Roman"/>
          <w:szCs w:val="24"/>
          <w:lang w:val="en-US"/>
        </w:rPr>
      </w:pPr>
    </w:p>
    <w:p w14:paraId="05240029" w14:textId="135BB9D3" w:rsidR="0008415E" w:rsidRPr="00446A7C" w:rsidRDefault="00000000" w:rsidP="00480294">
      <w:pPr>
        <w:spacing w:after="0" w:line="480" w:lineRule="auto"/>
        <w:ind w:firstLine="0"/>
        <w:contextualSpacing/>
        <w:rPr>
          <w:rFonts w:eastAsia="Times New Roman" w:cs="Times New Roman"/>
          <w:szCs w:val="24"/>
          <w:lang w:val="en-US"/>
        </w:rPr>
      </w:pPr>
      <w:r w:rsidRPr="00446A7C">
        <w:rPr>
          <w:rFonts w:eastAsia="Times New Roman" w:cs="Times New Roman"/>
          <w:szCs w:val="24"/>
          <w:lang w:val="en-US"/>
        </w:rPr>
        <w:t>Candidate’s Signature</w:t>
      </w:r>
      <w:r w:rsidR="00480294">
        <w:rPr>
          <w:rFonts w:eastAsia="Times New Roman" w:cs="Times New Roman"/>
          <w:szCs w:val="24"/>
          <w:lang w:val="en-US"/>
        </w:rPr>
        <w:t>:</w:t>
      </w:r>
      <w:r w:rsidRPr="00446A7C">
        <w:rPr>
          <w:rFonts w:eastAsia="Times New Roman" w:cs="Times New Roman"/>
          <w:szCs w:val="24"/>
          <w:lang w:val="en-US"/>
        </w:rPr>
        <w:t xml:space="preserve">……………………… </w:t>
      </w:r>
      <w:r w:rsidR="00480294">
        <w:rPr>
          <w:rFonts w:eastAsia="Times New Roman" w:cs="Times New Roman"/>
          <w:szCs w:val="24"/>
          <w:lang w:val="en-US"/>
        </w:rPr>
        <w:tab/>
      </w:r>
      <w:r w:rsidRPr="00446A7C">
        <w:rPr>
          <w:rFonts w:eastAsia="Times New Roman" w:cs="Times New Roman"/>
          <w:szCs w:val="24"/>
          <w:lang w:val="en-US"/>
        </w:rPr>
        <w:t>Date</w:t>
      </w:r>
      <w:r w:rsidR="00480294">
        <w:rPr>
          <w:rFonts w:eastAsia="Times New Roman" w:cs="Times New Roman"/>
          <w:szCs w:val="24"/>
          <w:lang w:val="en-US"/>
        </w:rPr>
        <w:t>:</w:t>
      </w:r>
      <w:r w:rsidRPr="00446A7C">
        <w:rPr>
          <w:rFonts w:eastAsia="Times New Roman" w:cs="Times New Roman"/>
          <w:szCs w:val="24"/>
          <w:lang w:val="en-US"/>
        </w:rPr>
        <w:t>…………………………</w:t>
      </w:r>
    </w:p>
    <w:p w14:paraId="5A198840" w14:textId="2F8BDA78" w:rsidR="0008415E" w:rsidRPr="00446A7C" w:rsidRDefault="00000000" w:rsidP="00480294">
      <w:pPr>
        <w:spacing w:after="0" w:line="480" w:lineRule="auto"/>
        <w:ind w:firstLine="0"/>
        <w:contextualSpacing/>
        <w:rPr>
          <w:rFonts w:eastAsia="Times New Roman" w:cs="Times New Roman"/>
          <w:szCs w:val="24"/>
          <w:lang w:val="en-US"/>
        </w:rPr>
      </w:pPr>
      <w:r w:rsidRPr="00446A7C">
        <w:rPr>
          <w:rFonts w:eastAsia="Times New Roman" w:cs="Times New Roman"/>
          <w:szCs w:val="24"/>
          <w:lang w:val="en-US"/>
        </w:rPr>
        <w:t>Name</w:t>
      </w:r>
      <w:r w:rsidR="0061579B">
        <w:rPr>
          <w:rFonts w:eastAsia="Times New Roman" w:cs="Times New Roman"/>
          <w:szCs w:val="24"/>
          <w:lang w:val="en-US"/>
        </w:rPr>
        <w:t xml:space="preserve">: </w:t>
      </w:r>
      <w:r w:rsidR="0061579B" w:rsidRPr="00446A7C">
        <w:rPr>
          <w:rFonts w:cs="Times New Roman"/>
          <w:b/>
          <w:bCs/>
          <w:szCs w:val="24"/>
        </w:rPr>
        <w:t>ABUBAKARI ZAKIATU</w:t>
      </w:r>
    </w:p>
    <w:p w14:paraId="208CF437" w14:textId="77777777" w:rsidR="0008415E" w:rsidRPr="00446A7C" w:rsidRDefault="0008415E">
      <w:pPr>
        <w:spacing w:after="0" w:line="480" w:lineRule="auto"/>
        <w:ind w:firstLine="0"/>
        <w:contextualSpacing/>
        <w:jc w:val="both"/>
        <w:rPr>
          <w:rFonts w:eastAsia="Times New Roman" w:cs="Times New Roman"/>
          <w:b/>
          <w:bCs/>
          <w:szCs w:val="24"/>
          <w:lang w:val="en-US"/>
        </w:rPr>
      </w:pPr>
    </w:p>
    <w:p w14:paraId="5A81AA36" w14:textId="77777777" w:rsidR="0008415E" w:rsidRPr="00446A7C" w:rsidRDefault="00000000">
      <w:pPr>
        <w:spacing w:after="0" w:line="480" w:lineRule="auto"/>
        <w:ind w:firstLine="0"/>
        <w:contextualSpacing/>
        <w:jc w:val="both"/>
        <w:rPr>
          <w:rFonts w:eastAsia="Times New Roman" w:cs="Times New Roman"/>
          <w:b/>
          <w:bCs/>
          <w:szCs w:val="24"/>
          <w:lang w:val="en-US"/>
        </w:rPr>
      </w:pPr>
      <w:r w:rsidRPr="00446A7C">
        <w:rPr>
          <w:rFonts w:eastAsia="Times New Roman" w:cs="Times New Roman"/>
          <w:b/>
          <w:bCs/>
          <w:szCs w:val="24"/>
          <w:lang w:val="en-US"/>
        </w:rPr>
        <w:t>Supervisors</w:t>
      </w:r>
    </w:p>
    <w:p w14:paraId="3B6BB75A" w14:textId="77777777" w:rsidR="0008415E" w:rsidRPr="00446A7C" w:rsidRDefault="00000000">
      <w:pPr>
        <w:spacing w:after="0" w:line="480" w:lineRule="auto"/>
        <w:ind w:firstLine="0"/>
        <w:contextualSpacing/>
        <w:jc w:val="both"/>
        <w:rPr>
          <w:rFonts w:eastAsia="Times New Roman" w:cs="Times New Roman"/>
          <w:szCs w:val="24"/>
          <w:lang w:val="en-US"/>
        </w:rPr>
      </w:pPr>
      <w:r w:rsidRPr="00446A7C">
        <w:rPr>
          <w:rFonts w:eastAsia="Times New Roman" w:cs="Times New Roman"/>
          <w:szCs w:val="24"/>
          <w:lang w:val="en-US"/>
        </w:rPr>
        <w:t>I hereby declare that the preparation and presentation of the thesis was supervised in accordance with the guidelines on supervision of thesis laid down by the SIMON DIEDONG DOMBO UNIVERSITY OF BUSINESS AND INTEGRATED DEVELOPMENT STUDIES.</w:t>
      </w:r>
    </w:p>
    <w:p w14:paraId="2E65DA74" w14:textId="77777777" w:rsidR="0008415E" w:rsidRPr="00446A7C" w:rsidRDefault="0008415E">
      <w:pPr>
        <w:spacing w:after="0" w:line="480" w:lineRule="auto"/>
        <w:ind w:firstLine="0"/>
        <w:contextualSpacing/>
        <w:jc w:val="both"/>
        <w:rPr>
          <w:rFonts w:eastAsia="Times New Roman" w:cs="Times New Roman"/>
          <w:szCs w:val="24"/>
          <w:lang w:val="en-US"/>
        </w:rPr>
      </w:pPr>
    </w:p>
    <w:p w14:paraId="147A570E" w14:textId="77777777" w:rsidR="0008415E" w:rsidRPr="00446A7C" w:rsidRDefault="0008415E">
      <w:pPr>
        <w:spacing w:after="0" w:line="480" w:lineRule="auto"/>
        <w:ind w:firstLine="0"/>
        <w:contextualSpacing/>
        <w:jc w:val="both"/>
        <w:rPr>
          <w:rFonts w:eastAsia="Times New Roman" w:cs="Times New Roman"/>
          <w:szCs w:val="24"/>
          <w:lang w:val="en-US"/>
        </w:rPr>
      </w:pPr>
    </w:p>
    <w:p w14:paraId="346A6F6E" w14:textId="0843904C" w:rsidR="0008415E" w:rsidRPr="00446A7C" w:rsidRDefault="00000000" w:rsidP="00480294">
      <w:pPr>
        <w:spacing w:after="0" w:line="480" w:lineRule="auto"/>
        <w:ind w:firstLine="0"/>
        <w:contextualSpacing/>
        <w:rPr>
          <w:rFonts w:eastAsia="Times New Roman" w:cs="Times New Roman"/>
          <w:szCs w:val="24"/>
          <w:lang w:val="en-US"/>
        </w:rPr>
      </w:pPr>
      <w:r w:rsidRPr="00446A7C">
        <w:rPr>
          <w:rFonts w:eastAsia="Times New Roman" w:cs="Times New Roman"/>
          <w:szCs w:val="24"/>
          <w:lang w:val="en-US"/>
        </w:rPr>
        <w:t>Principal Supervisor’s Signature</w:t>
      </w:r>
      <w:r w:rsidR="00480294">
        <w:rPr>
          <w:rFonts w:eastAsia="Times New Roman" w:cs="Times New Roman"/>
          <w:szCs w:val="24"/>
          <w:lang w:val="en-US"/>
        </w:rPr>
        <w:t>:</w:t>
      </w:r>
      <w:r w:rsidRPr="00446A7C">
        <w:rPr>
          <w:rFonts w:eastAsia="Times New Roman" w:cs="Times New Roman"/>
          <w:szCs w:val="24"/>
          <w:lang w:val="en-US"/>
        </w:rPr>
        <w:t>…………</w:t>
      </w:r>
      <w:r w:rsidR="00480294">
        <w:rPr>
          <w:rFonts w:eastAsia="Times New Roman" w:cs="Times New Roman"/>
          <w:szCs w:val="24"/>
          <w:lang w:val="en-US"/>
        </w:rPr>
        <w:t>……..</w:t>
      </w:r>
      <w:r w:rsidRPr="00446A7C">
        <w:rPr>
          <w:rFonts w:eastAsia="Times New Roman" w:cs="Times New Roman"/>
          <w:szCs w:val="24"/>
          <w:lang w:val="en-US"/>
        </w:rPr>
        <w:t xml:space="preserve">…… </w:t>
      </w:r>
      <w:r w:rsidR="00480294">
        <w:rPr>
          <w:rFonts w:eastAsia="Times New Roman" w:cs="Times New Roman"/>
          <w:szCs w:val="24"/>
          <w:lang w:val="en-US"/>
        </w:rPr>
        <w:tab/>
      </w:r>
      <w:r w:rsidRPr="00446A7C">
        <w:rPr>
          <w:rFonts w:eastAsia="Times New Roman" w:cs="Times New Roman"/>
          <w:szCs w:val="24"/>
          <w:lang w:val="en-US"/>
        </w:rPr>
        <w:t>Date…………………</w:t>
      </w:r>
    </w:p>
    <w:p w14:paraId="7241A367" w14:textId="45406F6E" w:rsidR="0008415E" w:rsidRPr="00446A7C" w:rsidRDefault="00000000" w:rsidP="00480294">
      <w:pPr>
        <w:spacing w:after="0" w:line="480" w:lineRule="auto"/>
        <w:ind w:firstLine="0"/>
        <w:contextualSpacing/>
        <w:rPr>
          <w:rFonts w:eastAsia="Times New Roman" w:cs="Times New Roman"/>
          <w:szCs w:val="24"/>
          <w:lang w:val="en-US"/>
        </w:rPr>
      </w:pPr>
      <w:r w:rsidRPr="00446A7C">
        <w:rPr>
          <w:rFonts w:eastAsia="Times New Roman" w:cs="Times New Roman"/>
          <w:szCs w:val="24"/>
          <w:lang w:val="en-US"/>
        </w:rPr>
        <w:t>Name</w:t>
      </w:r>
      <w:r w:rsidR="0061579B">
        <w:rPr>
          <w:rFonts w:eastAsia="Times New Roman" w:cs="Times New Roman"/>
          <w:szCs w:val="24"/>
          <w:lang w:val="en-US"/>
        </w:rPr>
        <w:t>:</w:t>
      </w:r>
      <w:r w:rsidR="0061579B" w:rsidRPr="0061579B">
        <w:rPr>
          <w:rFonts w:cs="Times New Roman"/>
          <w:szCs w:val="24"/>
        </w:rPr>
        <w:t xml:space="preserve"> </w:t>
      </w:r>
      <w:r w:rsidR="0061579B" w:rsidRPr="00446A7C">
        <w:rPr>
          <w:rFonts w:cs="Times New Roman"/>
          <w:szCs w:val="24"/>
        </w:rPr>
        <w:t>Professor Constance Awinpoka Akurugu</w:t>
      </w:r>
    </w:p>
    <w:p w14:paraId="5B269B74" w14:textId="77777777" w:rsidR="0008415E" w:rsidRPr="00446A7C" w:rsidRDefault="0008415E" w:rsidP="00480294">
      <w:pPr>
        <w:spacing w:after="0" w:line="480" w:lineRule="auto"/>
        <w:ind w:firstLine="0"/>
        <w:contextualSpacing/>
        <w:rPr>
          <w:rFonts w:eastAsia="Times New Roman" w:cs="Times New Roman"/>
          <w:szCs w:val="24"/>
          <w:lang w:val="en-US"/>
        </w:rPr>
      </w:pPr>
    </w:p>
    <w:p w14:paraId="7326A6DA" w14:textId="77777777" w:rsidR="0008415E" w:rsidRPr="00446A7C" w:rsidRDefault="0008415E" w:rsidP="00480294">
      <w:pPr>
        <w:spacing w:after="0" w:line="480" w:lineRule="auto"/>
        <w:ind w:firstLine="0"/>
        <w:contextualSpacing/>
        <w:rPr>
          <w:rFonts w:eastAsia="Times New Roman" w:cs="Times New Roman"/>
          <w:szCs w:val="24"/>
          <w:lang w:val="en-US"/>
        </w:rPr>
      </w:pPr>
    </w:p>
    <w:p w14:paraId="2CDBE0BF" w14:textId="362E27BB" w:rsidR="0008415E" w:rsidRPr="00446A7C" w:rsidRDefault="00000000" w:rsidP="00480294">
      <w:pPr>
        <w:spacing w:after="0" w:line="480" w:lineRule="auto"/>
        <w:ind w:firstLine="0"/>
        <w:contextualSpacing/>
        <w:rPr>
          <w:rFonts w:eastAsia="Times New Roman" w:cs="Times New Roman"/>
          <w:szCs w:val="24"/>
          <w:lang w:val="en-US"/>
        </w:rPr>
      </w:pPr>
      <w:r w:rsidRPr="00446A7C">
        <w:rPr>
          <w:rFonts w:eastAsia="Times New Roman" w:cs="Times New Roman"/>
          <w:szCs w:val="24"/>
          <w:lang w:val="en-US"/>
        </w:rPr>
        <w:t xml:space="preserve">Co-Supervisor’s Signature …………………… </w:t>
      </w:r>
      <w:r w:rsidR="00480294">
        <w:rPr>
          <w:rFonts w:eastAsia="Times New Roman" w:cs="Times New Roman"/>
          <w:szCs w:val="24"/>
          <w:lang w:val="en-US"/>
        </w:rPr>
        <w:tab/>
      </w:r>
      <w:r w:rsidR="00480294">
        <w:rPr>
          <w:rFonts w:eastAsia="Times New Roman" w:cs="Times New Roman"/>
          <w:szCs w:val="24"/>
          <w:lang w:val="en-US"/>
        </w:rPr>
        <w:tab/>
      </w:r>
      <w:r w:rsidR="00480294" w:rsidRPr="00446A7C">
        <w:rPr>
          <w:rFonts w:eastAsia="Times New Roman" w:cs="Times New Roman"/>
          <w:szCs w:val="24"/>
          <w:lang w:val="en-US"/>
        </w:rPr>
        <w:t>Date…………………</w:t>
      </w:r>
    </w:p>
    <w:p w14:paraId="4E4D55AC" w14:textId="5AE0B780" w:rsidR="0008415E" w:rsidRDefault="00000000" w:rsidP="00480294">
      <w:pPr>
        <w:spacing w:after="0" w:line="480" w:lineRule="auto"/>
        <w:ind w:firstLine="0"/>
        <w:contextualSpacing/>
        <w:rPr>
          <w:rFonts w:cs="Times New Roman"/>
          <w:szCs w:val="24"/>
        </w:rPr>
      </w:pPr>
      <w:r w:rsidRPr="00446A7C">
        <w:rPr>
          <w:rFonts w:eastAsia="Times New Roman" w:cs="Times New Roman"/>
          <w:szCs w:val="24"/>
          <w:lang w:val="en-US"/>
        </w:rPr>
        <w:t>Name</w:t>
      </w:r>
      <w:r w:rsidR="00480294">
        <w:rPr>
          <w:rFonts w:eastAsia="Times New Roman" w:cs="Times New Roman"/>
          <w:szCs w:val="24"/>
          <w:lang w:val="en-US"/>
        </w:rPr>
        <w:t xml:space="preserve">: </w:t>
      </w:r>
      <w:r w:rsidR="00480294" w:rsidRPr="00446A7C">
        <w:rPr>
          <w:rFonts w:cs="Times New Roman"/>
          <w:szCs w:val="24"/>
        </w:rPr>
        <w:t>Dr. Ing Dakyaga Francis</w:t>
      </w:r>
    </w:p>
    <w:p w14:paraId="033998D6" w14:textId="77777777" w:rsidR="00480294" w:rsidRDefault="00480294" w:rsidP="00480294">
      <w:pPr>
        <w:spacing w:after="0" w:line="480" w:lineRule="auto"/>
        <w:ind w:firstLine="0"/>
        <w:contextualSpacing/>
        <w:rPr>
          <w:rFonts w:eastAsia="Times New Roman" w:cs="Times New Roman"/>
          <w:szCs w:val="24"/>
          <w:lang w:val="en-US"/>
        </w:rPr>
      </w:pPr>
    </w:p>
    <w:p w14:paraId="3FC923BE" w14:textId="77777777" w:rsidR="00480294" w:rsidRPr="00446A7C" w:rsidRDefault="00480294" w:rsidP="00480294">
      <w:pPr>
        <w:spacing w:after="0" w:line="480" w:lineRule="auto"/>
        <w:ind w:firstLine="0"/>
        <w:contextualSpacing/>
        <w:rPr>
          <w:rFonts w:eastAsia="Times New Roman" w:cs="Times New Roman"/>
          <w:szCs w:val="24"/>
          <w:lang w:val="en-US"/>
        </w:rPr>
      </w:pPr>
    </w:p>
    <w:p w14:paraId="07DC8BAB" w14:textId="77777777" w:rsidR="0008415E" w:rsidRPr="00446A7C" w:rsidRDefault="00000000" w:rsidP="00480294">
      <w:pPr>
        <w:pStyle w:val="Heading1"/>
      </w:pPr>
      <w:bookmarkStart w:id="2" w:name="_Toc171703186"/>
      <w:r w:rsidRPr="00480294">
        <w:lastRenderedPageBreak/>
        <w:t>ABSTRACT</w:t>
      </w:r>
      <w:bookmarkEnd w:id="2"/>
    </w:p>
    <w:p w14:paraId="32E6CCFA" w14:textId="77777777" w:rsidR="0008415E" w:rsidRPr="00446A7C" w:rsidRDefault="00000000">
      <w:pPr>
        <w:tabs>
          <w:tab w:val="center" w:pos="4513"/>
          <w:tab w:val="right" w:pos="9026"/>
        </w:tabs>
        <w:spacing w:after="0" w:line="480" w:lineRule="auto"/>
        <w:ind w:firstLine="0"/>
        <w:contextualSpacing/>
        <w:jc w:val="both"/>
        <w:rPr>
          <w:rFonts w:cs="Times New Roman"/>
          <w:szCs w:val="24"/>
          <w:lang w:val="en-US"/>
        </w:rPr>
      </w:pPr>
      <w:bookmarkStart w:id="3" w:name="_Hlk161240011"/>
      <w:r w:rsidRPr="00446A7C">
        <w:rPr>
          <w:rFonts w:cs="Times New Roman"/>
          <w:szCs w:val="24"/>
          <w:lang w:val="en-US"/>
        </w:rPr>
        <w:t>The study investigated the role of digital technology in enhancing the Livelihood Empowerment Against Poverty (LEAP) programme towards sustainable poverty reduction in the Nandom District of Ghana. The research objectives focused on understanding beneficiaries’ access to the LEAP programme, their perspectives on using digital technology to deliver the intervention, and the potential and limitations of using digital technology for this purpose. The study utilized the empowerment theory and the theory of technological determination to gain a comprehensive understanding of the research topic. The research followed an interpretivist paradigm and employed qualitative techniques and a case study design. Purposive sampling method was used to select 50 participants for the study which is composed of the elderly poor, care givers of orphaned and vulnerable children and people living with disability. Likewise, the LEAP implementation officers at the District Social Welfare office were also interviewed and they formed the key informants for this study. Data was collected through interviews, observations and document review and analyzed using a thematic approach. The findings showed that LEAP beneficiaries have gained to some degree opportunities that came with the programme. The study also showed challenges in accessing the LEAP intervention and in utilizing digital technology in the delivery of the programme. Therefore, the study recommends collaborative efforts from various stakeholders responsible for the implementation of the programme to address these gaps and make integrating digital technology into LEAP service delivery a reality.</w:t>
      </w:r>
      <w:bookmarkEnd w:id="3"/>
    </w:p>
    <w:p w14:paraId="5B5272F4" w14:textId="77777777" w:rsidR="0008415E" w:rsidRPr="00446A7C" w:rsidRDefault="0008415E">
      <w:pPr>
        <w:tabs>
          <w:tab w:val="center" w:pos="4513"/>
          <w:tab w:val="right" w:pos="9026"/>
        </w:tabs>
        <w:spacing w:after="0" w:line="480" w:lineRule="auto"/>
        <w:ind w:firstLine="0"/>
        <w:contextualSpacing/>
        <w:jc w:val="both"/>
        <w:rPr>
          <w:rFonts w:cs="Times New Roman"/>
          <w:szCs w:val="24"/>
          <w:lang w:val="en-US"/>
        </w:rPr>
      </w:pPr>
    </w:p>
    <w:p w14:paraId="0510D635" w14:textId="77777777" w:rsidR="0008415E" w:rsidRPr="00446A7C" w:rsidRDefault="0008415E">
      <w:pPr>
        <w:tabs>
          <w:tab w:val="center" w:pos="4513"/>
          <w:tab w:val="right" w:pos="9026"/>
        </w:tabs>
        <w:spacing w:after="0" w:line="480" w:lineRule="auto"/>
        <w:ind w:firstLine="0"/>
        <w:contextualSpacing/>
        <w:jc w:val="both"/>
        <w:rPr>
          <w:rFonts w:cs="Times New Roman"/>
          <w:szCs w:val="24"/>
          <w:lang w:val="en-US"/>
        </w:rPr>
      </w:pPr>
    </w:p>
    <w:p w14:paraId="71F66161" w14:textId="77777777" w:rsidR="0008415E" w:rsidRPr="00446A7C" w:rsidRDefault="0008415E">
      <w:pPr>
        <w:tabs>
          <w:tab w:val="center" w:pos="4513"/>
          <w:tab w:val="right" w:pos="9026"/>
        </w:tabs>
        <w:spacing w:after="0" w:line="480" w:lineRule="auto"/>
        <w:ind w:firstLine="0"/>
        <w:contextualSpacing/>
        <w:jc w:val="both"/>
        <w:rPr>
          <w:rFonts w:cs="Times New Roman"/>
          <w:szCs w:val="24"/>
          <w:lang w:val="en-US"/>
        </w:rPr>
      </w:pPr>
    </w:p>
    <w:p w14:paraId="46BDAEAB" w14:textId="2348F6F3" w:rsidR="0008415E" w:rsidRPr="00446A7C" w:rsidRDefault="00000000">
      <w:pPr>
        <w:pStyle w:val="Heading1"/>
      </w:pPr>
      <w:bookmarkStart w:id="4" w:name="_Toc153206046"/>
      <w:bookmarkStart w:id="5" w:name="_Toc171703187"/>
      <w:bookmarkEnd w:id="4"/>
      <w:r w:rsidRPr="00446A7C">
        <w:lastRenderedPageBreak/>
        <w:t>ACKNOWLEDGEMENT</w:t>
      </w:r>
      <w:r w:rsidR="0061579B">
        <w:t>S</w:t>
      </w:r>
      <w:bookmarkEnd w:id="5"/>
    </w:p>
    <w:p w14:paraId="75E29D9A" w14:textId="77777777" w:rsidR="0008415E" w:rsidRPr="00446A7C" w:rsidRDefault="00000000">
      <w:pPr>
        <w:tabs>
          <w:tab w:val="center" w:pos="4513"/>
          <w:tab w:val="right" w:pos="9026"/>
        </w:tabs>
        <w:spacing w:after="0" w:line="480" w:lineRule="auto"/>
        <w:ind w:firstLine="0"/>
        <w:contextualSpacing/>
        <w:jc w:val="both"/>
        <w:rPr>
          <w:rFonts w:cs="Times New Roman"/>
          <w:szCs w:val="24"/>
        </w:rPr>
      </w:pPr>
      <w:r w:rsidRPr="00446A7C">
        <w:rPr>
          <w:rFonts w:cs="Times New Roman"/>
          <w:szCs w:val="24"/>
        </w:rPr>
        <w:t xml:space="preserve">First, I owe gratitude to my supervisors, Professor Constance Awinpoka Akurugu and Dr. Ing Dakyaga Francis who have guided me through the course of my research endeavour. I am grateful for the time you have invested in me and the high degree of enthusiasm you have shown in my work. I am also grateful to the Ghana Education Trust Fund for giving me the scholarship to pursue my studies. To Mr, Mumuni Abdulai, I am grateful for all the encouragements and belief you had in me. When I did not belief I had the potential to pursue a master’s degree, you made me realise I was made of much more than I thought. To my course mates, thank you for all your support throughout my course work. </w:t>
      </w:r>
    </w:p>
    <w:p w14:paraId="11C501BA"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4DDFFBE2" w14:textId="77777777" w:rsidR="0008415E" w:rsidRPr="00446A7C" w:rsidRDefault="00000000">
      <w:pPr>
        <w:tabs>
          <w:tab w:val="center" w:pos="4513"/>
          <w:tab w:val="right" w:pos="9026"/>
        </w:tabs>
        <w:spacing w:after="0" w:line="480" w:lineRule="auto"/>
        <w:ind w:firstLine="0"/>
        <w:contextualSpacing/>
        <w:jc w:val="both"/>
        <w:rPr>
          <w:rFonts w:cs="Times New Roman"/>
          <w:szCs w:val="24"/>
        </w:rPr>
      </w:pPr>
      <w:r w:rsidRPr="00446A7C">
        <w:rPr>
          <w:rFonts w:cs="Times New Roman"/>
          <w:szCs w:val="24"/>
        </w:rPr>
        <w:t xml:space="preserve">Again, I express my appreciation to the HOD of the District Social Welfare office for his openness and volunteering to reach out to his staff to provide me with all the necessary resources for my data collection. And to the research participants, thank you for taking time out to respond to the interviews in an open manner. </w:t>
      </w:r>
    </w:p>
    <w:p w14:paraId="24CEF99A"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334A3D06" w14:textId="77777777" w:rsidR="0008415E" w:rsidRPr="00446A7C" w:rsidRDefault="00000000">
      <w:pPr>
        <w:tabs>
          <w:tab w:val="center" w:pos="4513"/>
          <w:tab w:val="right" w:pos="9026"/>
        </w:tabs>
        <w:spacing w:after="0" w:line="480" w:lineRule="auto"/>
        <w:ind w:firstLine="0"/>
        <w:contextualSpacing/>
        <w:jc w:val="both"/>
        <w:rPr>
          <w:rFonts w:cs="Times New Roman"/>
          <w:szCs w:val="24"/>
        </w:rPr>
      </w:pPr>
      <w:r w:rsidRPr="00446A7C">
        <w:rPr>
          <w:rFonts w:cs="Times New Roman"/>
          <w:szCs w:val="24"/>
        </w:rPr>
        <w:t>Lastly, I want to also extend my gratitude to my family, my parents and siblings for the support and prayers.</w:t>
      </w:r>
    </w:p>
    <w:p w14:paraId="4213CBDF"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0C8108CD"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4D3B4B55"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76C5D1D2"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1E0F4C3E"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4BECB02D" w14:textId="77777777" w:rsidR="0008415E" w:rsidRPr="00446A7C" w:rsidRDefault="0008415E">
      <w:pPr>
        <w:tabs>
          <w:tab w:val="center" w:pos="4513"/>
          <w:tab w:val="right" w:pos="9026"/>
        </w:tabs>
        <w:spacing w:after="0" w:line="480" w:lineRule="auto"/>
        <w:ind w:firstLine="0"/>
        <w:contextualSpacing/>
        <w:jc w:val="both"/>
        <w:rPr>
          <w:rFonts w:cs="Times New Roman"/>
          <w:szCs w:val="24"/>
        </w:rPr>
      </w:pPr>
    </w:p>
    <w:p w14:paraId="6941B713" w14:textId="77777777" w:rsidR="0008415E" w:rsidRPr="00446A7C" w:rsidRDefault="00000000">
      <w:pPr>
        <w:pStyle w:val="Heading1"/>
      </w:pPr>
      <w:bookmarkStart w:id="6" w:name="_Toc171703188"/>
      <w:r w:rsidRPr="00446A7C">
        <w:lastRenderedPageBreak/>
        <w:t>DEDICATION</w:t>
      </w:r>
      <w:bookmarkEnd w:id="6"/>
    </w:p>
    <w:p w14:paraId="191936A9" w14:textId="77777777" w:rsidR="0008415E" w:rsidRPr="00446A7C" w:rsidRDefault="00000000" w:rsidP="00480294">
      <w:pPr>
        <w:spacing w:line="480" w:lineRule="auto"/>
        <w:ind w:firstLine="0"/>
        <w:contextualSpacing/>
        <w:jc w:val="both"/>
        <w:rPr>
          <w:rFonts w:cs="Times New Roman"/>
          <w:szCs w:val="24"/>
        </w:rPr>
      </w:pPr>
      <w:r w:rsidRPr="00446A7C">
        <w:rPr>
          <w:rFonts w:cs="Times New Roman"/>
          <w:szCs w:val="24"/>
        </w:rPr>
        <w:t>In loving memory of my uncle, Lukman Mohammed Saana and aunty, Mariam Ahmed.</w:t>
      </w:r>
    </w:p>
    <w:p w14:paraId="7752B44D" w14:textId="77777777" w:rsidR="0008415E" w:rsidRPr="00446A7C" w:rsidRDefault="0008415E">
      <w:pPr>
        <w:spacing w:line="480" w:lineRule="auto"/>
        <w:ind w:firstLine="0"/>
        <w:contextualSpacing/>
        <w:jc w:val="center"/>
        <w:rPr>
          <w:rFonts w:cs="Times New Roman"/>
          <w:szCs w:val="24"/>
        </w:rPr>
      </w:pPr>
    </w:p>
    <w:p w14:paraId="3ADBF60B" w14:textId="77777777" w:rsidR="0008415E" w:rsidRPr="00446A7C" w:rsidRDefault="0008415E">
      <w:pPr>
        <w:spacing w:line="480" w:lineRule="auto"/>
        <w:ind w:firstLine="0"/>
        <w:contextualSpacing/>
        <w:jc w:val="center"/>
        <w:rPr>
          <w:rFonts w:cs="Times New Roman"/>
          <w:szCs w:val="24"/>
        </w:rPr>
      </w:pPr>
    </w:p>
    <w:p w14:paraId="237AD871" w14:textId="77777777" w:rsidR="0008415E" w:rsidRPr="00446A7C" w:rsidRDefault="0008415E">
      <w:pPr>
        <w:spacing w:line="480" w:lineRule="auto"/>
        <w:ind w:firstLine="0"/>
        <w:contextualSpacing/>
        <w:jc w:val="center"/>
        <w:rPr>
          <w:rFonts w:cs="Times New Roman"/>
          <w:szCs w:val="24"/>
        </w:rPr>
      </w:pPr>
    </w:p>
    <w:p w14:paraId="3ACE35BA" w14:textId="77777777" w:rsidR="0008415E" w:rsidRPr="00446A7C" w:rsidRDefault="0008415E">
      <w:pPr>
        <w:spacing w:line="480" w:lineRule="auto"/>
        <w:ind w:firstLine="0"/>
        <w:contextualSpacing/>
        <w:jc w:val="center"/>
        <w:rPr>
          <w:rFonts w:cs="Times New Roman"/>
          <w:szCs w:val="24"/>
        </w:rPr>
      </w:pPr>
    </w:p>
    <w:p w14:paraId="13EFEFC6" w14:textId="77777777" w:rsidR="0008415E" w:rsidRPr="00446A7C" w:rsidRDefault="0008415E">
      <w:pPr>
        <w:spacing w:line="480" w:lineRule="auto"/>
        <w:ind w:firstLine="0"/>
        <w:contextualSpacing/>
        <w:jc w:val="center"/>
        <w:rPr>
          <w:rFonts w:cs="Times New Roman"/>
          <w:szCs w:val="24"/>
        </w:rPr>
      </w:pPr>
    </w:p>
    <w:p w14:paraId="76CE322D" w14:textId="77777777" w:rsidR="0008415E" w:rsidRPr="00446A7C" w:rsidRDefault="0008415E">
      <w:pPr>
        <w:spacing w:line="480" w:lineRule="auto"/>
        <w:ind w:firstLine="0"/>
        <w:contextualSpacing/>
        <w:jc w:val="center"/>
        <w:rPr>
          <w:rFonts w:cs="Times New Roman"/>
          <w:szCs w:val="24"/>
        </w:rPr>
      </w:pPr>
    </w:p>
    <w:p w14:paraId="5F67F1D7" w14:textId="77777777" w:rsidR="0008415E" w:rsidRPr="00446A7C" w:rsidRDefault="0008415E">
      <w:pPr>
        <w:spacing w:line="480" w:lineRule="auto"/>
        <w:ind w:firstLine="0"/>
        <w:contextualSpacing/>
        <w:jc w:val="center"/>
        <w:rPr>
          <w:rFonts w:cs="Times New Roman"/>
          <w:szCs w:val="24"/>
        </w:rPr>
      </w:pPr>
    </w:p>
    <w:p w14:paraId="31B5AAEF" w14:textId="77777777" w:rsidR="0008415E" w:rsidRPr="00446A7C" w:rsidRDefault="0008415E">
      <w:pPr>
        <w:spacing w:line="480" w:lineRule="auto"/>
        <w:ind w:firstLine="0"/>
        <w:contextualSpacing/>
        <w:jc w:val="center"/>
        <w:rPr>
          <w:rFonts w:cs="Times New Roman"/>
          <w:szCs w:val="24"/>
        </w:rPr>
      </w:pPr>
    </w:p>
    <w:p w14:paraId="216B66E5" w14:textId="77777777" w:rsidR="0008415E" w:rsidRPr="00446A7C" w:rsidRDefault="0008415E">
      <w:pPr>
        <w:spacing w:line="480" w:lineRule="auto"/>
        <w:ind w:firstLine="0"/>
        <w:contextualSpacing/>
        <w:jc w:val="center"/>
        <w:rPr>
          <w:rFonts w:cs="Times New Roman"/>
          <w:szCs w:val="24"/>
        </w:rPr>
      </w:pPr>
    </w:p>
    <w:p w14:paraId="30573164" w14:textId="77777777" w:rsidR="0008415E" w:rsidRPr="00446A7C" w:rsidRDefault="0008415E">
      <w:pPr>
        <w:spacing w:line="480" w:lineRule="auto"/>
        <w:ind w:firstLine="0"/>
        <w:contextualSpacing/>
        <w:jc w:val="center"/>
        <w:rPr>
          <w:rFonts w:cs="Times New Roman"/>
          <w:szCs w:val="24"/>
        </w:rPr>
      </w:pPr>
    </w:p>
    <w:p w14:paraId="1C0E86C6" w14:textId="77777777" w:rsidR="0008415E" w:rsidRPr="00446A7C" w:rsidRDefault="0008415E">
      <w:pPr>
        <w:spacing w:line="480" w:lineRule="auto"/>
        <w:ind w:firstLine="0"/>
        <w:contextualSpacing/>
        <w:jc w:val="center"/>
        <w:rPr>
          <w:rFonts w:cs="Times New Roman"/>
          <w:szCs w:val="24"/>
        </w:rPr>
      </w:pPr>
    </w:p>
    <w:p w14:paraId="74550B4E" w14:textId="77777777" w:rsidR="0008415E" w:rsidRPr="00446A7C" w:rsidRDefault="0008415E">
      <w:pPr>
        <w:spacing w:line="480" w:lineRule="auto"/>
        <w:ind w:firstLine="0"/>
        <w:contextualSpacing/>
        <w:jc w:val="center"/>
        <w:rPr>
          <w:rFonts w:cs="Times New Roman"/>
          <w:szCs w:val="24"/>
        </w:rPr>
      </w:pPr>
    </w:p>
    <w:p w14:paraId="32A3B70F" w14:textId="77777777" w:rsidR="0008415E" w:rsidRDefault="0008415E">
      <w:pPr>
        <w:spacing w:line="480" w:lineRule="auto"/>
        <w:ind w:firstLine="0"/>
        <w:contextualSpacing/>
        <w:rPr>
          <w:rFonts w:cs="Times New Roman"/>
          <w:szCs w:val="24"/>
        </w:rPr>
      </w:pPr>
    </w:p>
    <w:p w14:paraId="521FB15F" w14:textId="77777777" w:rsidR="00480294" w:rsidRDefault="00480294">
      <w:pPr>
        <w:spacing w:line="480" w:lineRule="auto"/>
        <w:ind w:firstLine="0"/>
        <w:contextualSpacing/>
        <w:rPr>
          <w:rFonts w:cs="Times New Roman"/>
          <w:szCs w:val="24"/>
        </w:rPr>
      </w:pPr>
    </w:p>
    <w:p w14:paraId="6720983F" w14:textId="77777777" w:rsidR="00480294" w:rsidRDefault="00480294">
      <w:pPr>
        <w:spacing w:line="480" w:lineRule="auto"/>
        <w:ind w:firstLine="0"/>
        <w:contextualSpacing/>
        <w:rPr>
          <w:rFonts w:cs="Times New Roman"/>
          <w:szCs w:val="24"/>
        </w:rPr>
      </w:pPr>
    </w:p>
    <w:p w14:paraId="7AC6457B" w14:textId="77777777" w:rsidR="00480294" w:rsidRDefault="00480294">
      <w:pPr>
        <w:spacing w:line="480" w:lineRule="auto"/>
        <w:ind w:firstLine="0"/>
        <w:contextualSpacing/>
        <w:rPr>
          <w:rFonts w:cs="Times New Roman"/>
          <w:szCs w:val="24"/>
        </w:rPr>
      </w:pPr>
    </w:p>
    <w:p w14:paraId="0276FD72" w14:textId="77777777" w:rsidR="00480294" w:rsidRDefault="00480294">
      <w:pPr>
        <w:spacing w:line="480" w:lineRule="auto"/>
        <w:ind w:firstLine="0"/>
        <w:contextualSpacing/>
        <w:rPr>
          <w:rFonts w:cs="Times New Roman"/>
          <w:szCs w:val="24"/>
        </w:rPr>
      </w:pPr>
    </w:p>
    <w:p w14:paraId="6A7C6BB7" w14:textId="77777777" w:rsidR="00480294" w:rsidRDefault="00480294">
      <w:pPr>
        <w:spacing w:line="480" w:lineRule="auto"/>
        <w:ind w:firstLine="0"/>
        <w:contextualSpacing/>
        <w:rPr>
          <w:rFonts w:cs="Times New Roman"/>
          <w:szCs w:val="24"/>
        </w:rPr>
      </w:pPr>
    </w:p>
    <w:p w14:paraId="7A4E5CAD" w14:textId="77777777" w:rsidR="00480294" w:rsidRDefault="00480294">
      <w:pPr>
        <w:spacing w:line="480" w:lineRule="auto"/>
        <w:ind w:firstLine="0"/>
        <w:contextualSpacing/>
        <w:rPr>
          <w:rFonts w:cs="Times New Roman"/>
          <w:szCs w:val="24"/>
        </w:rPr>
      </w:pPr>
    </w:p>
    <w:p w14:paraId="1081CED3" w14:textId="77777777" w:rsidR="00480294" w:rsidRDefault="00480294">
      <w:pPr>
        <w:spacing w:line="480" w:lineRule="auto"/>
        <w:ind w:firstLine="0"/>
        <w:contextualSpacing/>
        <w:rPr>
          <w:rFonts w:cs="Times New Roman"/>
          <w:szCs w:val="24"/>
        </w:rPr>
      </w:pPr>
    </w:p>
    <w:p w14:paraId="0C8C8901" w14:textId="77777777" w:rsidR="00480294" w:rsidRPr="00446A7C" w:rsidRDefault="00480294">
      <w:pPr>
        <w:spacing w:line="480" w:lineRule="auto"/>
        <w:ind w:firstLine="0"/>
        <w:contextualSpacing/>
        <w:rPr>
          <w:rFonts w:cs="Times New Roman"/>
          <w:szCs w:val="24"/>
        </w:rPr>
      </w:pPr>
    </w:p>
    <w:p w14:paraId="4DB2774A" w14:textId="77777777" w:rsidR="0008415E" w:rsidRPr="00446A7C" w:rsidRDefault="00000000" w:rsidP="00BA129F">
      <w:pPr>
        <w:pStyle w:val="Heading1"/>
        <w:spacing w:before="0"/>
      </w:pPr>
      <w:bookmarkStart w:id="7" w:name="_Toc171703189"/>
      <w:r w:rsidRPr="00446A7C">
        <w:lastRenderedPageBreak/>
        <w:t>TABLE OF CONTENTS</w:t>
      </w:r>
      <w:bookmarkEnd w:id="7"/>
    </w:p>
    <w:sdt>
      <w:sdtPr>
        <w:rPr>
          <w:rFonts w:cs="Times New Roman"/>
          <w:b w:val="0"/>
          <w:bCs w:val="0"/>
          <w:caps w:val="0"/>
          <w:smallCaps/>
        </w:rPr>
        <w:id w:val="-966202324"/>
        <w:docPartObj>
          <w:docPartGallery w:val="Table of Contents"/>
          <w:docPartUnique/>
        </w:docPartObj>
      </w:sdtPr>
      <w:sdtEndPr>
        <w:rPr>
          <w:bCs/>
          <w:iCs w:val="0"/>
          <w:smallCaps w:val="0"/>
        </w:rPr>
      </w:sdtEndPr>
      <w:sdtContent>
        <w:p w14:paraId="714A9374" w14:textId="5BA61489"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r>
            <w:rPr>
              <w:rFonts w:cs="Times New Roman"/>
            </w:rPr>
            <w:fldChar w:fldCharType="begin"/>
          </w:r>
          <w:r>
            <w:rPr>
              <w:rFonts w:cs="Times New Roman"/>
            </w:rPr>
            <w:instrText xml:space="preserve"> TOC \o "1-4" \h \z \u </w:instrText>
          </w:r>
          <w:r>
            <w:rPr>
              <w:rFonts w:cs="Times New Roman"/>
            </w:rPr>
            <w:fldChar w:fldCharType="separate"/>
          </w:r>
          <w:hyperlink w:anchor="_Toc171703185" w:history="1">
            <w:r w:rsidRPr="005E040A">
              <w:rPr>
                <w:rStyle w:val="Hyperlink"/>
                <w:noProof/>
              </w:rPr>
              <w:t>DECLARATION</w:t>
            </w:r>
            <w:r>
              <w:rPr>
                <w:noProof/>
                <w:webHidden/>
              </w:rPr>
              <w:tab/>
            </w:r>
            <w:r>
              <w:rPr>
                <w:noProof/>
                <w:webHidden/>
              </w:rPr>
              <w:fldChar w:fldCharType="begin"/>
            </w:r>
            <w:r>
              <w:rPr>
                <w:noProof/>
                <w:webHidden/>
              </w:rPr>
              <w:instrText xml:space="preserve"> PAGEREF _Toc171703185 \h </w:instrText>
            </w:r>
            <w:r>
              <w:rPr>
                <w:noProof/>
                <w:webHidden/>
              </w:rPr>
            </w:r>
            <w:r>
              <w:rPr>
                <w:noProof/>
                <w:webHidden/>
              </w:rPr>
              <w:fldChar w:fldCharType="separate"/>
            </w:r>
            <w:r w:rsidR="00986730">
              <w:rPr>
                <w:noProof/>
                <w:webHidden/>
              </w:rPr>
              <w:t>i</w:t>
            </w:r>
            <w:r>
              <w:rPr>
                <w:noProof/>
                <w:webHidden/>
              </w:rPr>
              <w:fldChar w:fldCharType="end"/>
            </w:r>
          </w:hyperlink>
        </w:p>
        <w:p w14:paraId="5507C43F" w14:textId="33A20801"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86" w:history="1">
            <w:r w:rsidRPr="005E040A">
              <w:rPr>
                <w:rStyle w:val="Hyperlink"/>
                <w:noProof/>
              </w:rPr>
              <w:t>ABSTRACT</w:t>
            </w:r>
            <w:r>
              <w:rPr>
                <w:noProof/>
                <w:webHidden/>
              </w:rPr>
              <w:tab/>
            </w:r>
            <w:r>
              <w:rPr>
                <w:noProof/>
                <w:webHidden/>
              </w:rPr>
              <w:fldChar w:fldCharType="begin"/>
            </w:r>
            <w:r>
              <w:rPr>
                <w:noProof/>
                <w:webHidden/>
              </w:rPr>
              <w:instrText xml:space="preserve"> PAGEREF _Toc171703186 \h </w:instrText>
            </w:r>
            <w:r>
              <w:rPr>
                <w:noProof/>
                <w:webHidden/>
              </w:rPr>
            </w:r>
            <w:r>
              <w:rPr>
                <w:noProof/>
                <w:webHidden/>
              </w:rPr>
              <w:fldChar w:fldCharType="separate"/>
            </w:r>
            <w:r w:rsidR="00986730">
              <w:rPr>
                <w:noProof/>
                <w:webHidden/>
              </w:rPr>
              <w:t>ii</w:t>
            </w:r>
            <w:r>
              <w:rPr>
                <w:noProof/>
                <w:webHidden/>
              </w:rPr>
              <w:fldChar w:fldCharType="end"/>
            </w:r>
          </w:hyperlink>
        </w:p>
        <w:p w14:paraId="26008F83" w14:textId="7C478314"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87" w:history="1">
            <w:r w:rsidRPr="005E040A">
              <w:rPr>
                <w:rStyle w:val="Hyperlink"/>
                <w:noProof/>
              </w:rPr>
              <w:t>ACKNOWLEDGEMENTS</w:t>
            </w:r>
            <w:r>
              <w:rPr>
                <w:noProof/>
                <w:webHidden/>
              </w:rPr>
              <w:tab/>
            </w:r>
            <w:r>
              <w:rPr>
                <w:noProof/>
                <w:webHidden/>
              </w:rPr>
              <w:fldChar w:fldCharType="begin"/>
            </w:r>
            <w:r>
              <w:rPr>
                <w:noProof/>
                <w:webHidden/>
              </w:rPr>
              <w:instrText xml:space="preserve"> PAGEREF _Toc171703187 \h </w:instrText>
            </w:r>
            <w:r>
              <w:rPr>
                <w:noProof/>
                <w:webHidden/>
              </w:rPr>
            </w:r>
            <w:r>
              <w:rPr>
                <w:noProof/>
                <w:webHidden/>
              </w:rPr>
              <w:fldChar w:fldCharType="separate"/>
            </w:r>
            <w:r w:rsidR="00986730">
              <w:rPr>
                <w:noProof/>
                <w:webHidden/>
              </w:rPr>
              <w:t>iii</w:t>
            </w:r>
            <w:r>
              <w:rPr>
                <w:noProof/>
                <w:webHidden/>
              </w:rPr>
              <w:fldChar w:fldCharType="end"/>
            </w:r>
          </w:hyperlink>
        </w:p>
        <w:p w14:paraId="7E8E5A45" w14:textId="6E9974D6"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88" w:history="1">
            <w:r w:rsidRPr="005E040A">
              <w:rPr>
                <w:rStyle w:val="Hyperlink"/>
                <w:noProof/>
              </w:rPr>
              <w:t>DEDICATION</w:t>
            </w:r>
            <w:r>
              <w:rPr>
                <w:noProof/>
                <w:webHidden/>
              </w:rPr>
              <w:tab/>
            </w:r>
            <w:r>
              <w:rPr>
                <w:noProof/>
                <w:webHidden/>
              </w:rPr>
              <w:fldChar w:fldCharType="begin"/>
            </w:r>
            <w:r>
              <w:rPr>
                <w:noProof/>
                <w:webHidden/>
              </w:rPr>
              <w:instrText xml:space="preserve"> PAGEREF _Toc171703188 \h </w:instrText>
            </w:r>
            <w:r>
              <w:rPr>
                <w:noProof/>
                <w:webHidden/>
              </w:rPr>
            </w:r>
            <w:r>
              <w:rPr>
                <w:noProof/>
                <w:webHidden/>
              </w:rPr>
              <w:fldChar w:fldCharType="separate"/>
            </w:r>
            <w:r w:rsidR="00986730">
              <w:rPr>
                <w:noProof/>
                <w:webHidden/>
              </w:rPr>
              <w:t>iv</w:t>
            </w:r>
            <w:r>
              <w:rPr>
                <w:noProof/>
                <w:webHidden/>
              </w:rPr>
              <w:fldChar w:fldCharType="end"/>
            </w:r>
          </w:hyperlink>
        </w:p>
        <w:p w14:paraId="362A066C" w14:textId="5536D91D"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89" w:history="1">
            <w:r w:rsidRPr="005E040A">
              <w:rPr>
                <w:rStyle w:val="Hyperlink"/>
                <w:noProof/>
              </w:rPr>
              <w:t>TABLE OF CONTENTS</w:t>
            </w:r>
            <w:r>
              <w:rPr>
                <w:noProof/>
                <w:webHidden/>
              </w:rPr>
              <w:tab/>
            </w:r>
            <w:r>
              <w:rPr>
                <w:noProof/>
                <w:webHidden/>
              </w:rPr>
              <w:fldChar w:fldCharType="begin"/>
            </w:r>
            <w:r>
              <w:rPr>
                <w:noProof/>
                <w:webHidden/>
              </w:rPr>
              <w:instrText xml:space="preserve"> PAGEREF _Toc171703189 \h </w:instrText>
            </w:r>
            <w:r>
              <w:rPr>
                <w:noProof/>
                <w:webHidden/>
              </w:rPr>
            </w:r>
            <w:r>
              <w:rPr>
                <w:noProof/>
                <w:webHidden/>
              </w:rPr>
              <w:fldChar w:fldCharType="separate"/>
            </w:r>
            <w:r w:rsidR="00986730">
              <w:rPr>
                <w:noProof/>
                <w:webHidden/>
              </w:rPr>
              <w:t>v</w:t>
            </w:r>
            <w:r>
              <w:rPr>
                <w:noProof/>
                <w:webHidden/>
              </w:rPr>
              <w:fldChar w:fldCharType="end"/>
            </w:r>
          </w:hyperlink>
        </w:p>
        <w:p w14:paraId="054532BB" w14:textId="4EE5B330"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90" w:history="1">
            <w:r w:rsidRPr="005E040A">
              <w:rPr>
                <w:rStyle w:val="Hyperlink"/>
                <w:noProof/>
              </w:rPr>
              <w:t>LIST OF TABLES</w:t>
            </w:r>
            <w:r>
              <w:rPr>
                <w:noProof/>
                <w:webHidden/>
              </w:rPr>
              <w:tab/>
            </w:r>
            <w:r>
              <w:rPr>
                <w:noProof/>
                <w:webHidden/>
              </w:rPr>
              <w:fldChar w:fldCharType="begin"/>
            </w:r>
            <w:r>
              <w:rPr>
                <w:noProof/>
                <w:webHidden/>
              </w:rPr>
              <w:instrText xml:space="preserve"> PAGEREF _Toc171703190 \h </w:instrText>
            </w:r>
            <w:r>
              <w:rPr>
                <w:noProof/>
                <w:webHidden/>
              </w:rPr>
            </w:r>
            <w:r>
              <w:rPr>
                <w:noProof/>
                <w:webHidden/>
              </w:rPr>
              <w:fldChar w:fldCharType="separate"/>
            </w:r>
            <w:r w:rsidR="00986730">
              <w:rPr>
                <w:noProof/>
                <w:webHidden/>
              </w:rPr>
              <w:t>ix</w:t>
            </w:r>
            <w:r>
              <w:rPr>
                <w:noProof/>
                <w:webHidden/>
              </w:rPr>
              <w:fldChar w:fldCharType="end"/>
            </w:r>
          </w:hyperlink>
        </w:p>
        <w:p w14:paraId="4AB7ED13" w14:textId="0053D607"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91" w:history="1">
            <w:r w:rsidRPr="005E040A">
              <w:rPr>
                <w:rStyle w:val="Hyperlink"/>
                <w:noProof/>
              </w:rPr>
              <w:t>LIST OF FIGURES</w:t>
            </w:r>
            <w:r>
              <w:rPr>
                <w:noProof/>
                <w:webHidden/>
              </w:rPr>
              <w:tab/>
            </w:r>
            <w:r>
              <w:rPr>
                <w:noProof/>
                <w:webHidden/>
              </w:rPr>
              <w:fldChar w:fldCharType="begin"/>
            </w:r>
            <w:r>
              <w:rPr>
                <w:noProof/>
                <w:webHidden/>
              </w:rPr>
              <w:instrText xml:space="preserve"> PAGEREF _Toc171703191 \h </w:instrText>
            </w:r>
            <w:r>
              <w:rPr>
                <w:noProof/>
                <w:webHidden/>
              </w:rPr>
            </w:r>
            <w:r>
              <w:rPr>
                <w:noProof/>
                <w:webHidden/>
              </w:rPr>
              <w:fldChar w:fldCharType="separate"/>
            </w:r>
            <w:r w:rsidR="00986730">
              <w:rPr>
                <w:noProof/>
                <w:webHidden/>
              </w:rPr>
              <w:t>x</w:t>
            </w:r>
            <w:r>
              <w:rPr>
                <w:noProof/>
                <w:webHidden/>
              </w:rPr>
              <w:fldChar w:fldCharType="end"/>
            </w:r>
          </w:hyperlink>
        </w:p>
        <w:p w14:paraId="0D0ED423" w14:textId="4B34EDCA"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92" w:history="1">
            <w:r w:rsidRPr="005E040A">
              <w:rPr>
                <w:rStyle w:val="Hyperlink"/>
                <w:noProof/>
              </w:rPr>
              <w:t>CHAPTER ONE</w:t>
            </w:r>
            <w:r>
              <w:rPr>
                <w:noProof/>
                <w:webHidden/>
              </w:rPr>
              <w:tab/>
            </w:r>
            <w:r>
              <w:rPr>
                <w:noProof/>
                <w:webHidden/>
              </w:rPr>
              <w:fldChar w:fldCharType="begin"/>
            </w:r>
            <w:r>
              <w:rPr>
                <w:noProof/>
                <w:webHidden/>
              </w:rPr>
              <w:instrText xml:space="preserve"> PAGEREF _Toc171703192 \h </w:instrText>
            </w:r>
            <w:r>
              <w:rPr>
                <w:noProof/>
                <w:webHidden/>
              </w:rPr>
            </w:r>
            <w:r>
              <w:rPr>
                <w:noProof/>
                <w:webHidden/>
              </w:rPr>
              <w:fldChar w:fldCharType="separate"/>
            </w:r>
            <w:r w:rsidR="00986730">
              <w:rPr>
                <w:noProof/>
                <w:webHidden/>
              </w:rPr>
              <w:t>1</w:t>
            </w:r>
            <w:r>
              <w:rPr>
                <w:noProof/>
                <w:webHidden/>
              </w:rPr>
              <w:fldChar w:fldCharType="end"/>
            </w:r>
          </w:hyperlink>
        </w:p>
        <w:p w14:paraId="0CECFB37" w14:textId="54A40013"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193" w:history="1">
            <w:r w:rsidRPr="005E040A">
              <w:rPr>
                <w:rStyle w:val="Hyperlink"/>
                <w:noProof/>
              </w:rPr>
              <w:t>GENERAL INTRODUCTION</w:t>
            </w:r>
            <w:r>
              <w:rPr>
                <w:noProof/>
                <w:webHidden/>
              </w:rPr>
              <w:tab/>
            </w:r>
            <w:r>
              <w:rPr>
                <w:noProof/>
                <w:webHidden/>
              </w:rPr>
              <w:fldChar w:fldCharType="begin"/>
            </w:r>
            <w:r>
              <w:rPr>
                <w:noProof/>
                <w:webHidden/>
              </w:rPr>
              <w:instrText xml:space="preserve"> PAGEREF _Toc171703193 \h </w:instrText>
            </w:r>
            <w:r>
              <w:rPr>
                <w:noProof/>
                <w:webHidden/>
              </w:rPr>
            </w:r>
            <w:r>
              <w:rPr>
                <w:noProof/>
                <w:webHidden/>
              </w:rPr>
              <w:fldChar w:fldCharType="separate"/>
            </w:r>
            <w:r w:rsidR="00986730">
              <w:rPr>
                <w:noProof/>
                <w:webHidden/>
              </w:rPr>
              <w:t>1</w:t>
            </w:r>
            <w:r>
              <w:rPr>
                <w:noProof/>
                <w:webHidden/>
              </w:rPr>
              <w:fldChar w:fldCharType="end"/>
            </w:r>
          </w:hyperlink>
        </w:p>
        <w:p w14:paraId="7A6E1ECE" w14:textId="4DC20C8C"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194" w:history="1">
            <w:r w:rsidRPr="005E040A">
              <w:rPr>
                <w:rStyle w:val="Hyperlink"/>
                <w:rFonts w:cs="Times New Roman"/>
                <w:noProof/>
              </w:rPr>
              <w:t>1.1 Background to the Studies</w:t>
            </w:r>
            <w:r>
              <w:rPr>
                <w:noProof/>
                <w:webHidden/>
              </w:rPr>
              <w:tab/>
            </w:r>
            <w:r>
              <w:rPr>
                <w:noProof/>
                <w:webHidden/>
              </w:rPr>
              <w:fldChar w:fldCharType="begin"/>
            </w:r>
            <w:r>
              <w:rPr>
                <w:noProof/>
                <w:webHidden/>
              </w:rPr>
              <w:instrText xml:space="preserve"> PAGEREF _Toc171703194 \h </w:instrText>
            </w:r>
            <w:r>
              <w:rPr>
                <w:noProof/>
                <w:webHidden/>
              </w:rPr>
            </w:r>
            <w:r>
              <w:rPr>
                <w:noProof/>
                <w:webHidden/>
              </w:rPr>
              <w:fldChar w:fldCharType="separate"/>
            </w:r>
            <w:r w:rsidR="00986730">
              <w:rPr>
                <w:noProof/>
                <w:webHidden/>
              </w:rPr>
              <w:t>1</w:t>
            </w:r>
            <w:r>
              <w:rPr>
                <w:noProof/>
                <w:webHidden/>
              </w:rPr>
              <w:fldChar w:fldCharType="end"/>
            </w:r>
          </w:hyperlink>
        </w:p>
        <w:p w14:paraId="6DA0BD05" w14:textId="4165E616"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195" w:history="1">
            <w:r w:rsidRPr="005E040A">
              <w:rPr>
                <w:rStyle w:val="Hyperlink"/>
                <w:rFonts w:cs="Times New Roman"/>
                <w:noProof/>
              </w:rPr>
              <w:t>1.2 Problem Statement</w:t>
            </w:r>
            <w:r>
              <w:rPr>
                <w:noProof/>
                <w:webHidden/>
              </w:rPr>
              <w:tab/>
            </w:r>
            <w:r>
              <w:rPr>
                <w:noProof/>
                <w:webHidden/>
              </w:rPr>
              <w:fldChar w:fldCharType="begin"/>
            </w:r>
            <w:r>
              <w:rPr>
                <w:noProof/>
                <w:webHidden/>
              </w:rPr>
              <w:instrText xml:space="preserve"> PAGEREF _Toc171703195 \h </w:instrText>
            </w:r>
            <w:r>
              <w:rPr>
                <w:noProof/>
                <w:webHidden/>
              </w:rPr>
            </w:r>
            <w:r>
              <w:rPr>
                <w:noProof/>
                <w:webHidden/>
              </w:rPr>
              <w:fldChar w:fldCharType="separate"/>
            </w:r>
            <w:r w:rsidR="00986730">
              <w:rPr>
                <w:noProof/>
                <w:webHidden/>
              </w:rPr>
              <w:t>4</w:t>
            </w:r>
            <w:r>
              <w:rPr>
                <w:noProof/>
                <w:webHidden/>
              </w:rPr>
              <w:fldChar w:fldCharType="end"/>
            </w:r>
          </w:hyperlink>
        </w:p>
        <w:p w14:paraId="4A805024" w14:textId="027A6E03"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196" w:history="1">
            <w:r w:rsidRPr="005E040A">
              <w:rPr>
                <w:rStyle w:val="Hyperlink"/>
                <w:rFonts w:cs="Times New Roman"/>
                <w:noProof/>
              </w:rPr>
              <w:t>1.3 Research Objectives</w:t>
            </w:r>
            <w:r>
              <w:rPr>
                <w:noProof/>
                <w:webHidden/>
              </w:rPr>
              <w:tab/>
            </w:r>
            <w:r>
              <w:rPr>
                <w:noProof/>
                <w:webHidden/>
              </w:rPr>
              <w:fldChar w:fldCharType="begin"/>
            </w:r>
            <w:r>
              <w:rPr>
                <w:noProof/>
                <w:webHidden/>
              </w:rPr>
              <w:instrText xml:space="preserve"> PAGEREF _Toc171703196 \h </w:instrText>
            </w:r>
            <w:r>
              <w:rPr>
                <w:noProof/>
                <w:webHidden/>
              </w:rPr>
            </w:r>
            <w:r>
              <w:rPr>
                <w:noProof/>
                <w:webHidden/>
              </w:rPr>
              <w:fldChar w:fldCharType="separate"/>
            </w:r>
            <w:r w:rsidR="00986730">
              <w:rPr>
                <w:noProof/>
                <w:webHidden/>
              </w:rPr>
              <w:t>5</w:t>
            </w:r>
            <w:r>
              <w:rPr>
                <w:noProof/>
                <w:webHidden/>
              </w:rPr>
              <w:fldChar w:fldCharType="end"/>
            </w:r>
          </w:hyperlink>
        </w:p>
        <w:p w14:paraId="378F6180" w14:textId="4B64E705"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197" w:history="1">
            <w:r w:rsidRPr="005E040A">
              <w:rPr>
                <w:rStyle w:val="Hyperlink"/>
                <w:rFonts w:cs="Times New Roman"/>
                <w:noProof/>
              </w:rPr>
              <w:t>1.4 Research Questions</w:t>
            </w:r>
            <w:r>
              <w:rPr>
                <w:noProof/>
                <w:webHidden/>
              </w:rPr>
              <w:tab/>
            </w:r>
            <w:r>
              <w:rPr>
                <w:noProof/>
                <w:webHidden/>
              </w:rPr>
              <w:fldChar w:fldCharType="begin"/>
            </w:r>
            <w:r>
              <w:rPr>
                <w:noProof/>
                <w:webHidden/>
              </w:rPr>
              <w:instrText xml:space="preserve"> PAGEREF _Toc171703197 \h </w:instrText>
            </w:r>
            <w:r>
              <w:rPr>
                <w:noProof/>
                <w:webHidden/>
              </w:rPr>
            </w:r>
            <w:r>
              <w:rPr>
                <w:noProof/>
                <w:webHidden/>
              </w:rPr>
              <w:fldChar w:fldCharType="separate"/>
            </w:r>
            <w:r w:rsidR="00986730">
              <w:rPr>
                <w:noProof/>
                <w:webHidden/>
              </w:rPr>
              <w:t>6</w:t>
            </w:r>
            <w:r>
              <w:rPr>
                <w:noProof/>
                <w:webHidden/>
              </w:rPr>
              <w:fldChar w:fldCharType="end"/>
            </w:r>
          </w:hyperlink>
        </w:p>
        <w:p w14:paraId="129C3EF9" w14:textId="7EAD85E5"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198" w:history="1">
            <w:r w:rsidRPr="005E040A">
              <w:rPr>
                <w:rStyle w:val="Hyperlink"/>
                <w:rFonts w:cs="Times New Roman"/>
                <w:noProof/>
              </w:rPr>
              <w:t>1.5 Significance of the Study</w:t>
            </w:r>
            <w:r>
              <w:rPr>
                <w:noProof/>
                <w:webHidden/>
              </w:rPr>
              <w:tab/>
            </w:r>
            <w:r>
              <w:rPr>
                <w:noProof/>
                <w:webHidden/>
              </w:rPr>
              <w:fldChar w:fldCharType="begin"/>
            </w:r>
            <w:r>
              <w:rPr>
                <w:noProof/>
                <w:webHidden/>
              </w:rPr>
              <w:instrText xml:space="preserve"> PAGEREF _Toc171703198 \h </w:instrText>
            </w:r>
            <w:r>
              <w:rPr>
                <w:noProof/>
                <w:webHidden/>
              </w:rPr>
            </w:r>
            <w:r>
              <w:rPr>
                <w:noProof/>
                <w:webHidden/>
              </w:rPr>
              <w:fldChar w:fldCharType="separate"/>
            </w:r>
            <w:r w:rsidR="00986730">
              <w:rPr>
                <w:noProof/>
                <w:webHidden/>
              </w:rPr>
              <w:t>6</w:t>
            </w:r>
            <w:r>
              <w:rPr>
                <w:noProof/>
                <w:webHidden/>
              </w:rPr>
              <w:fldChar w:fldCharType="end"/>
            </w:r>
          </w:hyperlink>
        </w:p>
        <w:p w14:paraId="0F289746" w14:textId="4FCBF6E6"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199" w:history="1">
            <w:r w:rsidRPr="005E040A">
              <w:rPr>
                <w:rStyle w:val="Hyperlink"/>
                <w:rFonts w:cs="Times New Roman"/>
                <w:noProof/>
              </w:rPr>
              <w:t>1.6 Scope of the Study</w:t>
            </w:r>
            <w:r>
              <w:rPr>
                <w:noProof/>
                <w:webHidden/>
              </w:rPr>
              <w:tab/>
            </w:r>
            <w:r>
              <w:rPr>
                <w:noProof/>
                <w:webHidden/>
              </w:rPr>
              <w:fldChar w:fldCharType="begin"/>
            </w:r>
            <w:r>
              <w:rPr>
                <w:noProof/>
                <w:webHidden/>
              </w:rPr>
              <w:instrText xml:space="preserve"> PAGEREF _Toc171703199 \h </w:instrText>
            </w:r>
            <w:r>
              <w:rPr>
                <w:noProof/>
                <w:webHidden/>
              </w:rPr>
            </w:r>
            <w:r>
              <w:rPr>
                <w:noProof/>
                <w:webHidden/>
              </w:rPr>
              <w:fldChar w:fldCharType="separate"/>
            </w:r>
            <w:r w:rsidR="00986730">
              <w:rPr>
                <w:noProof/>
                <w:webHidden/>
              </w:rPr>
              <w:t>7</w:t>
            </w:r>
            <w:r>
              <w:rPr>
                <w:noProof/>
                <w:webHidden/>
              </w:rPr>
              <w:fldChar w:fldCharType="end"/>
            </w:r>
          </w:hyperlink>
        </w:p>
        <w:p w14:paraId="2340107A" w14:textId="4AA3BE5E"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00" w:history="1">
            <w:r w:rsidRPr="005E040A">
              <w:rPr>
                <w:rStyle w:val="Hyperlink"/>
                <w:rFonts w:cs="Times New Roman"/>
                <w:noProof/>
              </w:rPr>
              <w:t>1.7 Organization of the Study</w:t>
            </w:r>
            <w:r>
              <w:rPr>
                <w:noProof/>
                <w:webHidden/>
              </w:rPr>
              <w:tab/>
            </w:r>
            <w:r>
              <w:rPr>
                <w:noProof/>
                <w:webHidden/>
              </w:rPr>
              <w:fldChar w:fldCharType="begin"/>
            </w:r>
            <w:r>
              <w:rPr>
                <w:noProof/>
                <w:webHidden/>
              </w:rPr>
              <w:instrText xml:space="preserve"> PAGEREF _Toc171703200 \h </w:instrText>
            </w:r>
            <w:r>
              <w:rPr>
                <w:noProof/>
                <w:webHidden/>
              </w:rPr>
            </w:r>
            <w:r>
              <w:rPr>
                <w:noProof/>
                <w:webHidden/>
              </w:rPr>
              <w:fldChar w:fldCharType="separate"/>
            </w:r>
            <w:r w:rsidR="00986730">
              <w:rPr>
                <w:noProof/>
                <w:webHidden/>
              </w:rPr>
              <w:t>7</w:t>
            </w:r>
            <w:r>
              <w:rPr>
                <w:noProof/>
                <w:webHidden/>
              </w:rPr>
              <w:fldChar w:fldCharType="end"/>
            </w:r>
          </w:hyperlink>
        </w:p>
        <w:p w14:paraId="6BC4ED10" w14:textId="32ECE0DA"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01" w:history="1">
            <w:r w:rsidRPr="005E040A">
              <w:rPr>
                <w:rStyle w:val="Hyperlink"/>
                <w:noProof/>
              </w:rPr>
              <w:t>CHAPTER TWO</w:t>
            </w:r>
            <w:r>
              <w:rPr>
                <w:noProof/>
                <w:webHidden/>
              </w:rPr>
              <w:tab/>
            </w:r>
            <w:r>
              <w:rPr>
                <w:noProof/>
                <w:webHidden/>
              </w:rPr>
              <w:fldChar w:fldCharType="begin"/>
            </w:r>
            <w:r>
              <w:rPr>
                <w:noProof/>
                <w:webHidden/>
              </w:rPr>
              <w:instrText xml:space="preserve"> PAGEREF _Toc171703201 \h </w:instrText>
            </w:r>
            <w:r>
              <w:rPr>
                <w:noProof/>
                <w:webHidden/>
              </w:rPr>
            </w:r>
            <w:r>
              <w:rPr>
                <w:noProof/>
                <w:webHidden/>
              </w:rPr>
              <w:fldChar w:fldCharType="separate"/>
            </w:r>
            <w:r w:rsidR="00986730">
              <w:rPr>
                <w:noProof/>
                <w:webHidden/>
              </w:rPr>
              <w:t>9</w:t>
            </w:r>
            <w:r>
              <w:rPr>
                <w:noProof/>
                <w:webHidden/>
              </w:rPr>
              <w:fldChar w:fldCharType="end"/>
            </w:r>
          </w:hyperlink>
        </w:p>
        <w:p w14:paraId="7CC7695B" w14:textId="37025ADA"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02" w:history="1">
            <w:r w:rsidRPr="005E040A">
              <w:rPr>
                <w:rStyle w:val="Hyperlink"/>
                <w:noProof/>
              </w:rPr>
              <w:t>LITERATURE REVIEW</w:t>
            </w:r>
            <w:r>
              <w:rPr>
                <w:noProof/>
                <w:webHidden/>
              </w:rPr>
              <w:tab/>
            </w:r>
            <w:r>
              <w:rPr>
                <w:noProof/>
                <w:webHidden/>
              </w:rPr>
              <w:fldChar w:fldCharType="begin"/>
            </w:r>
            <w:r>
              <w:rPr>
                <w:noProof/>
                <w:webHidden/>
              </w:rPr>
              <w:instrText xml:space="preserve"> PAGEREF _Toc171703202 \h </w:instrText>
            </w:r>
            <w:r>
              <w:rPr>
                <w:noProof/>
                <w:webHidden/>
              </w:rPr>
            </w:r>
            <w:r>
              <w:rPr>
                <w:noProof/>
                <w:webHidden/>
              </w:rPr>
              <w:fldChar w:fldCharType="separate"/>
            </w:r>
            <w:r w:rsidR="00986730">
              <w:rPr>
                <w:noProof/>
                <w:webHidden/>
              </w:rPr>
              <w:t>9</w:t>
            </w:r>
            <w:r>
              <w:rPr>
                <w:noProof/>
                <w:webHidden/>
              </w:rPr>
              <w:fldChar w:fldCharType="end"/>
            </w:r>
          </w:hyperlink>
        </w:p>
        <w:p w14:paraId="0921D3A7" w14:textId="4DAEDC50"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03" w:history="1">
            <w:r w:rsidRPr="005E040A">
              <w:rPr>
                <w:rStyle w:val="Hyperlink"/>
                <w:rFonts w:cs="Times New Roman"/>
                <w:noProof/>
              </w:rPr>
              <w:t>2.1 Introduction</w:t>
            </w:r>
            <w:r>
              <w:rPr>
                <w:noProof/>
                <w:webHidden/>
              </w:rPr>
              <w:tab/>
            </w:r>
            <w:r>
              <w:rPr>
                <w:noProof/>
                <w:webHidden/>
              </w:rPr>
              <w:fldChar w:fldCharType="begin"/>
            </w:r>
            <w:r>
              <w:rPr>
                <w:noProof/>
                <w:webHidden/>
              </w:rPr>
              <w:instrText xml:space="preserve"> PAGEREF _Toc171703203 \h </w:instrText>
            </w:r>
            <w:r>
              <w:rPr>
                <w:noProof/>
                <w:webHidden/>
              </w:rPr>
            </w:r>
            <w:r>
              <w:rPr>
                <w:noProof/>
                <w:webHidden/>
              </w:rPr>
              <w:fldChar w:fldCharType="separate"/>
            </w:r>
            <w:r w:rsidR="00986730">
              <w:rPr>
                <w:noProof/>
                <w:webHidden/>
              </w:rPr>
              <w:t>9</w:t>
            </w:r>
            <w:r>
              <w:rPr>
                <w:noProof/>
                <w:webHidden/>
              </w:rPr>
              <w:fldChar w:fldCharType="end"/>
            </w:r>
          </w:hyperlink>
        </w:p>
        <w:p w14:paraId="71C1706D" w14:textId="60FD0391"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04" w:history="1">
            <w:r w:rsidRPr="005E040A">
              <w:rPr>
                <w:rStyle w:val="Hyperlink"/>
                <w:rFonts w:cs="Times New Roman"/>
                <w:noProof/>
              </w:rPr>
              <w:t>2. 2 Theoretical Framework</w:t>
            </w:r>
            <w:r>
              <w:rPr>
                <w:noProof/>
                <w:webHidden/>
              </w:rPr>
              <w:tab/>
            </w:r>
            <w:r>
              <w:rPr>
                <w:noProof/>
                <w:webHidden/>
              </w:rPr>
              <w:fldChar w:fldCharType="begin"/>
            </w:r>
            <w:r>
              <w:rPr>
                <w:noProof/>
                <w:webHidden/>
              </w:rPr>
              <w:instrText xml:space="preserve"> PAGEREF _Toc171703204 \h </w:instrText>
            </w:r>
            <w:r>
              <w:rPr>
                <w:noProof/>
                <w:webHidden/>
              </w:rPr>
            </w:r>
            <w:r>
              <w:rPr>
                <w:noProof/>
                <w:webHidden/>
              </w:rPr>
              <w:fldChar w:fldCharType="separate"/>
            </w:r>
            <w:r w:rsidR="00986730">
              <w:rPr>
                <w:noProof/>
                <w:webHidden/>
              </w:rPr>
              <w:t>9</w:t>
            </w:r>
            <w:r>
              <w:rPr>
                <w:noProof/>
                <w:webHidden/>
              </w:rPr>
              <w:fldChar w:fldCharType="end"/>
            </w:r>
          </w:hyperlink>
        </w:p>
        <w:p w14:paraId="2502FFBC" w14:textId="49DC9DBA"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05" w:history="1">
            <w:r w:rsidRPr="005E040A">
              <w:rPr>
                <w:rStyle w:val="Hyperlink"/>
                <w:noProof/>
              </w:rPr>
              <w:t>2.2.1. Empowerment Theory (ET)</w:t>
            </w:r>
            <w:r>
              <w:rPr>
                <w:noProof/>
                <w:webHidden/>
              </w:rPr>
              <w:tab/>
            </w:r>
            <w:r>
              <w:rPr>
                <w:noProof/>
                <w:webHidden/>
              </w:rPr>
              <w:fldChar w:fldCharType="begin"/>
            </w:r>
            <w:r>
              <w:rPr>
                <w:noProof/>
                <w:webHidden/>
              </w:rPr>
              <w:instrText xml:space="preserve"> PAGEREF _Toc171703205 \h </w:instrText>
            </w:r>
            <w:r>
              <w:rPr>
                <w:noProof/>
                <w:webHidden/>
              </w:rPr>
            </w:r>
            <w:r>
              <w:rPr>
                <w:noProof/>
                <w:webHidden/>
              </w:rPr>
              <w:fldChar w:fldCharType="separate"/>
            </w:r>
            <w:r w:rsidR="00986730">
              <w:rPr>
                <w:noProof/>
                <w:webHidden/>
              </w:rPr>
              <w:t>9</w:t>
            </w:r>
            <w:r>
              <w:rPr>
                <w:noProof/>
                <w:webHidden/>
              </w:rPr>
              <w:fldChar w:fldCharType="end"/>
            </w:r>
          </w:hyperlink>
        </w:p>
        <w:p w14:paraId="7F1985C4" w14:textId="0372DF5C"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06" w:history="1">
            <w:r w:rsidRPr="005E040A">
              <w:rPr>
                <w:rStyle w:val="Hyperlink"/>
                <w:noProof/>
              </w:rPr>
              <w:t>2.2.2 Theory of Technological Determinism (TD)</w:t>
            </w:r>
            <w:r>
              <w:rPr>
                <w:noProof/>
                <w:webHidden/>
              </w:rPr>
              <w:tab/>
            </w:r>
            <w:r>
              <w:rPr>
                <w:noProof/>
                <w:webHidden/>
              </w:rPr>
              <w:fldChar w:fldCharType="begin"/>
            </w:r>
            <w:r>
              <w:rPr>
                <w:noProof/>
                <w:webHidden/>
              </w:rPr>
              <w:instrText xml:space="preserve"> PAGEREF _Toc171703206 \h </w:instrText>
            </w:r>
            <w:r>
              <w:rPr>
                <w:noProof/>
                <w:webHidden/>
              </w:rPr>
            </w:r>
            <w:r>
              <w:rPr>
                <w:noProof/>
                <w:webHidden/>
              </w:rPr>
              <w:fldChar w:fldCharType="separate"/>
            </w:r>
            <w:r w:rsidR="00986730">
              <w:rPr>
                <w:noProof/>
                <w:webHidden/>
              </w:rPr>
              <w:t>12</w:t>
            </w:r>
            <w:r>
              <w:rPr>
                <w:noProof/>
                <w:webHidden/>
              </w:rPr>
              <w:fldChar w:fldCharType="end"/>
            </w:r>
          </w:hyperlink>
        </w:p>
        <w:p w14:paraId="112DB26F" w14:textId="44640ABF"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07" w:history="1">
            <w:r w:rsidRPr="005E040A">
              <w:rPr>
                <w:rStyle w:val="Hyperlink"/>
                <w:rFonts w:cs="Times New Roman"/>
                <w:noProof/>
              </w:rPr>
              <w:t>2.3 Conceptual Review</w:t>
            </w:r>
            <w:r>
              <w:rPr>
                <w:noProof/>
                <w:webHidden/>
              </w:rPr>
              <w:tab/>
            </w:r>
            <w:r>
              <w:rPr>
                <w:noProof/>
                <w:webHidden/>
              </w:rPr>
              <w:fldChar w:fldCharType="begin"/>
            </w:r>
            <w:r>
              <w:rPr>
                <w:noProof/>
                <w:webHidden/>
              </w:rPr>
              <w:instrText xml:space="preserve"> PAGEREF _Toc171703207 \h </w:instrText>
            </w:r>
            <w:r>
              <w:rPr>
                <w:noProof/>
                <w:webHidden/>
              </w:rPr>
            </w:r>
            <w:r>
              <w:rPr>
                <w:noProof/>
                <w:webHidden/>
              </w:rPr>
              <w:fldChar w:fldCharType="separate"/>
            </w:r>
            <w:r w:rsidR="00986730">
              <w:rPr>
                <w:noProof/>
                <w:webHidden/>
              </w:rPr>
              <w:t>17</w:t>
            </w:r>
            <w:r>
              <w:rPr>
                <w:noProof/>
                <w:webHidden/>
              </w:rPr>
              <w:fldChar w:fldCharType="end"/>
            </w:r>
          </w:hyperlink>
        </w:p>
        <w:p w14:paraId="2122F41D" w14:textId="26FE7B3E"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08" w:history="1">
            <w:r w:rsidRPr="005E040A">
              <w:rPr>
                <w:rStyle w:val="Hyperlink"/>
                <w:noProof/>
              </w:rPr>
              <w:t>2.3.1 Conceptual Perspective on Poverty</w:t>
            </w:r>
            <w:r>
              <w:rPr>
                <w:noProof/>
                <w:webHidden/>
              </w:rPr>
              <w:tab/>
            </w:r>
            <w:r>
              <w:rPr>
                <w:noProof/>
                <w:webHidden/>
              </w:rPr>
              <w:fldChar w:fldCharType="begin"/>
            </w:r>
            <w:r>
              <w:rPr>
                <w:noProof/>
                <w:webHidden/>
              </w:rPr>
              <w:instrText xml:space="preserve"> PAGEREF _Toc171703208 \h </w:instrText>
            </w:r>
            <w:r>
              <w:rPr>
                <w:noProof/>
                <w:webHidden/>
              </w:rPr>
            </w:r>
            <w:r>
              <w:rPr>
                <w:noProof/>
                <w:webHidden/>
              </w:rPr>
              <w:fldChar w:fldCharType="separate"/>
            </w:r>
            <w:r w:rsidR="00986730">
              <w:rPr>
                <w:noProof/>
                <w:webHidden/>
              </w:rPr>
              <w:t>17</w:t>
            </w:r>
            <w:r>
              <w:rPr>
                <w:noProof/>
                <w:webHidden/>
              </w:rPr>
              <w:fldChar w:fldCharType="end"/>
            </w:r>
          </w:hyperlink>
        </w:p>
        <w:p w14:paraId="54FBC152" w14:textId="7B109703" w:rsidR="00BA129F" w:rsidRDefault="00BA129F" w:rsidP="00BA129F">
          <w:pPr>
            <w:pStyle w:val="TOC4"/>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09" w:history="1">
            <w:r w:rsidRPr="005E040A">
              <w:rPr>
                <w:rStyle w:val="Hyperlink"/>
                <w:noProof/>
              </w:rPr>
              <w:t>2.3.1.1 Exploring the Multifaceted Approaches to Poverty</w:t>
            </w:r>
            <w:r>
              <w:rPr>
                <w:noProof/>
                <w:webHidden/>
              </w:rPr>
              <w:tab/>
            </w:r>
            <w:r>
              <w:rPr>
                <w:noProof/>
                <w:webHidden/>
              </w:rPr>
              <w:fldChar w:fldCharType="begin"/>
            </w:r>
            <w:r>
              <w:rPr>
                <w:noProof/>
                <w:webHidden/>
              </w:rPr>
              <w:instrText xml:space="preserve"> PAGEREF _Toc171703209 \h </w:instrText>
            </w:r>
            <w:r>
              <w:rPr>
                <w:noProof/>
                <w:webHidden/>
              </w:rPr>
            </w:r>
            <w:r>
              <w:rPr>
                <w:noProof/>
                <w:webHidden/>
              </w:rPr>
              <w:fldChar w:fldCharType="separate"/>
            </w:r>
            <w:r w:rsidR="00986730">
              <w:rPr>
                <w:noProof/>
                <w:webHidden/>
              </w:rPr>
              <w:t>18</w:t>
            </w:r>
            <w:r>
              <w:rPr>
                <w:noProof/>
                <w:webHidden/>
              </w:rPr>
              <w:fldChar w:fldCharType="end"/>
            </w:r>
          </w:hyperlink>
        </w:p>
        <w:p w14:paraId="593436E3" w14:textId="749A3B7E"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0" w:history="1">
            <w:r w:rsidRPr="005E040A">
              <w:rPr>
                <w:rStyle w:val="Hyperlink"/>
                <w:noProof/>
              </w:rPr>
              <w:t>2.3.2 Understanding Social Protection as an Interventionist Approach</w:t>
            </w:r>
            <w:r>
              <w:rPr>
                <w:noProof/>
                <w:webHidden/>
              </w:rPr>
              <w:tab/>
            </w:r>
            <w:r>
              <w:rPr>
                <w:noProof/>
                <w:webHidden/>
              </w:rPr>
              <w:fldChar w:fldCharType="begin"/>
            </w:r>
            <w:r>
              <w:rPr>
                <w:noProof/>
                <w:webHidden/>
              </w:rPr>
              <w:instrText xml:space="preserve"> PAGEREF _Toc171703210 \h </w:instrText>
            </w:r>
            <w:r>
              <w:rPr>
                <w:noProof/>
                <w:webHidden/>
              </w:rPr>
            </w:r>
            <w:r>
              <w:rPr>
                <w:noProof/>
                <w:webHidden/>
              </w:rPr>
              <w:fldChar w:fldCharType="separate"/>
            </w:r>
            <w:r w:rsidR="00986730">
              <w:rPr>
                <w:noProof/>
                <w:webHidden/>
              </w:rPr>
              <w:t>23</w:t>
            </w:r>
            <w:r>
              <w:rPr>
                <w:noProof/>
                <w:webHidden/>
              </w:rPr>
              <w:fldChar w:fldCharType="end"/>
            </w:r>
          </w:hyperlink>
        </w:p>
        <w:p w14:paraId="432A82F9" w14:textId="200841AD"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1" w:history="1">
            <w:r w:rsidRPr="005E040A">
              <w:rPr>
                <w:rStyle w:val="Hyperlink"/>
                <w:noProof/>
              </w:rPr>
              <w:t>2.3.3 Social Protection and Sustainable Poverty Reduction</w:t>
            </w:r>
            <w:r>
              <w:rPr>
                <w:noProof/>
                <w:webHidden/>
              </w:rPr>
              <w:tab/>
            </w:r>
            <w:r>
              <w:rPr>
                <w:noProof/>
                <w:webHidden/>
              </w:rPr>
              <w:fldChar w:fldCharType="begin"/>
            </w:r>
            <w:r>
              <w:rPr>
                <w:noProof/>
                <w:webHidden/>
              </w:rPr>
              <w:instrText xml:space="preserve"> PAGEREF _Toc171703211 \h </w:instrText>
            </w:r>
            <w:r>
              <w:rPr>
                <w:noProof/>
                <w:webHidden/>
              </w:rPr>
            </w:r>
            <w:r>
              <w:rPr>
                <w:noProof/>
                <w:webHidden/>
              </w:rPr>
              <w:fldChar w:fldCharType="separate"/>
            </w:r>
            <w:r w:rsidR="00986730">
              <w:rPr>
                <w:noProof/>
                <w:webHidden/>
              </w:rPr>
              <w:t>26</w:t>
            </w:r>
            <w:r>
              <w:rPr>
                <w:noProof/>
                <w:webHidden/>
              </w:rPr>
              <w:fldChar w:fldCharType="end"/>
            </w:r>
          </w:hyperlink>
        </w:p>
        <w:p w14:paraId="50EF627F" w14:textId="74E2E215"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2" w:history="1">
            <w:r w:rsidRPr="005E040A">
              <w:rPr>
                <w:rStyle w:val="Hyperlink"/>
                <w:noProof/>
              </w:rPr>
              <w:t>2.3.4 Access to Social Protection</w:t>
            </w:r>
            <w:r>
              <w:rPr>
                <w:noProof/>
                <w:webHidden/>
              </w:rPr>
              <w:tab/>
            </w:r>
            <w:r>
              <w:rPr>
                <w:noProof/>
                <w:webHidden/>
              </w:rPr>
              <w:fldChar w:fldCharType="begin"/>
            </w:r>
            <w:r>
              <w:rPr>
                <w:noProof/>
                <w:webHidden/>
              </w:rPr>
              <w:instrText xml:space="preserve"> PAGEREF _Toc171703212 \h </w:instrText>
            </w:r>
            <w:r>
              <w:rPr>
                <w:noProof/>
                <w:webHidden/>
              </w:rPr>
            </w:r>
            <w:r>
              <w:rPr>
                <w:noProof/>
                <w:webHidden/>
              </w:rPr>
              <w:fldChar w:fldCharType="separate"/>
            </w:r>
            <w:r w:rsidR="00986730">
              <w:rPr>
                <w:noProof/>
                <w:webHidden/>
              </w:rPr>
              <w:t>29</w:t>
            </w:r>
            <w:r>
              <w:rPr>
                <w:noProof/>
                <w:webHidden/>
              </w:rPr>
              <w:fldChar w:fldCharType="end"/>
            </w:r>
          </w:hyperlink>
        </w:p>
        <w:p w14:paraId="0AA28C63" w14:textId="3B65D60A"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3" w:history="1">
            <w:r w:rsidRPr="005E040A">
              <w:rPr>
                <w:rStyle w:val="Hyperlink"/>
                <w:noProof/>
              </w:rPr>
              <w:t>2.3.5 Perception and Experiences of Beneficiaries</w:t>
            </w:r>
            <w:r>
              <w:rPr>
                <w:noProof/>
                <w:webHidden/>
              </w:rPr>
              <w:tab/>
            </w:r>
            <w:r>
              <w:rPr>
                <w:noProof/>
                <w:webHidden/>
              </w:rPr>
              <w:fldChar w:fldCharType="begin"/>
            </w:r>
            <w:r>
              <w:rPr>
                <w:noProof/>
                <w:webHidden/>
              </w:rPr>
              <w:instrText xml:space="preserve"> PAGEREF _Toc171703213 \h </w:instrText>
            </w:r>
            <w:r>
              <w:rPr>
                <w:noProof/>
                <w:webHidden/>
              </w:rPr>
            </w:r>
            <w:r>
              <w:rPr>
                <w:noProof/>
                <w:webHidden/>
              </w:rPr>
              <w:fldChar w:fldCharType="separate"/>
            </w:r>
            <w:r w:rsidR="00986730">
              <w:rPr>
                <w:noProof/>
                <w:webHidden/>
              </w:rPr>
              <w:t>30</w:t>
            </w:r>
            <w:r>
              <w:rPr>
                <w:noProof/>
                <w:webHidden/>
              </w:rPr>
              <w:fldChar w:fldCharType="end"/>
            </w:r>
          </w:hyperlink>
        </w:p>
        <w:p w14:paraId="18F07B2C" w14:textId="0B4ABC78"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4" w:history="1">
            <w:r w:rsidRPr="005E040A">
              <w:rPr>
                <w:rStyle w:val="Hyperlink"/>
                <w:noProof/>
              </w:rPr>
              <w:t>2.3.6 Harnessing Digital Technologies in The Delivery of Cash Transfers</w:t>
            </w:r>
            <w:r>
              <w:rPr>
                <w:noProof/>
                <w:webHidden/>
              </w:rPr>
              <w:tab/>
            </w:r>
            <w:r>
              <w:rPr>
                <w:noProof/>
                <w:webHidden/>
              </w:rPr>
              <w:fldChar w:fldCharType="begin"/>
            </w:r>
            <w:r>
              <w:rPr>
                <w:noProof/>
                <w:webHidden/>
              </w:rPr>
              <w:instrText xml:space="preserve"> PAGEREF _Toc171703214 \h </w:instrText>
            </w:r>
            <w:r>
              <w:rPr>
                <w:noProof/>
                <w:webHidden/>
              </w:rPr>
            </w:r>
            <w:r>
              <w:rPr>
                <w:noProof/>
                <w:webHidden/>
              </w:rPr>
              <w:fldChar w:fldCharType="separate"/>
            </w:r>
            <w:r w:rsidR="00986730">
              <w:rPr>
                <w:noProof/>
                <w:webHidden/>
              </w:rPr>
              <w:t>31</w:t>
            </w:r>
            <w:r>
              <w:rPr>
                <w:noProof/>
                <w:webHidden/>
              </w:rPr>
              <w:fldChar w:fldCharType="end"/>
            </w:r>
          </w:hyperlink>
        </w:p>
        <w:p w14:paraId="5CB20C37" w14:textId="546EB344" w:rsidR="00BA129F" w:rsidRDefault="00BA129F" w:rsidP="00BA129F">
          <w:pPr>
            <w:pStyle w:val="TOC4"/>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5" w:history="1">
            <w:r w:rsidRPr="005E040A">
              <w:rPr>
                <w:rStyle w:val="Hyperlink"/>
                <w:noProof/>
              </w:rPr>
              <w:t>2.3.6.1 Digital technologies as Grievance Redress Mechanism (GRM)</w:t>
            </w:r>
            <w:r>
              <w:rPr>
                <w:noProof/>
                <w:webHidden/>
              </w:rPr>
              <w:tab/>
            </w:r>
            <w:r>
              <w:rPr>
                <w:noProof/>
                <w:webHidden/>
              </w:rPr>
              <w:fldChar w:fldCharType="begin"/>
            </w:r>
            <w:r>
              <w:rPr>
                <w:noProof/>
                <w:webHidden/>
              </w:rPr>
              <w:instrText xml:space="preserve"> PAGEREF _Toc171703215 \h </w:instrText>
            </w:r>
            <w:r>
              <w:rPr>
                <w:noProof/>
                <w:webHidden/>
              </w:rPr>
            </w:r>
            <w:r>
              <w:rPr>
                <w:noProof/>
                <w:webHidden/>
              </w:rPr>
              <w:fldChar w:fldCharType="separate"/>
            </w:r>
            <w:r w:rsidR="00986730">
              <w:rPr>
                <w:noProof/>
                <w:webHidden/>
              </w:rPr>
              <w:t>34</w:t>
            </w:r>
            <w:r>
              <w:rPr>
                <w:noProof/>
                <w:webHidden/>
              </w:rPr>
              <w:fldChar w:fldCharType="end"/>
            </w:r>
          </w:hyperlink>
        </w:p>
        <w:p w14:paraId="358B93E4" w14:textId="72AB9508" w:rsidR="00BA129F" w:rsidRDefault="00BA129F" w:rsidP="00BA129F">
          <w:pPr>
            <w:pStyle w:val="TOC4"/>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6" w:history="1">
            <w:r w:rsidRPr="005E040A">
              <w:rPr>
                <w:rStyle w:val="Hyperlink"/>
                <w:noProof/>
              </w:rPr>
              <w:t>2.3.6.2 Digital technology as a tool for Monitoring and Evaluation (M&amp;E)</w:t>
            </w:r>
            <w:r>
              <w:rPr>
                <w:noProof/>
                <w:webHidden/>
              </w:rPr>
              <w:tab/>
            </w:r>
            <w:r>
              <w:rPr>
                <w:noProof/>
                <w:webHidden/>
              </w:rPr>
              <w:fldChar w:fldCharType="begin"/>
            </w:r>
            <w:r>
              <w:rPr>
                <w:noProof/>
                <w:webHidden/>
              </w:rPr>
              <w:instrText xml:space="preserve"> PAGEREF _Toc171703216 \h </w:instrText>
            </w:r>
            <w:r>
              <w:rPr>
                <w:noProof/>
                <w:webHidden/>
              </w:rPr>
            </w:r>
            <w:r>
              <w:rPr>
                <w:noProof/>
                <w:webHidden/>
              </w:rPr>
              <w:fldChar w:fldCharType="separate"/>
            </w:r>
            <w:r w:rsidR="00986730">
              <w:rPr>
                <w:noProof/>
                <w:webHidden/>
              </w:rPr>
              <w:t>36</w:t>
            </w:r>
            <w:r>
              <w:rPr>
                <w:noProof/>
                <w:webHidden/>
              </w:rPr>
              <w:fldChar w:fldCharType="end"/>
            </w:r>
          </w:hyperlink>
        </w:p>
        <w:p w14:paraId="46B5599C" w14:textId="6B482AB5"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17" w:history="1">
            <w:r w:rsidRPr="005E040A">
              <w:rPr>
                <w:rStyle w:val="Hyperlink"/>
                <w:noProof/>
              </w:rPr>
              <w:t>2.3.7 Limitations in Using Digital Technology in The Delivery of Social Protection (Cash Transfer)</w:t>
            </w:r>
            <w:r>
              <w:rPr>
                <w:noProof/>
                <w:webHidden/>
              </w:rPr>
              <w:tab/>
            </w:r>
            <w:r>
              <w:rPr>
                <w:noProof/>
                <w:webHidden/>
              </w:rPr>
              <w:fldChar w:fldCharType="begin"/>
            </w:r>
            <w:r>
              <w:rPr>
                <w:noProof/>
                <w:webHidden/>
              </w:rPr>
              <w:instrText xml:space="preserve"> PAGEREF _Toc171703217 \h </w:instrText>
            </w:r>
            <w:r>
              <w:rPr>
                <w:noProof/>
                <w:webHidden/>
              </w:rPr>
            </w:r>
            <w:r>
              <w:rPr>
                <w:noProof/>
                <w:webHidden/>
              </w:rPr>
              <w:fldChar w:fldCharType="separate"/>
            </w:r>
            <w:r w:rsidR="00986730">
              <w:rPr>
                <w:noProof/>
                <w:webHidden/>
              </w:rPr>
              <w:t>38</w:t>
            </w:r>
            <w:r>
              <w:rPr>
                <w:noProof/>
                <w:webHidden/>
              </w:rPr>
              <w:fldChar w:fldCharType="end"/>
            </w:r>
          </w:hyperlink>
        </w:p>
        <w:p w14:paraId="363B8FF6" w14:textId="43C7FFD2"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18" w:history="1">
            <w:r w:rsidRPr="005E040A">
              <w:rPr>
                <w:rStyle w:val="Hyperlink"/>
                <w:noProof/>
              </w:rPr>
              <w:t>2.4 Conceptual Framework of The Study</w:t>
            </w:r>
            <w:r>
              <w:rPr>
                <w:noProof/>
                <w:webHidden/>
              </w:rPr>
              <w:tab/>
            </w:r>
            <w:r>
              <w:rPr>
                <w:noProof/>
                <w:webHidden/>
              </w:rPr>
              <w:fldChar w:fldCharType="begin"/>
            </w:r>
            <w:r>
              <w:rPr>
                <w:noProof/>
                <w:webHidden/>
              </w:rPr>
              <w:instrText xml:space="preserve"> PAGEREF _Toc171703218 \h </w:instrText>
            </w:r>
            <w:r>
              <w:rPr>
                <w:noProof/>
                <w:webHidden/>
              </w:rPr>
            </w:r>
            <w:r>
              <w:rPr>
                <w:noProof/>
                <w:webHidden/>
              </w:rPr>
              <w:fldChar w:fldCharType="separate"/>
            </w:r>
            <w:r w:rsidR="00986730">
              <w:rPr>
                <w:noProof/>
                <w:webHidden/>
              </w:rPr>
              <w:t>38</w:t>
            </w:r>
            <w:r>
              <w:rPr>
                <w:noProof/>
                <w:webHidden/>
              </w:rPr>
              <w:fldChar w:fldCharType="end"/>
            </w:r>
          </w:hyperlink>
        </w:p>
        <w:p w14:paraId="260EA57D" w14:textId="2E4E6869"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19" w:history="1">
            <w:r w:rsidRPr="005E040A">
              <w:rPr>
                <w:rStyle w:val="Hyperlink"/>
                <w:noProof/>
              </w:rPr>
              <w:t>2.5 Overview of the Livelihood Empowerment Against Poverty (LEAP) Programme</w:t>
            </w:r>
            <w:r>
              <w:rPr>
                <w:noProof/>
                <w:webHidden/>
              </w:rPr>
              <w:tab/>
            </w:r>
            <w:r>
              <w:rPr>
                <w:noProof/>
                <w:webHidden/>
              </w:rPr>
              <w:fldChar w:fldCharType="begin"/>
            </w:r>
            <w:r>
              <w:rPr>
                <w:noProof/>
                <w:webHidden/>
              </w:rPr>
              <w:instrText xml:space="preserve"> PAGEREF _Toc171703219 \h </w:instrText>
            </w:r>
            <w:r>
              <w:rPr>
                <w:noProof/>
                <w:webHidden/>
              </w:rPr>
            </w:r>
            <w:r>
              <w:rPr>
                <w:noProof/>
                <w:webHidden/>
              </w:rPr>
              <w:fldChar w:fldCharType="separate"/>
            </w:r>
            <w:r w:rsidR="00986730">
              <w:rPr>
                <w:noProof/>
                <w:webHidden/>
              </w:rPr>
              <w:t>41</w:t>
            </w:r>
            <w:r>
              <w:rPr>
                <w:noProof/>
                <w:webHidden/>
              </w:rPr>
              <w:fldChar w:fldCharType="end"/>
            </w:r>
          </w:hyperlink>
        </w:p>
        <w:p w14:paraId="1AEF6D13" w14:textId="09A2B75E"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20" w:history="1">
            <w:r w:rsidRPr="005E040A">
              <w:rPr>
                <w:rStyle w:val="Hyperlink"/>
                <w:noProof/>
              </w:rPr>
              <w:t>2.5.1Rationale</w:t>
            </w:r>
            <w:r>
              <w:rPr>
                <w:noProof/>
                <w:webHidden/>
              </w:rPr>
              <w:tab/>
            </w:r>
            <w:r>
              <w:rPr>
                <w:noProof/>
                <w:webHidden/>
              </w:rPr>
              <w:fldChar w:fldCharType="begin"/>
            </w:r>
            <w:r>
              <w:rPr>
                <w:noProof/>
                <w:webHidden/>
              </w:rPr>
              <w:instrText xml:space="preserve"> PAGEREF _Toc171703220 \h </w:instrText>
            </w:r>
            <w:r>
              <w:rPr>
                <w:noProof/>
                <w:webHidden/>
              </w:rPr>
            </w:r>
            <w:r>
              <w:rPr>
                <w:noProof/>
                <w:webHidden/>
              </w:rPr>
              <w:fldChar w:fldCharType="separate"/>
            </w:r>
            <w:r w:rsidR="00986730">
              <w:rPr>
                <w:noProof/>
                <w:webHidden/>
              </w:rPr>
              <w:t>41</w:t>
            </w:r>
            <w:r>
              <w:rPr>
                <w:noProof/>
                <w:webHidden/>
              </w:rPr>
              <w:fldChar w:fldCharType="end"/>
            </w:r>
          </w:hyperlink>
        </w:p>
        <w:p w14:paraId="6E38425F" w14:textId="2A448C45"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21" w:history="1">
            <w:r w:rsidRPr="005E040A">
              <w:rPr>
                <w:rStyle w:val="Hyperlink"/>
                <w:noProof/>
              </w:rPr>
              <w:t>2.5.2 Objectives and eligibility criteria</w:t>
            </w:r>
            <w:r>
              <w:rPr>
                <w:noProof/>
                <w:webHidden/>
              </w:rPr>
              <w:tab/>
            </w:r>
            <w:r>
              <w:rPr>
                <w:noProof/>
                <w:webHidden/>
              </w:rPr>
              <w:fldChar w:fldCharType="begin"/>
            </w:r>
            <w:r>
              <w:rPr>
                <w:noProof/>
                <w:webHidden/>
              </w:rPr>
              <w:instrText xml:space="preserve"> PAGEREF _Toc171703221 \h </w:instrText>
            </w:r>
            <w:r>
              <w:rPr>
                <w:noProof/>
                <w:webHidden/>
              </w:rPr>
            </w:r>
            <w:r>
              <w:rPr>
                <w:noProof/>
                <w:webHidden/>
              </w:rPr>
              <w:fldChar w:fldCharType="separate"/>
            </w:r>
            <w:r w:rsidR="00986730">
              <w:rPr>
                <w:noProof/>
                <w:webHidden/>
              </w:rPr>
              <w:t>42</w:t>
            </w:r>
            <w:r>
              <w:rPr>
                <w:noProof/>
                <w:webHidden/>
              </w:rPr>
              <w:fldChar w:fldCharType="end"/>
            </w:r>
          </w:hyperlink>
        </w:p>
        <w:p w14:paraId="7F5739DC" w14:textId="2193E158"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22" w:history="1">
            <w:r w:rsidRPr="005E040A">
              <w:rPr>
                <w:rStyle w:val="Hyperlink"/>
                <w:noProof/>
              </w:rPr>
              <w:t>2.5.3 Brief overview of the implementation process.</w:t>
            </w:r>
            <w:r>
              <w:rPr>
                <w:noProof/>
                <w:webHidden/>
              </w:rPr>
              <w:tab/>
            </w:r>
            <w:r>
              <w:rPr>
                <w:noProof/>
                <w:webHidden/>
              </w:rPr>
              <w:fldChar w:fldCharType="begin"/>
            </w:r>
            <w:r>
              <w:rPr>
                <w:noProof/>
                <w:webHidden/>
              </w:rPr>
              <w:instrText xml:space="preserve"> PAGEREF _Toc171703222 \h </w:instrText>
            </w:r>
            <w:r>
              <w:rPr>
                <w:noProof/>
                <w:webHidden/>
              </w:rPr>
            </w:r>
            <w:r>
              <w:rPr>
                <w:noProof/>
                <w:webHidden/>
              </w:rPr>
              <w:fldChar w:fldCharType="separate"/>
            </w:r>
            <w:r w:rsidR="00986730">
              <w:rPr>
                <w:noProof/>
                <w:webHidden/>
              </w:rPr>
              <w:t>43</w:t>
            </w:r>
            <w:r>
              <w:rPr>
                <w:noProof/>
                <w:webHidden/>
              </w:rPr>
              <w:fldChar w:fldCharType="end"/>
            </w:r>
          </w:hyperlink>
        </w:p>
        <w:p w14:paraId="505396CB" w14:textId="38DF7401"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23" w:history="1">
            <w:r w:rsidRPr="005E040A">
              <w:rPr>
                <w:rStyle w:val="Hyperlink"/>
                <w:noProof/>
              </w:rPr>
              <w:t>CHAPTER THREE</w:t>
            </w:r>
            <w:r>
              <w:rPr>
                <w:noProof/>
                <w:webHidden/>
              </w:rPr>
              <w:tab/>
            </w:r>
            <w:r>
              <w:rPr>
                <w:noProof/>
                <w:webHidden/>
              </w:rPr>
              <w:fldChar w:fldCharType="begin"/>
            </w:r>
            <w:r>
              <w:rPr>
                <w:noProof/>
                <w:webHidden/>
              </w:rPr>
              <w:instrText xml:space="preserve"> PAGEREF _Toc171703223 \h </w:instrText>
            </w:r>
            <w:r>
              <w:rPr>
                <w:noProof/>
                <w:webHidden/>
              </w:rPr>
            </w:r>
            <w:r>
              <w:rPr>
                <w:noProof/>
                <w:webHidden/>
              </w:rPr>
              <w:fldChar w:fldCharType="separate"/>
            </w:r>
            <w:r w:rsidR="00986730">
              <w:rPr>
                <w:noProof/>
                <w:webHidden/>
              </w:rPr>
              <w:t>47</w:t>
            </w:r>
            <w:r>
              <w:rPr>
                <w:noProof/>
                <w:webHidden/>
              </w:rPr>
              <w:fldChar w:fldCharType="end"/>
            </w:r>
          </w:hyperlink>
        </w:p>
        <w:p w14:paraId="31CCDCE9" w14:textId="06572DEC"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24" w:history="1">
            <w:r w:rsidRPr="005E040A">
              <w:rPr>
                <w:rStyle w:val="Hyperlink"/>
                <w:noProof/>
              </w:rPr>
              <w:t>RESEARCH METHODOLOGY</w:t>
            </w:r>
            <w:r>
              <w:rPr>
                <w:noProof/>
                <w:webHidden/>
              </w:rPr>
              <w:tab/>
            </w:r>
            <w:r>
              <w:rPr>
                <w:noProof/>
                <w:webHidden/>
              </w:rPr>
              <w:fldChar w:fldCharType="begin"/>
            </w:r>
            <w:r>
              <w:rPr>
                <w:noProof/>
                <w:webHidden/>
              </w:rPr>
              <w:instrText xml:space="preserve"> PAGEREF _Toc171703224 \h </w:instrText>
            </w:r>
            <w:r>
              <w:rPr>
                <w:noProof/>
                <w:webHidden/>
              </w:rPr>
            </w:r>
            <w:r>
              <w:rPr>
                <w:noProof/>
                <w:webHidden/>
              </w:rPr>
              <w:fldChar w:fldCharType="separate"/>
            </w:r>
            <w:r w:rsidR="00986730">
              <w:rPr>
                <w:noProof/>
                <w:webHidden/>
              </w:rPr>
              <w:t>47</w:t>
            </w:r>
            <w:r>
              <w:rPr>
                <w:noProof/>
                <w:webHidden/>
              </w:rPr>
              <w:fldChar w:fldCharType="end"/>
            </w:r>
          </w:hyperlink>
        </w:p>
        <w:p w14:paraId="1B43B774" w14:textId="09E45276"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25" w:history="1">
            <w:r w:rsidRPr="005E040A">
              <w:rPr>
                <w:rStyle w:val="Hyperlink"/>
                <w:noProof/>
              </w:rPr>
              <w:t>3.1 Introduction</w:t>
            </w:r>
            <w:r>
              <w:rPr>
                <w:noProof/>
                <w:webHidden/>
              </w:rPr>
              <w:tab/>
            </w:r>
            <w:r>
              <w:rPr>
                <w:noProof/>
                <w:webHidden/>
              </w:rPr>
              <w:fldChar w:fldCharType="begin"/>
            </w:r>
            <w:r>
              <w:rPr>
                <w:noProof/>
                <w:webHidden/>
              </w:rPr>
              <w:instrText xml:space="preserve"> PAGEREF _Toc171703225 \h </w:instrText>
            </w:r>
            <w:r>
              <w:rPr>
                <w:noProof/>
                <w:webHidden/>
              </w:rPr>
            </w:r>
            <w:r>
              <w:rPr>
                <w:noProof/>
                <w:webHidden/>
              </w:rPr>
              <w:fldChar w:fldCharType="separate"/>
            </w:r>
            <w:r w:rsidR="00986730">
              <w:rPr>
                <w:noProof/>
                <w:webHidden/>
              </w:rPr>
              <w:t>47</w:t>
            </w:r>
            <w:r>
              <w:rPr>
                <w:noProof/>
                <w:webHidden/>
              </w:rPr>
              <w:fldChar w:fldCharType="end"/>
            </w:r>
          </w:hyperlink>
        </w:p>
        <w:p w14:paraId="0FE1AAB2" w14:textId="7C94A595"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26" w:history="1">
            <w:r w:rsidRPr="005E040A">
              <w:rPr>
                <w:rStyle w:val="Hyperlink"/>
                <w:noProof/>
              </w:rPr>
              <w:t>3.2 Profile of the Area of Study</w:t>
            </w:r>
            <w:r>
              <w:rPr>
                <w:noProof/>
                <w:webHidden/>
              </w:rPr>
              <w:tab/>
            </w:r>
            <w:r>
              <w:rPr>
                <w:noProof/>
                <w:webHidden/>
              </w:rPr>
              <w:fldChar w:fldCharType="begin"/>
            </w:r>
            <w:r>
              <w:rPr>
                <w:noProof/>
                <w:webHidden/>
              </w:rPr>
              <w:instrText xml:space="preserve"> PAGEREF _Toc171703226 \h </w:instrText>
            </w:r>
            <w:r>
              <w:rPr>
                <w:noProof/>
                <w:webHidden/>
              </w:rPr>
            </w:r>
            <w:r>
              <w:rPr>
                <w:noProof/>
                <w:webHidden/>
              </w:rPr>
              <w:fldChar w:fldCharType="separate"/>
            </w:r>
            <w:r w:rsidR="00986730">
              <w:rPr>
                <w:noProof/>
                <w:webHidden/>
              </w:rPr>
              <w:t>47</w:t>
            </w:r>
            <w:r>
              <w:rPr>
                <w:noProof/>
                <w:webHidden/>
              </w:rPr>
              <w:fldChar w:fldCharType="end"/>
            </w:r>
          </w:hyperlink>
        </w:p>
        <w:p w14:paraId="5F5E2210" w14:textId="5EF91F1B"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27" w:history="1">
            <w:r w:rsidRPr="005E040A">
              <w:rPr>
                <w:rStyle w:val="Hyperlink"/>
                <w:noProof/>
              </w:rPr>
              <w:t>3.3 Research Philosophy</w:t>
            </w:r>
            <w:r>
              <w:rPr>
                <w:noProof/>
                <w:webHidden/>
              </w:rPr>
              <w:tab/>
            </w:r>
            <w:r>
              <w:rPr>
                <w:noProof/>
                <w:webHidden/>
              </w:rPr>
              <w:fldChar w:fldCharType="begin"/>
            </w:r>
            <w:r>
              <w:rPr>
                <w:noProof/>
                <w:webHidden/>
              </w:rPr>
              <w:instrText xml:space="preserve"> PAGEREF _Toc171703227 \h </w:instrText>
            </w:r>
            <w:r>
              <w:rPr>
                <w:noProof/>
                <w:webHidden/>
              </w:rPr>
            </w:r>
            <w:r>
              <w:rPr>
                <w:noProof/>
                <w:webHidden/>
              </w:rPr>
              <w:fldChar w:fldCharType="separate"/>
            </w:r>
            <w:r w:rsidR="00986730">
              <w:rPr>
                <w:noProof/>
                <w:webHidden/>
              </w:rPr>
              <w:t>50</w:t>
            </w:r>
            <w:r>
              <w:rPr>
                <w:noProof/>
                <w:webHidden/>
              </w:rPr>
              <w:fldChar w:fldCharType="end"/>
            </w:r>
          </w:hyperlink>
        </w:p>
        <w:p w14:paraId="394DB0E1" w14:textId="150788D6"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28" w:history="1">
            <w:r w:rsidRPr="005E040A">
              <w:rPr>
                <w:rStyle w:val="Hyperlink"/>
                <w:rFonts w:cs="Times New Roman"/>
                <w:noProof/>
              </w:rPr>
              <w:t>3.4 Research Approach</w:t>
            </w:r>
            <w:r>
              <w:rPr>
                <w:noProof/>
                <w:webHidden/>
              </w:rPr>
              <w:tab/>
            </w:r>
            <w:r>
              <w:rPr>
                <w:noProof/>
                <w:webHidden/>
              </w:rPr>
              <w:fldChar w:fldCharType="begin"/>
            </w:r>
            <w:r>
              <w:rPr>
                <w:noProof/>
                <w:webHidden/>
              </w:rPr>
              <w:instrText xml:space="preserve"> PAGEREF _Toc171703228 \h </w:instrText>
            </w:r>
            <w:r>
              <w:rPr>
                <w:noProof/>
                <w:webHidden/>
              </w:rPr>
            </w:r>
            <w:r>
              <w:rPr>
                <w:noProof/>
                <w:webHidden/>
              </w:rPr>
              <w:fldChar w:fldCharType="separate"/>
            </w:r>
            <w:r w:rsidR="00986730">
              <w:rPr>
                <w:noProof/>
                <w:webHidden/>
              </w:rPr>
              <w:t>52</w:t>
            </w:r>
            <w:r>
              <w:rPr>
                <w:noProof/>
                <w:webHidden/>
              </w:rPr>
              <w:fldChar w:fldCharType="end"/>
            </w:r>
          </w:hyperlink>
        </w:p>
        <w:p w14:paraId="7487853F" w14:textId="2ADFC3E5"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29" w:history="1">
            <w:r w:rsidRPr="005E040A">
              <w:rPr>
                <w:rStyle w:val="Hyperlink"/>
                <w:rFonts w:cs="Times New Roman"/>
                <w:noProof/>
              </w:rPr>
              <w:t>3.5 Research Design</w:t>
            </w:r>
            <w:r>
              <w:rPr>
                <w:noProof/>
                <w:webHidden/>
              </w:rPr>
              <w:tab/>
            </w:r>
            <w:r>
              <w:rPr>
                <w:noProof/>
                <w:webHidden/>
              </w:rPr>
              <w:fldChar w:fldCharType="begin"/>
            </w:r>
            <w:r>
              <w:rPr>
                <w:noProof/>
                <w:webHidden/>
              </w:rPr>
              <w:instrText xml:space="preserve"> PAGEREF _Toc171703229 \h </w:instrText>
            </w:r>
            <w:r>
              <w:rPr>
                <w:noProof/>
                <w:webHidden/>
              </w:rPr>
            </w:r>
            <w:r>
              <w:rPr>
                <w:noProof/>
                <w:webHidden/>
              </w:rPr>
              <w:fldChar w:fldCharType="separate"/>
            </w:r>
            <w:r w:rsidR="00986730">
              <w:rPr>
                <w:noProof/>
                <w:webHidden/>
              </w:rPr>
              <w:t>52</w:t>
            </w:r>
            <w:r>
              <w:rPr>
                <w:noProof/>
                <w:webHidden/>
              </w:rPr>
              <w:fldChar w:fldCharType="end"/>
            </w:r>
          </w:hyperlink>
        </w:p>
        <w:p w14:paraId="0E0FB61B" w14:textId="53C9CF22"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30" w:history="1">
            <w:r w:rsidRPr="005E040A">
              <w:rPr>
                <w:rStyle w:val="Hyperlink"/>
                <w:rFonts w:cs="Times New Roman"/>
                <w:noProof/>
              </w:rPr>
              <w:t>3.6 Sampling Technique</w:t>
            </w:r>
            <w:r>
              <w:rPr>
                <w:noProof/>
                <w:webHidden/>
              </w:rPr>
              <w:tab/>
            </w:r>
            <w:r>
              <w:rPr>
                <w:noProof/>
                <w:webHidden/>
              </w:rPr>
              <w:fldChar w:fldCharType="begin"/>
            </w:r>
            <w:r>
              <w:rPr>
                <w:noProof/>
                <w:webHidden/>
              </w:rPr>
              <w:instrText xml:space="preserve"> PAGEREF _Toc171703230 \h </w:instrText>
            </w:r>
            <w:r>
              <w:rPr>
                <w:noProof/>
                <w:webHidden/>
              </w:rPr>
            </w:r>
            <w:r>
              <w:rPr>
                <w:noProof/>
                <w:webHidden/>
              </w:rPr>
              <w:fldChar w:fldCharType="separate"/>
            </w:r>
            <w:r w:rsidR="00986730">
              <w:rPr>
                <w:noProof/>
                <w:webHidden/>
              </w:rPr>
              <w:t>53</w:t>
            </w:r>
            <w:r>
              <w:rPr>
                <w:noProof/>
                <w:webHidden/>
              </w:rPr>
              <w:fldChar w:fldCharType="end"/>
            </w:r>
          </w:hyperlink>
        </w:p>
        <w:p w14:paraId="0BC9D2CC" w14:textId="514A6BCD"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31" w:history="1">
            <w:r w:rsidRPr="005E040A">
              <w:rPr>
                <w:rStyle w:val="Hyperlink"/>
                <w:rFonts w:cs="Times New Roman"/>
                <w:noProof/>
              </w:rPr>
              <w:t>3.7 Data Collection</w:t>
            </w:r>
            <w:r>
              <w:rPr>
                <w:noProof/>
                <w:webHidden/>
              </w:rPr>
              <w:tab/>
            </w:r>
            <w:r>
              <w:rPr>
                <w:noProof/>
                <w:webHidden/>
              </w:rPr>
              <w:fldChar w:fldCharType="begin"/>
            </w:r>
            <w:r>
              <w:rPr>
                <w:noProof/>
                <w:webHidden/>
              </w:rPr>
              <w:instrText xml:space="preserve"> PAGEREF _Toc171703231 \h </w:instrText>
            </w:r>
            <w:r>
              <w:rPr>
                <w:noProof/>
                <w:webHidden/>
              </w:rPr>
            </w:r>
            <w:r>
              <w:rPr>
                <w:noProof/>
                <w:webHidden/>
              </w:rPr>
              <w:fldChar w:fldCharType="separate"/>
            </w:r>
            <w:r w:rsidR="00986730">
              <w:rPr>
                <w:noProof/>
                <w:webHidden/>
              </w:rPr>
              <w:t>54</w:t>
            </w:r>
            <w:r>
              <w:rPr>
                <w:noProof/>
                <w:webHidden/>
              </w:rPr>
              <w:fldChar w:fldCharType="end"/>
            </w:r>
          </w:hyperlink>
        </w:p>
        <w:p w14:paraId="58A89D4C" w14:textId="0D3950C7"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32" w:history="1">
            <w:r w:rsidRPr="005E040A">
              <w:rPr>
                <w:rStyle w:val="Hyperlink"/>
                <w:noProof/>
              </w:rPr>
              <w:t>3.7.1 Primary Data – Qualitative Interviews</w:t>
            </w:r>
            <w:r>
              <w:rPr>
                <w:noProof/>
                <w:webHidden/>
              </w:rPr>
              <w:tab/>
            </w:r>
            <w:r>
              <w:rPr>
                <w:noProof/>
                <w:webHidden/>
              </w:rPr>
              <w:fldChar w:fldCharType="begin"/>
            </w:r>
            <w:r>
              <w:rPr>
                <w:noProof/>
                <w:webHidden/>
              </w:rPr>
              <w:instrText xml:space="preserve"> PAGEREF _Toc171703232 \h </w:instrText>
            </w:r>
            <w:r>
              <w:rPr>
                <w:noProof/>
                <w:webHidden/>
              </w:rPr>
            </w:r>
            <w:r>
              <w:rPr>
                <w:noProof/>
                <w:webHidden/>
              </w:rPr>
              <w:fldChar w:fldCharType="separate"/>
            </w:r>
            <w:r w:rsidR="00986730">
              <w:rPr>
                <w:noProof/>
                <w:webHidden/>
              </w:rPr>
              <w:t>54</w:t>
            </w:r>
            <w:r>
              <w:rPr>
                <w:noProof/>
                <w:webHidden/>
              </w:rPr>
              <w:fldChar w:fldCharType="end"/>
            </w:r>
          </w:hyperlink>
        </w:p>
        <w:p w14:paraId="57A7477F" w14:textId="2A50C4EA" w:rsidR="00BA129F" w:rsidRDefault="00BA129F" w:rsidP="00BA129F">
          <w:pPr>
            <w:pStyle w:val="TOC4"/>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33" w:history="1">
            <w:r w:rsidRPr="005E040A">
              <w:rPr>
                <w:rStyle w:val="Hyperlink"/>
                <w:noProof/>
              </w:rPr>
              <w:t>3.7.1.1 Face-to-Face interviews</w:t>
            </w:r>
            <w:r>
              <w:rPr>
                <w:noProof/>
                <w:webHidden/>
              </w:rPr>
              <w:tab/>
            </w:r>
            <w:r>
              <w:rPr>
                <w:noProof/>
                <w:webHidden/>
              </w:rPr>
              <w:fldChar w:fldCharType="begin"/>
            </w:r>
            <w:r>
              <w:rPr>
                <w:noProof/>
                <w:webHidden/>
              </w:rPr>
              <w:instrText xml:space="preserve"> PAGEREF _Toc171703233 \h </w:instrText>
            </w:r>
            <w:r>
              <w:rPr>
                <w:noProof/>
                <w:webHidden/>
              </w:rPr>
            </w:r>
            <w:r>
              <w:rPr>
                <w:noProof/>
                <w:webHidden/>
              </w:rPr>
              <w:fldChar w:fldCharType="separate"/>
            </w:r>
            <w:r w:rsidR="00986730">
              <w:rPr>
                <w:noProof/>
                <w:webHidden/>
              </w:rPr>
              <w:t>54</w:t>
            </w:r>
            <w:r>
              <w:rPr>
                <w:noProof/>
                <w:webHidden/>
              </w:rPr>
              <w:fldChar w:fldCharType="end"/>
            </w:r>
          </w:hyperlink>
        </w:p>
        <w:p w14:paraId="476EB9A3" w14:textId="2BA65C94" w:rsidR="00BA129F" w:rsidRDefault="00BA129F" w:rsidP="00BA129F">
          <w:pPr>
            <w:pStyle w:val="TOC4"/>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34" w:history="1">
            <w:r w:rsidRPr="005E040A">
              <w:rPr>
                <w:rStyle w:val="Hyperlink"/>
                <w:noProof/>
              </w:rPr>
              <w:t>3.7.1.2 Direct observation</w:t>
            </w:r>
            <w:r>
              <w:rPr>
                <w:noProof/>
                <w:webHidden/>
              </w:rPr>
              <w:tab/>
            </w:r>
            <w:r>
              <w:rPr>
                <w:noProof/>
                <w:webHidden/>
              </w:rPr>
              <w:fldChar w:fldCharType="begin"/>
            </w:r>
            <w:r>
              <w:rPr>
                <w:noProof/>
                <w:webHidden/>
              </w:rPr>
              <w:instrText xml:space="preserve"> PAGEREF _Toc171703234 \h </w:instrText>
            </w:r>
            <w:r>
              <w:rPr>
                <w:noProof/>
                <w:webHidden/>
              </w:rPr>
            </w:r>
            <w:r>
              <w:rPr>
                <w:noProof/>
                <w:webHidden/>
              </w:rPr>
              <w:fldChar w:fldCharType="separate"/>
            </w:r>
            <w:r w:rsidR="00986730">
              <w:rPr>
                <w:noProof/>
                <w:webHidden/>
              </w:rPr>
              <w:t>54</w:t>
            </w:r>
            <w:r>
              <w:rPr>
                <w:noProof/>
                <w:webHidden/>
              </w:rPr>
              <w:fldChar w:fldCharType="end"/>
            </w:r>
          </w:hyperlink>
        </w:p>
        <w:p w14:paraId="7DD48EA2" w14:textId="63556B4B"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35" w:history="1">
            <w:r w:rsidRPr="005E040A">
              <w:rPr>
                <w:rStyle w:val="Hyperlink"/>
                <w:noProof/>
              </w:rPr>
              <w:t>3.7.2 Secondary Data</w:t>
            </w:r>
            <w:r>
              <w:rPr>
                <w:noProof/>
                <w:webHidden/>
              </w:rPr>
              <w:tab/>
            </w:r>
            <w:r>
              <w:rPr>
                <w:noProof/>
                <w:webHidden/>
              </w:rPr>
              <w:fldChar w:fldCharType="begin"/>
            </w:r>
            <w:r>
              <w:rPr>
                <w:noProof/>
                <w:webHidden/>
              </w:rPr>
              <w:instrText xml:space="preserve"> PAGEREF _Toc171703235 \h </w:instrText>
            </w:r>
            <w:r>
              <w:rPr>
                <w:noProof/>
                <w:webHidden/>
              </w:rPr>
            </w:r>
            <w:r>
              <w:rPr>
                <w:noProof/>
                <w:webHidden/>
              </w:rPr>
              <w:fldChar w:fldCharType="separate"/>
            </w:r>
            <w:r w:rsidR="00986730">
              <w:rPr>
                <w:noProof/>
                <w:webHidden/>
              </w:rPr>
              <w:t>57</w:t>
            </w:r>
            <w:r>
              <w:rPr>
                <w:noProof/>
                <w:webHidden/>
              </w:rPr>
              <w:fldChar w:fldCharType="end"/>
            </w:r>
          </w:hyperlink>
        </w:p>
        <w:p w14:paraId="5E70D6AF" w14:textId="6A58AF81"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36" w:history="1">
            <w:r w:rsidRPr="005E040A">
              <w:rPr>
                <w:rStyle w:val="Hyperlink"/>
                <w:noProof/>
              </w:rPr>
              <w:t>3.8 Data collection instrument</w:t>
            </w:r>
            <w:r>
              <w:rPr>
                <w:noProof/>
                <w:webHidden/>
              </w:rPr>
              <w:tab/>
            </w:r>
            <w:r>
              <w:rPr>
                <w:noProof/>
                <w:webHidden/>
              </w:rPr>
              <w:fldChar w:fldCharType="begin"/>
            </w:r>
            <w:r>
              <w:rPr>
                <w:noProof/>
                <w:webHidden/>
              </w:rPr>
              <w:instrText xml:space="preserve"> PAGEREF _Toc171703236 \h </w:instrText>
            </w:r>
            <w:r>
              <w:rPr>
                <w:noProof/>
                <w:webHidden/>
              </w:rPr>
            </w:r>
            <w:r>
              <w:rPr>
                <w:noProof/>
                <w:webHidden/>
              </w:rPr>
              <w:fldChar w:fldCharType="separate"/>
            </w:r>
            <w:r w:rsidR="00986730">
              <w:rPr>
                <w:noProof/>
                <w:webHidden/>
              </w:rPr>
              <w:t>58</w:t>
            </w:r>
            <w:r>
              <w:rPr>
                <w:noProof/>
                <w:webHidden/>
              </w:rPr>
              <w:fldChar w:fldCharType="end"/>
            </w:r>
          </w:hyperlink>
        </w:p>
        <w:p w14:paraId="29E8DEE7" w14:textId="4B9FAD17"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37" w:history="1">
            <w:r w:rsidRPr="005E040A">
              <w:rPr>
                <w:rStyle w:val="Hyperlink"/>
                <w:noProof/>
              </w:rPr>
              <w:t>3.9 Pre-Testing</w:t>
            </w:r>
            <w:r>
              <w:rPr>
                <w:noProof/>
                <w:webHidden/>
              </w:rPr>
              <w:tab/>
            </w:r>
            <w:r>
              <w:rPr>
                <w:noProof/>
                <w:webHidden/>
              </w:rPr>
              <w:fldChar w:fldCharType="begin"/>
            </w:r>
            <w:r>
              <w:rPr>
                <w:noProof/>
                <w:webHidden/>
              </w:rPr>
              <w:instrText xml:space="preserve"> PAGEREF _Toc171703237 \h </w:instrText>
            </w:r>
            <w:r>
              <w:rPr>
                <w:noProof/>
                <w:webHidden/>
              </w:rPr>
            </w:r>
            <w:r>
              <w:rPr>
                <w:noProof/>
                <w:webHidden/>
              </w:rPr>
              <w:fldChar w:fldCharType="separate"/>
            </w:r>
            <w:r w:rsidR="00986730">
              <w:rPr>
                <w:noProof/>
                <w:webHidden/>
              </w:rPr>
              <w:t>58</w:t>
            </w:r>
            <w:r>
              <w:rPr>
                <w:noProof/>
                <w:webHidden/>
              </w:rPr>
              <w:fldChar w:fldCharType="end"/>
            </w:r>
          </w:hyperlink>
        </w:p>
        <w:p w14:paraId="65BC09E6" w14:textId="31658094"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38" w:history="1">
            <w:r w:rsidRPr="005E040A">
              <w:rPr>
                <w:rStyle w:val="Hyperlink"/>
                <w:rFonts w:cs="Times New Roman"/>
                <w:noProof/>
              </w:rPr>
              <w:t>3.10 Data Validity</w:t>
            </w:r>
            <w:r>
              <w:rPr>
                <w:noProof/>
                <w:webHidden/>
              </w:rPr>
              <w:tab/>
            </w:r>
            <w:r>
              <w:rPr>
                <w:noProof/>
                <w:webHidden/>
              </w:rPr>
              <w:fldChar w:fldCharType="begin"/>
            </w:r>
            <w:r>
              <w:rPr>
                <w:noProof/>
                <w:webHidden/>
              </w:rPr>
              <w:instrText xml:space="preserve"> PAGEREF _Toc171703238 \h </w:instrText>
            </w:r>
            <w:r>
              <w:rPr>
                <w:noProof/>
                <w:webHidden/>
              </w:rPr>
            </w:r>
            <w:r>
              <w:rPr>
                <w:noProof/>
                <w:webHidden/>
              </w:rPr>
              <w:fldChar w:fldCharType="separate"/>
            </w:r>
            <w:r w:rsidR="00986730">
              <w:rPr>
                <w:noProof/>
                <w:webHidden/>
              </w:rPr>
              <w:t>59</w:t>
            </w:r>
            <w:r>
              <w:rPr>
                <w:noProof/>
                <w:webHidden/>
              </w:rPr>
              <w:fldChar w:fldCharType="end"/>
            </w:r>
          </w:hyperlink>
        </w:p>
        <w:p w14:paraId="79D4AF6B" w14:textId="60CBA5FB"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39" w:history="1">
            <w:r w:rsidRPr="005E040A">
              <w:rPr>
                <w:rStyle w:val="Hyperlink"/>
                <w:rFonts w:cs="Times New Roman"/>
                <w:noProof/>
              </w:rPr>
              <w:t>3.11 Data Reliability</w:t>
            </w:r>
            <w:r>
              <w:rPr>
                <w:noProof/>
                <w:webHidden/>
              </w:rPr>
              <w:tab/>
            </w:r>
            <w:r>
              <w:rPr>
                <w:noProof/>
                <w:webHidden/>
              </w:rPr>
              <w:fldChar w:fldCharType="begin"/>
            </w:r>
            <w:r>
              <w:rPr>
                <w:noProof/>
                <w:webHidden/>
              </w:rPr>
              <w:instrText xml:space="preserve"> PAGEREF _Toc171703239 \h </w:instrText>
            </w:r>
            <w:r>
              <w:rPr>
                <w:noProof/>
                <w:webHidden/>
              </w:rPr>
            </w:r>
            <w:r>
              <w:rPr>
                <w:noProof/>
                <w:webHidden/>
              </w:rPr>
              <w:fldChar w:fldCharType="separate"/>
            </w:r>
            <w:r w:rsidR="00986730">
              <w:rPr>
                <w:noProof/>
                <w:webHidden/>
              </w:rPr>
              <w:t>59</w:t>
            </w:r>
            <w:r>
              <w:rPr>
                <w:noProof/>
                <w:webHidden/>
              </w:rPr>
              <w:fldChar w:fldCharType="end"/>
            </w:r>
          </w:hyperlink>
        </w:p>
        <w:p w14:paraId="6F5A872A" w14:textId="7057A21B"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40" w:history="1">
            <w:r w:rsidRPr="005E040A">
              <w:rPr>
                <w:rStyle w:val="Hyperlink"/>
                <w:rFonts w:cs="Times New Roman"/>
                <w:noProof/>
              </w:rPr>
              <w:t>3.12 Actual Field Work</w:t>
            </w:r>
            <w:r>
              <w:rPr>
                <w:noProof/>
                <w:webHidden/>
              </w:rPr>
              <w:tab/>
            </w:r>
            <w:r>
              <w:rPr>
                <w:noProof/>
                <w:webHidden/>
              </w:rPr>
              <w:fldChar w:fldCharType="begin"/>
            </w:r>
            <w:r>
              <w:rPr>
                <w:noProof/>
                <w:webHidden/>
              </w:rPr>
              <w:instrText xml:space="preserve"> PAGEREF _Toc171703240 \h </w:instrText>
            </w:r>
            <w:r>
              <w:rPr>
                <w:noProof/>
                <w:webHidden/>
              </w:rPr>
            </w:r>
            <w:r>
              <w:rPr>
                <w:noProof/>
                <w:webHidden/>
              </w:rPr>
              <w:fldChar w:fldCharType="separate"/>
            </w:r>
            <w:r w:rsidR="00986730">
              <w:rPr>
                <w:noProof/>
                <w:webHidden/>
              </w:rPr>
              <w:t>60</w:t>
            </w:r>
            <w:r>
              <w:rPr>
                <w:noProof/>
                <w:webHidden/>
              </w:rPr>
              <w:fldChar w:fldCharType="end"/>
            </w:r>
          </w:hyperlink>
        </w:p>
        <w:p w14:paraId="7F005AA7" w14:textId="394D026E"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41" w:history="1">
            <w:r w:rsidRPr="005E040A">
              <w:rPr>
                <w:rStyle w:val="Hyperlink"/>
                <w:rFonts w:cs="Times New Roman"/>
                <w:noProof/>
              </w:rPr>
              <w:t>3.13 Data Analysis and Management</w:t>
            </w:r>
            <w:r>
              <w:rPr>
                <w:noProof/>
                <w:webHidden/>
              </w:rPr>
              <w:tab/>
            </w:r>
            <w:r>
              <w:rPr>
                <w:noProof/>
                <w:webHidden/>
              </w:rPr>
              <w:fldChar w:fldCharType="begin"/>
            </w:r>
            <w:r>
              <w:rPr>
                <w:noProof/>
                <w:webHidden/>
              </w:rPr>
              <w:instrText xml:space="preserve"> PAGEREF _Toc171703241 \h </w:instrText>
            </w:r>
            <w:r>
              <w:rPr>
                <w:noProof/>
                <w:webHidden/>
              </w:rPr>
            </w:r>
            <w:r>
              <w:rPr>
                <w:noProof/>
                <w:webHidden/>
              </w:rPr>
              <w:fldChar w:fldCharType="separate"/>
            </w:r>
            <w:r w:rsidR="00986730">
              <w:rPr>
                <w:noProof/>
                <w:webHidden/>
              </w:rPr>
              <w:t>61</w:t>
            </w:r>
            <w:r>
              <w:rPr>
                <w:noProof/>
                <w:webHidden/>
              </w:rPr>
              <w:fldChar w:fldCharType="end"/>
            </w:r>
          </w:hyperlink>
        </w:p>
        <w:p w14:paraId="4BA2B75F" w14:textId="23AD10CE"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42" w:history="1">
            <w:r w:rsidRPr="005E040A">
              <w:rPr>
                <w:rStyle w:val="Hyperlink"/>
                <w:noProof/>
              </w:rPr>
              <w:t>3.13.1 Data Coding</w:t>
            </w:r>
            <w:r>
              <w:rPr>
                <w:noProof/>
                <w:webHidden/>
              </w:rPr>
              <w:tab/>
            </w:r>
            <w:r>
              <w:rPr>
                <w:noProof/>
                <w:webHidden/>
              </w:rPr>
              <w:fldChar w:fldCharType="begin"/>
            </w:r>
            <w:r>
              <w:rPr>
                <w:noProof/>
                <w:webHidden/>
              </w:rPr>
              <w:instrText xml:space="preserve"> PAGEREF _Toc171703242 \h </w:instrText>
            </w:r>
            <w:r>
              <w:rPr>
                <w:noProof/>
                <w:webHidden/>
              </w:rPr>
            </w:r>
            <w:r>
              <w:rPr>
                <w:noProof/>
                <w:webHidden/>
              </w:rPr>
              <w:fldChar w:fldCharType="separate"/>
            </w:r>
            <w:r w:rsidR="00986730">
              <w:rPr>
                <w:noProof/>
                <w:webHidden/>
              </w:rPr>
              <w:t>62</w:t>
            </w:r>
            <w:r>
              <w:rPr>
                <w:noProof/>
                <w:webHidden/>
              </w:rPr>
              <w:fldChar w:fldCharType="end"/>
            </w:r>
          </w:hyperlink>
        </w:p>
        <w:p w14:paraId="3C619758" w14:textId="2B1C13C9"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43" w:history="1">
            <w:r w:rsidRPr="005E040A">
              <w:rPr>
                <w:rStyle w:val="Hyperlink"/>
                <w:rFonts w:cs="Times New Roman"/>
                <w:noProof/>
              </w:rPr>
              <w:t>3.14 Limitations of the Study</w:t>
            </w:r>
            <w:r>
              <w:rPr>
                <w:noProof/>
                <w:webHidden/>
              </w:rPr>
              <w:tab/>
            </w:r>
            <w:r>
              <w:rPr>
                <w:noProof/>
                <w:webHidden/>
              </w:rPr>
              <w:fldChar w:fldCharType="begin"/>
            </w:r>
            <w:r>
              <w:rPr>
                <w:noProof/>
                <w:webHidden/>
              </w:rPr>
              <w:instrText xml:space="preserve"> PAGEREF _Toc171703243 \h </w:instrText>
            </w:r>
            <w:r>
              <w:rPr>
                <w:noProof/>
                <w:webHidden/>
              </w:rPr>
            </w:r>
            <w:r>
              <w:rPr>
                <w:noProof/>
                <w:webHidden/>
              </w:rPr>
              <w:fldChar w:fldCharType="separate"/>
            </w:r>
            <w:r w:rsidR="00986730">
              <w:rPr>
                <w:noProof/>
                <w:webHidden/>
              </w:rPr>
              <w:t>63</w:t>
            </w:r>
            <w:r>
              <w:rPr>
                <w:noProof/>
                <w:webHidden/>
              </w:rPr>
              <w:fldChar w:fldCharType="end"/>
            </w:r>
          </w:hyperlink>
        </w:p>
        <w:p w14:paraId="06F7F106" w14:textId="184A6803"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44" w:history="1">
            <w:r w:rsidRPr="005E040A">
              <w:rPr>
                <w:rStyle w:val="Hyperlink"/>
                <w:rFonts w:cs="Times New Roman"/>
                <w:noProof/>
              </w:rPr>
              <w:t>3.15 Ethical Considerations</w:t>
            </w:r>
            <w:r>
              <w:rPr>
                <w:noProof/>
                <w:webHidden/>
              </w:rPr>
              <w:tab/>
            </w:r>
            <w:r>
              <w:rPr>
                <w:noProof/>
                <w:webHidden/>
              </w:rPr>
              <w:fldChar w:fldCharType="begin"/>
            </w:r>
            <w:r>
              <w:rPr>
                <w:noProof/>
                <w:webHidden/>
              </w:rPr>
              <w:instrText xml:space="preserve"> PAGEREF _Toc171703244 \h </w:instrText>
            </w:r>
            <w:r>
              <w:rPr>
                <w:noProof/>
                <w:webHidden/>
              </w:rPr>
            </w:r>
            <w:r>
              <w:rPr>
                <w:noProof/>
                <w:webHidden/>
              </w:rPr>
              <w:fldChar w:fldCharType="separate"/>
            </w:r>
            <w:r w:rsidR="00986730">
              <w:rPr>
                <w:noProof/>
                <w:webHidden/>
              </w:rPr>
              <w:t>64</w:t>
            </w:r>
            <w:r>
              <w:rPr>
                <w:noProof/>
                <w:webHidden/>
              </w:rPr>
              <w:fldChar w:fldCharType="end"/>
            </w:r>
          </w:hyperlink>
        </w:p>
        <w:p w14:paraId="70E635CA" w14:textId="0027CFA8"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45" w:history="1">
            <w:r w:rsidRPr="005E040A">
              <w:rPr>
                <w:rStyle w:val="Hyperlink"/>
                <w:noProof/>
              </w:rPr>
              <w:t>3.16 Summary and Conclusion</w:t>
            </w:r>
            <w:r>
              <w:rPr>
                <w:noProof/>
                <w:webHidden/>
              </w:rPr>
              <w:tab/>
            </w:r>
            <w:r>
              <w:rPr>
                <w:noProof/>
                <w:webHidden/>
              </w:rPr>
              <w:fldChar w:fldCharType="begin"/>
            </w:r>
            <w:r>
              <w:rPr>
                <w:noProof/>
                <w:webHidden/>
              </w:rPr>
              <w:instrText xml:space="preserve"> PAGEREF _Toc171703245 \h </w:instrText>
            </w:r>
            <w:r>
              <w:rPr>
                <w:noProof/>
                <w:webHidden/>
              </w:rPr>
            </w:r>
            <w:r>
              <w:rPr>
                <w:noProof/>
                <w:webHidden/>
              </w:rPr>
              <w:fldChar w:fldCharType="separate"/>
            </w:r>
            <w:r w:rsidR="00986730">
              <w:rPr>
                <w:noProof/>
                <w:webHidden/>
              </w:rPr>
              <w:t>64</w:t>
            </w:r>
            <w:r>
              <w:rPr>
                <w:noProof/>
                <w:webHidden/>
              </w:rPr>
              <w:fldChar w:fldCharType="end"/>
            </w:r>
          </w:hyperlink>
        </w:p>
        <w:p w14:paraId="4AAA7294" w14:textId="0A8ABBAA"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46" w:history="1">
            <w:r w:rsidRPr="005E040A">
              <w:rPr>
                <w:rStyle w:val="Hyperlink"/>
                <w:noProof/>
              </w:rPr>
              <w:t>CHAPTER FOUR</w:t>
            </w:r>
            <w:r>
              <w:rPr>
                <w:noProof/>
                <w:webHidden/>
              </w:rPr>
              <w:tab/>
            </w:r>
            <w:r>
              <w:rPr>
                <w:noProof/>
                <w:webHidden/>
              </w:rPr>
              <w:fldChar w:fldCharType="begin"/>
            </w:r>
            <w:r>
              <w:rPr>
                <w:noProof/>
                <w:webHidden/>
              </w:rPr>
              <w:instrText xml:space="preserve"> PAGEREF _Toc171703246 \h </w:instrText>
            </w:r>
            <w:r>
              <w:rPr>
                <w:noProof/>
                <w:webHidden/>
              </w:rPr>
            </w:r>
            <w:r>
              <w:rPr>
                <w:noProof/>
                <w:webHidden/>
              </w:rPr>
              <w:fldChar w:fldCharType="separate"/>
            </w:r>
            <w:r w:rsidR="00986730">
              <w:rPr>
                <w:noProof/>
                <w:webHidden/>
              </w:rPr>
              <w:t>66</w:t>
            </w:r>
            <w:r>
              <w:rPr>
                <w:noProof/>
                <w:webHidden/>
              </w:rPr>
              <w:fldChar w:fldCharType="end"/>
            </w:r>
          </w:hyperlink>
        </w:p>
        <w:p w14:paraId="07FA7CB3" w14:textId="5983902C"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47" w:history="1">
            <w:r w:rsidRPr="005E040A">
              <w:rPr>
                <w:rStyle w:val="Hyperlink"/>
                <w:noProof/>
              </w:rPr>
              <w:t xml:space="preserve">LEAP SERVICE DELIVERY AND THE ROLE OF DIGITAL </w:t>
            </w:r>
            <w:r w:rsidRPr="005E040A">
              <w:rPr>
                <w:rStyle w:val="Hyperlink"/>
                <w:noProof/>
                <w:lang w:val="en-US"/>
              </w:rPr>
              <w:t>TECHNOLOGY</w:t>
            </w:r>
            <w:r>
              <w:rPr>
                <w:noProof/>
                <w:webHidden/>
              </w:rPr>
              <w:tab/>
            </w:r>
            <w:r>
              <w:rPr>
                <w:noProof/>
                <w:webHidden/>
              </w:rPr>
              <w:fldChar w:fldCharType="begin"/>
            </w:r>
            <w:r>
              <w:rPr>
                <w:noProof/>
                <w:webHidden/>
              </w:rPr>
              <w:instrText xml:space="preserve"> PAGEREF _Toc171703247 \h </w:instrText>
            </w:r>
            <w:r>
              <w:rPr>
                <w:noProof/>
                <w:webHidden/>
              </w:rPr>
            </w:r>
            <w:r>
              <w:rPr>
                <w:noProof/>
                <w:webHidden/>
              </w:rPr>
              <w:fldChar w:fldCharType="separate"/>
            </w:r>
            <w:r w:rsidR="00986730">
              <w:rPr>
                <w:noProof/>
                <w:webHidden/>
              </w:rPr>
              <w:t>66</w:t>
            </w:r>
            <w:r>
              <w:rPr>
                <w:noProof/>
                <w:webHidden/>
              </w:rPr>
              <w:fldChar w:fldCharType="end"/>
            </w:r>
          </w:hyperlink>
        </w:p>
        <w:p w14:paraId="2F8E85D7" w14:textId="322CE0DF"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48" w:history="1">
            <w:r w:rsidRPr="005E040A">
              <w:rPr>
                <w:rStyle w:val="Hyperlink"/>
                <w:noProof/>
              </w:rPr>
              <w:t>4.1 Introduction</w:t>
            </w:r>
            <w:r>
              <w:rPr>
                <w:noProof/>
                <w:webHidden/>
              </w:rPr>
              <w:tab/>
            </w:r>
            <w:r>
              <w:rPr>
                <w:noProof/>
                <w:webHidden/>
              </w:rPr>
              <w:fldChar w:fldCharType="begin"/>
            </w:r>
            <w:r>
              <w:rPr>
                <w:noProof/>
                <w:webHidden/>
              </w:rPr>
              <w:instrText xml:space="preserve"> PAGEREF _Toc171703248 \h </w:instrText>
            </w:r>
            <w:r>
              <w:rPr>
                <w:noProof/>
                <w:webHidden/>
              </w:rPr>
            </w:r>
            <w:r>
              <w:rPr>
                <w:noProof/>
                <w:webHidden/>
              </w:rPr>
              <w:fldChar w:fldCharType="separate"/>
            </w:r>
            <w:r w:rsidR="00986730">
              <w:rPr>
                <w:noProof/>
                <w:webHidden/>
              </w:rPr>
              <w:t>66</w:t>
            </w:r>
            <w:r>
              <w:rPr>
                <w:noProof/>
                <w:webHidden/>
              </w:rPr>
              <w:fldChar w:fldCharType="end"/>
            </w:r>
          </w:hyperlink>
        </w:p>
        <w:p w14:paraId="09B16665" w14:textId="7C829577"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49" w:history="1">
            <w:r w:rsidRPr="005E040A">
              <w:rPr>
                <w:rStyle w:val="Hyperlink"/>
                <w:rFonts w:cs="Times New Roman"/>
                <w:noProof/>
              </w:rPr>
              <w:t>4.2 Beneficiaries Access to LEAP Intervention</w:t>
            </w:r>
            <w:r>
              <w:rPr>
                <w:noProof/>
                <w:webHidden/>
              </w:rPr>
              <w:tab/>
            </w:r>
            <w:r>
              <w:rPr>
                <w:noProof/>
                <w:webHidden/>
              </w:rPr>
              <w:fldChar w:fldCharType="begin"/>
            </w:r>
            <w:r>
              <w:rPr>
                <w:noProof/>
                <w:webHidden/>
              </w:rPr>
              <w:instrText xml:space="preserve"> PAGEREF _Toc171703249 \h </w:instrText>
            </w:r>
            <w:r>
              <w:rPr>
                <w:noProof/>
                <w:webHidden/>
              </w:rPr>
            </w:r>
            <w:r>
              <w:rPr>
                <w:noProof/>
                <w:webHidden/>
              </w:rPr>
              <w:fldChar w:fldCharType="separate"/>
            </w:r>
            <w:r w:rsidR="00986730">
              <w:rPr>
                <w:noProof/>
                <w:webHidden/>
              </w:rPr>
              <w:t>67</w:t>
            </w:r>
            <w:r>
              <w:rPr>
                <w:noProof/>
                <w:webHidden/>
              </w:rPr>
              <w:fldChar w:fldCharType="end"/>
            </w:r>
          </w:hyperlink>
        </w:p>
        <w:p w14:paraId="75B1E9A2" w14:textId="5AF5FA6B"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0" w:history="1">
            <w:r w:rsidRPr="005E040A">
              <w:rPr>
                <w:rStyle w:val="Hyperlink"/>
                <w:noProof/>
              </w:rPr>
              <w:t>4.2.1 Previous beneficiary selection and recruitment-Targeting</w:t>
            </w:r>
            <w:r>
              <w:rPr>
                <w:noProof/>
                <w:webHidden/>
              </w:rPr>
              <w:tab/>
            </w:r>
            <w:r>
              <w:rPr>
                <w:noProof/>
                <w:webHidden/>
              </w:rPr>
              <w:fldChar w:fldCharType="begin"/>
            </w:r>
            <w:r>
              <w:rPr>
                <w:noProof/>
                <w:webHidden/>
              </w:rPr>
              <w:instrText xml:space="preserve"> PAGEREF _Toc171703250 \h </w:instrText>
            </w:r>
            <w:r>
              <w:rPr>
                <w:noProof/>
                <w:webHidden/>
              </w:rPr>
            </w:r>
            <w:r>
              <w:rPr>
                <w:noProof/>
                <w:webHidden/>
              </w:rPr>
              <w:fldChar w:fldCharType="separate"/>
            </w:r>
            <w:r w:rsidR="00986730">
              <w:rPr>
                <w:noProof/>
                <w:webHidden/>
              </w:rPr>
              <w:t>67</w:t>
            </w:r>
            <w:r>
              <w:rPr>
                <w:noProof/>
                <w:webHidden/>
              </w:rPr>
              <w:fldChar w:fldCharType="end"/>
            </w:r>
          </w:hyperlink>
        </w:p>
        <w:p w14:paraId="455CEDDA" w14:textId="4CD66E65"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1" w:history="1">
            <w:r w:rsidRPr="005E040A">
              <w:rPr>
                <w:rStyle w:val="Hyperlink"/>
                <w:noProof/>
              </w:rPr>
              <w:t>4.1.2 Current beneficiary selection and recruitment</w:t>
            </w:r>
            <w:r>
              <w:rPr>
                <w:noProof/>
                <w:webHidden/>
              </w:rPr>
              <w:tab/>
            </w:r>
            <w:r>
              <w:rPr>
                <w:noProof/>
                <w:webHidden/>
              </w:rPr>
              <w:fldChar w:fldCharType="begin"/>
            </w:r>
            <w:r>
              <w:rPr>
                <w:noProof/>
                <w:webHidden/>
              </w:rPr>
              <w:instrText xml:space="preserve"> PAGEREF _Toc171703251 \h </w:instrText>
            </w:r>
            <w:r>
              <w:rPr>
                <w:noProof/>
                <w:webHidden/>
              </w:rPr>
            </w:r>
            <w:r>
              <w:rPr>
                <w:noProof/>
                <w:webHidden/>
              </w:rPr>
              <w:fldChar w:fldCharType="separate"/>
            </w:r>
            <w:r w:rsidR="00986730">
              <w:rPr>
                <w:noProof/>
                <w:webHidden/>
              </w:rPr>
              <w:t>70</w:t>
            </w:r>
            <w:r>
              <w:rPr>
                <w:noProof/>
                <w:webHidden/>
              </w:rPr>
              <w:fldChar w:fldCharType="end"/>
            </w:r>
          </w:hyperlink>
        </w:p>
        <w:p w14:paraId="191DA3BB" w14:textId="52E6EA53"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2" w:history="1">
            <w:r w:rsidRPr="005E040A">
              <w:rPr>
                <w:rStyle w:val="Hyperlink"/>
                <w:noProof/>
              </w:rPr>
              <w:t>4.1.3 LEAP service package</w:t>
            </w:r>
            <w:r>
              <w:rPr>
                <w:noProof/>
                <w:webHidden/>
              </w:rPr>
              <w:tab/>
            </w:r>
            <w:r>
              <w:rPr>
                <w:noProof/>
                <w:webHidden/>
              </w:rPr>
              <w:fldChar w:fldCharType="begin"/>
            </w:r>
            <w:r>
              <w:rPr>
                <w:noProof/>
                <w:webHidden/>
              </w:rPr>
              <w:instrText xml:space="preserve"> PAGEREF _Toc171703252 \h </w:instrText>
            </w:r>
            <w:r>
              <w:rPr>
                <w:noProof/>
                <w:webHidden/>
              </w:rPr>
            </w:r>
            <w:r>
              <w:rPr>
                <w:noProof/>
                <w:webHidden/>
              </w:rPr>
              <w:fldChar w:fldCharType="separate"/>
            </w:r>
            <w:r w:rsidR="00986730">
              <w:rPr>
                <w:noProof/>
                <w:webHidden/>
              </w:rPr>
              <w:t>72</w:t>
            </w:r>
            <w:r>
              <w:rPr>
                <w:noProof/>
                <w:webHidden/>
              </w:rPr>
              <w:fldChar w:fldCharType="end"/>
            </w:r>
          </w:hyperlink>
        </w:p>
        <w:p w14:paraId="211F071D" w14:textId="5EA6A5A8"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3" w:history="1">
            <w:r w:rsidRPr="005E040A">
              <w:rPr>
                <w:rStyle w:val="Hyperlink"/>
                <w:noProof/>
              </w:rPr>
              <w:t>4.1.4 Variations in LEAP services delivery</w:t>
            </w:r>
            <w:r>
              <w:rPr>
                <w:noProof/>
                <w:webHidden/>
              </w:rPr>
              <w:tab/>
            </w:r>
            <w:r>
              <w:rPr>
                <w:noProof/>
                <w:webHidden/>
              </w:rPr>
              <w:fldChar w:fldCharType="begin"/>
            </w:r>
            <w:r>
              <w:rPr>
                <w:noProof/>
                <w:webHidden/>
              </w:rPr>
              <w:instrText xml:space="preserve"> PAGEREF _Toc171703253 \h </w:instrText>
            </w:r>
            <w:r>
              <w:rPr>
                <w:noProof/>
                <w:webHidden/>
              </w:rPr>
            </w:r>
            <w:r>
              <w:rPr>
                <w:noProof/>
                <w:webHidden/>
              </w:rPr>
              <w:fldChar w:fldCharType="separate"/>
            </w:r>
            <w:r w:rsidR="00986730">
              <w:rPr>
                <w:noProof/>
                <w:webHidden/>
              </w:rPr>
              <w:t>74</w:t>
            </w:r>
            <w:r>
              <w:rPr>
                <w:noProof/>
                <w:webHidden/>
              </w:rPr>
              <w:fldChar w:fldCharType="end"/>
            </w:r>
          </w:hyperlink>
        </w:p>
        <w:p w14:paraId="3E60B6A2" w14:textId="12682238"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4" w:history="1">
            <w:r w:rsidRPr="005E040A">
              <w:rPr>
                <w:rStyle w:val="Hyperlink"/>
                <w:noProof/>
              </w:rPr>
              <w:t>4.1.5 Challenges in accessing LEAP services</w:t>
            </w:r>
            <w:r>
              <w:rPr>
                <w:noProof/>
                <w:webHidden/>
              </w:rPr>
              <w:tab/>
            </w:r>
            <w:r>
              <w:rPr>
                <w:noProof/>
                <w:webHidden/>
              </w:rPr>
              <w:fldChar w:fldCharType="begin"/>
            </w:r>
            <w:r>
              <w:rPr>
                <w:noProof/>
                <w:webHidden/>
              </w:rPr>
              <w:instrText xml:space="preserve"> PAGEREF _Toc171703254 \h </w:instrText>
            </w:r>
            <w:r>
              <w:rPr>
                <w:noProof/>
                <w:webHidden/>
              </w:rPr>
            </w:r>
            <w:r>
              <w:rPr>
                <w:noProof/>
                <w:webHidden/>
              </w:rPr>
              <w:fldChar w:fldCharType="separate"/>
            </w:r>
            <w:r w:rsidR="00986730">
              <w:rPr>
                <w:noProof/>
                <w:webHidden/>
              </w:rPr>
              <w:t>76</w:t>
            </w:r>
            <w:r>
              <w:rPr>
                <w:noProof/>
                <w:webHidden/>
              </w:rPr>
              <w:fldChar w:fldCharType="end"/>
            </w:r>
          </w:hyperlink>
        </w:p>
        <w:p w14:paraId="1F4B2930" w14:textId="47024C9D"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55" w:history="1">
            <w:r w:rsidRPr="005E040A">
              <w:rPr>
                <w:rStyle w:val="Hyperlink"/>
                <w:rFonts w:cs="Times New Roman"/>
                <w:noProof/>
              </w:rPr>
              <w:t xml:space="preserve">4.3 Beneficiary Perspectives on </w:t>
            </w:r>
            <w:r w:rsidRPr="005E040A">
              <w:rPr>
                <w:rStyle w:val="Hyperlink"/>
                <w:rFonts w:cs="Times New Roman"/>
                <w:noProof/>
                <w:lang w:val="en-US"/>
              </w:rPr>
              <w:t>t</w:t>
            </w:r>
            <w:r w:rsidRPr="005E040A">
              <w:rPr>
                <w:rStyle w:val="Hyperlink"/>
                <w:rFonts w:cs="Times New Roman"/>
                <w:noProof/>
              </w:rPr>
              <w:t xml:space="preserve">he Use of Digital Technology in </w:t>
            </w:r>
            <w:r w:rsidRPr="005E040A">
              <w:rPr>
                <w:rStyle w:val="Hyperlink"/>
                <w:rFonts w:cs="Times New Roman"/>
                <w:noProof/>
                <w:lang w:val="en-US"/>
              </w:rPr>
              <w:t>t</w:t>
            </w:r>
            <w:r w:rsidRPr="005E040A">
              <w:rPr>
                <w:rStyle w:val="Hyperlink"/>
                <w:rFonts w:cs="Times New Roman"/>
                <w:noProof/>
              </w:rPr>
              <w:t>he Delivery LEAP Cash Transfers</w:t>
            </w:r>
            <w:r>
              <w:rPr>
                <w:noProof/>
                <w:webHidden/>
              </w:rPr>
              <w:tab/>
            </w:r>
            <w:r>
              <w:rPr>
                <w:noProof/>
                <w:webHidden/>
              </w:rPr>
              <w:fldChar w:fldCharType="begin"/>
            </w:r>
            <w:r>
              <w:rPr>
                <w:noProof/>
                <w:webHidden/>
              </w:rPr>
              <w:instrText xml:space="preserve"> PAGEREF _Toc171703255 \h </w:instrText>
            </w:r>
            <w:r>
              <w:rPr>
                <w:noProof/>
                <w:webHidden/>
              </w:rPr>
            </w:r>
            <w:r>
              <w:rPr>
                <w:noProof/>
                <w:webHidden/>
              </w:rPr>
              <w:fldChar w:fldCharType="separate"/>
            </w:r>
            <w:r w:rsidR="00986730">
              <w:rPr>
                <w:noProof/>
                <w:webHidden/>
              </w:rPr>
              <w:t>79</w:t>
            </w:r>
            <w:r>
              <w:rPr>
                <w:noProof/>
                <w:webHidden/>
              </w:rPr>
              <w:fldChar w:fldCharType="end"/>
            </w:r>
          </w:hyperlink>
        </w:p>
        <w:p w14:paraId="2177E317" w14:textId="06D394ED"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6" w:history="1">
            <w:r w:rsidRPr="005E040A">
              <w:rPr>
                <w:rStyle w:val="Hyperlink"/>
                <w:noProof/>
              </w:rPr>
              <w:t>4.3.1 Digital technology and impact on beneficiary experience</w:t>
            </w:r>
            <w:r>
              <w:rPr>
                <w:noProof/>
                <w:webHidden/>
              </w:rPr>
              <w:tab/>
            </w:r>
            <w:r>
              <w:rPr>
                <w:noProof/>
                <w:webHidden/>
              </w:rPr>
              <w:fldChar w:fldCharType="begin"/>
            </w:r>
            <w:r>
              <w:rPr>
                <w:noProof/>
                <w:webHidden/>
              </w:rPr>
              <w:instrText xml:space="preserve"> PAGEREF _Toc171703256 \h </w:instrText>
            </w:r>
            <w:r>
              <w:rPr>
                <w:noProof/>
                <w:webHidden/>
              </w:rPr>
            </w:r>
            <w:r>
              <w:rPr>
                <w:noProof/>
                <w:webHidden/>
              </w:rPr>
              <w:fldChar w:fldCharType="separate"/>
            </w:r>
            <w:r w:rsidR="00986730">
              <w:rPr>
                <w:noProof/>
                <w:webHidden/>
              </w:rPr>
              <w:t>80</w:t>
            </w:r>
            <w:r>
              <w:rPr>
                <w:noProof/>
                <w:webHidden/>
              </w:rPr>
              <w:fldChar w:fldCharType="end"/>
            </w:r>
          </w:hyperlink>
        </w:p>
        <w:p w14:paraId="0F4FBC3B" w14:textId="21DD74F0" w:rsidR="00BA129F" w:rsidRDefault="00BA129F" w:rsidP="00BA129F">
          <w:pPr>
            <w:pStyle w:val="TOC4"/>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7" w:history="1">
            <w:r w:rsidRPr="005E040A">
              <w:rPr>
                <w:rStyle w:val="Hyperlink"/>
                <w:rFonts w:cs="Times New Roman"/>
                <w:noProof/>
              </w:rPr>
              <w:t>4.3.1.1 Manual delivery mode</w:t>
            </w:r>
            <w:r>
              <w:rPr>
                <w:noProof/>
                <w:webHidden/>
              </w:rPr>
              <w:tab/>
            </w:r>
            <w:r>
              <w:rPr>
                <w:noProof/>
                <w:webHidden/>
              </w:rPr>
              <w:fldChar w:fldCharType="begin"/>
            </w:r>
            <w:r>
              <w:rPr>
                <w:noProof/>
                <w:webHidden/>
              </w:rPr>
              <w:instrText xml:space="preserve"> PAGEREF _Toc171703257 \h </w:instrText>
            </w:r>
            <w:r>
              <w:rPr>
                <w:noProof/>
                <w:webHidden/>
              </w:rPr>
            </w:r>
            <w:r>
              <w:rPr>
                <w:noProof/>
                <w:webHidden/>
              </w:rPr>
              <w:fldChar w:fldCharType="separate"/>
            </w:r>
            <w:r w:rsidR="00986730">
              <w:rPr>
                <w:noProof/>
                <w:webHidden/>
              </w:rPr>
              <w:t>80</w:t>
            </w:r>
            <w:r>
              <w:rPr>
                <w:noProof/>
                <w:webHidden/>
              </w:rPr>
              <w:fldChar w:fldCharType="end"/>
            </w:r>
          </w:hyperlink>
        </w:p>
        <w:p w14:paraId="00F4D2DE" w14:textId="571E1B39" w:rsidR="00BA129F" w:rsidRDefault="00BA129F" w:rsidP="00BA129F">
          <w:pPr>
            <w:pStyle w:val="TOC4"/>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8" w:history="1">
            <w:r w:rsidRPr="005E040A">
              <w:rPr>
                <w:rStyle w:val="Hyperlink"/>
                <w:rFonts w:cs="Times New Roman"/>
                <w:noProof/>
              </w:rPr>
              <w:t>4.3.1.2 Digital delivery mode</w:t>
            </w:r>
            <w:r>
              <w:rPr>
                <w:noProof/>
                <w:webHidden/>
              </w:rPr>
              <w:tab/>
            </w:r>
            <w:r>
              <w:rPr>
                <w:noProof/>
                <w:webHidden/>
              </w:rPr>
              <w:fldChar w:fldCharType="begin"/>
            </w:r>
            <w:r>
              <w:rPr>
                <w:noProof/>
                <w:webHidden/>
              </w:rPr>
              <w:instrText xml:space="preserve"> PAGEREF _Toc171703258 \h </w:instrText>
            </w:r>
            <w:r>
              <w:rPr>
                <w:noProof/>
                <w:webHidden/>
              </w:rPr>
            </w:r>
            <w:r>
              <w:rPr>
                <w:noProof/>
                <w:webHidden/>
              </w:rPr>
              <w:fldChar w:fldCharType="separate"/>
            </w:r>
            <w:r w:rsidR="00986730">
              <w:rPr>
                <w:noProof/>
                <w:webHidden/>
              </w:rPr>
              <w:t>83</w:t>
            </w:r>
            <w:r>
              <w:rPr>
                <w:noProof/>
                <w:webHidden/>
              </w:rPr>
              <w:fldChar w:fldCharType="end"/>
            </w:r>
          </w:hyperlink>
        </w:p>
        <w:p w14:paraId="4B4A414D" w14:textId="635A1EA7"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59" w:history="1">
            <w:r w:rsidRPr="005E040A">
              <w:rPr>
                <w:rStyle w:val="Hyperlink"/>
                <w:noProof/>
              </w:rPr>
              <w:t>4.3.2 Awareness and Training</w:t>
            </w:r>
            <w:r>
              <w:rPr>
                <w:noProof/>
                <w:webHidden/>
              </w:rPr>
              <w:tab/>
            </w:r>
            <w:r>
              <w:rPr>
                <w:noProof/>
                <w:webHidden/>
              </w:rPr>
              <w:fldChar w:fldCharType="begin"/>
            </w:r>
            <w:r>
              <w:rPr>
                <w:noProof/>
                <w:webHidden/>
              </w:rPr>
              <w:instrText xml:space="preserve"> PAGEREF _Toc171703259 \h </w:instrText>
            </w:r>
            <w:r>
              <w:rPr>
                <w:noProof/>
                <w:webHidden/>
              </w:rPr>
            </w:r>
            <w:r>
              <w:rPr>
                <w:noProof/>
                <w:webHidden/>
              </w:rPr>
              <w:fldChar w:fldCharType="separate"/>
            </w:r>
            <w:r w:rsidR="00986730">
              <w:rPr>
                <w:noProof/>
                <w:webHidden/>
              </w:rPr>
              <w:t>86</w:t>
            </w:r>
            <w:r>
              <w:rPr>
                <w:noProof/>
                <w:webHidden/>
              </w:rPr>
              <w:fldChar w:fldCharType="end"/>
            </w:r>
          </w:hyperlink>
        </w:p>
        <w:p w14:paraId="7AB7F8B8" w14:textId="0457ABE7"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60" w:history="1">
            <w:r w:rsidRPr="005E040A">
              <w:rPr>
                <w:rStyle w:val="Hyperlink"/>
                <w:rFonts w:cs="Times New Roman"/>
                <w:noProof/>
              </w:rPr>
              <w:t>4.4 Limitation and Potentials of Digital Technologies: Towards Enhancing the LEAP Programme</w:t>
            </w:r>
            <w:r>
              <w:rPr>
                <w:noProof/>
                <w:webHidden/>
              </w:rPr>
              <w:tab/>
            </w:r>
            <w:r>
              <w:rPr>
                <w:noProof/>
                <w:webHidden/>
              </w:rPr>
              <w:fldChar w:fldCharType="begin"/>
            </w:r>
            <w:r>
              <w:rPr>
                <w:noProof/>
                <w:webHidden/>
              </w:rPr>
              <w:instrText xml:space="preserve"> PAGEREF _Toc171703260 \h </w:instrText>
            </w:r>
            <w:r>
              <w:rPr>
                <w:noProof/>
                <w:webHidden/>
              </w:rPr>
            </w:r>
            <w:r>
              <w:rPr>
                <w:noProof/>
                <w:webHidden/>
              </w:rPr>
              <w:fldChar w:fldCharType="separate"/>
            </w:r>
            <w:r w:rsidR="00986730">
              <w:rPr>
                <w:noProof/>
                <w:webHidden/>
              </w:rPr>
              <w:t>88</w:t>
            </w:r>
            <w:r>
              <w:rPr>
                <w:noProof/>
                <w:webHidden/>
              </w:rPr>
              <w:fldChar w:fldCharType="end"/>
            </w:r>
          </w:hyperlink>
        </w:p>
        <w:p w14:paraId="7ECD96A9" w14:textId="35AF03A9"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61" w:history="1">
            <w:r w:rsidRPr="005E040A">
              <w:rPr>
                <w:rStyle w:val="Hyperlink"/>
                <w:noProof/>
              </w:rPr>
              <w:t>4.4.1 Technological factors</w:t>
            </w:r>
            <w:r>
              <w:rPr>
                <w:noProof/>
                <w:webHidden/>
              </w:rPr>
              <w:tab/>
            </w:r>
            <w:r>
              <w:rPr>
                <w:noProof/>
                <w:webHidden/>
              </w:rPr>
              <w:fldChar w:fldCharType="begin"/>
            </w:r>
            <w:r>
              <w:rPr>
                <w:noProof/>
                <w:webHidden/>
              </w:rPr>
              <w:instrText xml:space="preserve"> PAGEREF _Toc171703261 \h </w:instrText>
            </w:r>
            <w:r>
              <w:rPr>
                <w:noProof/>
                <w:webHidden/>
              </w:rPr>
            </w:r>
            <w:r>
              <w:rPr>
                <w:noProof/>
                <w:webHidden/>
              </w:rPr>
              <w:fldChar w:fldCharType="separate"/>
            </w:r>
            <w:r w:rsidR="00986730">
              <w:rPr>
                <w:noProof/>
                <w:webHidden/>
              </w:rPr>
              <w:t>89</w:t>
            </w:r>
            <w:r>
              <w:rPr>
                <w:noProof/>
                <w:webHidden/>
              </w:rPr>
              <w:fldChar w:fldCharType="end"/>
            </w:r>
          </w:hyperlink>
        </w:p>
        <w:p w14:paraId="3019E049" w14:textId="3B2B8481"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62" w:history="1">
            <w:r w:rsidRPr="005E040A">
              <w:rPr>
                <w:rStyle w:val="Hyperlink"/>
                <w:noProof/>
              </w:rPr>
              <w:t>4.4.2 Structural barriers</w:t>
            </w:r>
            <w:r>
              <w:rPr>
                <w:noProof/>
                <w:webHidden/>
              </w:rPr>
              <w:tab/>
            </w:r>
            <w:r>
              <w:rPr>
                <w:noProof/>
                <w:webHidden/>
              </w:rPr>
              <w:fldChar w:fldCharType="begin"/>
            </w:r>
            <w:r>
              <w:rPr>
                <w:noProof/>
                <w:webHidden/>
              </w:rPr>
              <w:instrText xml:space="preserve"> PAGEREF _Toc171703262 \h </w:instrText>
            </w:r>
            <w:r>
              <w:rPr>
                <w:noProof/>
                <w:webHidden/>
              </w:rPr>
            </w:r>
            <w:r>
              <w:rPr>
                <w:noProof/>
                <w:webHidden/>
              </w:rPr>
              <w:fldChar w:fldCharType="separate"/>
            </w:r>
            <w:r w:rsidR="00986730">
              <w:rPr>
                <w:noProof/>
                <w:webHidden/>
              </w:rPr>
              <w:t>92</w:t>
            </w:r>
            <w:r>
              <w:rPr>
                <w:noProof/>
                <w:webHidden/>
              </w:rPr>
              <w:fldChar w:fldCharType="end"/>
            </w:r>
          </w:hyperlink>
        </w:p>
        <w:p w14:paraId="6BBE12FB" w14:textId="4D6AEF26"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63" w:history="1">
            <w:r w:rsidRPr="005E040A">
              <w:rPr>
                <w:rStyle w:val="Hyperlink"/>
                <w:noProof/>
              </w:rPr>
              <w:t>4.4.3 Administrative factors</w:t>
            </w:r>
            <w:r>
              <w:rPr>
                <w:noProof/>
                <w:webHidden/>
              </w:rPr>
              <w:tab/>
            </w:r>
            <w:r>
              <w:rPr>
                <w:noProof/>
                <w:webHidden/>
              </w:rPr>
              <w:fldChar w:fldCharType="begin"/>
            </w:r>
            <w:r>
              <w:rPr>
                <w:noProof/>
                <w:webHidden/>
              </w:rPr>
              <w:instrText xml:space="preserve"> PAGEREF _Toc171703263 \h </w:instrText>
            </w:r>
            <w:r>
              <w:rPr>
                <w:noProof/>
                <w:webHidden/>
              </w:rPr>
            </w:r>
            <w:r>
              <w:rPr>
                <w:noProof/>
                <w:webHidden/>
              </w:rPr>
              <w:fldChar w:fldCharType="separate"/>
            </w:r>
            <w:r w:rsidR="00986730">
              <w:rPr>
                <w:noProof/>
                <w:webHidden/>
              </w:rPr>
              <w:t>94</w:t>
            </w:r>
            <w:r>
              <w:rPr>
                <w:noProof/>
                <w:webHidden/>
              </w:rPr>
              <w:fldChar w:fldCharType="end"/>
            </w:r>
          </w:hyperlink>
        </w:p>
        <w:p w14:paraId="75EB0571" w14:textId="4009194D"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64" w:history="1">
            <w:r w:rsidRPr="005E040A">
              <w:rPr>
                <w:rStyle w:val="Hyperlink"/>
                <w:noProof/>
              </w:rPr>
              <w:t>4.4.4 Logistical inadequacies</w:t>
            </w:r>
            <w:r>
              <w:rPr>
                <w:noProof/>
                <w:webHidden/>
              </w:rPr>
              <w:tab/>
            </w:r>
            <w:r>
              <w:rPr>
                <w:noProof/>
                <w:webHidden/>
              </w:rPr>
              <w:fldChar w:fldCharType="begin"/>
            </w:r>
            <w:r>
              <w:rPr>
                <w:noProof/>
                <w:webHidden/>
              </w:rPr>
              <w:instrText xml:space="preserve"> PAGEREF _Toc171703264 \h </w:instrText>
            </w:r>
            <w:r>
              <w:rPr>
                <w:noProof/>
                <w:webHidden/>
              </w:rPr>
            </w:r>
            <w:r>
              <w:rPr>
                <w:noProof/>
                <w:webHidden/>
              </w:rPr>
              <w:fldChar w:fldCharType="separate"/>
            </w:r>
            <w:r w:rsidR="00986730">
              <w:rPr>
                <w:noProof/>
                <w:webHidden/>
              </w:rPr>
              <w:t>96</w:t>
            </w:r>
            <w:r>
              <w:rPr>
                <w:noProof/>
                <w:webHidden/>
              </w:rPr>
              <w:fldChar w:fldCharType="end"/>
            </w:r>
          </w:hyperlink>
        </w:p>
        <w:p w14:paraId="543CAD5F" w14:textId="3622E2F2"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65" w:history="1">
            <w:r w:rsidRPr="005E040A">
              <w:rPr>
                <w:rStyle w:val="Hyperlink"/>
                <w:rFonts w:cs="Times New Roman"/>
                <w:noProof/>
              </w:rPr>
              <w:t>4.5 Way Forward</w:t>
            </w:r>
            <w:r>
              <w:rPr>
                <w:noProof/>
                <w:webHidden/>
              </w:rPr>
              <w:tab/>
            </w:r>
            <w:r>
              <w:rPr>
                <w:noProof/>
                <w:webHidden/>
              </w:rPr>
              <w:fldChar w:fldCharType="begin"/>
            </w:r>
            <w:r>
              <w:rPr>
                <w:noProof/>
                <w:webHidden/>
              </w:rPr>
              <w:instrText xml:space="preserve"> PAGEREF _Toc171703265 \h </w:instrText>
            </w:r>
            <w:r>
              <w:rPr>
                <w:noProof/>
                <w:webHidden/>
              </w:rPr>
            </w:r>
            <w:r>
              <w:rPr>
                <w:noProof/>
                <w:webHidden/>
              </w:rPr>
              <w:fldChar w:fldCharType="separate"/>
            </w:r>
            <w:r w:rsidR="00986730">
              <w:rPr>
                <w:noProof/>
                <w:webHidden/>
              </w:rPr>
              <w:t>97</w:t>
            </w:r>
            <w:r>
              <w:rPr>
                <w:noProof/>
                <w:webHidden/>
              </w:rPr>
              <w:fldChar w:fldCharType="end"/>
            </w:r>
          </w:hyperlink>
        </w:p>
        <w:p w14:paraId="36D3EFF3" w14:textId="22F4E22C"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66" w:history="1">
            <w:r w:rsidRPr="005E040A">
              <w:rPr>
                <w:rStyle w:val="Hyperlink"/>
                <w:noProof/>
              </w:rPr>
              <w:t>4.5.1 Alternative service delivery</w:t>
            </w:r>
            <w:r>
              <w:rPr>
                <w:noProof/>
                <w:webHidden/>
              </w:rPr>
              <w:tab/>
            </w:r>
            <w:r>
              <w:rPr>
                <w:noProof/>
                <w:webHidden/>
              </w:rPr>
              <w:fldChar w:fldCharType="begin"/>
            </w:r>
            <w:r>
              <w:rPr>
                <w:noProof/>
                <w:webHidden/>
              </w:rPr>
              <w:instrText xml:space="preserve"> PAGEREF _Toc171703266 \h </w:instrText>
            </w:r>
            <w:r>
              <w:rPr>
                <w:noProof/>
                <w:webHidden/>
              </w:rPr>
            </w:r>
            <w:r>
              <w:rPr>
                <w:noProof/>
                <w:webHidden/>
              </w:rPr>
              <w:fldChar w:fldCharType="separate"/>
            </w:r>
            <w:r w:rsidR="00986730">
              <w:rPr>
                <w:noProof/>
                <w:webHidden/>
              </w:rPr>
              <w:t>98</w:t>
            </w:r>
            <w:r>
              <w:rPr>
                <w:noProof/>
                <w:webHidden/>
              </w:rPr>
              <w:fldChar w:fldCharType="end"/>
            </w:r>
          </w:hyperlink>
        </w:p>
        <w:p w14:paraId="7BA92054" w14:textId="2B7E993A" w:rsidR="00BA129F" w:rsidRDefault="00BA129F" w:rsidP="00BA129F">
          <w:pPr>
            <w:pStyle w:val="TOC3"/>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3267" w:history="1">
            <w:r w:rsidRPr="005E040A">
              <w:rPr>
                <w:rStyle w:val="Hyperlink"/>
                <w:noProof/>
              </w:rPr>
              <w:t>4.5.2 Administrative restructuring</w:t>
            </w:r>
            <w:r>
              <w:rPr>
                <w:noProof/>
                <w:webHidden/>
              </w:rPr>
              <w:tab/>
            </w:r>
            <w:r>
              <w:rPr>
                <w:noProof/>
                <w:webHidden/>
              </w:rPr>
              <w:fldChar w:fldCharType="begin"/>
            </w:r>
            <w:r>
              <w:rPr>
                <w:noProof/>
                <w:webHidden/>
              </w:rPr>
              <w:instrText xml:space="preserve"> PAGEREF _Toc171703267 \h </w:instrText>
            </w:r>
            <w:r>
              <w:rPr>
                <w:noProof/>
                <w:webHidden/>
              </w:rPr>
            </w:r>
            <w:r>
              <w:rPr>
                <w:noProof/>
                <w:webHidden/>
              </w:rPr>
              <w:fldChar w:fldCharType="separate"/>
            </w:r>
            <w:r w:rsidR="00986730">
              <w:rPr>
                <w:noProof/>
                <w:webHidden/>
              </w:rPr>
              <w:t>100</w:t>
            </w:r>
            <w:r>
              <w:rPr>
                <w:noProof/>
                <w:webHidden/>
              </w:rPr>
              <w:fldChar w:fldCharType="end"/>
            </w:r>
          </w:hyperlink>
        </w:p>
        <w:p w14:paraId="224A3BAA" w14:textId="67A94D06"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68" w:history="1">
            <w:r w:rsidRPr="005E040A">
              <w:rPr>
                <w:rStyle w:val="Hyperlink"/>
                <w:noProof/>
              </w:rPr>
              <w:t>CHAPTER FIVE</w:t>
            </w:r>
            <w:r>
              <w:rPr>
                <w:noProof/>
                <w:webHidden/>
              </w:rPr>
              <w:tab/>
            </w:r>
            <w:r>
              <w:rPr>
                <w:noProof/>
                <w:webHidden/>
              </w:rPr>
              <w:fldChar w:fldCharType="begin"/>
            </w:r>
            <w:r>
              <w:rPr>
                <w:noProof/>
                <w:webHidden/>
              </w:rPr>
              <w:instrText xml:space="preserve"> PAGEREF _Toc171703268 \h </w:instrText>
            </w:r>
            <w:r>
              <w:rPr>
                <w:noProof/>
                <w:webHidden/>
              </w:rPr>
            </w:r>
            <w:r>
              <w:rPr>
                <w:noProof/>
                <w:webHidden/>
              </w:rPr>
              <w:fldChar w:fldCharType="separate"/>
            </w:r>
            <w:r w:rsidR="00986730">
              <w:rPr>
                <w:noProof/>
                <w:webHidden/>
              </w:rPr>
              <w:t>101</w:t>
            </w:r>
            <w:r>
              <w:rPr>
                <w:noProof/>
                <w:webHidden/>
              </w:rPr>
              <w:fldChar w:fldCharType="end"/>
            </w:r>
          </w:hyperlink>
        </w:p>
        <w:p w14:paraId="14DFBA0F" w14:textId="507AADA8"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69" w:history="1">
            <w:r w:rsidRPr="005E040A">
              <w:rPr>
                <w:rStyle w:val="Hyperlink"/>
                <w:noProof/>
              </w:rPr>
              <w:t>SUMMARY, CONCLUSIONS, AND RECOMMENDATIONS</w:t>
            </w:r>
            <w:r>
              <w:rPr>
                <w:noProof/>
                <w:webHidden/>
              </w:rPr>
              <w:tab/>
            </w:r>
            <w:r>
              <w:rPr>
                <w:noProof/>
                <w:webHidden/>
              </w:rPr>
              <w:fldChar w:fldCharType="begin"/>
            </w:r>
            <w:r>
              <w:rPr>
                <w:noProof/>
                <w:webHidden/>
              </w:rPr>
              <w:instrText xml:space="preserve"> PAGEREF _Toc171703269 \h </w:instrText>
            </w:r>
            <w:r>
              <w:rPr>
                <w:noProof/>
                <w:webHidden/>
              </w:rPr>
            </w:r>
            <w:r>
              <w:rPr>
                <w:noProof/>
                <w:webHidden/>
              </w:rPr>
              <w:fldChar w:fldCharType="separate"/>
            </w:r>
            <w:r w:rsidR="00986730">
              <w:rPr>
                <w:noProof/>
                <w:webHidden/>
              </w:rPr>
              <w:t>101</w:t>
            </w:r>
            <w:r>
              <w:rPr>
                <w:noProof/>
                <w:webHidden/>
              </w:rPr>
              <w:fldChar w:fldCharType="end"/>
            </w:r>
          </w:hyperlink>
        </w:p>
        <w:p w14:paraId="65F187FF" w14:textId="7403E7A0"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0" w:history="1">
            <w:r w:rsidRPr="005E040A">
              <w:rPr>
                <w:rStyle w:val="Hyperlink"/>
                <w:rFonts w:cs="Times New Roman"/>
                <w:noProof/>
              </w:rPr>
              <w:t>5.1 Introduction</w:t>
            </w:r>
            <w:r>
              <w:rPr>
                <w:noProof/>
                <w:webHidden/>
              </w:rPr>
              <w:tab/>
            </w:r>
            <w:r>
              <w:rPr>
                <w:noProof/>
                <w:webHidden/>
              </w:rPr>
              <w:fldChar w:fldCharType="begin"/>
            </w:r>
            <w:r>
              <w:rPr>
                <w:noProof/>
                <w:webHidden/>
              </w:rPr>
              <w:instrText xml:space="preserve"> PAGEREF _Toc171703270 \h </w:instrText>
            </w:r>
            <w:r>
              <w:rPr>
                <w:noProof/>
                <w:webHidden/>
              </w:rPr>
            </w:r>
            <w:r>
              <w:rPr>
                <w:noProof/>
                <w:webHidden/>
              </w:rPr>
              <w:fldChar w:fldCharType="separate"/>
            </w:r>
            <w:r w:rsidR="00986730">
              <w:rPr>
                <w:noProof/>
                <w:webHidden/>
              </w:rPr>
              <w:t>101</w:t>
            </w:r>
            <w:r>
              <w:rPr>
                <w:noProof/>
                <w:webHidden/>
              </w:rPr>
              <w:fldChar w:fldCharType="end"/>
            </w:r>
          </w:hyperlink>
        </w:p>
        <w:p w14:paraId="7DFB2477" w14:textId="464B18BF"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1" w:history="1">
            <w:r w:rsidRPr="005E040A">
              <w:rPr>
                <w:rStyle w:val="Hyperlink"/>
                <w:rFonts w:cs="Times New Roman"/>
                <w:noProof/>
              </w:rPr>
              <w:t>5.2 Summary</w:t>
            </w:r>
            <w:r>
              <w:rPr>
                <w:noProof/>
                <w:webHidden/>
              </w:rPr>
              <w:tab/>
            </w:r>
            <w:r>
              <w:rPr>
                <w:noProof/>
                <w:webHidden/>
              </w:rPr>
              <w:fldChar w:fldCharType="begin"/>
            </w:r>
            <w:r>
              <w:rPr>
                <w:noProof/>
                <w:webHidden/>
              </w:rPr>
              <w:instrText xml:space="preserve"> PAGEREF _Toc171703271 \h </w:instrText>
            </w:r>
            <w:r>
              <w:rPr>
                <w:noProof/>
                <w:webHidden/>
              </w:rPr>
            </w:r>
            <w:r>
              <w:rPr>
                <w:noProof/>
                <w:webHidden/>
              </w:rPr>
              <w:fldChar w:fldCharType="separate"/>
            </w:r>
            <w:r w:rsidR="00986730">
              <w:rPr>
                <w:noProof/>
                <w:webHidden/>
              </w:rPr>
              <w:t>101</w:t>
            </w:r>
            <w:r>
              <w:rPr>
                <w:noProof/>
                <w:webHidden/>
              </w:rPr>
              <w:fldChar w:fldCharType="end"/>
            </w:r>
          </w:hyperlink>
        </w:p>
        <w:p w14:paraId="26B2D97A" w14:textId="294C00F2"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2" w:history="1">
            <w:r w:rsidRPr="005E040A">
              <w:rPr>
                <w:rStyle w:val="Hyperlink"/>
                <w:rFonts w:cs="Times New Roman"/>
                <w:noProof/>
              </w:rPr>
              <w:t>5.3 Key Findings of the Study</w:t>
            </w:r>
            <w:r>
              <w:rPr>
                <w:noProof/>
                <w:webHidden/>
              </w:rPr>
              <w:tab/>
            </w:r>
            <w:r>
              <w:rPr>
                <w:noProof/>
                <w:webHidden/>
              </w:rPr>
              <w:fldChar w:fldCharType="begin"/>
            </w:r>
            <w:r>
              <w:rPr>
                <w:noProof/>
                <w:webHidden/>
              </w:rPr>
              <w:instrText xml:space="preserve"> PAGEREF _Toc171703272 \h </w:instrText>
            </w:r>
            <w:r>
              <w:rPr>
                <w:noProof/>
                <w:webHidden/>
              </w:rPr>
            </w:r>
            <w:r>
              <w:rPr>
                <w:noProof/>
                <w:webHidden/>
              </w:rPr>
              <w:fldChar w:fldCharType="separate"/>
            </w:r>
            <w:r w:rsidR="00986730">
              <w:rPr>
                <w:noProof/>
                <w:webHidden/>
              </w:rPr>
              <w:t>102</w:t>
            </w:r>
            <w:r>
              <w:rPr>
                <w:noProof/>
                <w:webHidden/>
              </w:rPr>
              <w:fldChar w:fldCharType="end"/>
            </w:r>
          </w:hyperlink>
        </w:p>
        <w:p w14:paraId="364DD4B1" w14:textId="4AD0D6C4"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3" w:history="1">
            <w:r w:rsidRPr="005E040A">
              <w:rPr>
                <w:rStyle w:val="Hyperlink"/>
                <w:rFonts w:cs="Times New Roman"/>
                <w:noProof/>
              </w:rPr>
              <w:t>5.4 Conclusions</w:t>
            </w:r>
            <w:r>
              <w:rPr>
                <w:noProof/>
                <w:webHidden/>
              </w:rPr>
              <w:tab/>
            </w:r>
            <w:r>
              <w:rPr>
                <w:noProof/>
                <w:webHidden/>
              </w:rPr>
              <w:fldChar w:fldCharType="begin"/>
            </w:r>
            <w:r>
              <w:rPr>
                <w:noProof/>
                <w:webHidden/>
              </w:rPr>
              <w:instrText xml:space="preserve"> PAGEREF _Toc171703273 \h </w:instrText>
            </w:r>
            <w:r>
              <w:rPr>
                <w:noProof/>
                <w:webHidden/>
              </w:rPr>
            </w:r>
            <w:r>
              <w:rPr>
                <w:noProof/>
                <w:webHidden/>
              </w:rPr>
              <w:fldChar w:fldCharType="separate"/>
            </w:r>
            <w:r w:rsidR="00986730">
              <w:rPr>
                <w:noProof/>
                <w:webHidden/>
              </w:rPr>
              <w:t>105</w:t>
            </w:r>
            <w:r>
              <w:rPr>
                <w:noProof/>
                <w:webHidden/>
              </w:rPr>
              <w:fldChar w:fldCharType="end"/>
            </w:r>
          </w:hyperlink>
        </w:p>
        <w:p w14:paraId="62E56D0E" w14:textId="52E85D24"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4" w:history="1">
            <w:r w:rsidRPr="005E040A">
              <w:rPr>
                <w:rStyle w:val="Hyperlink"/>
                <w:noProof/>
              </w:rPr>
              <w:t>5.5 Contribution to Knowledge</w:t>
            </w:r>
            <w:r>
              <w:rPr>
                <w:noProof/>
                <w:webHidden/>
              </w:rPr>
              <w:tab/>
            </w:r>
            <w:r>
              <w:rPr>
                <w:noProof/>
                <w:webHidden/>
              </w:rPr>
              <w:fldChar w:fldCharType="begin"/>
            </w:r>
            <w:r>
              <w:rPr>
                <w:noProof/>
                <w:webHidden/>
              </w:rPr>
              <w:instrText xml:space="preserve"> PAGEREF _Toc171703274 \h </w:instrText>
            </w:r>
            <w:r>
              <w:rPr>
                <w:noProof/>
                <w:webHidden/>
              </w:rPr>
            </w:r>
            <w:r>
              <w:rPr>
                <w:noProof/>
                <w:webHidden/>
              </w:rPr>
              <w:fldChar w:fldCharType="separate"/>
            </w:r>
            <w:r w:rsidR="00986730">
              <w:rPr>
                <w:noProof/>
                <w:webHidden/>
              </w:rPr>
              <w:t>106</w:t>
            </w:r>
            <w:r>
              <w:rPr>
                <w:noProof/>
                <w:webHidden/>
              </w:rPr>
              <w:fldChar w:fldCharType="end"/>
            </w:r>
          </w:hyperlink>
        </w:p>
        <w:p w14:paraId="16959B5D" w14:textId="32154664"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5" w:history="1">
            <w:r w:rsidRPr="005E040A">
              <w:rPr>
                <w:rStyle w:val="Hyperlink"/>
                <w:rFonts w:cs="Times New Roman"/>
                <w:noProof/>
              </w:rPr>
              <w:t>5.6 Recommendations</w:t>
            </w:r>
            <w:r>
              <w:rPr>
                <w:noProof/>
                <w:webHidden/>
              </w:rPr>
              <w:tab/>
            </w:r>
            <w:r>
              <w:rPr>
                <w:noProof/>
                <w:webHidden/>
              </w:rPr>
              <w:fldChar w:fldCharType="begin"/>
            </w:r>
            <w:r>
              <w:rPr>
                <w:noProof/>
                <w:webHidden/>
              </w:rPr>
              <w:instrText xml:space="preserve"> PAGEREF _Toc171703275 \h </w:instrText>
            </w:r>
            <w:r>
              <w:rPr>
                <w:noProof/>
                <w:webHidden/>
              </w:rPr>
            </w:r>
            <w:r>
              <w:rPr>
                <w:noProof/>
                <w:webHidden/>
              </w:rPr>
              <w:fldChar w:fldCharType="separate"/>
            </w:r>
            <w:r w:rsidR="00986730">
              <w:rPr>
                <w:noProof/>
                <w:webHidden/>
              </w:rPr>
              <w:t>108</w:t>
            </w:r>
            <w:r>
              <w:rPr>
                <w:noProof/>
                <w:webHidden/>
              </w:rPr>
              <w:fldChar w:fldCharType="end"/>
            </w:r>
          </w:hyperlink>
        </w:p>
        <w:p w14:paraId="0475FA22" w14:textId="57BA92C4"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6" w:history="1">
            <w:r w:rsidRPr="005E040A">
              <w:rPr>
                <w:rStyle w:val="Hyperlink"/>
                <w:noProof/>
              </w:rPr>
              <w:t>5.7 Suggestions for Further Research</w:t>
            </w:r>
            <w:r>
              <w:rPr>
                <w:noProof/>
                <w:webHidden/>
              </w:rPr>
              <w:tab/>
            </w:r>
            <w:r>
              <w:rPr>
                <w:noProof/>
                <w:webHidden/>
              </w:rPr>
              <w:fldChar w:fldCharType="begin"/>
            </w:r>
            <w:r>
              <w:rPr>
                <w:noProof/>
                <w:webHidden/>
              </w:rPr>
              <w:instrText xml:space="preserve"> PAGEREF _Toc171703276 \h </w:instrText>
            </w:r>
            <w:r>
              <w:rPr>
                <w:noProof/>
                <w:webHidden/>
              </w:rPr>
            </w:r>
            <w:r>
              <w:rPr>
                <w:noProof/>
                <w:webHidden/>
              </w:rPr>
              <w:fldChar w:fldCharType="separate"/>
            </w:r>
            <w:r w:rsidR="00986730">
              <w:rPr>
                <w:noProof/>
                <w:webHidden/>
              </w:rPr>
              <w:t>109</w:t>
            </w:r>
            <w:r>
              <w:rPr>
                <w:noProof/>
                <w:webHidden/>
              </w:rPr>
              <w:fldChar w:fldCharType="end"/>
            </w:r>
          </w:hyperlink>
        </w:p>
        <w:p w14:paraId="3D09986F" w14:textId="4C74FF68"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77" w:history="1">
            <w:r w:rsidRPr="005E040A">
              <w:rPr>
                <w:rStyle w:val="Hyperlink"/>
                <w:noProof/>
              </w:rPr>
              <w:t>REFERENCES</w:t>
            </w:r>
            <w:r>
              <w:rPr>
                <w:noProof/>
                <w:webHidden/>
              </w:rPr>
              <w:tab/>
            </w:r>
            <w:r>
              <w:rPr>
                <w:noProof/>
                <w:webHidden/>
              </w:rPr>
              <w:fldChar w:fldCharType="begin"/>
            </w:r>
            <w:r>
              <w:rPr>
                <w:noProof/>
                <w:webHidden/>
              </w:rPr>
              <w:instrText xml:space="preserve"> PAGEREF _Toc171703277 \h </w:instrText>
            </w:r>
            <w:r>
              <w:rPr>
                <w:noProof/>
                <w:webHidden/>
              </w:rPr>
            </w:r>
            <w:r>
              <w:rPr>
                <w:noProof/>
                <w:webHidden/>
              </w:rPr>
              <w:fldChar w:fldCharType="separate"/>
            </w:r>
            <w:r w:rsidR="00986730">
              <w:rPr>
                <w:noProof/>
                <w:webHidden/>
              </w:rPr>
              <w:t>110</w:t>
            </w:r>
            <w:r>
              <w:rPr>
                <w:noProof/>
                <w:webHidden/>
              </w:rPr>
              <w:fldChar w:fldCharType="end"/>
            </w:r>
          </w:hyperlink>
        </w:p>
        <w:p w14:paraId="3429A900" w14:textId="57DE1ABE" w:rsidR="00BA129F" w:rsidRDefault="00BA129F" w:rsidP="00BA129F">
          <w:pPr>
            <w:pStyle w:val="TOC1"/>
            <w:tabs>
              <w:tab w:val="right" w:leader="dot" w:pos="8296"/>
            </w:tabs>
            <w:spacing w:line="360" w:lineRule="auto"/>
            <w:ind w:firstLine="0"/>
            <w:rPr>
              <w:rFonts w:asciiTheme="minorHAnsi" w:eastAsiaTheme="minorEastAsia" w:hAnsiTheme="minorHAnsi" w:cstheme="minorBidi"/>
              <w:b w:val="0"/>
              <w:bCs w:val="0"/>
              <w:iCs w:val="0"/>
              <w:caps w:val="0"/>
              <w:noProof/>
              <w:kern w:val="2"/>
              <w:sz w:val="22"/>
              <w:szCs w:val="22"/>
              <w:lang w:val="en-GH" w:eastAsia="en-GH"/>
              <w14:ligatures w14:val="standardContextual"/>
            </w:rPr>
          </w:pPr>
          <w:hyperlink w:anchor="_Toc171703278" w:history="1">
            <w:r w:rsidRPr="005E040A">
              <w:rPr>
                <w:rStyle w:val="Hyperlink"/>
                <w:noProof/>
              </w:rPr>
              <w:t>APPENDICES</w:t>
            </w:r>
            <w:r>
              <w:rPr>
                <w:noProof/>
                <w:webHidden/>
              </w:rPr>
              <w:tab/>
            </w:r>
            <w:r>
              <w:rPr>
                <w:noProof/>
                <w:webHidden/>
              </w:rPr>
              <w:fldChar w:fldCharType="begin"/>
            </w:r>
            <w:r>
              <w:rPr>
                <w:noProof/>
                <w:webHidden/>
              </w:rPr>
              <w:instrText xml:space="preserve"> PAGEREF _Toc171703278 \h </w:instrText>
            </w:r>
            <w:r>
              <w:rPr>
                <w:noProof/>
                <w:webHidden/>
              </w:rPr>
            </w:r>
            <w:r>
              <w:rPr>
                <w:noProof/>
                <w:webHidden/>
              </w:rPr>
              <w:fldChar w:fldCharType="separate"/>
            </w:r>
            <w:r w:rsidR="00986730">
              <w:rPr>
                <w:noProof/>
                <w:webHidden/>
              </w:rPr>
              <w:t>128</w:t>
            </w:r>
            <w:r>
              <w:rPr>
                <w:noProof/>
                <w:webHidden/>
              </w:rPr>
              <w:fldChar w:fldCharType="end"/>
            </w:r>
          </w:hyperlink>
        </w:p>
        <w:p w14:paraId="3D453433" w14:textId="76CBF125"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79" w:history="1">
            <w:r w:rsidRPr="005E040A">
              <w:rPr>
                <w:rStyle w:val="Hyperlink"/>
                <w:noProof/>
              </w:rPr>
              <w:t>Appendix A</w:t>
            </w:r>
            <w:r>
              <w:rPr>
                <w:noProof/>
                <w:webHidden/>
              </w:rPr>
              <w:tab/>
            </w:r>
            <w:r>
              <w:rPr>
                <w:noProof/>
                <w:webHidden/>
              </w:rPr>
              <w:fldChar w:fldCharType="begin"/>
            </w:r>
            <w:r>
              <w:rPr>
                <w:noProof/>
                <w:webHidden/>
              </w:rPr>
              <w:instrText xml:space="preserve"> PAGEREF _Toc171703279 \h </w:instrText>
            </w:r>
            <w:r>
              <w:rPr>
                <w:noProof/>
                <w:webHidden/>
              </w:rPr>
            </w:r>
            <w:r>
              <w:rPr>
                <w:noProof/>
                <w:webHidden/>
              </w:rPr>
              <w:fldChar w:fldCharType="separate"/>
            </w:r>
            <w:r w:rsidR="00986730">
              <w:rPr>
                <w:noProof/>
                <w:webHidden/>
              </w:rPr>
              <w:t>128</w:t>
            </w:r>
            <w:r>
              <w:rPr>
                <w:noProof/>
                <w:webHidden/>
              </w:rPr>
              <w:fldChar w:fldCharType="end"/>
            </w:r>
          </w:hyperlink>
        </w:p>
        <w:p w14:paraId="22F06225" w14:textId="5740C74F" w:rsidR="00BA129F" w:rsidRDefault="00BA129F" w:rsidP="00BA129F">
          <w:pPr>
            <w:pStyle w:val="TOC2"/>
            <w:tabs>
              <w:tab w:val="right" w:leader="dot" w:pos="8296"/>
            </w:tabs>
            <w:spacing w:line="360" w:lineRule="auto"/>
            <w:ind w:firstLine="0"/>
            <w:rPr>
              <w:rFonts w:asciiTheme="minorHAnsi" w:eastAsiaTheme="minorEastAsia" w:hAnsiTheme="minorHAnsi" w:cstheme="minorBidi"/>
              <w:bCs w:val="0"/>
              <w:noProof/>
              <w:kern w:val="2"/>
              <w:sz w:val="22"/>
              <w:lang w:val="en-GH" w:eastAsia="en-GH"/>
              <w14:ligatures w14:val="standardContextual"/>
            </w:rPr>
          </w:pPr>
          <w:hyperlink w:anchor="_Toc171703280" w:history="1">
            <w:r w:rsidRPr="005E040A">
              <w:rPr>
                <w:rStyle w:val="Hyperlink"/>
                <w:noProof/>
              </w:rPr>
              <w:t>Appendix B:</w:t>
            </w:r>
            <w:r>
              <w:rPr>
                <w:noProof/>
                <w:webHidden/>
              </w:rPr>
              <w:tab/>
            </w:r>
            <w:r>
              <w:rPr>
                <w:noProof/>
                <w:webHidden/>
              </w:rPr>
              <w:fldChar w:fldCharType="begin"/>
            </w:r>
            <w:r>
              <w:rPr>
                <w:noProof/>
                <w:webHidden/>
              </w:rPr>
              <w:instrText xml:space="preserve"> PAGEREF _Toc171703280 \h </w:instrText>
            </w:r>
            <w:r>
              <w:rPr>
                <w:noProof/>
                <w:webHidden/>
              </w:rPr>
            </w:r>
            <w:r>
              <w:rPr>
                <w:noProof/>
                <w:webHidden/>
              </w:rPr>
              <w:fldChar w:fldCharType="separate"/>
            </w:r>
            <w:r w:rsidR="00986730">
              <w:rPr>
                <w:noProof/>
                <w:webHidden/>
              </w:rPr>
              <w:t>131</w:t>
            </w:r>
            <w:r>
              <w:rPr>
                <w:noProof/>
                <w:webHidden/>
              </w:rPr>
              <w:fldChar w:fldCharType="end"/>
            </w:r>
          </w:hyperlink>
        </w:p>
        <w:p w14:paraId="356E4AB4" w14:textId="6C064309" w:rsidR="0008415E" w:rsidRPr="00446A7C" w:rsidRDefault="00BA129F" w:rsidP="00BA129F">
          <w:pPr>
            <w:pStyle w:val="TOC2"/>
            <w:tabs>
              <w:tab w:val="right" w:leader="dot" w:pos="8296"/>
            </w:tabs>
            <w:spacing w:line="360" w:lineRule="auto"/>
            <w:ind w:firstLine="0"/>
            <w:rPr>
              <w:rFonts w:eastAsiaTheme="minorEastAsia" w:cs="Times New Roman"/>
              <w:smallCaps/>
              <w:kern w:val="2"/>
              <w:szCs w:val="24"/>
              <w:lang w:val="en-US"/>
            </w:rPr>
          </w:pPr>
          <w:hyperlink w:anchor="_Toc171703281" w:history="1">
            <w:r w:rsidRPr="005E040A">
              <w:rPr>
                <w:rStyle w:val="Hyperlink"/>
                <w:noProof/>
              </w:rPr>
              <w:t>Appen</w:t>
            </w:r>
            <w:r w:rsidRPr="005E040A">
              <w:rPr>
                <w:rStyle w:val="Hyperlink"/>
                <w:noProof/>
              </w:rPr>
              <w:t>d</w:t>
            </w:r>
            <w:r w:rsidRPr="005E040A">
              <w:rPr>
                <w:rStyle w:val="Hyperlink"/>
                <w:noProof/>
              </w:rPr>
              <w:t>ix C</w:t>
            </w:r>
            <w:r>
              <w:rPr>
                <w:noProof/>
                <w:webHidden/>
              </w:rPr>
              <w:tab/>
            </w:r>
            <w:r>
              <w:rPr>
                <w:noProof/>
                <w:webHidden/>
              </w:rPr>
              <w:fldChar w:fldCharType="begin"/>
            </w:r>
            <w:r>
              <w:rPr>
                <w:noProof/>
                <w:webHidden/>
              </w:rPr>
              <w:instrText xml:space="preserve"> PAGEREF _Toc171703281 \h </w:instrText>
            </w:r>
            <w:r>
              <w:rPr>
                <w:noProof/>
                <w:webHidden/>
              </w:rPr>
            </w:r>
            <w:r>
              <w:rPr>
                <w:noProof/>
                <w:webHidden/>
              </w:rPr>
              <w:fldChar w:fldCharType="separate"/>
            </w:r>
            <w:r w:rsidR="00986730">
              <w:rPr>
                <w:noProof/>
                <w:webHidden/>
              </w:rPr>
              <w:t>133</w:t>
            </w:r>
            <w:r>
              <w:rPr>
                <w:noProof/>
                <w:webHidden/>
              </w:rPr>
              <w:fldChar w:fldCharType="end"/>
            </w:r>
          </w:hyperlink>
          <w:r>
            <w:rPr>
              <w:rFonts w:cs="Times New Roman"/>
            </w:rPr>
            <w:fldChar w:fldCharType="end"/>
          </w:r>
        </w:p>
      </w:sdtContent>
    </w:sdt>
    <w:p w14:paraId="66CC5CC4" w14:textId="77777777" w:rsidR="0008415E" w:rsidRPr="00446A7C" w:rsidRDefault="0008415E">
      <w:pPr>
        <w:spacing w:line="360" w:lineRule="auto"/>
        <w:ind w:firstLine="0"/>
        <w:contextualSpacing/>
        <w:jc w:val="both"/>
        <w:rPr>
          <w:rFonts w:cs="Times New Roman"/>
          <w:szCs w:val="24"/>
        </w:rPr>
      </w:pPr>
    </w:p>
    <w:p w14:paraId="490FC99B" w14:textId="77777777" w:rsidR="0008415E" w:rsidRPr="00446A7C" w:rsidRDefault="0008415E">
      <w:pPr>
        <w:spacing w:line="360" w:lineRule="auto"/>
        <w:ind w:firstLine="0"/>
        <w:contextualSpacing/>
        <w:jc w:val="both"/>
        <w:rPr>
          <w:rFonts w:cs="Times New Roman"/>
          <w:szCs w:val="24"/>
        </w:rPr>
      </w:pPr>
    </w:p>
    <w:p w14:paraId="7DB6298E" w14:textId="77777777" w:rsidR="0008415E" w:rsidRPr="00446A7C" w:rsidRDefault="0008415E">
      <w:pPr>
        <w:spacing w:line="360" w:lineRule="auto"/>
        <w:ind w:firstLine="0"/>
        <w:contextualSpacing/>
        <w:jc w:val="both"/>
        <w:rPr>
          <w:rFonts w:cs="Times New Roman"/>
          <w:szCs w:val="24"/>
        </w:rPr>
      </w:pPr>
    </w:p>
    <w:p w14:paraId="50651C27" w14:textId="77777777" w:rsidR="0008415E" w:rsidRPr="00446A7C" w:rsidRDefault="0008415E">
      <w:pPr>
        <w:spacing w:line="360" w:lineRule="auto"/>
        <w:ind w:firstLine="0"/>
        <w:contextualSpacing/>
        <w:jc w:val="both"/>
        <w:rPr>
          <w:rFonts w:cs="Times New Roman"/>
          <w:szCs w:val="24"/>
        </w:rPr>
      </w:pPr>
    </w:p>
    <w:p w14:paraId="51F5EFD7" w14:textId="77777777" w:rsidR="0008415E" w:rsidRPr="00446A7C" w:rsidRDefault="0008415E">
      <w:pPr>
        <w:spacing w:line="360" w:lineRule="auto"/>
        <w:ind w:firstLine="0"/>
        <w:contextualSpacing/>
        <w:jc w:val="both"/>
        <w:rPr>
          <w:rFonts w:cs="Times New Roman"/>
          <w:szCs w:val="24"/>
        </w:rPr>
      </w:pPr>
    </w:p>
    <w:p w14:paraId="62FEE59E" w14:textId="77777777" w:rsidR="0008415E" w:rsidRPr="00446A7C" w:rsidRDefault="0008415E">
      <w:pPr>
        <w:spacing w:line="360" w:lineRule="auto"/>
        <w:ind w:firstLine="0"/>
        <w:contextualSpacing/>
        <w:jc w:val="both"/>
        <w:rPr>
          <w:rFonts w:cs="Times New Roman"/>
          <w:szCs w:val="24"/>
        </w:rPr>
      </w:pPr>
    </w:p>
    <w:p w14:paraId="67BBC86B" w14:textId="77777777" w:rsidR="0008415E" w:rsidRPr="00446A7C" w:rsidRDefault="0008415E">
      <w:pPr>
        <w:spacing w:line="360" w:lineRule="auto"/>
        <w:ind w:firstLine="0"/>
        <w:contextualSpacing/>
        <w:jc w:val="both"/>
        <w:rPr>
          <w:rFonts w:cs="Times New Roman"/>
          <w:szCs w:val="24"/>
        </w:rPr>
      </w:pPr>
    </w:p>
    <w:p w14:paraId="2A04B1E6" w14:textId="77777777" w:rsidR="0008415E" w:rsidRPr="00446A7C" w:rsidRDefault="0008415E">
      <w:pPr>
        <w:spacing w:line="360" w:lineRule="auto"/>
        <w:ind w:firstLine="0"/>
        <w:contextualSpacing/>
        <w:jc w:val="both"/>
        <w:rPr>
          <w:rFonts w:cs="Times New Roman"/>
          <w:szCs w:val="24"/>
        </w:rPr>
      </w:pPr>
    </w:p>
    <w:p w14:paraId="11299628" w14:textId="77777777" w:rsidR="0008415E" w:rsidRPr="00446A7C" w:rsidRDefault="0008415E">
      <w:pPr>
        <w:spacing w:line="360" w:lineRule="auto"/>
        <w:ind w:firstLine="0"/>
        <w:contextualSpacing/>
        <w:jc w:val="both"/>
        <w:rPr>
          <w:rFonts w:cs="Times New Roman"/>
          <w:szCs w:val="24"/>
        </w:rPr>
      </w:pPr>
    </w:p>
    <w:p w14:paraId="03722898" w14:textId="77777777" w:rsidR="0008415E" w:rsidRDefault="0008415E">
      <w:pPr>
        <w:spacing w:line="360" w:lineRule="auto"/>
        <w:ind w:firstLine="0"/>
        <w:contextualSpacing/>
        <w:jc w:val="both"/>
        <w:rPr>
          <w:rFonts w:cs="Times New Roman"/>
          <w:szCs w:val="24"/>
        </w:rPr>
      </w:pPr>
    </w:p>
    <w:p w14:paraId="23D56E43" w14:textId="77777777" w:rsidR="00F218E5" w:rsidRDefault="00F218E5">
      <w:pPr>
        <w:spacing w:line="360" w:lineRule="auto"/>
        <w:ind w:firstLine="0"/>
        <w:contextualSpacing/>
        <w:jc w:val="both"/>
        <w:rPr>
          <w:rFonts w:cs="Times New Roman"/>
          <w:szCs w:val="24"/>
        </w:rPr>
      </w:pPr>
    </w:p>
    <w:p w14:paraId="19B9256D" w14:textId="77777777" w:rsidR="00F218E5" w:rsidRDefault="00F218E5">
      <w:pPr>
        <w:spacing w:line="360" w:lineRule="auto"/>
        <w:ind w:firstLine="0"/>
        <w:contextualSpacing/>
        <w:jc w:val="both"/>
        <w:rPr>
          <w:rFonts w:cs="Times New Roman"/>
          <w:szCs w:val="24"/>
        </w:rPr>
      </w:pPr>
    </w:p>
    <w:p w14:paraId="1F97D288" w14:textId="77777777" w:rsidR="0008415E" w:rsidRPr="00446A7C" w:rsidRDefault="00000000" w:rsidP="00371F7B">
      <w:pPr>
        <w:pStyle w:val="Heading1"/>
        <w:spacing w:before="0"/>
      </w:pPr>
      <w:bookmarkStart w:id="8" w:name="_Toc171703190"/>
      <w:r w:rsidRPr="00446A7C">
        <w:lastRenderedPageBreak/>
        <w:t>LIST OF TABLES</w:t>
      </w:r>
      <w:bookmarkEnd w:id="8"/>
    </w:p>
    <w:p w14:paraId="2F381A46" w14:textId="2DCA18E1" w:rsidR="00F218E5" w:rsidRDefault="00F218E5" w:rsidP="00F218E5">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r>
        <w:rPr>
          <w:rFonts w:cs="Times New Roman"/>
          <w:szCs w:val="24"/>
        </w:rPr>
        <w:fldChar w:fldCharType="begin"/>
      </w:r>
      <w:r>
        <w:rPr>
          <w:rFonts w:cs="Times New Roman"/>
          <w:szCs w:val="24"/>
        </w:rPr>
        <w:instrText xml:space="preserve"> TOC \f T \h \z \t "Heading 6" \c "Table" </w:instrText>
      </w:r>
      <w:r>
        <w:rPr>
          <w:rFonts w:cs="Times New Roman"/>
          <w:szCs w:val="24"/>
        </w:rPr>
        <w:fldChar w:fldCharType="separate"/>
      </w:r>
      <w:hyperlink w:anchor="_Toc171700077" w:history="1">
        <w:r w:rsidRPr="000F6D31">
          <w:rPr>
            <w:rStyle w:val="Hyperlink"/>
            <w:noProof/>
          </w:rPr>
          <w:t>Table 1: Current pay starting from 83&amp;84 cycle</w:t>
        </w:r>
        <w:r>
          <w:rPr>
            <w:noProof/>
            <w:webHidden/>
          </w:rPr>
          <w:tab/>
        </w:r>
        <w:r>
          <w:rPr>
            <w:noProof/>
            <w:webHidden/>
          </w:rPr>
          <w:fldChar w:fldCharType="begin"/>
        </w:r>
        <w:r>
          <w:rPr>
            <w:noProof/>
            <w:webHidden/>
          </w:rPr>
          <w:instrText xml:space="preserve"> PAGEREF _Toc171700077 \h </w:instrText>
        </w:r>
        <w:r>
          <w:rPr>
            <w:noProof/>
            <w:webHidden/>
          </w:rPr>
        </w:r>
        <w:r>
          <w:rPr>
            <w:noProof/>
            <w:webHidden/>
          </w:rPr>
          <w:fldChar w:fldCharType="separate"/>
        </w:r>
        <w:r w:rsidR="00986730">
          <w:rPr>
            <w:noProof/>
            <w:webHidden/>
          </w:rPr>
          <w:t>45</w:t>
        </w:r>
        <w:r>
          <w:rPr>
            <w:noProof/>
            <w:webHidden/>
          </w:rPr>
          <w:fldChar w:fldCharType="end"/>
        </w:r>
      </w:hyperlink>
    </w:p>
    <w:p w14:paraId="1654C7D9" w14:textId="72CD91E2" w:rsidR="00F218E5" w:rsidRDefault="00F218E5" w:rsidP="00F218E5">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hyperlink w:anchor="_Toc171700078" w:history="1">
        <w:r w:rsidRPr="000F6D31">
          <w:rPr>
            <w:rStyle w:val="Hyperlink"/>
            <w:noProof/>
          </w:rPr>
          <w:t>Table 2: Summary of primary data</w:t>
        </w:r>
        <w:r>
          <w:rPr>
            <w:noProof/>
            <w:webHidden/>
          </w:rPr>
          <w:tab/>
        </w:r>
        <w:r>
          <w:rPr>
            <w:noProof/>
            <w:webHidden/>
          </w:rPr>
          <w:fldChar w:fldCharType="begin"/>
        </w:r>
        <w:r>
          <w:rPr>
            <w:noProof/>
            <w:webHidden/>
          </w:rPr>
          <w:instrText xml:space="preserve"> PAGEREF _Toc171700078 \h </w:instrText>
        </w:r>
        <w:r>
          <w:rPr>
            <w:noProof/>
            <w:webHidden/>
          </w:rPr>
        </w:r>
        <w:r>
          <w:rPr>
            <w:noProof/>
            <w:webHidden/>
          </w:rPr>
          <w:fldChar w:fldCharType="separate"/>
        </w:r>
        <w:r w:rsidR="00986730">
          <w:rPr>
            <w:noProof/>
            <w:webHidden/>
          </w:rPr>
          <w:t>56</w:t>
        </w:r>
        <w:r>
          <w:rPr>
            <w:noProof/>
            <w:webHidden/>
          </w:rPr>
          <w:fldChar w:fldCharType="end"/>
        </w:r>
      </w:hyperlink>
    </w:p>
    <w:p w14:paraId="4D839032" w14:textId="0772B67B" w:rsidR="00F218E5" w:rsidRDefault="00F218E5" w:rsidP="00F218E5">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hyperlink w:anchor="_Toc171700079" w:history="1">
        <w:r w:rsidRPr="000F6D31">
          <w:rPr>
            <w:rStyle w:val="Hyperlink"/>
            <w:noProof/>
          </w:rPr>
          <w:t>Table 3: Thematic analysis procedure employed in the study</w:t>
        </w:r>
        <w:r>
          <w:rPr>
            <w:noProof/>
            <w:webHidden/>
          </w:rPr>
          <w:tab/>
        </w:r>
        <w:r>
          <w:rPr>
            <w:noProof/>
            <w:webHidden/>
          </w:rPr>
          <w:fldChar w:fldCharType="begin"/>
        </w:r>
        <w:r>
          <w:rPr>
            <w:noProof/>
            <w:webHidden/>
          </w:rPr>
          <w:instrText xml:space="preserve"> PAGEREF _Toc171700079 \h </w:instrText>
        </w:r>
        <w:r>
          <w:rPr>
            <w:noProof/>
            <w:webHidden/>
          </w:rPr>
        </w:r>
        <w:r>
          <w:rPr>
            <w:noProof/>
            <w:webHidden/>
          </w:rPr>
          <w:fldChar w:fldCharType="separate"/>
        </w:r>
        <w:r w:rsidR="00986730">
          <w:rPr>
            <w:noProof/>
            <w:webHidden/>
          </w:rPr>
          <w:t>62</w:t>
        </w:r>
        <w:r>
          <w:rPr>
            <w:noProof/>
            <w:webHidden/>
          </w:rPr>
          <w:fldChar w:fldCharType="end"/>
        </w:r>
      </w:hyperlink>
    </w:p>
    <w:p w14:paraId="4B3FA920" w14:textId="69F0FEA4" w:rsidR="00F218E5" w:rsidRDefault="00F218E5" w:rsidP="00F218E5">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hyperlink w:anchor="_Toc171700080" w:history="1">
        <w:r w:rsidRPr="000F6D31">
          <w:rPr>
            <w:rStyle w:val="Hyperlink"/>
            <w:noProof/>
          </w:rPr>
          <w:t>Table 4: Codes generated for data analysis</w:t>
        </w:r>
        <w:r>
          <w:rPr>
            <w:noProof/>
            <w:webHidden/>
          </w:rPr>
          <w:tab/>
        </w:r>
        <w:r>
          <w:rPr>
            <w:noProof/>
            <w:webHidden/>
          </w:rPr>
          <w:fldChar w:fldCharType="begin"/>
        </w:r>
        <w:r>
          <w:rPr>
            <w:noProof/>
            <w:webHidden/>
          </w:rPr>
          <w:instrText xml:space="preserve"> PAGEREF _Toc171700080 \h </w:instrText>
        </w:r>
        <w:r>
          <w:rPr>
            <w:noProof/>
            <w:webHidden/>
          </w:rPr>
        </w:r>
        <w:r>
          <w:rPr>
            <w:noProof/>
            <w:webHidden/>
          </w:rPr>
          <w:fldChar w:fldCharType="separate"/>
        </w:r>
        <w:r w:rsidR="00986730">
          <w:rPr>
            <w:noProof/>
            <w:webHidden/>
          </w:rPr>
          <w:t>63</w:t>
        </w:r>
        <w:r>
          <w:rPr>
            <w:noProof/>
            <w:webHidden/>
          </w:rPr>
          <w:fldChar w:fldCharType="end"/>
        </w:r>
      </w:hyperlink>
    </w:p>
    <w:p w14:paraId="307405C2" w14:textId="64481E18" w:rsidR="0008415E" w:rsidRPr="00446A7C" w:rsidRDefault="00F218E5">
      <w:pPr>
        <w:pStyle w:val="TableofFigures"/>
        <w:tabs>
          <w:tab w:val="right" w:leader="dot" w:pos="9450"/>
        </w:tabs>
        <w:rPr>
          <w:rFonts w:cs="Times New Roman"/>
          <w:szCs w:val="24"/>
        </w:rPr>
      </w:pPr>
      <w:r>
        <w:rPr>
          <w:rFonts w:cs="Times New Roman"/>
          <w:szCs w:val="24"/>
        </w:rPr>
        <w:fldChar w:fldCharType="end"/>
      </w:r>
    </w:p>
    <w:p w14:paraId="6E0DBCF0" w14:textId="77777777" w:rsidR="0008415E" w:rsidRPr="00446A7C" w:rsidRDefault="0008415E">
      <w:pPr>
        <w:spacing w:line="480" w:lineRule="auto"/>
        <w:ind w:firstLine="0"/>
        <w:contextualSpacing/>
        <w:jc w:val="both"/>
        <w:rPr>
          <w:rFonts w:cs="Times New Roman"/>
          <w:szCs w:val="24"/>
        </w:rPr>
      </w:pPr>
    </w:p>
    <w:p w14:paraId="20163EBF" w14:textId="77777777" w:rsidR="0008415E" w:rsidRPr="00446A7C" w:rsidRDefault="0008415E">
      <w:pPr>
        <w:spacing w:line="480" w:lineRule="auto"/>
        <w:ind w:firstLine="0"/>
        <w:contextualSpacing/>
        <w:jc w:val="both"/>
        <w:rPr>
          <w:rFonts w:cs="Times New Roman"/>
          <w:szCs w:val="24"/>
        </w:rPr>
      </w:pPr>
    </w:p>
    <w:p w14:paraId="1071ED19" w14:textId="77777777" w:rsidR="0008415E" w:rsidRPr="00446A7C" w:rsidRDefault="0008415E">
      <w:pPr>
        <w:spacing w:line="480" w:lineRule="auto"/>
        <w:ind w:firstLine="0"/>
        <w:contextualSpacing/>
        <w:jc w:val="both"/>
        <w:rPr>
          <w:rFonts w:cs="Times New Roman"/>
          <w:szCs w:val="24"/>
        </w:rPr>
      </w:pPr>
    </w:p>
    <w:p w14:paraId="7DA18509" w14:textId="77777777" w:rsidR="0008415E" w:rsidRPr="00446A7C" w:rsidRDefault="0008415E">
      <w:pPr>
        <w:spacing w:line="480" w:lineRule="auto"/>
        <w:ind w:firstLine="0"/>
        <w:contextualSpacing/>
        <w:jc w:val="both"/>
        <w:rPr>
          <w:rFonts w:cs="Times New Roman"/>
          <w:szCs w:val="24"/>
        </w:rPr>
      </w:pPr>
    </w:p>
    <w:p w14:paraId="3879A9E0" w14:textId="77777777" w:rsidR="0008415E" w:rsidRPr="00446A7C" w:rsidRDefault="0008415E">
      <w:pPr>
        <w:spacing w:line="480" w:lineRule="auto"/>
        <w:ind w:firstLine="0"/>
        <w:contextualSpacing/>
        <w:jc w:val="both"/>
        <w:rPr>
          <w:rFonts w:cs="Times New Roman"/>
          <w:szCs w:val="24"/>
        </w:rPr>
      </w:pPr>
    </w:p>
    <w:p w14:paraId="2E76B6BD" w14:textId="77777777" w:rsidR="0008415E" w:rsidRPr="00446A7C" w:rsidRDefault="0008415E">
      <w:pPr>
        <w:spacing w:line="480" w:lineRule="auto"/>
        <w:ind w:firstLine="0"/>
        <w:contextualSpacing/>
        <w:jc w:val="both"/>
        <w:rPr>
          <w:rFonts w:cs="Times New Roman"/>
          <w:szCs w:val="24"/>
        </w:rPr>
      </w:pPr>
    </w:p>
    <w:p w14:paraId="1B4D4BA0" w14:textId="77777777" w:rsidR="0008415E" w:rsidRPr="00446A7C" w:rsidRDefault="0008415E">
      <w:pPr>
        <w:spacing w:line="480" w:lineRule="auto"/>
        <w:ind w:firstLine="0"/>
        <w:contextualSpacing/>
        <w:jc w:val="both"/>
        <w:rPr>
          <w:rFonts w:cs="Times New Roman"/>
          <w:szCs w:val="24"/>
        </w:rPr>
      </w:pPr>
    </w:p>
    <w:p w14:paraId="7F5B003A" w14:textId="77777777" w:rsidR="0008415E" w:rsidRPr="00446A7C" w:rsidRDefault="0008415E">
      <w:pPr>
        <w:spacing w:line="480" w:lineRule="auto"/>
        <w:ind w:firstLine="0"/>
        <w:contextualSpacing/>
        <w:jc w:val="both"/>
        <w:rPr>
          <w:rFonts w:cs="Times New Roman"/>
          <w:szCs w:val="24"/>
        </w:rPr>
      </w:pPr>
    </w:p>
    <w:p w14:paraId="6124BFBB" w14:textId="77777777" w:rsidR="0008415E" w:rsidRPr="00446A7C" w:rsidRDefault="0008415E">
      <w:pPr>
        <w:spacing w:line="480" w:lineRule="auto"/>
        <w:ind w:firstLine="0"/>
        <w:contextualSpacing/>
        <w:jc w:val="both"/>
        <w:rPr>
          <w:rFonts w:cs="Times New Roman"/>
          <w:szCs w:val="24"/>
        </w:rPr>
      </w:pPr>
    </w:p>
    <w:p w14:paraId="59DC6324" w14:textId="77777777" w:rsidR="0008415E" w:rsidRPr="00446A7C" w:rsidRDefault="0008415E">
      <w:pPr>
        <w:spacing w:line="480" w:lineRule="auto"/>
        <w:ind w:firstLine="0"/>
        <w:contextualSpacing/>
        <w:jc w:val="both"/>
        <w:rPr>
          <w:rFonts w:cs="Times New Roman"/>
          <w:szCs w:val="24"/>
        </w:rPr>
      </w:pPr>
    </w:p>
    <w:p w14:paraId="76D43FBB" w14:textId="77777777" w:rsidR="0008415E" w:rsidRPr="00446A7C" w:rsidRDefault="0008415E">
      <w:pPr>
        <w:spacing w:line="480" w:lineRule="auto"/>
        <w:ind w:firstLine="0"/>
        <w:contextualSpacing/>
        <w:jc w:val="both"/>
        <w:rPr>
          <w:rFonts w:cs="Times New Roman"/>
          <w:szCs w:val="24"/>
        </w:rPr>
      </w:pPr>
    </w:p>
    <w:p w14:paraId="479DD91A" w14:textId="77777777" w:rsidR="0008415E" w:rsidRPr="00446A7C" w:rsidRDefault="0008415E">
      <w:pPr>
        <w:spacing w:line="480" w:lineRule="auto"/>
        <w:ind w:firstLine="0"/>
        <w:contextualSpacing/>
        <w:jc w:val="both"/>
        <w:rPr>
          <w:rFonts w:cs="Times New Roman"/>
          <w:szCs w:val="24"/>
        </w:rPr>
      </w:pPr>
    </w:p>
    <w:p w14:paraId="0D9E9124" w14:textId="77777777" w:rsidR="0008415E" w:rsidRPr="00446A7C" w:rsidRDefault="0008415E">
      <w:pPr>
        <w:spacing w:line="480" w:lineRule="auto"/>
        <w:ind w:firstLine="0"/>
        <w:contextualSpacing/>
        <w:jc w:val="both"/>
        <w:rPr>
          <w:rFonts w:cs="Times New Roman"/>
          <w:szCs w:val="24"/>
        </w:rPr>
      </w:pPr>
    </w:p>
    <w:p w14:paraId="1732CBA0" w14:textId="77777777" w:rsidR="0008415E" w:rsidRPr="00446A7C" w:rsidRDefault="0008415E">
      <w:pPr>
        <w:spacing w:line="480" w:lineRule="auto"/>
        <w:ind w:firstLine="0"/>
        <w:contextualSpacing/>
        <w:jc w:val="both"/>
        <w:rPr>
          <w:rFonts w:cs="Times New Roman"/>
          <w:szCs w:val="24"/>
        </w:rPr>
      </w:pPr>
    </w:p>
    <w:p w14:paraId="12BA7FC9" w14:textId="77777777" w:rsidR="0008415E" w:rsidRPr="00446A7C" w:rsidRDefault="0008415E">
      <w:pPr>
        <w:spacing w:line="480" w:lineRule="auto"/>
        <w:ind w:firstLine="0"/>
        <w:contextualSpacing/>
        <w:jc w:val="both"/>
        <w:rPr>
          <w:rFonts w:cs="Times New Roman"/>
          <w:szCs w:val="24"/>
        </w:rPr>
      </w:pPr>
    </w:p>
    <w:p w14:paraId="17C50083" w14:textId="77777777" w:rsidR="0008415E" w:rsidRPr="00446A7C" w:rsidRDefault="0008415E">
      <w:pPr>
        <w:spacing w:line="480" w:lineRule="auto"/>
        <w:ind w:firstLine="0"/>
        <w:contextualSpacing/>
        <w:jc w:val="both"/>
        <w:rPr>
          <w:rFonts w:cs="Times New Roman"/>
          <w:szCs w:val="24"/>
        </w:rPr>
      </w:pPr>
    </w:p>
    <w:p w14:paraId="7BB167CB" w14:textId="77777777" w:rsidR="0008415E" w:rsidRPr="00446A7C" w:rsidRDefault="0008415E">
      <w:pPr>
        <w:spacing w:line="480" w:lineRule="auto"/>
        <w:ind w:firstLine="0"/>
        <w:contextualSpacing/>
        <w:jc w:val="both"/>
        <w:rPr>
          <w:rFonts w:cs="Times New Roman"/>
          <w:szCs w:val="24"/>
        </w:rPr>
      </w:pPr>
    </w:p>
    <w:p w14:paraId="5FE7DE84" w14:textId="77777777" w:rsidR="0008415E" w:rsidRPr="00446A7C" w:rsidRDefault="0008415E">
      <w:pPr>
        <w:spacing w:line="480" w:lineRule="auto"/>
        <w:ind w:firstLine="0"/>
        <w:contextualSpacing/>
        <w:jc w:val="both"/>
        <w:rPr>
          <w:rFonts w:cs="Times New Roman"/>
          <w:szCs w:val="24"/>
        </w:rPr>
      </w:pPr>
    </w:p>
    <w:p w14:paraId="5D504CE3" w14:textId="77777777" w:rsidR="0008415E" w:rsidRPr="00446A7C" w:rsidRDefault="0008415E">
      <w:pPr>
        <w:spacing w:line="480" w:lineRule="auto"/>
        <w:ind w:firstLine="0"/>
        <w:contextualSpacing/>
        <w:jc w:val="both"/>
        <w:rPr>
          <w:rFonts w:cs="Times New Roman"/>
          <w:szCs w:val="24"/>
        </w:rPr>
      </w:pPr>
    </w:p>
    <w:p w14:paraId="6CA27F9F" w14:textId="77777777" w:rsidR="0008415E" w:rsidRPr="00446A7C" w:rsidRDefault="0008415E">
      <w:pPr>
        <w:spacing w:line="480" w:lineRule="auto"/>
        <w:ind w:firstLine="0"/>
        <w:contextualSpacing/>
        <w:jc w:val="both"/>
        <w:rPr>
          <w:rFonts w:cs="Times New Roman"/>
          <w:szCs w:val="24"/>
        </w:rPr>
      </w:pPr>
    </w:p>
    <w:p w14:paraId="3106EAD4" w14:textId="77777777" w:rsidR="0008415E" w:rsidRPr="00446A7C" w:rsidRDefault="00000000" w:rsidP="00371F7B">
      <w:pPr>
        <w:pStyle w:val="Heading1"/>
        <w:tabs>
          <w:tab w:val="clear" w:pos="3670"/>
          <w:tab w:val="clear" w:pos="4725"/>
        </w:tabs>
      </w:pPr>
      <w:bookmarkStart w:id="9" w:name="_Toc171703191"/>
      <w:r w:rsidRPr="00446A7C">
        <w:lastRenderedPageBreak/>
        <w:t>LIST OF FIGURES</w:t>
      </w:r>
      <w:bookmarkEnd w:id="9"/>
      <w:r w:rsidRPr="00446A7C">
        <w:tab/>
      </w:r>
    </w:p>
    <w:p w14:paraId="3C24C1C7" w14:textId="224A79EA" w:rsidR="00124D74" w:rsidRDefault="00371F7B" w:rsidP="00124D74">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r>
        <w:rPr>
          <w:rFonts w:cs="Times New Roman"/>
          <w:smallCaps/>
          <w:szCs w:val="24"/>
        </w:rPr>
        <w:fldChar w:fldCharType="begin"/>
      </w:r>
      <w:r>
        <w:rPr>
          <w:rFonts w:cs="Times New Roman"/>
          <w:smallCaps/>
          <w:szCs w:val="24"/>
        </w:rPr>
        <w:instrText xml:space="preserve"> TOC \h \z \t "Heading 5" \c "Figure" </w:instrText>
      </w:r>
      <w:r>
        <w:rPr>
          <w:rFonts w:cs="Times New Roman"/>
          <w:smallCaps/>
          <w:szCs w:val="24"/>
        </w:rPr>
        <w:fldChar w:fldCharType="separate"/>
      </w:r>
      <w:hyperlink w:anchor="_Toc171701581" w:history="1">
        <w:r w:rsidR="00124D74" w:rsidRPr="00261AA8">
          <w:rPr>
            <w:rStyle w:val="Hyperlink"/>
            <w:noProof/>
          </w:rPr>
          <w:t>Figure 1: GRM structure for an effective implementation of the LEAP programme</w:t>
        </w:r>
        <w:r w:rsidR="00124D74">
          <w:rPr>
            <w:noProof/>
            <w:webHidden/>
          </w:rPr>
          <w:tab/>
        </w:r>
        <w:r w:rsidR="00124D74">
          <w:rPr>
            <w:noProof/>
            <w:webHidden/>
          </w:rPr>
          <w:fldChar w:fldCharType="begin"/>
        </w:r>
        <w:r w:rsidR="00124D74">
          <w:rPr>
            <w:noProof/>
            <w:webHidden/>
          </w:rPr>
          <w:instrText xml:space="preserve"> PAGEREF _Toc171701581 \h </w:instrText>
        </w:r>
        <w:r w:rsidR="00124D74">
          <w:rPr>
            <w:noProof/>
            <w:webHidden/>
          </w:rPr>
        </w:r>
        <w:r w:rsidR="00124D74">
          <w:rPr>
            <w:noProof/>
            <w:webHidden/>
          </w:rPr>
          <w:fldChar w:fldCharType="separate"/>
        </w:r>
        <w:r w:rsidR="00986730">
          <w:rPr>
            <w:noProof/>
            <w:webHidden/>
          </w:rPr>
          <w:t>36</w:t>
        </w:r>
        <w:r w:rsidR="00124D74">
          <w:rPr>
            <w:noProof/>
            <w:webHidden/>
          </w:rPr>
          <w:fldChar w:fldCharType="end"/>
        </w:r>
      </w:hyperlink>
    </w:p>
    <w:p w14:paraId="692ABDE4" w14:textId="451CD0A7" w:rsidR="00124D74" w:rsidRDefault="00124D74" w:rsidP="00124D74">
      <w:pPr>
        <w:pStyle w:val="TableofFigures"/>
        <w:tabs>
          <w:tab w:val="right" w:leader="dot" w:pos="8296"/>
        </w:tabs>
        <w:spacing w:line="360" w:lineRule="auto"/>
        <w:ind w:left="0" w:firstLine="0"/>
        <w:rPr>
          <w:rFonts w:asciiTheme="minorHAnsi" w:eastAsiaTheme="minorEastAsia" w:hAnsiTheme="minorHAnsi" w:cstheme="minorBidi"/>
          <w:noProof/>
          <w:kern w:val="2"/>
          <w:sz w:val="22"/>
          <w:szCs w:val="22"/>
          <w:lang w:val="en-GH" w:eastAsia="en-GH"/>
          <w14:ligatures w14:val="standardContextual"/>
        </w:rPr>
      </w:pPr>
      <w:hyperlink w:anchor="_Toc171701582" w:history="1">
        <w:r w:rsidRPr="00261AA8">
          <w:rPr>
            <w:rStyle w:val="Hyperlink"/>
            <w:noProof/>
          </w:rPr>
          <w:t>Figure 2: Conceptual framework of the role of digital technology in enhancing LEAP for sustainable poverty reduction</w:t>
        </w:r>
        <w:r>
          <w:rPr>
            <w:noProof/>
            <w:webHidden/>
          </w:rPr>
          <w:tab/>
        </w:r>
        <w:r>
          <w:rPr>
            <w:noProof/>
            <w:webHidden/>
          </w:rPr>
          <w:fldChar w:fldCharType="begin"/>
        </w:r>
        <w:r>
          <w:rPr>
            <w:noProof/>
            <w:webHidden/>
          </w:rPr>
          <w:instrText xml:space="preserve"> PAGEREF _Toc171701582 \h </w:instrText>
        </w:r>
        <w:r>
          <w:rPr>
            <w:noProof/>
            <w:webHidden/>
          </w:rPr>
        </w:r>
        <w:r>
          <w:rPr>
            <w:noProof/>
            <w:webHidden/>
          </w:rPr>
          <w:fldChar w:fldCharType="separate"/>
        </w:r>
        <w:r w:rsidR="00986730">
          <w:rPr>
            <w:noProof/>
            <w:webHidden/>
          </w:rPr>
          <w:t>41</w:t>
        </w:r>
        <w:r>
          <w:rPr>
            <w:noProof/>
            <w:webHidden/>
          </w:rPr>
          <w:fldChar w:fldCharType="end"/>
        </w:r>
      </w:hyperlink>
    </w:p>
    <w:p w14:paraId="27C3C26D" w14:textId="51910E8B" w:rsidR="00124D74" w:rsidRDefault="00124D74" w:rsidP="00124D74">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hyperlink w:anchor="_Toc171701583" w:history="1">
        <w:r w:rsidRPr="00261AA8">
          <w:rPr>
            <w:rStyle w:val="Hyperlink"/>
            <w:noProof/>
          </w:rPr>
          <w:t>Figure 3: LEAP implementation Diagram</w:t>
        </w:r>
        <w:r>
          <w:rPr>
            <w:noProof/>
            <w:webHidden/>
          </w:rPr>
          <w:tab/>
        </w:r>
        <w:r>
          <w:rPr>
            <w:noProof/>
            <w:webHidden/>
          </w:rPr>
          <w:fldChar w:fldCharType="begin"/>
        </w:r>
        <w:r>
          <w:rPr>
            <w:noProof/>
            <w:webHidden/>
          </w:rPr>
          <w:instrText xml:space="preserve"> PAGEREF _Toc171701583 \h </w:instrText>
        </w:r>
        <w:r>
          <w:rPr>
            <w:noProof/>
            <w:webHidden/>
          </w:rPr>
        </w:r>
        <w:r>
          <w:rPr>
            <w:noProof/>
            <w:webHidden/>
          </w:rPr>
          <w:fldChar w:fldCharType="separate"/>
        </w:r>
        <w:r w:rsidR="00986730">
          <w:rPr>
            <w:noProof/>
            <w:webHidden/>
          </w:rPr>
          <w:t>45</w:t>
        </w:r>
        <w:r>
          <w:rPr>
            <w:noProof/>
            <w:webHidden/>
          </w:rPr>
          <w:fldChar w:fldCharType="end"/>
        </w:r>
      </w:hyperlink>
    </w:p>
    <w:p w14:paraId="1C0686F9" w14:textId="0AC5A485" w:rsidR="00124D74" w:rsidRDefault="00124D74" w:rsidP="00124D74">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hyperlink w:anchor="_Toc171701584" w:history="1">
        <w:r w:rsidRPr="00261AA8">
          <w:rPr>
            <w:rStyle w:val="Hyperlink"/>
            <w:noProof/>
          </w:rPr>
          <w:t>Figure 4: Map of study Area</w:t>
        </w:r>
        <w:r>
          <w:rPr>
            <w:noProof/>
            <w:webHidden/>
          </w:rPr>
          <w:tab/>
        </w:r>
        <w:r>
          <w:rPr>
            <w:noProof/>
            <w:webHidden/>
          </w:rPr>
          <w:fldChar w:fldCharType="begin"/>
        </w:r>
        <w:r>
          <w:rPr>
            <w:noProof/>
            <w:webHidden/>
          </w:rPr>
          <w:instrText xml:space="preserve"> PAGEREF _Toc171701584 \h </w:instrText>
        </w:r>
        <w:r>
          <w:rPr>
            <w:noProof/>
            <w:webHidden/>
          </w:rPr>
        </w:r>
        <w:r>
          <w:rPr>
            <w:noProof/>
            <w:webHidden/>
          </w:rPr>
          <w:fldChar w:fldCharType="separate"/>
        </w:r>
        <w:r w:rsidR="00986730">
          <w:rPr>
            <w:noProof/>
            <w:webHidden/>
          </w:rPr>
          <w:t>50</w:t>
        </w:r>
        <w:r>
          <w:rPr>
            <w:noProof/>
            <w:webHidden/>
          </w:rPr>
          <w:fldChar w:fldCharType="end"/>
        </w:r>
      </w:hyperlink>
    </w:p>
    <w:p w14:paraId="4174BAD9" w14:textId="0B1BE82D" w:rsidR="00124D74" w:rsidRDefault="00124D74" w:rsidP="00124D74">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hyperlink w:anchor="_Toc171701585" w:history="1">
        <w:r w:rsidRPr="00261AA8">
          <w:rPr>
            <w:rStyle w:val="Hyperlink"/>
            <w:noProof/>
          </w:rPr>
          <w:t>Figure 5: LEAP beneficiary e-zwitch card</w:t>
        </w:r>
        <w:r>
          <w:rPr>
            <w:noProof/>
            <w:webHidden/>
          </w:rPr>
          <w:tab/>
        </w:r>
        <w:r>
          <w:rPr>
            <w:noProof/>
            <w:webHidden/>
          </w:rPr>
          <w:fldChar w:fldCharType="begin"/>
        </w:r>
        <w:r>
          <w:rPr>
            <w:noProof/>
            <w:webHidden/>
          </w:rPr>
          <w:instrText xml:space="preserve"> PAGEREF _Toc171701585 \h </w:instrText>
        </w:r>
        <w:r>
          <w:rPr>
            <w:noProof/>
            <w:webHidden/>
          </w:rPr>
        </w:r>
        <w:r>
          <w:rPr>
            <w:noProof/>
            <w:webHidden/>
          </w:rPr>
          <w:fldChar w:fldCharType="separate"/>
        </w:r>
        <w:r w:rsidR="00986730">
          <w:rPr>
            <w:noProof/>
            <w:webHidden/>
          </w:rPr>
          <w:t>85</w:t>
        </w:r>
        <w:r>
          <w:rPr>
            <w:noProof/>
            <w:webHidden/>
          </w:rPr>
          <w:fldChar w:fldCharType="end"/>
        </w:r>
      </w:hyperlink>
    </w:p>
    <w:p w14:paraId="3631001B" w14:textId="4224C371" w:rsidR="00124D74" w:rsidRDefault="00124D74" w:rsidP="00124D74">
      <w:pPr>
        <w:pStyle w:val="TableofFigures"/>
        <w:tabs>
          <w:tab w:val="right" w:leader="dot" w:pos="8296"/>
        </w:tabs>
        <w:spacing w:line="360" w:lineRule="auto"/>
        <w:rPr>
          <w:rFonts w:asciiTheme="minorHAnsi" w:eastAsiaTheme="minorEastAsia" w:hAnsiTheme="minorHAnsi" w:cstheme="minorBidi"/>
          <w:noProof/>
          <w:kern w:val="2"/>
          <w:sz w:val="22"/>
          <w:szCs w:val="22"/>
          <w:lang w:val="en-GH" w:eastAsia="en-GH"/>
          <w14:ligatures w14:val="standardContextual"/>
        </w:rPr>
      </w:pPr>
      <w:hyperlink w:anchor="_Toc171701586" w:history="1">
        <w:r w:rsidRPr="00261AA8">
          <w:rPr>
            <w:rStyle w:val="Hyperlink"/>
            <w:noProof/>
          </w:rPr>
          <w:t>Figure 6: Biometric Verification machine</w:t>
        </w:r>
        <w:r>
          <w:rPr>
            <w:noProof/>
            <w:webHidden/>
          </w:rPr>
          <w:tab/>
        </w:r>
        <w:r>
          <w:rPr>
            <w:noProof/>
            <w:webHidden/>
          </w:rPr>
          <w:fldChar w:fldCharType="begin"/>
        </w:r>
        <w:r>
          <w:rPr>
            <w:noProof/>
            <w:webHidden/>
          </w:rPr>
          <w:instrText xml:space="preserve"> PAGEREF _Toc171701586 \h </w:instrText>
        </w:r>
        <w:r>
          <w:rPr>
            <w:noProof/>
            <w:webHidden/>
          </w:rPr>
        </w:r>
        <w:r>
          <w:rPr>
            <w:noProof/>
            <w:webHidden/>
          </w:rPr>
          <w:fldChar w:fldCharType="separate"/>
        </w:r>
        <w:r w:rsidR="00986730">
          <w:rPr>
            <w:noProof/>
            <w:webHidden/>
          </w:rPr>
          <w:t>86</w:t>
        </w:r>
        <w:r>
          <w:rPr>
            <w:noProof/>
            <w:webHidden/>
          </w:rPr>
          <w:fldChar w:fldCharType="end"/>
        </w:r>
      </w:hyperlink>
    </w:p>
    <w:p w14:paraId="57694669" w14:textId="10DDED85" w:rsidR="0008415E" w:rsidRDefault="00371F7B" w:rsidP="00371F7B">
      <w:pPr>
        <w:rPr>
          <w:rFonts w:cs="Times New Roman"/>
          <w:szCs w:val="24"/>
        </w:rPr>
      </w:pPr>
      <w:r>
        <w:rPr>
          <w:rFonts w:cs="Times New Roman"/>
          <w:smallCaps/>
          <w:szCs w:val="24"/>
        </w:rPr>
        <w:fldChar w:fldCharType="end"/>
      </w:r>
    </w:p>
    <w:p w14:paraId="49ED1067" w14:textId="77777777" w:rsidR="00480294" w:rsidRDefault="00480294">
      <w:pPr>
        <w:tabs>
          <w:tab w:val="left" w:pos="1010"/>
        </w:tabs>
        <w:rPr>
          <w:rFonts w:cs="Times New Roman"/>
          <w:szCs w:val="24"/>
        </w:rPr>
      </w:pPr>
    </w:p>
    <w:p w14:paraId="40237719" w14:textId="77777777" w:rsidR="00480294" w:rsidRDefault="00480294">
      <w:pPr>
        <w:tabs>
          <w:tab w:val="left" w:pos="1010"/>
        </w:tabs>
        <w:rPr>
          <w:rFonts w:cs="Times New Roman"/>
          <w:szCs w:val="24"/>
        </w:rPr>
      </w:pPr>
    </w:p>
    <w:p w14:paraId="5B506308" w14:textId="77777777" w:rsidR="00480294" w:rsidRDefault="00480294">
      <w:pPr>
        <w:tabs>
          <w:tab w:val="left" w:pos="1010"/>
        </w:tabs>
        <w:rPr>
          <w:rFonts w:cs="Times New Roman"/>
          <w:szCs w:val="24"/>
        </w:rPr>
      </w:pPr>
    </w:p>
    <w:p w14:paraId="07BEA98A" w14:textId="77777777" w:rsidR="00480294" w:rsidRDefault="00480294">
      <w:pPr>
        <w:tabs>
          <w:tab w:val="left" w:pos="1010"/>
        </w:tabs>
        <w:rPr>
          <w:rFonts w:cs="Times New Roman"/>
          <w:szCs w:val="24"/>
        </w:rPr>
      </w:pPr>
    </w:p>
    <w:p w14:paraId="117D84D7" w14:textId="77777777" w:rsidR="00480294" w:rsidRDefault="00480294">
      <w:pPr>
        <w:tabs>
          <w:tab w:val="left" w:pos="1010"/>
        </w:tabs>
        <w:rPr>
          <w:rFonts w:cs="Times New Roman"/>
          <w:szCs w:val="24"/>
        </w:rPr>
      </w:pPr>
    </w:p>
    <w:p w14:paraId="2A5D8DC5" w14:textId="77777777" w:rsidR="00480294" w:rsidRDefault="00480294">
      <w:pPr>
        <w:tabs>
          <w:tab w:val="left" w:pos="1010"/>
        </w:tabs>
        <w:rPr>
          <w:rFonts w:cs="Times New Roman"/>
          <w:szCs w:val="24"/>
        </w:rPr>
      </w:pPr>
    </w:p>
    <w:p w14:paraId="3E48A612" w14:textId="77777777" w:rsidR="00480294" w:rsidRDefault="00480294">
      <w:pPr>
        <w:tabs>
          <w:tab w:val="left" w:pos="1010"/>
        </w:tabs>
        <w:rPr>
          <w:rFonts w:cs="Times New Roman"/>
          <w:szCs w:val="24"/>
        </w:rPr>
      </w:pPr>
    </w:p>
    <w:p w14:paraId="0E05B2BE" w14:textId="77777777" w:rsidR="00480294" w:rsidRDefault="00480294">
      <w:pPr>
        <w:tabs>
          <w:tab w:val="left" w:pos="1010"/>
        </w:tabs>
        <w:rPr>
          <w:rFonts w:cs="Times New Roman"/>
          <w:szCs w:val="24"/>
        </w:rPr>
      </w:pPr>
    </w:p>
    <w:p w14:paraId="0A7CE0D1" w14:textId="77777777" w:rsidR="00480294" w:rsidRDefault="00480294">
      <w:pPr>
        <w:tabs>
          <w:tab w:val="left" w:pos="1010"/>
        </w:tabs>
        <w:rPr>
          <w:rFonts w:cs="Times New Roman"/>
          <w:szCs w:val="24"/>
        </w:rPr>
      </w:pPr>
    </w:p>
    <w:p w14:paraId="11DFA12C" w14:textId="77777777" w:rsidR="00480294" w:rsidRDefault="00480294">
      <w:pPr>
        <w:tabs>
          <w:tab w:val="left" w:pos="1010"/>
        </w:tabs>
        <w:rPr>
          <w:rFonts w:cs="Times New Roman"/>
          <w:szCs w:val="24"/>
        </w:rPr>
      </w:pPr>
    </w:p>
    <w:p w14:paraId="6306F3E4" w14:textId="77777777" w:rsidR="00480294" w:rsidRDefault="00480294">
      <w:pPr>
        <w:tabs>
          <w:tab w:val="left" w:pos="1010"/>
        </w:tabs>
        <w:rPr>
          <w:rFonts w:cs="Times New Roman"/>
          <w:szCs w:val="24"/>
        </w:rPr>
      </w:pPr>
    </w:p>
    <w:p w14:paraId="389FCEC1" w14:textId="77777777" w:rsidR="00480294" w:rsidRDefault="00480294">
      <w:pPr>
        <w:tabs>
          <w:tab w:val="left" w:pos="1010"/>
        </w:tabs>
        <w:rPr>
          <w:rFonts w:cs="Times New Roman"/>
          <w:szCs w:val="24"/>
        </w:rPr>
      </w:pPr>
    </w:p>
    <w:p w14:paraId="56698819" w14:textId="77777777" w:rsidR="00480294" w:rsidRDefault="00480294">
      <w:pPr>
        <w:tabs>
          <w:tab w:val="left" w:pos="1010"/>
        </w:tabs>
        <w:rPr>
          <w:rFonts w:cs="Times New Roman"/>
          <w:szCs w:val="24"/>
        </w:rPr>
      </w:pPr>
    </w:p>
    <w:p w14:paraId="37941092" w14:textId="77777777" w:rsidR="00480294" w:rsidRDefault="00480294">
      <w:pPr>
        <w:tabs>
          <w:tab w:val="left" w:pos="1010"/>
        </w:tabs>
        <w:rPr>
          <w:rFonts w:cs="Times New Roman"/>
          <w:szCs w:val="24"/>
        </w:rPr>
      </w:pPr>
    </w:p>
    <w:p w14:paraId="100E1193" w14:textId="77777777" w:rsidR="00480294" w:rsidRDefault="00480294">
      <w:pPr>
        <w:tabs>
          <w:tab w:val="left" w:pos="1010"/>
        </w:tabs>
        <w:rPr>
          <w:rFonts w:cs="Times New Roman"/>
          <w:szCs w:val="24"/>
        </w:rPr>
      </w:pPr>
    </w:p>
    <w:p w14:paraId="25F72BE0" w14:textId="77777777" w:rsidR="00480294" w:rsidRDefault="00480294">
      <w:pPr>
        <w:tabs>
          <w:tab w:val="left" w:pos="1010"/>
        </w:tabs>
        <w:rPr>
          <w:rFonts w:cs="Times New Roman"/>
          <w:szCs w:val="24"/>
        </w:rPr>
      </w:pPr>
    </w:p>
    <w:p w14:paraId="658D2792" w14:textId="77777777" w:rsidR="00480294" w:rsidRDefault="00480294">
      <w:pPr>
        <w:tabs>
          <w:tab w:val="left" w:pos="1010"/>
        </w:tabs>
        <w:rPr>
          <w:rFonts w:cs="Times New Roman"/>
          <w:szCs w:val="24"/>
        </w:rPr>
      </w:pPr>
    </w:p>
    <w:p w14:paraId="3F305A80" w14:textId="77777777" w:rsidR="00480294" w:rsidRDefault="00480294">
      <w:pPr>
        <w:tabs>
          <w:tab w:val="left" w:pos="1010"/>
        </w:tabs>
        <w:rPr>
          <w:rFonts w:cs="Times New Roman"/>
          <w:szCs w:val="24"/>
        </w:rPr>
      </w:pPr>
    </w:p>
    <w:p w14:paraId="3E7FEDDE" w14:textId="77777777" w:rsidR="00480294" w:rsidRDefault="00480294">
      <w:pPr>
        <w:tabs>
          <w:tab w:val="left" w:pos="1010"/>
        </w:tabs>
        <w:rPr>
          <w:rFonts w:cs="Times New Roman"/>
          <w:szCs w:val="24"/>
        </w:rPr>
      </w:pPr>
    </w:p>
    <w:p w14:paraId="385924CB" w14:textId="77777777" w:rsidR="00480294" w:rsidRDefault="00480294">
      <w:pPr>
        <w:tabs>
          <w:tab w:val="left" w:pos="1010"/>
        </w:tabs>
        <w:rPr>
          <w:rFonts w:cs="Times New Roman"/>
          <w:szCs w:val="24"/>
        </w:rPr>
      </w:pPr>
    </w:p>
    <w:p w14:paraId="1BA49712" w14:textId="77777777" w:rsidR="00480294" w:rsidRDefault="00480294">
      <w:pPr>
        <w:tabs>
          <w:tab w:val="left" w:pos="1010"/>
        </w:tabs>
        <w:rPr>
          <w:rFonts w:cs="Times New Roman"/>
          <w:szCs w:val="24"/>
        </w:rPr>
      </w:pPr>
    </w:p>
    <w:p w14:paraId="401995C6" w14:textId="77777777" w:rsidR="00371F7B" w:rsidRDefault="00371F7B">
      <w:pPr>
        <w:tabs>
          <w:tab w:val="left" w:pos="1010"/>
        </w:tabs>
        <w:rPr>
          <w:rFonts w:cs="Times New Roman"/>
          <w:szCs w:val="24"/>
        </w:rPr>
        <w:sectPr w:rsidR="00371F7B" w:rsidSect="00252F71">
          <w:footerReference w:type="even" r:id="rId11"/>
          <w:footerReference w:type="default" r:id="rId12"/>
          <w:footerReference w:type="first" r:id="rId13"/>
          <w:pgSz w:w="11906" w:h="16838" w:code="9"/>
          <w:pgMar w:top="1440" w:right="1440" w:bottom="1440" w:left="2160" w:header="0" w:footer="720" w:gutter="0"/>
          <w:pgNumType w:fmt="lowerRoman" w:start="1"/>
          <w:cols w:space="720"/>
          <w:formProt w:val="0"/>
          <w:docGrid w:linePitch="360"/>
        </w:sectPr>
      </w:pPr>
    </w:p>
    <w:p w14:paraId="7CBF0315" w14:textId="77777777" w:rsidR="0008415E" w:rsidRDefault="00000000" w:rsidP="00371F7B">
      <w:pPr>
        <w:pStyle w:val="Heading1"/>
        <w:spacing w:before="0"/>
      </w:pPr>
      <w:bookmarkStart w:id="10" w:name="_Toc171703192"/>
      <w:r w:rsidRPr="00446A7C">
        <w:lastRenderedPageBreak/>
        <w:t>CHAPTER ONE</w:t>
      </w:r>
      <w:bookmarkEnd w:id="10"/>
    </w:p>
    <w:p w14:paraId="316B8542" w14:textId="77777777" w:rsidR="00480294" w:rsidRPr="00480294" w:rsidRDefault="00480294" w:rsidP="00252F71">
      <w:pPr>
        <w:pStyle w:val="NoSpacing"/>
      </w:pPr>
    </w:p>
    <w:p w14:paraId="46E62DC5" w14:textId="77777777" w:rsidR="0008415E" w:rsidRPr="00446A7C" w:rsidRDefault="00000000">
      <w:pPr>
        <w:pStyle w:val="Heading1"/>
      </w:pPr>
      <w:bookmarkStart w:id="11" w:name="_Toc171703193"/>
      <w:r w:rsidRPr="00446A7C">
        <w:t>GENERAL INTRODUCTION</w:t>
      </w:r>
      <w:bookmarkEnd w:id="11"/>
    </w:p>
    <w:p w14:paraId="0776C333" w14:textId="77777777" w:rsidR="0008415E" w:rsidRPr="00446A7C" w:rsidRDefault="00000000">
      <w:pPr>
        <w:pStyle w:val="Heading2"/>
        <w:rPr>
          <w:rFonts w:cs="Times New Roman"/>
          <w:szCs w:val="24"/>
        </w:rPr>
      </w:pPr>
      <w:bookmarkStart w:id="12" w:name="_Toc171703194"/>
      <w:r w:rsidRPr="00446A7C">
        <w:rPr>
          <w:rFonts w:cs="Times New Roman"/>
          <w:szCs w:val="24"/>
        </w:rPr>
        <w:t>1.1 Background to the Studies</w:t>
      </w:r>
      <w:bookmarkEnd w:id="12"/>
    </w:p>
    <w:p w14:paraId="722B2CD4"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Globally, poverty and vulnerability continue to pose critical challenge to the development of human society </w:t>
      </w:r>
      <w:r w:rsidRPr="00446A7C">
        <w:rPr>
          <w:rFonts w:cs="Times New Roman"/>
          <w:szCs w:val="24"/>
        </w:rPr>
        <w:fldChar w:fldCharType="begin"/>
      </w:r>
      <w:r w:rsidRPr="00446A7C">
        <w:rPr>
          <w:rFonts w:cs="Times New Roman"/>
          <w:szCs w:val="24"/>
        </w:rPr>
        <w:instrText>ADDIN CSL_CITATION {"citationItems":[{"id":"ITEM-1","itemData":{"DOI":"10.1016/j.jrurstud.2019.01.008","ISSN":"07430167","abstract":"Geography of poverty (GOP) or poverty geography is a branch of human geography, which studies the geographical patterns, distribution characteristics, areal types and evolution mechanism of poverty and the relationship with geographical environment as well as antipoverty measures. Based on the systematical analysis on the significance of GOP research, this study firstly put forward the impoverished areal system (IAS), and then elaborated the main contents, research progresses and existing problems in GOP research, and finally proposed the possible key areas in the future. Results show that the IAS is an open system with structure and function and has its life-cycle law, which is composed of natural endowments, location conditions, human capital and geographical capital within a certain geographical area. The subsystem of human, land and industry is the core of the IAS. Poverty geography studies both regional (place) poverty and individual (people) poverty. Regional poverty is an external manifestation of the coupling maladjustment of human, land and industry elements in a particular area. There are 5W + H (What, Where, Why, When, Who and How) models in GOP research. Key areas of future GOP research include: 1) IAS's life cycle evolution law; 2) regional multidimensional poverty measurement; 3) geographical identification of poverty and its areal type; 4) dynamic simulation of impoverished and its mechanism; 5) poverty mapping; 6) antipoverty measure; and 7) poverty reduction effectiveness evaluation. Facing the UN's goal of eradicating poverty by 2030, poverty geography research in the new period should focus on the complexity, spatial heterogeneity and mechanism of poverty, and designs anti-poverty paths and models suitable for different countries. To adapt to the trend of globalization and informationization, poverty geographers should make use of modern technologies such as data platform, cloud computing, remote sensing and artificial intelligence to focus on the spatio-temporal pattern of poverty and its driving mechanism as well as antipoverty path, and to solve the global poverty problem and promote the internationalization, basification and engineering of geography.","author":[{"dropping-particle":"","family":"Zhou","given":"Yang","non-dropping-particle":"","parse-names":false,"suffix":""},{"dropping-particle":"","family":"Liu","given":"Yansui","non-dropping-particle":"","parse-names":false,"suffix":""}],"container-title":"Journal of Rural Studies","id":"ITEM-1","issue":"April 2018","issued":{"date-parts":[["2022"]]},"page":"408-416","title":"The geography of poverty: Review and research prospects","type":"article-journal","volume":"93"},"uris":["http://www.mendeley.com/documents/?uuid=81269d5d-c37a-41ef-9962-61abae105de3"]},{"id":"ITEM-2","itemData":{"author":[{"dropping-particle":"","family":"Adjei","given":"Prince Osei-wusu","non-dropping-particle":"","parse-names":false,"suffix":""},{"dropping-particle":"","family":"Aboagye","given":"Dacosta","non-dropping-particle":"","parse-names":false,"suffix":""},{"dropping-particle":"","family":"Yeboah","given":"Thomas","non-dropping-particle":"","parse-names":false,"suffix":""}],"container-title":"Educational Research","id":"ITEM-2","issue":"May","issued":{"date-parts":[["2012"]]},"page":"436-446","title":"Extreme poverty and vulnerability experiences on urban highways in Ghana : assessing social protection policy responses","type":"article-journal","volume":"3"},"uris":["http://www.mendeley.com/documents/?uuid=81536b4b-43d4-4853-8686-6e93ef092593"]},{"id":"ITEM-3","itemData":{"ISBN":"9789811306761","author":[{"dropping-particle":"","family":"Mehta","given":"Aasha Kapur","non-dropping-particle":"","parse-names":false,"suffix":""},{"dropping-particle":"","family":"Bhide","given":"Shashanka","non-dropping-particle":"","parse-names":false,"suffix":""},{"dropping-particle":"","family":"Kumar","given":"Anand","non-dropping-particle":"","parse-names":false,"suffix":""},{"dropping-particle":"","family":"Shah","given":"Amita","non-dropping-particle":"","parse-names":false,"suffix":""}],"editor":[{"dropping-particle":"","family":"Aasha KAPUR Mehta indian institute of public administration","given":"","non-dropping-particle":"","parse-names":false,"suffix":""},{"dropping-particle":"","family":"Study","given":"Anand Kumar indian institute of advanced","non-dropping-particle":"","parse-names":false,"suffix":""},{"dropping-particle":"","family":"Studies","given":"Shashanka Bhide Madra institute of development","non-dropping-particle":"","parse-names":false,"suffix":""},{"dropping-particle":"","family":"Amita Shah","given":"center ffor development alternatives","non-dropping-particle":"","parse-names":false,"suffix":""}],"id":"ITEM-3","issued":{"date-parts":[["2018"]]},"title":"Poverty , Chronic Poverty and Poverty","type":"book"},"uris":["http://www.mendeley.com/documents/?uuid=7c029e05-600a-44ce-9b82-26725fc754cb"]}],"mendeley":{"formattedCitation":"(Adjei et al., 2012; Mehta et al., 2018; Zhou &amp; Liu, 2022)","manualFormatting":"(Adjei et al., 2012; Mehta et al., 2018; ","plainTextFormattedCitation":"(Adjei et al., 2012; Mehta et al., 2018; Zhou &amp; Liu, 2022)","previouslyFormattedCitation":"(Adjei et al., 2012; Mehta et al., 2018; Zhou &amp; Liu, 2022)"},"properties":{"noteIndex":0},"schema":"https://github.com/citation-style-language/schema/raw/master/csl-citation.json"}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 xml:space="preserve">( Mehta et al., 2018; </w:t>
      </w:r>
      <w:r w:rsidRPr="00446A7C">
        <w:rPr>
          <w:rFonts w:cs="Times New Roman"/>
          <w:szCs w:val="24"/>
        </w:rPr>
        <w:fldChar w:fldCharType="end"/>
      </w:r>
      <w:r w:rsidRPr="00446A7C">
        <w:rPr>
          <w:rFonts w:cs="Times New Roman"/>
          <w:szCs w:val="24"/>
        </w:rPr>
        <w:fldChar w:fldCharType="begin"/>
      </w:r>
      <w:r w:rsidRPr="00446A7C">
        <w:rPr>
          <w:rFonts w:cs="Times New Roman"/>
          <w:szCs w:val="24"/>
        </w:rPr>
        <w:instrText>ADDIN CSL_CITATION {"citationItems":[{"id":"ITEM-1","itemData":{"DOI":"10.1016/j.jrurstud.2019.01.008","ISSN":"07430167","abstract":"Geography of poverty (GOP) or poverty geography is a branch of human geography, which studies the geographical patterns, distribution characteristics, areal types and evolution mechanism of poverty and the relationship with geographical environment as well as antipoverty measures. Based on the systematical analysis on the significance of GOP research, this study firstly put forward the impoverished areal system (IAS), and then elaborated the main contents, research progresses and existing problems in GOP research, and finally proposed the possible key areas in the future. Results show that the IAS is an open system with structure and function and has its life-cycle law, which is composed of natural endowments, location conditions, human capital and geographical capital within a certain geographical area. The subsystem of human, land and industry is the core of the IAS. Poverty geography studies both regional (place) poverty and individual (people) poverty. Regional poverty is an external manifestation of the coupling maladjustment of human, land and industry elements in a particular area. There are 5W + H (What, Where, Why, When, Who and How) models in GOP research. Key areas of future GOP research include: 1) IAS's life cycle evolution law; 2) regional multidimensional poverty measurement; 3) geographical identification of poverty and its areal type; 4) dynamic simulation of impoverished and its mechanism; 5) poverty mapping; 6) antipoverty measure; and 7) poverty reduction effectiveness evaluation. Facing the UN's goal of eradicating poverty by 2030, poverty geography research in the new period should focus on the complexity, spatial heterogeneity and mechanism of poverty, and designs anti-poverty paths and models suitable for different countries. To adapt to the trend of globalization and informationization, poverty geographers should make use of modern technologies such as data platform, cloud computing, remote sensing and artificial intelligence to focus on the spatio-temporal pattern of poverty and its driving mechanism as well as antipoverty path, and to solve the global poverty problem and promote the internationalization, basification and engineering of geography.","author":[{"dropping-particle":"","family":"Zhou","given":"Yang","non-dropping-particle":"","parse-names":false,"suffix":""},{"dropping-particle":"","family":"Liu","given":"Yansui","non-dropping-particle":"","parse-names":false,"suffix":""}],"container-title":"Journal of Rural Studies","id":"ITEM-1","issue":"April 2018","issued":{"date-parts":[["2022"]]},"page":"408-416","title":"The geography of poverty: Review and research prospects","type":"article-journal","volume":"93"},"uris":["http://www.mendeley.com/documents/?uuid=81269d5d-c37a-41ef-9962-61abae105de3"]}],"mendeley":{"formattedCitation":"(Zhou &amp; Liu, 2022)","manualFormatting":"Zhou &amp; Liu, 2022)","plainTextFormattedCitation":"(Zhou &amp; Liu, 2022)","previouslyFormattedCitation":"(Zhou &amp; Liu, 2022)"},"properties":{"noteIndex":0},"schema":"https://github.com/citation-style-language/schema/raw/master/csl-citation.json"}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Zhou &amp; Liu, 2022)</w:t>
      </w:r>
      <w:r w:rsidRPr="00446A7C">
        <w:rPr>
          <w:rFonts w:cs="Times New Roman"/>
          <w:szCs w:val="24"/>
        </w:rPr>
        <w:fldChar w:fldCharType="end"/>
      </w:r>
      <w:r w:rsidRPr="00446A7C">
        <w:rPr>
          <w:rFonts w:cs="Times New Roman"/>
          <w:szCs w:val="24"/>
        </w:rPr>
        <w:t>. This is vividly manifested in the inability of some people to obtain basic necessities such as food, healthcare, and education. Owing to this, efforts have been made at the global level to reduce poverty (</w:t>
      </w:r>
      <w:bookmarkStart w:id="13" w:name="_Hlk152194414"/>
      <w:r w:rsidRPr="00446A7C">
        <w:rPr>
          <w:rFonts w:cs="Times New Roman"/>
          <w:szCs w:val="24"/>
        </w:rPr>
        <w:t>UN, 2015; UNDP</w:t>
      </w:r>
      <w:bookmarkEnd w:id="13"/>
      <w:r w:rsidRPr="00446A7C">
        <w:rPr>
          <w:rFonts w:cs="Times New Roman"/>
          <w:szCs w:val="24"/>
        </w:rPr>
        <w:t>, 2015; Debrah, 2013; Sheng-gen&amp;Cho, 2021). This is evident in the Sustainable Development Agenda 2030. Poverty and marginalization are central to the Sustainable Development Goals (SDGs), cutting across almost all the SDGs, highlighting the need to end vulnerability in all its forms and specialities, including ending hunger by improving food security, healthy lives, fostering inclusion and equality in access to education, sanitation and water as well as access to reliable energy (UNDP, 2015).</w:t>
      </w:r>
    </w:p>
    <w:p w14:paraId="7D63AEC8" w14:textId="77777777" w:rsidR="0008415E" w:rsidRPr="00446A7C" w:rsidRDefault="0008415E" w:rsidP="00371F7B">
      <w:pPr>
        <w:pStyle w:val="NoSpacing"/>
      </w:pPr>
    </w:p>
    <w:p w14:paraId="743532E7" w14:textId="77777777" w:rsidR="0008415E" w:rsidRDefault="00000000">
      <w:pPr>
        <w:spacing w:line="480" w:lineRule="auto"/>
        <w:ind w:firstLine="0"/>
        <w:contextualSpacing/>
        <w:jc w:val="both"/>
        <w:rPr>
          <w:rFonts w:cs="Times New Roman"/>
          <w:szCs w:val="24"/>
        </w:rPr>
      </w:pPr>
      <w:r w:rsidRPr="00446A7C">
        <w:rPr>
          <w:rFonts w:cs="Times New Roman"/>
          <w:szCs w:val="24"/>
        </w:rPr>
        <w:t xml:space="preserve">In light of this, varied international development organizations including the United Nations Development Programme (UNDP), the United Nations International Children Emergency Fund (UNICEF), the World Food Programme, World Bank, as well as government and non-governmental organizations have acknowledged the criticality and persistence of poverty especially in the global South, therefore making efforts towards minimizing the incidence of poverty and marginalization (Barder, 2009; Debrah, 2013; Sheng-gen&amp;Cho, 2021).  Also, at the regional levels fostering inclusive growth through social and economic development forms part of the priorities of the African Development Agenda 2063 of the African Union's (AU). The </w:t>
      </w:r>
      <w:r w:rsidRPr="00446A7C">
        <w:rPr>
          <w:rFonts w:cs="Times New Roman"/>
          <w:szCs w:val="24"/>
        </w:rPr>
        <w:lastRenderedPageBreak/>
        <w:t xml:space="preserve">Agenda emphasizes a need for structural transformation of the African continent, underscoring on the eradication of poverty in Africa </w:t>
      </w:r>
      <w:r w:rsidRPr="00446A7C">
        <w:rPr>
          <w:rFonts w:cs="Times New Roman"/>
          <w:szCs w:val="24"/>
        </w:rPr>
        <w:fldChar w:fldCharType="begin"/>
      </w:r>
      <w:r w:rsidRPr="00446A7C">
        <w:rPr>
          <w:rFonts w:cs="Times New Roman"/>
          <w:szCs w:val="24"/>
        </w:rPr>
        <w:instrText>ADDIN CSL_CITATION {"citationItems":[{"id":"ITEM-1","itemData":{"DOI":"10.1007/978-3-319-53703-0","ISBN":"9783319537030","author":[{"dropping-particle":"","family":"Addaney","given":"Michael","non-dropping-particle":"","parse-names":false,"suffix":""}],"id":"ITEM-1","issue":"July","issued":{"date-parts":[["2017"]]},"title":"The African Union ’ s Agenda 2063 : Education and Its Realization The African Union ’ s Agenda 2063 : Education and Its Realization","type":"article-journal"},"uris":["http://www.mendeley.com/documents/?uuid=64532d91-c44a-4f1c-9b1b-dca75a2a3a28"]}],"mendeley":{"formattedCitation":"(Addaney, 2017)","manualFormatting":"(Addaney, 2017","plainTextFormattedCitation":"(Addaney, 2017)","previouslyFormattedCitation":"(Addaney, 2017)"},"properties":{"noteIndex":0},"schema":"https://github.com/citation-style-language/schema/raw/master/csl-citation.json"}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(Addaney, 2017</w:t>
      </w:r>
      <w:r w:rsidRPr="00446A7C">
        <w:rPr>
          <w:rFonts w:cs="Times New Roman"/>
          <w:szCs w:val="24"/>
        </w:rPr>
        <w:fldChar w:fldCharType="end"/>
      </w:r>
      <w:r w:rsidRPr="00446A7C">
        <w:rPr>
          <w:rFonts w:cs="Times New Roman"/>
          <w:szCs w:val="24"/>
        </w:rPr>
        <w:t>;</w:t>
      </w:r>
      <w:r w:rsidRPr="00446A7C">
        <w:rPr>
          <w:rFonts w:cs="Times New Roman"/>
          <w:szCs w:val="24"/>
        </w:rPr>
        <w:fldChar w:fldCharType="begin"/>
      </w:r>
      <w:r w:rsidRPr="00446A7C">
        <w:rPr>
          <w:rFonts w:cs="Times New Roman"/>
          <w:szCs w:val="24"/>
        </w:rPr>
        <w:instrText>ADDIN CSL_CITATION {"citationItems":[{"id":"ITEM-1","itemData":{"DOI":"10.1007/978-3-319-53703-0","ISBN":"9783319537030","author":[{"dropping-particle":"","family":"Addaney","given":"Michael","non-dropping-particle":"","parse-names":false,"suffix":""}],"id":"ITEM-1","issue":"July","issued":{"date-parts":[["2017"]]},"title":"The African Union ’ s Agenda 2063 : Education and Its Realization The African Union ’ s Agenda 2063 : Education and Its Realization","type":"article-journal"},"uris":["http://www.mendeley.com/documents/?uuid=64532d91-c44a-4f1c-9b1b-dca75a2a3a28","http://www.mendeley.com/documents/?uuid=f0117bb9-1913-43e3-aefd-f27ad7e7d120","http://www.mendeley.com/documents/?uuid=0e0325e7-fe6a-4376-be43-11e6bc22af19","http://www.mendeley.com/documents/?uuid=c126a848-999d-4bbf-ae7f-eb3ec804428e"]},{"id":"ITEM-2","itemData":{"author":[{"dropping-particle":"","family":"African Union","given":"","non-dropping-particle":"","parse-names":false,"suffix":""}],"id":"ITEM-2","issued":{"date-parts":[["2015"]]},"page":"1 - 20","title":"Agenda 2063: The Africa we want - Background Note","type":"article-journal"},"uris":["http://www.mendeley.com/documents/?uuid=4e6f4f75-274a-48bc-bc70-3bea58d43cbd","http://www.mendeley.com/documents/?uuid=47ae8057-9aae-40c4-b8ba-87454cad9738","http://www.mendeley.com/documents/?uuid=a263ba87-f350-4115-a844-e37b2c3f090d","http://www.mendeley.com/documents/?uuid=efce18b4-ebed-40d5-8c0b-24d178e17f03"]}],"mendeley":{"formattedCitation":"(Addaney, 2017; African Union, 2015)","manualFormatting":" AU, 2015)","plainTextFormattedCitation":"(Addaney, 2017; African Union, 2015)","previouslyFormattedCitation":"(Addaney, 2017; African Union, 2015)"},"properties":{"noteIndex":0},"schema":"https://github.com/citation-style-language/schema/raw/master/csl-citation.json"}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 xml:space="preserve"> AU, 2015)</w:t>
      </w:r>
      <w:r w:rsidRPr="00446A7C">
        <w:rPr>
          <w:rFonts w:cs="Times New Roman"/>
          <w:szCs w:val="24"/>
        </w:rPr>
        <w:fldChar w:fldCharType="end"/>
      </w:r>
      <w:r w:rsidRPr="00446A7C">
        <w:rPr>
          <w:rFonts w:cs="Times New Roman"/>
          <w:szCs w:val="24"/>
        </w:rPr>
        <w:t xml:space="preserve">. </w:t>
      </w:r>
    </w:p>
    <w:p w14:paraId="63286BE2" w14:textId="77777777" w:rsidR="00480294" w:rsidRPr="00446A7C" w:rsidRDefault="00480294" w:rsidP="00371F7B">
      <w:pPr>
        <w:pStyle w:val="NoSpacing"/>
      </w:pPr>
    </w:p>
    <w:p w14:paraId="5C2FF9A6"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In pursuit of the aforementioned agendas, social protection programmes and policies across countries are encouraged by governments and international organisations to contribute to the national and global development agenda on curbing poverty. Social protection measures have evolved as a key policy response to solving social exclusion and ensuring long-term poverty reduction </w:t>
      </w:r>
      <w:r w:rsidRPr="00446A7C">
        <w:rPr>
          <w:rFonts w:cs="Times New Roman"/>
          <w:szCs w:val="24"/>
        </w:rPr>
        <w:fldChar w:fldCharType="begin"/>
      </w:r>
      <w:r w:rsidRPr="00446A7C">
        <w:rPr>
          <w:rFonts w:cs="Times New Roman"/>
          <w:szCs w:val="24"/>
        </w:rPr>
        <w:instrText>ADDIN CSL_CITATION {"citationItems":[{"id":"ITEM-1","itemData":{"abstract":"Cash transfer program has been identified by most developing countries as an important component of social protection however; the program has experienced challenges in the implementation process. This study aimed at establishing the relationship between technology and performance of cash transfer program in Nairobi County-Kenya with an intention of helping the Government of Kenya and other stakeholders involved in the implementation of the cash transfer program to establish policies and framework geared towards social protection rights. The study was grounded on two theories namely, general systems theory, and the McKinsey 7s model. Descriptive research design was used on a target population size of 102 respondents: that is, 9 sub-county children officers, 34 nominees of both the Member of Parliament and the county woman representative, and 592 complainants. Purposive sampling technique was applied in sampling sub county children officers and the nominees of both the Member of Parliament and the county woman representative, while, simple random sampling was used on complainants. The overall sample size was 102 respondents. Data was collected using questionnaires whose reliability was tested using Cronbach alpha test. Experts' opinion was sought in addressing validity of the instruments. Data was analyzed using SPSS version 22. A simple linear regression model was established in order to determine how technology influenced the performance of the cash transfer programme. The study revealed that technology has a positive and statistically significant relationship with the performance of the cash transfer programme. The results further revealed that performance of the cash transfer programme in Nairobi County can be explained by 40.5% of technology. The study recommends that organizations should continuously adopt new technologies to improve performance in the implementation process of their programmes to ensure that their objectives and goals are efficiently and effectively achieved.","author":[{"dropping-particle":"","family":"Njoroge","given":"Beth","non-dropping-particle":"","parse-names":false,"suffix":""},{"dropping-particle":"","family":"Kihara","given":"Peter","non-dropping-particle":"","parse-names":false,"suffix":""},{"dropping-particle":"","family":"Gichohi","given":"Paul","non-dropping-particle":"","parse-names":false,"suffix":""}],"container-title":"International Journal of Professional Practice","id":"ITEM-1","issue":"1","issued":{"date-parts":[["2019"]]},"page":"104-112","title":"Technology Influence on Performance of Cash Transfer Programmes in the Public Sector in Nairobi County , Kenya","type":"article-journal","volume":"7"},"uris":["http://www.mendeley.com/documents/?uuid=ebbf66ae-d947-440b-83a8-3067407e110f"]},{"id":"ITEM-2","itemData":{"abstract":"Social protection is commonly understood as “all public and private initiatives that provide income or consumption transfers to the poor, protect the vulnerable against livelihood risks and enhance the social status and rights of the marginalised; with the overall objective of reducing the economic and social vulnerability of poor, vulnerable and marginalised groups” (Devereux &amp; Sabates-Wheeler, 2004: i). This guide provides an overview of social protection concepts, approaches, issues, debates and the evidence. It primarily focuses on longer-term developmental social protection, rather than humanitarian responses, and on low-income countries, drawing on other contexts where appropriate. The aim is to provide an overview of issues, a selection of key references and signposting to further resources, rather than an exhaustive guide. Two main rationales for supporting social protection recur across the literature. One is that social protection is a human right. A second rationale is that social protection is instrumental to the achievement of a broader range of development goals, including poverty reduction, education, health, social inclusion, empowerment and state-building, among others.","author":[{"dropping-particle":"","family":"Browne","given":"Evie","non-dropping-particle":"","parse-names":false,"suffix":""}],"container-title":"GSDRC , University of Birmingham","id":"ITEM-2","issue":"October","issued":{"date-parts":[["2015"]]},"page":"1-41","title":"Social Protection: Topic guide","type":"article-journal"},"uris":["http://www.mendeley.com/documents/?uuid=47a81987-55bf-4415-b335-c79efb182e43"]}],"mendeley":{"formattedCitation":"(Browne, 2015; Njoroge et al., 2019)","plainTextFormattedCitation":"(Browne, 2015; Njoroge et al., 2019)","previouslyFormattedCitation":"(Browne, 2015; Njoroge et al., 2019)"},"properties":{"noteIndex":0},"schema":"https://github.com/citation-style-language/schema/raw/master/csl-citation.json"}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(Browne, 2015; Njoroge et al., 2019)</w:t>
      </w:r>
      <w:r w:rsidRPr="00446A7C">
        <w:rPr>
          <w:rFonts w:cs="Times New Roman"/>
          <w:szCs w:val="24"/>
        </w:rPr>
        <w:fldChar w:fldCharType="end"/>
      </w:r>
      <w:r w:rsidRPr="00446A7C">
        <w:rPr>
          <w:rFonts w:cs="Times New Roman"/>
          <w:szCs w:val="24"/>
        </w:rPr>
        <w:t xml:space="preserve">. Social assistance programmes in the form of cash transfers have emerged as a predominant strategy within social protection initiatives aimed at alleviating poverty (Cooke et al., 2016; Handa et al., 2022; Owusu-Addo et al., 2018). Other tools under social protection also extend to contributory social insurance such as SSNIT and where applicable, microinsurance schemes in the form of group loans, agricultural loans, and savings usually targeting low-income households in order to help them out of poverty. Additionally, these measures include social health protection initiatives and interventions targeting the labour market. </w:t>
      </w:r>
      <w:r w:rsidRPr="00446A7C">
        <w:rPr>
          <w:rFonts w:cs="Times New Roman"/>
          <w:szCs w:val="24"/>
        </w:rPr>
        <w:fldChar w:fldCharType="begin"/>
      </w:r>
      <w:r w:rsidRPr="00446A7C">
        <w:rPr>
          <w:rFonts w:cs="Times New Roman"/>
          <w:szCs w:val="24"/>
        </w:rPr>
        <w:instrText>ADDIN CSL_CITATION {"citationItems":[{"id":"ITEM-1","itemData":{"author":[{"dropping-particle":"","family":"Niang","given":"Marietou","non-dropping-particle":"","parse-names":false,"suffix":""},{"dropping-particle":"","family":"Gélinas","given":"Émilie","non-dropping-particle":"","parse-names":false,"suffix":""},{"dropping-particle":"","family":"Samb","given":"Oumar Mallé","non-dropping-particle":"","parse-names":false,"suffix":""},{"dropping-particle":"","family":"Ridde","given":"Valery","non-dropping-particle":"","parse-names":false,"suffix":""}],"id":"ITEM-1","issued":{"date-parts":[["2022"]]},"page":"1-13","title":"The role of mutuals in social protection policies : innovative experiences around the world","type":"article-journal"},"uris":["http://www.mendeley.com/documents/?uuid=5ccc0435-d26d-4296-8239-f899e020f061"]},{"id":"ITEM-2","itemData":{"ISBN":"9789221284963","author":[{"dropping-particle":"","family":"ILO","given":"","non-dropping-particle":"","parse-names":false,"suffix":""}],"id":"ITEM-2","issued":{"date-parts":[["2015"]]},"title":"Rationalizing social protection expenditure in Ghanartment International Labour Office-Geneva","type":"book"},"uris":["http://www.mendeley.com/documents/?uuid=d3e6798e-3802-47e5-a93e-1be4511a0914"]}],"mendeley":{"formattedCitation":"(ILO, 2015; Niang et al., 2022)","manualFormatting":"(ILO, 2015; ILO, 2017; Niang et al., 2022)","plainTextFormattedCitation":"(ILO, 2015; Niang et al., 2022)","previouslyFormattedCitation":"(ILO, 2015; Niang et al., 2022)"},"properties":{"noteIndex":0},"schema":"https://github.com/citation-style-language/schema/raw/master/csl-citation.json"}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(ILO, 2017; Niang et al., 2022)</w:t>
      </w:r>
      <w:r w:rsidRPr="00446A7C">
        <w:rPr>
          <w:rFonts w:cs="Times New Roman"/>
          <w:szCs w:val="24"/>
        </w:rPr>
        <w:fldChar w:fldCharType="end"/>
      </w:r>
      <w:r w:rsidRPr="00446A7C">
        <w:rPr>
          <w:rFonts w:cs="Times New Roman"/>
          <w:szCs w:val="24"/>
        </w:rPr>
        <w:t xml:space="preserve">. </w:t>
      </w:r>
    </w:p>
    <w:p w14:paraId="37893A9C" w14:textId="77777777" w:rsidR="0008415E" w:rsidRPr="00446A7C" w:rsidRDefault="0008415E" w:rsidP="00371F7B">
      <w:pPr>
        <w:pStyle w:val="NoSpacing"/>
      </w:pPr>
    </w:p>
    <w:p w14:paraId="269A3C54"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In countries like India, Latin America, and South Africa, the implementation of cash transfer programmes targeting impoverished, vulnerable, and the marginalized populations have yielded favourable outcomes, particularly regarding school attendance, especially among girls and health outcomes (Borga &amp; D'Ambrosio, 2021). These forms of assistance have culminated in enhanced financial resources, particularly for women through enhancing a more diversified livelihood opportunity. This has enabled most vulnerable women to take control of lives and partake in decision making in the family as well as the communities they live in. These social assistance programmes have also led to improvements in child survival rates, </w:t>
      </w:r>
      <w:r w:rsidRPr="00446A7C">
        <w:rPr>
          <w:rFonts w:cs="Times New Roman"/>
          <w:szCs w:val="24"/>
        </w:rPr>
        <w:lastRenderedPageBreak/>
        <w:t>nutritional status, and increased school attendance (Hagen-Zanker et al., 2016; Handa et al., 2016).</w:t>
      </w:r>
    </w:p>
    <w:p w14:paraId="06092B33" w14:textId="77777777" w:rsidR="0008415E" w:rsidRPr="00045458" w:rsidRDefault="0008415E" w:rsidP="00371F7B">
      <w:pPr>
        <w:pStyle w:val="NoSpacing"/>
        <w:rPr>
          <w:sz w:val="4"/>
          <w:szCs w:val="4"/>
        </w:rPr>
      </w:pPr>
    </w:p>
    <w:p w14:paraId="28CAFE59" w14:textId="77777777" w:rsidR="0008415E" w:rsidRPr="00446A7C" w:rsidRDefault="00000000">
      <w:pPr>
        <w:spacing w:before="240" w:line="480" w:lineRule="auto"/>
        <w:ind w:firstLine="0"/>
        <w:contextualSpacing/>
        <w:jc w:val="both"/>
        <w:rPr>
          <w:rFonts w:cs="Times New Roman"/>
          <w:szCs w:val="24"/>
        </w:rPr>
      </w:pPr>
      <w:r w:rsidRPr="00446A7C">
        <w:rPr>
          <w:rFonts w:cs="Times New Roman"/>
          <w:szCs w:val="24"/>
        </w:rPr>
        <w:t>Since independence, Ghana has joined the champaign of fighting against poverty (Adjei et al., 2020). These initiatives encompass a combination of social assistance such as the Livelihood Empowerment Against Poverty (LEAP) programme, social insurance schemes like the National Health Insurance Scheme as well as child protection concerns such as child labour, child trafficking, disability, and vulnerability to sexual abuse (</w:t>
      </w:r>
      <w:bookmarkStart w:id="14" w:name="_Hlk159397607"/>
      <w:r w:rsidRPr="00446A7C">
        <w:rPr>
          <w:rFonts w:cs="Times New Roman"/>
          <w:szCs w:val="24"/>
        </w:rPr>
        <w:t>MoGCSP</w:t>
      </w:r>
      <w:bookmarkEnd w:id="14"/>
      <w:r w:rsidRPr="00446A7C">
        <w:rPr>
          <w:rFonts w:cs="Times New Roman"/>
          <w:szCs w:val="24"/>
        </w:rPr>
        <w:t xml:space="preserve">, 2015). The focus on this study is however on the LEAP programme which is a flagship government poverty reduction initiative in Ghana. From the time of the programme’s inception in 2008, there have been a massive growth in terms of household coverage throughout the country (Handa &amp; Park, 2012). </w:t>
      </w:r>
    </w:p>
    <w:p w14:paraId="0E8C665D" w14:textId="77777777" w:rsidR="0008415E" w:rsidRPr="00371F7B" w:rsidRDefault="0008415E" w:rsidP="00371F7B">
      <w:pPr>
        <w:pStyle w:val="NoSpacing"/>
        <w:rPr>
          <w:sz w:val="10"/>
          <w:szCs w:val="10"/>
        </w:rPr>
      </w:pPr>
    </w:p>
    <w:p w14:paraId="3B3FC2F2" w14:textId="77777777" w:rsidR="0008415E" w:rsidRPr="00446A7C" w:rsidRDefault="00000000">
      <w:pPr>
        <w:spacing w:before="240" w:line="480" w:lineRule="auto"/>
        <w:ind w:firstLine="0"/>
        <w:contextualSpacing/>
        <w:jc w:val="both"/>
        <w:rPr>
          <w:rFonts w:cs="Times New Roman"/>
          <w:szCs w:val="24"/>
        </w:rPr>
      </w:pPr>
      <w:r w:rsidRPr="00446A7C">
        <w:rPr>
          <w:rFonts w:cs="Times New Roman"/>
          <w:szCs w:val="24"/>
        </w:rPr>
        <w:t xml:space="preserve">Through the collaborative efforts of several administrations and organisations, Ghana's digital technology ecosystem has rapidly grown useful for facilitating the digitization of vital services (Dzisah, 2022). This mostly stems from the perception that it provides citizens with electronic access to basic public services, like the availability of government information and the freedom to conduct business with departments and agencies at any time or place. Thus, possibility of reducing corruption, creating more openness, and improve service accessibility for everybody (Hossain &amp; Bartram, 2010). Through digitization, the </w:t>
      </w:r>
      <w:bookmarkStart w:id="15" w:name="_Hlk159090453"/>
      <w:r w:rsidRPr="00446A7C">
        <w:rPr>
          <w:rFonts w:cs="Times New Roman"/>
          <w:szCs w:val="24"/>
        </w:rPr>
        <w:t xml:space="preserve">LEAP programme has undergone a number of reforms and innovations towards building efficient and effective systems </w:t>
      </w:r>
      <w:bookmarkEnd w:id="15"/>
      <w:r w:rsidRPr="00446A7C">
        <w:rPr>
          <w:rFonts w:cs="Times New Roman"/>
          <w:szCs w:val="24"/>
        </w:rPr>
        <w:t>(Adu-Okoree et al., 2020).</w:t>
      </w:r>
    </w:p>
    <w:p w14:paraId="18268A7E" w14:textId="77777777" w:rsidR="0008415E" w:rsidRPr="00446A7C" w:rsidRDefault="0008415E">
      <w:pPr>
        <w:spacing w:before="240" w:line="480" w:lineRule="auto"/>
        <w:ind w:firstLine="0"/>
        <w:contextualSpacing/>
        <w:jc w:val="both"/>
        <w:rPr>
          <w:rFonts w:cs="Times New Roman"/>
          <w:szCs w:val="24"/>
        </w:rPr>
      </w:pPr>
    </w:p>
    <w:p w14:paraId="199BCFAE" w14:textId="77777777" w:rsidR="0008415E" w:rsidRPr="00446A7C" w:rsidRDefault="00000000">
      <w:pPr>
        <w:spacing w:before="240" w:line="480" w:lineRule="auto"/>
        <w:ind w:firstLine="0"/>
        <w:contextualSpacing/>
        <w:jc w:val="both"/>
        <w:rPr>
          <w:rFonts w:cs="Times New Roman"/>
          <w:szCs w:val="24"/>
        </w:rPr>
      </w:pPr>
      <w:r w:rsidRPr="00446A7C">
        <w:rPr>
          <w:rFonts w:cs="Times New Roman"/>
          <w:szCs w:val="24"/>
        </w:rPr>
        <w:lastRenderedPageBreak/>
        <w:t>These reforms include the upgrading of the Management Information System (MIS), transitioning from manual targeting and manual payments to electronic-targeting and electronic payments respectively, as well as the implementation of a Monitoring and Evaluation (M&amp;E) framework. The transition from a manual to an electronic payment system started in 2015 with three Payment Service Providers (PSPs), namely AYA Technologies, MTN Mobile Money, and the Ghana Interbank Payment and Settlement Systems (GhIPSS) (</w:t>
      </w:r>
      <w:bookmarkStart w:id="16" w:name="_Hlk159090550"/>
      <w:r w:rsidRPr="00446A7C">
        <w:rPr>
          <w:rFonts w:cs="Times New Roman"/>
          <w:szCs w:val="24"/>
        </w:rPr>
        <w:t>Abbey, 2014).</w:t>
      </w:r>
      <w:bookmarkEnd w:id="16"/>
      <w:r w:rsidRPr="00446A7C">
        <w:rPr>
          <w:rStyle w:val="CommentReference"/>
          <w:rFonts w:cs="Times New Roman"/>
          <w:sz w:val="24"/>
          <w:szCs w:val="24"/>
        </w:rPr>
        <w:t xml:space="preserve"> </w:t>
      </w:r>
      <w:r w:rsidRPr="00446A7C">
        <w:rPr>
          <w:rFonts w:cs="Times New Roman"/>
          <w:szCs w:val="24"/>
        </w:rPr>
        <w:t xml:space="preserve">With these innovations in the LEAP programme and the evidences provided about the position of digital technology in the delivery of social interventions programmes, it is therefore appropriate to explore the role of digital technology in enhancing Ghana’s anti-poverty programme (LEAP) towards sustainable poverty reduction. </w:t>
      </w:r>
    </w:p>
    <w:p w14:paraId="097AF9C4" w14:textId="77777777" w:rsidR="0008415E" w:rsidRPr="00446A7C" w:rsidRDefault="00000000">
      <w:pPr>
        <w:pStyle w:val="Heading2"/>
        <w:rPr>
          <w:rFonts w:cs="Times New Roman"/>
          <w:szCs w:val="24"/>
        </w:rPr>
      </w:pPr>
      <w:bookmarkStart w:id="17" w:name="_Toc171703195"/>
      <w:r w:rsidRPr="00446A7C">
        <w:rPr>
          <w:rFonts w:cs="Times New Roman"/>
          <w:szCs w:val="24"/>
        </w:rPr>
        <w:t>1.2 Problem Statement</w:t>
      </w:r>
      <w:bookmarkEnd w:id="17"/>
    </w:p>
    <w:p w14:paraId="4DCC867B"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LEAP was introduced in Ghana to contribute to the eradication of poverty. Empirical evidence revealed the contribution of this intervention in beneficiary’s livelihood. For instance, </w:t>
      </w:r>
      <w:bookmarkStart w:id="18" w:name="_Hlk159348412"/>
      <w:r w:rsidRPr="00446A7C">
        <w:rPr>
          <w:rFonts w:cs="Times New Roman"/>
          <w:szCs w:val="24"/>
        </w:rPr>
        <w:t>in an assessment of the LEAP programme, the studies of Fuseini et al. (2019), Osei &amp; Lambon (2021), Peprah et al. (2017) found that the LEAP programme has significant contributions in areas such as food consumption, school enrolment, increase in NHIS enrolment, increase in employment, and asset acquisition. However, the performance of the programme is bedevilled with some operational challenges such as irregular cash inflow and insufficient cash (Fuseini et al. 2019), political interference and administrative difficulties (Osei &amp; Lambon, 2021; Jaha &amp; Sika Bright, 2015), difficulty in accessing complimentary services, lack of awareness of programme conditionality (Perprem, 2020), and inadequate and weak exit strategies (Sackey, 2019; Salifu &amp; Kufoalor, 2022; Joha, 2012; Fuseini, 2021),  thus limiting its potential in achieving its long term objective of poverty reduction.</w:t>
      </w:r>
      <w:bookmarkEnd w:id="18"/>
    </w:p>
    <w:p w14:paraId="2801EC3E"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lastRenderedPageBreak/>
        <w:t xml:space="preserve">The use of digital technology has been shown to contribute towards overcoming some of the barriers mentioned above ( </w:t>
      </w:r>
      <w:r w:rsidRPr="00446A7C">
        <w:rPr>
          <w:rFonts w:cs="Times New Roman"/>
          <w:szCs w:val="24"/>
        </w:rPr>
        <w:fldChar w:fldCharType="begin"/>
      </w:r>
      <w:r w:rsidRPr="00446A7C">
        <w:rPr>
          <w:rFonts w:cs="Times New Roman"/>
          <w:szCs w:val="24"/>
        </w:rPr>
        <w:instrText>ADDIN CSL_CITATION {"citationItems":[{"id":"ITEM-1","itemData":{"DOI":"10.2991/assehr.k.220102.014","abstract":"… According to the decree, GoI’s Satu Data Indonesia policy refers to data management policy which aimed to produce data that is accurate, updated, unified, accountable, and available …","author":[{"dropping-particle":"","family":"Purnomo","given":"Muhammad Aditya","non-dropping-particle":"","parse-names":false,"suffix":""}],"container-title":"Proceedings of the Universitas Lampung International Conference on Social Sciences (ULICoSS 2021)","id":"ITEM-1","issue":"ULICoSS 2021","issued":{"date-parts":[["2022"]]},"page":"108-119","title":"Digitalization of Social Protection Systems Policy in Indonesia as a Step Towards Society 5.0","type":"article-journal","volume":"628"},"uris":["http://www.mendeley.com/documents/?uuid=6d668466-2a4d-4e1f-8b88-2938670d2881"]},{"id":"ITEM-2","itemData":{"author":[{"dropping-particle":"","family":"Agarwal","given":"Sanjay","non-dropping-particle":"","parse-names":false,"suffix":""}],"id":"ITEM-2","issued":{"date-parts":[["2013"]]},"title":"Effective Grievance Redress Mechanisms","type":"article-journal"},"uris":["http://www.mendeley.com/documents/?uuid=1bad38b4-267f-437a-a972-0c6bd1e6a867"]},{"id":"ITEM-3","itemData":{"DOI":"10.1080/13600818.2021.1904866","ISSN":"14699966","abstract":"What are the effects of biometric and digital technologies on social protection for the poor in India? Drawing on ethnographic research from rural Tamil Nadu, this paper presents evidence of how new technologies are experienced by beneficiaries of the Public Distribution System (PDS), and analyses the impacts of technology innovations on transparency, exclusion and mediation. The authors focus on the implementation of ‘smartcards,’ new digitised and Aadhaar-enabled ration cards, introduced in ration shops across Tamil Nadu in 2017. They first document how digitised smartcards and mobile text messages transform transparency for beneficiaries by introducing new opacities and information gaps. They then demonstrate how a lack of transparency (re)produces forms of exclusion that remain a challenge under the automated PDS. Finally, the paper highlights how novel forms of kin and non-kin mediation play a mitigating role in accessing PDS, and constitute a vital part of the infrastructure underpinning social welfare delivery.","author":[{"dropping-particle":"","family":"Carswell","given":"Grace","non-dropping-particle":"","parse-names":false,"suffix":""},{"dropping-particle":"","family":"Neve","given":"Geert","non-dropping-particle":"De","parse-names":false,"suffix":""}],"container-title":"Oxford Development Studies","id":"ITEM-3","issue":"2","issued":{"date-parts":[["2022"]]},"page":"126-141","publisher":"Routledge","title":"Transparency, exclusion and mediation: how digital and biometric technologies are transforming social protection in Tamil Nadu, India","type":"article-journal","volume":"50"},"uris":["http://www.mendeley.com/documents/?uuid=b5e3660d-6af0-4d5b-831d-5ece78167fe5"]}],"mendeley":{"formattedCitation":"(Agarwal, 2013; Carswell &amp; De Neve, 2022; Purnomo, 2022)","plainTextFormattedCitation":"(Agarwal, 2013; Carswell &amp; De Neve, 2022; Purnomo, 2022)","previouslyFormattedCitation":"(Agarwal, 2013; Carswell &amp; De Neve, 2022; Purnomo, 2022)"},"properties":{"noteIndex":0},"schema":"https://github.com/citation-style-language/schema/raw/master/csl-citation.json"}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see Carswell &amp; De Neve, 2022; Purnomo, 2022)</w:t>
      </w:r>
      <w:r w:rsidRPr="00446A7C">
        <w:rPr>
          <w:rFonts w:cs="Times New Roman"/>
          <w:szCs w:val="24"/>
        </w:rPr>
        <w:fldChar w:fldCharType="end"/>
      </w:r>
      <w:r w:rsidRPr="00446A7C">
        <w:rPr>
          <w:rFonts w:cs="Times New Roman"/>
          <w:szCs w:val="24"/>
        </w:rPr>
        <w:t xml:space="preserve">, especially, when they target remote areas. The digital tools such as mobile phones, ATM, tablets, internet infrastructure could augment the delivering of social protection services </w:t>
      </w:r>
      <w:r w:rsidRPr="00446A7C">
        <w:rPr>
          <w:rFonts w:cs="Times New Roman"/>
          <w:szCs w:val="24"/>
        </w:rPr>
        <w:fldChar w:fldCharType="begin"/>
      </w:r>
      <w:r w:rsidRPr="00446A7C">
        <w:rPr>
          <w:rFonts w:cs="Times New Roman"/>
          <w:szCs w:val="24"/>
        </w:rPr>
        <w:instrText>ADDIN CSL_CITATION {"citationItems":[{"id":"ITEM-1","itemData":{"DOI":"10.1080/09614521003709940","ISSN":"09614524","abstract":"Providing cash transfers to vulnerable groups reduces vulnerability and chronic poverty; but delivering cash to remote, rural locations can be expensive and insecure. Alternative delivery systems using technology are thus being piloted. This article uses examples from southern Africa to highlight the opportunities and risks involved in using technology to deliver social protection, with particular focus on two schemes in Malawi. It concludes that there is great potential for the use of technology in delivering social protection, especially if employed at a national scale and taking advantage of the full spectrum of uses to ensure cost-efficiency. © 2010 Taylor &amp; Francis.","author":[{"dropping-particle":"","family":"Devereux","given":"Stephen","non-dropping-particle":"","parse-names":false,"suffix":""},{"dropping-particle":"","family":"Vincent","given":"Katharine","non-dropping-particle":"","parse-names":false,"suffix":""}],"container-title":"Development in Practice","id":"ITEM-1","issue":"3","issued":{"date-parts":[["2010"]]},"page":"367-379","title":"El uso de la tecnología para los beneficios sociales: Explorando oportunidades y riesgos","type":"article-journal","volume":"20"},"uris":["http://www.mendeley.com/documents/?uuid=49303822-7357-4cac-acb7-834ff80b3561"]}],"mendeley":{"formattedCitation":"(Devereux &amp; Vincent, 2010)","plainTextFormattedCitation":"(Devereux &amp; Vincent, 2010)","previouslyFormattedCitation":"(Devereux &amp; Vincent, 2010)"},"properties":{"noteIndex":0},"schema":"https://github.com/citation-style-language/schema/raw/master/csl-citation.json"}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(Devereux &amp; Vincent, 2010, Dzisah, 2022)</w:t>
      </w:r>
      <w:r w:rsidRPr="00446A7C">
        <w:rPr>
          <w:rFonts w:cs="Times New Roman"/>
          <w:szCs w:val="24"/>
        </w:rPr>
        <w:fldChar w:fldCharType="end"/>
      </w:r>
      <w:r w:rsidRPr="00446A7C">
        <w:rPr>
          <w:rFonts w:cs="Times New Roman"/>
          <w:szCs w:val="24"/>
        </w:rPr>
        <w:t xml:space="preserve">. Digital technologies have been used to enhance information dissemination to potential beneficiaries and to improve programme effectiveness through making payments, and screening eligibility of potential beneficiaires which reduces the exclusion of marginalized groups </w:t>
      </w:r>
      <w:r w:rsidRPr="00446A7C">
        <w:rPr>
          <w:rFonts w:cs="Times New Roman"/>
          <w:szCs w:val="24"/>
        </w:rPr>
        <w:fldChar w:fldCharType="begin"/>
      </w:r>
      <w:r w:rsidRPr="00446A7C">
        <w:rPr>
          <w:rFonts w:cs="Times New Roman"/>
          <w:szCs w:val="24"/>
        </w:rPr>
        <w:instrText>ADDIN CSL_CITATION {"citationItems":[{"id":"ITEM-1","itemData":{"DOI":"10.1080/13600818.2021.1904866","ISSN":"14699966","abstract":"What are the effects of biometric and digital technologies on social protection for the poor in India? Drawing on ethnographic research from rural Tamil Nadu, this paper presents evidence of how new technologies are experienced by beneficiaries of the Public Distribution System (PDS), and analyses the impacts of technology innovations on transparency, exclusion and mediation. The authors focus on the implementation of ‘smartcards,’ new digitised and Aadhaar-enabled ration cards, introduced in ration shops across Tamil Nadu in 2017. They first document how digitised smartcards and mobile text messages transform transparency for beneficiaries by introducing new opacities and information gaps. They then demonstrate how a lack of transparency (re)produces forms of exclusion that remain a challenge under the automated PDS. Finally, the paper highlights how novel forms of kin and non-kin mediation play a mitigating role in accessing PDS, and constitute a vital part of the infrastructure underpinning social welfare delivery.","author":[{"dropping-particle":"","family":"Carswell","given":"Grace","non-dropping-particle":"","parse-names":false,"suffix":""},{"dropping-particle":"","family":"Neve","given":"Geert","non-dropping-particle":"De","parse-names":false,"suffix":""}],"container-title":"Oxford Development Studies","id":"ITEM-1","issue":"2","issued":{"date-parts":[["2022"]]},"page":"126-141","publisher":"Routledge","title":"Transparency, exclusion and mediation: how digital and biometric technologies are transforming social protection in Tamil Nadu, India","type":"article-journal","volume":"50"},"uris":["http://www.mendeley.com/documents/?uuid=b5e3660d-6af0-4d5b-831d-5ece78167fe5"]}],"mendeley":{"formattedCitation":"(Carswell &amp; De Neve, 2022)","plainTextFormattedCitation":"(Carswell &amp; De Neve, 2022)","previouslyFormattedCitation":"(Carswell &amp; De Neve, 2022)"},"properties":{"noteIndex":0},"schema":"https://github.com/citation-style-language/schema/raw/master/csl-citation.json"}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 xml:space="preserve">(Carswell &amp; De Neve, 2022; </w:t>
      </w:r>
      <w:r w:rsidRPr="00446A7C">
        <w:rPr>
          <w:rFonts w:cs="Times New Roman"/>
          <w:szCs w:val="24"/>
        </w:rPr>
        <w:fldChar w:fldCharType="begin"/>
      </w:r>
      <w:r w:rsidRPr="00446A7C">
        <w:rPr>
          <w:rFonts w:cs="Times New Roman"/>
          <w:szCs w:val="24"/>
        </w:rPr>
        <w:instrText>ADDIN CSL_CITATION {"citationItems":[{"id":"ITEM-1","itemData":{"DOI":"10.2991/assehr.k.220102.014","abstract":"… According to the decree, GoI’s Satu Data Indonesia policy refers to data management policy which aimed to produce data that is accurate, updated, unified, accountable, and available …","author":[{"dropping-particle":"","family":"Purnomo","given":"Muhammad Aditya","non-dropping-particle":"","parse-names":false,"suffix":""}],"container-title":"Proceedings of the Universitas Lampung International Conference on Social Sciences (ULICoSS 2021)","id":"ITEM-1","issue":"ULICoSS 2021","issued":{"date-parts":[["2022"]]},"page":"108-119","title":"Digitalization of Social Protection Systems Policy in Indonesia as a Step Towards Society 5.0","type":"article-journal","volume":"628"},"uris":["http://www.mendeley.com/documents/?uuid=6d668466-2a4d-4e1f-8b88-2938670d2881"]}],"mendeley":{"formattedCitation":"(Purnomo, 2022)","plainTextFormattedCitation":"(Purnomo, 2022)","previouslyFormattedCitation":"(Purnomo, 2022)"},"properties":{"noteIndex":0},"schema":"https://github.com/citation-style-language/schema/raw/master/csl-citation.json"}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Purnomo, 2022)</w:t>
      </w:r>
      <w:r w:rsidRPr="00446A7C">
        <w:rPr>
          <w:rFonts w:cs="Times New Roman"/>
          <w:szCs w:val="24"/>
        </w:rPr>
        <w:fldChar w:fldCharType="end"/>
      </w:r>
      <w:r w:rsidRPr="00446A7C">
        <w:rPr>
          <w:rFonts w:cs="Times New Roman"/>
          <w:szCs w:val="24"/>
        </w:rPr>
        <w:t>.</w:t>
      </w:r>
      <w:r w:rsidRPr="00446A7C">
        <w:rPr>
          <w:rFonts w:cs="Times New Roman"/>
          <w:szCs w:val="24"/>
        </w:rPr>
        <w:fldChar w:fldCharType="end"/>
      </w:r>
    </w:p>
    <w:p w14:paraId="6CD0CEC0" w14:textId="77777777" w:rsidR="0008415E" w:rsidRPr="00446A7C" w:rsidRDefault="0008415E" w:rsidP="00371F7B">
      <w:pPr>
        <w:pStyle w:val="NoSpacing"/>
      </w:pPr>
    </w:p>
    <w:p w14:paraId="21989FDA" w14:textId="18563AEF"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Despite the potentials of digital technology in improving social protection programmes, limited studies have explored their role in enhancing the delivery of Ghana’s flagship social protection programme (LEAP). This is even more so in Nandom District. The limited use of the digital technologies to enhance the operations of LEAP can have negative impact on its sustainability and that can adversely affect the efforts of reducing poverty in Ghana. Without overcoming the barriers to poverty reduction interventions, the efforts will only yield marginal gains. To this effect, this study seeks to contribute to this effort to position the LEAP to deliver its mandate by exploring the role of digital technology in its implementation.  </w:t>
      </w:r>
    </w:p>
    <w:p w14:paraId="77392AA9" w14:textId="77777777" w:rsidR="0008415E" w:rsidRPr="00446A7C" w:rsidRDefault="00000000">
      <w:pPr>
        <w:pStyle w:val="Heading2"/>
        <w:rPr>
          <w:rFonts w:cs="Times New Roman"/>
          <w:szCs w:val="24"/>
        </w:rPr>
      </w:pPr>
      <w:bookmarkStart w:id="19" w:name="_Toc171703196"/>
      <w:r w:rsidRPr="00446A7C">
        <w:rPr>
          <w:rFonts w:cs="Times New Roman"/>
          <w:szCs w:val="24"/>
        </w:rPr>
        <w:t>1.3 Research Objectives</w:t>
      </w:r>
      <w:bookmarkEnd w:id="19"/>
    </w:p>
    <w:p w14:paraId="672685A3"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The main objective of this study is to assess the role of digital technology in enhancing the Livelihood Empowerment Against Poverty (LEAP) programme towards sustainable poverty, with an explicit focus on Nandom District in the Upper West Region of Ghana. Specifically, the study seeks to:</w:t>
      </w:r>
    </w:p>
    <w:p w14:paraId="4BE19BF3" w14:textId="77777777" w:rsidR="0008415E" w:rsidRPr="00480294" w:rsidRDefault="00000000" w:rsidP="00480294">
      <w:pPr>
        <w:pStyle w:val="ListParagraph"/>
        <w:numPr>
          <w:ilvl w:val="0"/>
          <w:numId w:val="17"/>
        </w:numPr>
        <w:spacing w:line="480" w:lineRule="auto"/>
        <w:jc w:val="both"/>
        <w:rPr>
          <w:rFonts w:cs="Times New Roman"/>
          <w:szCs w:val="24"/>
        </w:rPr>
      </w:pPr>
      <w:r w:rsidRPr="00480294">
        <w:rPr>
          <w:rFonts w:cs="Times New Roman"/>
          <w:szCs w:val="24"/>
        </w:rPr>
        <w:t>E</w:t>
      </w:r>
      <w:bookmarkStart w:id="20" w:name="_Hlk136347060"/>
      <w:bookmarkStart w:id="21" w:name="_Hlk149140079"/>
      <w:bookmarkStart w:id="22" w:name="_Hlk148639105"/>
      <w:bookmarkStart w:id="23" w:name="_Hlk144582442"/>
      <w:r w:rsidRPr="00480294">
        <w:rPr>
          <w:rFonts w:cs="Times New Roman"/>
          <w:szCs w:val="24"/>
        </w:rPr>
        <w:t>xamine beneficiaries’ access to LEAP intervention services.</w:t>
      </w:r>
      <w:bookmarkEnd w:id="20"/>
    </w:p>
    <w:p w14:paraId="29289C09" w14:textId="1AB6C577" w:rsidR="0008415E" w:rsidRPr="00480294" w:rsidRDefault="00000000" w:rsidP="00480294">
      <w:pPr>
        <w:pStyle w:val="ListParagraph"/>
        <w:numPr>
          <w:ilvl w:val="0"/>
          <w:numId w:val="17"/>
        </w:numPr>
        <w:spacing w:line="480" w:lineRule="auto"/>
        <w:jc w:val="both"/>
        <w:rPr>
          <w:rFonts w:cs="Times New Roman"/>
          <w:szCs w:val="24"/>
        </w:rPr>
      </w:pPr>
      <w:r w:rsidRPr="00480294">
        <w:rPr>
          <w:rFonts w:cs="Times New Roman"/>
          <w:szCs w:val="24"/>
        </w:rPr>
        <w:lastRenderedPageBreak/>
        <w:t>A</w:t>
      </w:r>
      <w:bookmarkStart w:id="24" w:name="_Hlk150578646"/>
      <w:bookmarkStart w:id="25" w:name="_Hlk136347061"/>
      <w:r w:rsidRPr="00480294">
        <w:rPr>
          <w:rFonts w:cs="Times New Roman"/>
          <w:szCs w:val="24"/>
        </w:rPr>
        <w:t>nalyse beneficiary perspective on the use of digital technology in the delivery of</w:t>
      </w:r>
      <w:r w:rsidR="00480294" w:rsidRPr="00480294">
        <w:rPr>
          <w:rFonts w:cs="Times New Roman"/>
          <w:szCs w:val="24"/>
        </w:rPr>
        <w:t xml:space="preserve"> </w:t>
      </w:r>
      <w:r w:rsidRPr="00480294">
        <w:rPr>
          <w:rFonts w:cs="Times New Roman"/>
          <w:szCs w:val="24"/>
        </w:rPr>
        <w:t>services of the LEAP programme.</w:t>
      </w:r>
      <w:bookmarkEnd w:id="21"/>
      <w:bookmarkEnd w:id="24"/>
      <w:bookmarkEnd w:id="25"/>
    </w:p>
    <w:p w14:paraId="15F6C82F" w14:textId="0A27085A" w:rsidR="0008415E" w:rsidRPr="00480294" w:rsidRDefault="00000000" w:rsidP="00480294">
      <w:pPr>
        <w:pStyle w:val="ListParagraph"/>
        <w:numPr>
          <w:ilvl w:val="0"/>
          <w:numId w:val="17"/>
        </w:numPr>
        <w:spacing w:line="480" w:lineRule="auto"/>
        <w:rPr>
          <w:rFonts w:cs="Times New Roman"/>
          <w:szCs w:val="24"/>
        </w:rPr>
      </w:pPr>
      <w:r w:rsidRPr="00480294">
        <w:rPr>
          <w:rFonts w:cs="Times New Roman"/>
          <w:szCs w:val="24"/>
        </w:rPr>
        <w:t>A</w:t>
      </w:r>
      <w:bookmarkStart w:id="26" w:name="_Hlk149241613"/>
      <w:r w:rsidRPr="00480294">
        <w:rPr>
          <w:rFonts w:cs="Times New Roman"/>
          <w:szCs w:val="24"/>
        </w:rPr>
        <w:t xml:space="preserve">ssess the </w:t>
      </w:r>
      <w:bookmarkStart w:id="27" w:name="_Hlk127954509"/>
      <w:r w:rsidRPr="00480294">
        <w:rPr>
          <w:rFonts w:cs="Times New Roman"/>
          <w:szCs w:val="24"/>
        </w:rPr>
        <w:t>limits and potentials of digital technologies towards enhancing the</w:t>
      </w:r>
      <w:r w:rsidRPr="00480294">
        <w:rPr>
          <w:rFonts w:cs="Times New Roman"/>
          <w:szCs w:val="24"/>
          <w:lang w:val="en-US"/>
        </w:rPr>
        <w:t xml:space="preserve"> </w:t>
      </w:r>
      <w:r w:rsidRPr="00480294">
        <w:rPr>
          <w:rFonts w:cs="Times New Roman"/>
          <w:szCs w:val="24"/>
        </w:rPr>
        <w:t>LEAP programme</w:t>
      </w:r>
      <w:bookmarkEnd w:id="27"/>
      <w:r w:rsidRPr="00480294">
        <w:rPr>
          <w:rFonts w:cs="Times New Roman"/>
          <w:szCs w:val="24"/>
        </w:rPr>
        <w:t>.</w:t>
      </w:r>
      <w:bookmarkEnd w:id="22"/>
      <w:bookmarkEnd w:id="26"/>
    </w:p>
    <w:p w14:paraId="376A6E6B" w14:textId="77777777" w:rsidR="0008415E" w:rsidRPr="00446A7C" w:rsidRDefault="00000000">
      <w:pPr>
        <w:pStyle w:val="Heading2"/>
        <w:rPr>
          <w:rFonts w:cs="Times New Roman"/>
          <w:szCs w:val="24"/>
        </w:rPr>
      </w:pPr>
      <w:bookmarkStart w:id="28" w:name="_Toc171703197"/>
      <w:r w:rsidRPr="00446A7C">
        <w:rPr>
          <w:rFonts w:cs="Times New Roman"/>
          <w:szCs w:val="24"/>
        </w:rPr>
        <w:t>1.4 Research Questions</w:t>
      </w:r>
      <w:bookmarkEnd w:id="28"/>
    </w:p>
    <w:p w14:paraId="091AD352"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To achieve the objectives of the research, the study seeks to address the following questions:</w:t>
      </w:r>
    </w:p>
    <w:p w14:paraId="65299919" w14:textId="77777777" w:rsidR="0008415E" w:rsidRPr="00480294" w:rsidRDefault="00000000" w:rsidP="00480294">
      <w:pPr>
        <w:pStyle w:val="ListParagraph"/>
        <w:numPr>
          <w:ilvl w:val="0"/>
          <w:numId w:val="18"/>
        </w:numPr>
        <w:spacing w:line="480" w:lineRule="auto"/>
        <w:jc w:val="both"/>
        <w:rPr>
          <w:rFonts w:cs="Times New Roman"/>
          <w:szCs w:val="24"/>
          <w:lang w:val="en-US"/>
        </w:rPr>
      </w:pPr>
      <w:r w:rsidRPr="00480294">
        <w:rPr>
          <w:rFonts w:cs="Times New Roman"/>
          <w:szCs w:val="24"/>
        </w:rPr>
        <w:t>How are beneficiaries’ able to access LEAP intervention services?</w:t>
      </w:r>
      <w:r w:rsidRPr="00480294">
        <w:rPr>
          <w:rFonts w:cs="Times New Roman"/>
          <w:szCs w:val="24"/>
          <w:lang w:val="en-US"/>
        </w:rPr>
        <w:tab/>
      </w:r>
    </w:p>
    <w:p w14:paraId="07E349A6" w14:textId="27CAA6F7" w:rsidR="0008415E" w:rsidRPr="00480294" w:rsidRDefault="00000000" w:rsidP="00480294">
      <w:pPr>
        <w:pStyle w:val="ListParagraph"/>
        <w:numPr>
          <w:ilvl w:val="0"/>
          <w:numId w:val="18"/>
        </w:numPr>
        <w:spacing w:line="480" w:lineRule="auto"/>
        <w:jc w:val="both"/>
        <w:rPr>
          <w:rFonts w:cs="Times New Roman"/>
          <w:szCs w:val="24"/>
        </w:rPr>
      </w:pPr>
      <w:r w:rsidRPr="00480294">
        <w:rPr>
          <w:rFonts w:cs="Times New Roman"/>
          <w:szCs w:val="24"/>
        </w:rPr>
        <w:t>What are beneficiaries’ perspectives on the use of digital technology in the delivery of services of the LEAP programme and why do they they have these</w:t>
      </w:r>
      <w:r w:rsidR="00480294" w:rsidRPr="00480294">
        <w:rPr>
          <w:rFonts w:cs="Times New Roman"/>
          <w:szCs w:val="24"/>
        </w:rPr>
        <w:t xml:space="preserve"> </w:t>
      </w:r>
      <w:r w:rsidRPr="00480294">
        <w:rPr>
          <w:rFonts w:cs="Times New Roman"/>
          <w:szCs w:val="24"/>
        </w:rPr>
        <w:t>perspectives?</w:t>
      </w:r>
    </w:p>
    <w:p w14:paraId="358D188E" w14:textId="5DA44F3F" w:rsidR="0008415E" w:rsidRPr="00480294" w:rsidRDefault="00000000" w:rsidP="00480294">
      <w:pPr>
        <w:pStyle w:val="ListParagraph"/>
        <w:numPr>
          <w:ilvl w:val="0"/>
          <w:numId w:val="18"/>
        </w:numPr>
        <w:spacing w:line="480" w:lineRule="auto"/>
        <w:jc w:val="both"/>
        <w:rPr>
          <w:rFonts w:cs="Times New Roman"/>
          <w:szCs w:val="24"/>
        </w:rPr>
      </w:pPr>
      <w:r w:rsidRPr="00480294">
        <w:rPr>
          <w:rFonts w:cs="Times New Roman"/>
          <w:szCs w:val="24"/>
        </w:rPr>
        <w:t>What are the limits of digital technologies towards enhancing the LEAP programme and how does that affect beneficiaries?</w:t>
      </w:r>
    </w:p>
    <w:p w14:paraId="00F3E2B8" w14:textId="739626AD" w:rsidR="0008415E" w:rsidRPr="00480294" w:rsidRDefault="00000000" w:rsidP="00480294">
      <w:pPr>
        <w:pStyle w:val="ListParagraph"/>
        <w:numPr>
          <w:ilvl w:val="0"/>
          <w:numId w:val="18"/>
        </w:numPr>
        <w:spacing w:line="480" w:lineRule="auto"/>
        <w:jc w:val="both"/>
        <w:rPr>
          <w:rFonts w:cs="Times New Roman"/>
          <w:szCs w:val="24"/>
        </w:rPr>
      </w:pPr>
      <w:r w:rsidRPr="00480294">
        <w:rPr>
          <w:rFonts w:cs="Times New Roman"/>
          <w:szCs w:val="24"/>
        </w:rPr>
        <w:t>What are the potentials of incorperating digital technology in the LEAP programme in Nandom District?</w:t>
      </w:r>
    </w:p>
    <w:p w14:paraId="603E06E6" w14:textId="77777777" w:rsidR="0008415E" w:rsidRPr="00446A7C" w:rsidRDefault="00000000">
      <w:pPr>
        <w:pStyle w:val="Heading2"/>
        <w:rPr>
          <w:rFonts w:cs="Times New Roman"/>
          <w:szCs w:val="24"/>
        </w:rPr>
      </w:pPr>
      <w:bookmarkStart w:id="29" w:name="_Toc171703198"/>
      <w:r w:rsidRPr="00446A7C">
        <w:rPr>
          <w:rFonts w:cs="Times New Roman"/>
          <w:szCs w:val="24"/>
        </w:rPr>
        <w:t>1.5 Significance of the Study</w:t>
      </w:r>
      <w:bookmarkEnd w:id="29"/>
    </w:p>
    <w:p w14:paraId="469B8760" w14:textId="77777777" w:rsidR="0008415E" w:rsidRPr="00446A7C" w:rsidRDefault="00000000">
      <w:pPr>
        <w:spacing w:line="480" w:lineRule="auto"/>
        <w:ind w:firstLine="0"/>
        <w:contextualSpacing/>
        <w:jc w:val="both"/>
        <w:rPr>
          <w:rFonts w:cs="Times New Roman"/>
          <w:szCs w:val="24"/>
          <w:lang w:val="en-US"/>
        </w:rPr>
      </w:pPr>
      <w:r w:rsidRPr="00446A7C">
        <w:rPr>
          <w:rFonts w:cs="Times New Roman"/>
          <w:szCs w:val="24"/>
        </w:rPr>
        <w:t xml:space="preserve">Poverty has always been an issue of concern that limits human development and increases vulnerability (Zhou &amp; Liu, 2022), especially in low-and middle-income countries such as Ghana. This prevalence of poverty calls for strong measures that will liberate the poor out of the fetters of poverty. </w:t>
      </w:r>
      <w:r w:rsidRPr="00446A7C">
        <w:rPr>
          <w:rFonts w:cs="Times New Roman"/>
          <w:szCs w:val="24"/>
          <w:lang w:val="en-US"/>
        </w:rPr>
        <w:t xml:space="preserve">However, most studies focus solely on evaluating the impact of poverty reduction programmes. One such programme is the LEAP programme, which aims to improve the living standards of the poor by providing them with cash transfers. Unfortunately, implementing these programmes often faces difficulties, resulting in underwhelming performance. Several studies, including Fuseini (2021) and Jaha and Sika-Bright (2015), have attributed these </w:t>
      </w:r>
      <w:r w:rsidRPr="00446A7C">
        <w:rPr>
          <w:rFonts w:cs="Times New Roman"/>
          <w:szCs w:val="24"/>
          <w:lang w:val="en-US"/>
        </w:rPr>
        <w:lastRenderedPageBreak/>
        <w:t>challenges to administrative and beneficiary-related issues. In contrast, my study examines the role of digital technology in enhancing the LEAP programme, shifting the focus from programme challenges to exploring how digital technology can address them. The findings of this study will help identify potentials and challenges within the digitization of the LEAP programme and suggest areas for improvement. Ultimately, this study contributes to the existing body of local-level research on poverty reduction.</w:t>
      </w:r>
      <w:bookmarkEnd w:id="23"/>
    </w:p>
    <w:p w14:paraId="57A5398D" w14:textId="77777777" w:rsidR="0008415E" w:rsidRPr="00446A7C" w:rsidRDefault="00000000">
      <w:pPr>
        <w:pStyle w:val="Heading2"/>
        <w:rPr>
          <w:rFonts w:cs="Times New Roman"/>
          <w:szCs w:val="24"/>
        </w:rPr>
      </w:pPr>
      <w:bookmarkStart w:id="30" w:name="_Toc171703199"/>
      <w:r w:rsidRPr="00446A7C">
        <w:rPr>
          <w:rFonts w:cs="Times New Roman"/>
          <w:szCs w:val="24"/>
        </w:rPr>
        <w:t>1.6 Scope of the Study</w:t>
      </w:r>
      <w:bookmarkEnd w:id="30"/>
    </w:p>
    <w:p w14:paraId="789DC197"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Thematically, this thesis concentrate</w:t>
      </w:r>
      <w:r w:rsidRPr="00446A7C">
        <w:rPr>
          <w:rFonts w:cs="Times New Roman"/>
          <w:szCs w:val="24"/>
          <w:lang w:val="en-US"/>
        </w:rPr>
        <w:t>s</w:t>
      </w:r>
      <w:r w:rsidRPr="00446A7C">
        <w:rPr>
          <w:rFonts w:cs="Times New Roman"/>
          <w:szCs w:val="24"/>
        </w:rPr>
        <w:t xml:space="preserve"> on the role of technology in enhancing the LEAP programme for sustainable poverty reduction. Geographically, the study specifically focuses on the Nandom District, which is recognized as one of the impoverished districts in the Upper West Region. </w:t>
      </w:r>
      <w:r w:rsidRPr="00446A7C">
        <w:rPr>
          <w:rFonts w:cs="Times New Roman"/>
          <w:color w:val="000000"/>
          <w:szCs w:val="24"/>
        </w:rPr>
        <w:t>The LEAP programme has been implemented in Nandom since its inception in 2008. At the time of th</w:t>
      </w:r>
      <w:r w:rsidRPr="00446A7C">
        <w:rPr>
          <w:rFonts w:cs="Times New Roman"/>
          <w:color w:val="000000"/>
          <w:szCs w:val="24"/>
          <w:lang w:val="en-US"/>
        </w:rPr>
        <w:t>e</w:t>
      </w:r>
      <w:r w:rsidRPr="00446A7C">
        <w:rPr>
          <w:rFonts w:cs="Times New Roman"/>
          <w:color w:val="000000"/>
          <w:szCs w:val="24"/>
        </w:rPr>
        <w:t xml:space="preserve"> study, 42 communities with a total of 2915 individuals were beneficiaries of LEAP in the Nandom District (Perprem, 2020). The population of interest for this study include</w:t>
      </w:r>
      <w:r w:rsidRPr="00446A7C">
        <w:rPr>
          <w:rFonts w:cs="Times New Roman"/>
          <w:color w:val="000000"/>
          <w:szCs w:val="24"/>
          <w:lang w:val="en-US"/>
        </w:rPr>
        <w:t>s</w:t>
      </w:r>
      <w:r w:rsidRPr="00446A7C">
        <w:rPr>
          <w:rFonts w:cs="Times New Roman"/>
          <w:color w:val="000000"/>
          <w:szCs w:val="24"/>
        </w:rPr>
        <w:t xml:space="preserve"> LEAP programme beneficiaries specifically; Orphans and Vulnerable children (OVC), People Living with Disability (PLWD), the elderly, and key stakeholder such as the </w:t>
      </w:r>
      <w:r w:rsidRPr="00446A7C">
        <w:rPr>
          <w:rFonts w:cs="Times New Roman"/>
          <w:szCs w:val="24"/>
        </w:rPr>
        <w:t>staff of the District Social Welfare office.</w:t>
      </w:r>
    </w:p>
    <w:p w14:paraId="5718C939" w14:textId="77777777" w:rsidR="0008415E" w:rsidRPr="00446A7C" w:rsidRDefault="00000000">
      <w:pPr>
        <w:pStyle w:val="Heading2"/>
        <w:rPr>
          <w:rFonts w:cs="Times New Roman"/>
          <w:szCs w:val="24"/>
        </w:rPr>
      </w:pPr>
      <w:bookmarkStart w:id="31" w:name="_Toc171703200"/>
      <w:r w:rsidRPr="00446A7C">
        <w:rPr>
          <w:rFonts w:cs="Times New Roman"/>
          <w:szCs w:val="24"/>
        </w:rPr>
        <w:t>1.7 Organization of the Study</w:t>
      </w:r>
      <w:bookmarkEnd w:id="31"/>
    </w:p>
    <w:p w14:paraId="6CEC63D9"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To provide a comprehensive examination of the research topic, the study is organized into five chapters. Chapter One includes the background, problem statement, research objectives, research questions</w:t>
      </w:r>
      <w:r w:rsidRPr="00446A7C">
        <w:rPr>
          <w:rFonts w:cs="Times New Roman"/>
          <w:szCs w:val="24"/>
          <w:lang w:val="en-US"/>
        </w:rPr>
        <w:t xml:space="preserve"> and</w:t>
      </w:r>
      <w:r w:rsidRPr="00446A7C">
        <w:rPr>
          <w:rFonts w:cs="Times New Roman"/>
          <w:szCs w:val="24"/>
        </w:rPr>
        <w:t xml:space="preserve"> significance of the study. Chapter Two focused on the theoretical review and literature review that provide</w:t>
      </w:r>
      <w:r w:rsidRPr="00446A7C">
        <w:rPr>
          <w:rFonts w:cs="Times New Roman"/>
          <w:szCs w:val="24"/>
          <w:lang w:val="en-US"/>
        </w:rPr>
        <w:t>d</w:t>
      </w:r>
      <w:r w:rsidRPr="00446A7C">
        <w:rPr>
          <w:rFonts w:cs="Times New Roman"/>
          <w:szCs w:val="24"/>
        </w:rPr>
        <w:t xml:space="preserve"> a blueprint for the study. It explored existing literature to create a theoretical foundation for the study, analysed relevant concepts, and examined previous research conducted on the subject and also </w:t>
      </w:r>
      <w:r w:rsidRPr="00446A7C">
        <w:rPr>
          <w:rFonts w:cs="Times New Roman"/>
          <w:szCs w:val="24"/>
        </w:rPr>
        <w:lastRenderedPageBreak/>
        <w:t>provided the overview of the LEAP programme in Ghana. Chapter Three outlined the methodology employed in the study. It provided an overview of the study areas, justified the chosen research design and strategy, identified the target population and unit of analysis</w:t>
      </w:r>
      <w:r w:rsidRPr="00446A7C">
        <w:rPr>
          <w:rFonts w:cs="Times New Roman"/>
          <w:szCs w:val="24"/>
          <w:lang w:val="en-US"/>
        </w:rPr>
        <w:t>.</w:t>
      </w:r>
      <w:r w:rsidRPr="00446A7C">
        <w:rPr>
          <w:rFonts w:cs="Times New Roman"/>
          <w:szCs w:val="24"/>
        </w:rPr>
        <w:t xml:space="preserve"> </w:t>
      </w:r>
      <w:r w:rsidRPr="00446A7C">
        <w:rPr>
          <w:rFonts w:cs="Times New Roman"/>
          <w:szCs w:val="24"/>
          <w:lang w:val="en-US"/>
        </w:rPr>
        <w:t>I</w:t>
      </w:r>
      <w:r w:rsidRPr="00446A7C">
        <w:rPr>
          <w:rFonts w:cs="Times New Roman"/>
          <w:szCs w:val="24"/>
        </w:rPr>
        <w:t>t also described the selection of respondents</w:t>
      </w:r>
      <w:r w:rsidRPr="00446A7C">
        <w:rPr>
          <w:rFonts w:cs="Times New Roman"/>
          <w:szCs w:val="24"/>
          <w:lang w:val="en-US"/>
        </w:rPr>
        <w:t>,</w:t>
      </w:r>
      <w:r w:rsidRPr="00446A7C">
        <w:rPr>
          <w:rFonts w:cs="Times New Roman"/>
          <w:szCs w:val="24"/>
        </w:rPr>
        <w:t xml:space="preserve"> the data collection methods and </w:t>
      </w:r>
      <w:r w:rsidRPr="00446A7C">
        <w:rPr>
          <w:rFonts w:cs="Times New Roman"/>
          <w:szCs w:val="24"/>
          <w:lang w:val="en-US"/>
        </w:rPr>
        <w:t xml:space="preserve">the </w:t>
      </w:r>
      <w:r w:rsidRPr="00446A7C">
        <w:rPr>
          <w:rFonts w:cs="Times New Roman"/>
          <w:szCs w:val="24"/>
        </w:rPr>
        <w:t xml:space="preserve">sample size used. </w:t>
      </w:r>
    </w:p>
    <w:p w14:paraId="43BF7B5C" w14:textId="77777777" w:rsidR="0008415E" w:rsidRPr="00446A7C" w:rsidRDefault="0008415E" w:rsidP="00371F7B">
      <w:pPr>
        <w:pStyle w:val="NoSpacing"/>
      </w:pPr>
    </w:p>
    <w:p w14:paraId="23EC5842"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Additionally, the chapter addressed the limitations of the study, discussed data management and analysis procedures, and consider</w:t>
      </w:r>
      <w:r w:rsidRPr="00446A7C">
        <w:rPr>
          <w:rFonts w:cs="Times New Roman"/>
          <w:szCs w:val="24"/>
          <w:lang w:val="en-US"/>
        </w:rPr>
        <w:t>ed</w:t>
      </w:r>
      <w:r w:rsidRPr="00446A7C">
        <w:rPr>
          <w:rFonts w:cs="Times New Roman"/>
          <w:szCs w:val="24"/>
        </w:rPr>
        <w:t xml:space="preserve"> the quality of the research through considerations of validity and reliability. Chapter Four was dedicated to presenting the findings and discussions on the topic. It presented the results of the study, analysed the data collected, and engage</w:t>
      </w:r>
      <w:r w:rsidRPr="00446A7C">
        <w:rPr>
          <w:rFonts w:cs="Times New Roman"/>
          <w:szCs w:val="24"/>
          <w:lang w:val="en-US"/>
        </w:rPr>
        <w:t>d</w:t>
      </w:r>
      <w:r w:rsidRPr="00446A7C">
        <w:rPr>
          <w:rFonts w:cs="Times New Roman"/>
          <w:szCs w:val="24"/>
        </w:rPr>
        <w:t xml:space="preserve"> in in-depth discussions to interpret and understand the findings within the context of the research objectives. Chapter Five served as the conclusion and recommendation </w:t>
      </w:r>
      <w:r w:rsidRPr="00446A7C">
        <w:rPr>
          <w:rFonts w:cs="Times New Roman"/>
          <w:szCs w:val="24"/>
          <w:lang w:val="en-US"/>
        </w:rPr>
        <w:t>of the study</w:t>
      </w:r>
      <w:r w:rsidRPr="00446A7C">
        <w:rPr>
          <w:rFonts w:cs="Times New Roman"/>
          <w:szCs w:val="24"/>
        </w:rPr>
        <w:t xml:space="preserve">. </w:t>
      </w:r>
      <w:r w:rsidRPr="00446A7C">
        <w:rPr>
          <w:rFonts w:cs="Times New Roman"/>
          <w:szCs w:val="24"/>
          <w:lang w:val="en-US"/>
        </w:rPr>
        <w:t xml:space="preserve">It also covered </w:t>
      </w:r>
      <w:r w:rsidRPr="00446A7C">
        <w:rPr>
          <w:rFonts w:cs="Times New Roman"/>
          <w:szCs w:val="24"/>
        </w:rPr>
        <w:t>recommendations for future research or policy actions based on the outcomes of the research as well as the theoretical implication of the study.</w:t>
      </w:r>
    </w:p>
    <w:p w14:paraId="3D029BAB" w14:textId="77777777" w:rsidR="0008415E" w:rsidRPr="00446A7C" w:rsidRDefault="0008415E">
      <w:pPr>
        <w:spacing w:line="480" w:lineRule="auto"/>
        <w:ind w:firstLine="0"/>
        <w:contextualSpacing/>
        <w:jc w:val="both"/>
        <w:rPr>
          <w:rFonts w:cs="Times New Roman"/>
          <w:szCs w:val="24"/>
        </w:rPr>
      </w:pPr>
    </w:p>
    <w:p w14:paraId="281AB1BC" w14:textId="77777777" w:rsidR="0008415E" w:rsidRPr="00446A7C" w:rsidRDefault="0008415E">
      <w:pPr>
        <w:spacing w:line="480" w:lineRule="auto"/>
        <w:ind w:firstLine="0"/>
        <w:contextualSpacing/>
        <w:jc w:val="both"/>
        <w:rPr>
          <w:rFonts w:cs="Times New Roman"/>
          <w:szCs w:val="24"/>
        </w:rPr>
      </w:pPr>
    </w:p>
    <w:p w14:paraId="23213F22" w14:textId="77777777" w:rsidR="0008415E" w:rsidRPr="00446A7C" w:rsidRDefault="0008415E">
      <w:pPr>
        <w:spacing w:line="480" w:lineRule="auto"/>
        <w:ind w:firstLine="0"/>
        <w:contextualSpacing/>
        <w:jc w:val="both"/>
        <w:rPr>
          <w:rFonts w:cs="Times New Roman"/>
          <w:szCs w:val="24"/>
        </w:rPr>
      </w:pPr>
    </w:p>
    <w:p w14:paraId="4D7FB9EB" w14:textId="77777777" w:rsidR="0008415E" w:rsidRPr="00446A7C" w:rsidRDefault="0008415E">
      <w:pPr>
        <w:spacing w:line="480" w:lineRule="auto"/>
        <w:ind w:firstLine="0"/>
        <w:contextualSpacing/>
        <w:jc w:val="both"/>
        <w:rPr>
          <w:rFonts w:cs="Times New Roman"/>
          <w:szCs w:val="24"/>
        </w:rPr>
      </w:pPr>
    </w:p>
    <w:p w14:paraId="380C398C" w14:textId="77777777" w:rsidR="0008415E" w:rsidRPr="00446A7C" w:rsidRDefault="0008415E">
      <w:pPr>
        <w:spacing w:line="480" w:lineRule="auto"/>
        <w:ind w:firstLine="0"/>
        <w:contextualSpacing/>
        <w:jc w:val="both"/>
        <w:rPr>
          <w:rFonts w:cs="Times New Roman"/>
          <w:szCs w:val="24"/>
        </w:rPr>
      </w:pPr>
    </w:p>
    <w:p w14:paraId="48088D25" w14:textId="77777777" w:rsidR="0008415E" w:rsidRDefault="0008415E">
      <w:pPr>
        <w:spacing w:line="480" w:lineRule="auto"/>
        <w:ind w:firstLine="0"/>
        <w:contextualSpacing/>
        <w:jc w:val="both"/>
        <w:rPr>
          <w:rFonts w:cs="Times New Roman"/>
          <w:szCs w:val="24"/>
        </w:rPr>
      </w:pPr>
    </w:p>
    <w:p w14:paraId="67140252" w14:textId="77777777" w:rsidR="00480294" w:rsidRPr="00446A7C" w:rsidRDefault="00480294">
      <w:pPr>
        <w:spacing w:line="480" w:lineRule="auto"/>
        <w:ind w:firstLine="0"/>
        <w:contextualSpacing/>
        <w:jc w:val="both"/>
        <w:rPr>
          <w:rFonts w:cs="Times New Roman"/>
          <w:szCs w:val="24"/>
        </w:rPr>
      </w:pPr>
    </w:p>
    <w:p w14:paraId="0B1BA3C1" w14:textId="77777777" w:rsidR="0008415E" w:rsidRDefault="0008415E">
      <w:pPr>
        <w:spacing w:line="480" w:lineRule="auto"/>
        <w:ind w:firstLine="0"/>
        <w:contextualSpacing/>
        <w:jc w:val="both"/>
        <w:rPr>
          <w:rFonts w:cs="Times New Roman"/>
          <w:szCs w:val="24"/>
        </w:rPr>
      </w:pPr>
    </w:p>
    <w:p w14:paraId="5F5E5AF4" w14:textId="77777777" w:rsidR="00371F7B" w:rsidRPr="00446A7C" w:rsidRDefault="00371F7B">
      <w:pPr>
        <w:spacing w:line="480" w:lineRule="auto"/>
        <w:ind w:firstLine="0"/>
        <w:contextualSpacing/>
        <w:jc w:val="both"/>
        <w:rPr>
          <w:rFonts w:cs="Times New Roman"/>
          <w:szCs w:val="24"/>
        </w:rPr>
      </w:pPr>
    </w:p>
    <w:p w14:paraId="3E65D863" w14:textId="77777777" w:rsidR="0008415E" w:rsidRDefault="00000000">
      <w:pPr>
        <w:pStyle w:val="Heading1"/>
      </w:pPr>
      <w:bookmarkStart w:id="32" w:name="_Toc171703201"/>
      <w:r w:rsidRPr="00446A7C">
        <w:lastRenderedPageBreak/>
        <w:t>CHAPTER TWO</w:t>
      </w:r>
      <w:bookmarkEnd w:id="32"/>
    </w:p>
    <w:p w14:paraId="419DBF73" w14:textId="77777777" w:rsidR="00480294" w:rsidRPr="00480294" w:rsidRDefault="00480294" w:rsidP="00480294"/>
    <w:p w14:paraId="642B2D6C" w14:textId="77777777" w:rsidR="0008415E" w:rsidRPr="00446A7C" w:rsidRDefault="00000000">
      <w:pPr>
        <w:pStyle w:val="Heading1"/>
      </w:pPr>
      <w:bookmarkStart w:id="33" w:name="_Toc171703202"/>
      <w:r w:rsidRPr="00446A7C">
        <w:t>LITERATURE REVIEW</w:t>
      </w:r>
      <w:bookmarkEnd w:id="33"/>
    </w:p>
    <w:p w14:paraId="677A71CE" w14:textId="77777777" w:rsidR="0008415E" w:rsidRPr="00446A7C" w:rsidRDefault="00000000">
      <w:pPr>
        <w:pStyle w:val="Heading2"/>
        <w:rPr>
          <w:rFonts w:cs="Times New Roman"/>
          <w:szCs w:val="24"/>
        </w:rPr>
      </w:pPr>
      <w:bookmarkStart w:id="34" w:name="_Toc171703203"/>
      <w:r w:rsidRPr="00446A7C">
        <w:rPr>
          <w:rFonts w:cs="Times New Roman"/>
          <w:szCs w:val="24"/>
        </w:rPr>
        <w:t>2.1 Introduction</w:t>
      </w:r>
      <w:bookmarkEnd w:id="34"/>
      <w:r w:rsidRPr="00446A7C">
        <w:rPr>
          <w:rFonts w:cs="Times New Roman"/>
          <w:szCs w:val="24"/>
        </w:rPr>
        <w:t xml:space="preserve">  </w:t>
      </w:r>
    </w:p>
    <w:p w14:paraId="5F6CE96A" w14:textId="1350EA6C"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Literature review provides a concise overview and synthesis of previously conducted research on a specific topic of interest </w:t>
      </w:r>
      <w:r w:rsidRPr="00446A7C">
        <w:rPr>
          <w:rFonts w:cs="Times New Roman"/>
          <w:szCs w:val="24"/>
        </w:rPr>
        <w:fldChar w:fldCharType="begin"/>
      </w:r>
      <w:r w:rsidRPr="00446A7C">
        <w:rPr>
          <w:rFonts w:cs="Times New Roman"/>
          <w:szCs w:val="24"/>
        </w:rPr>
        <w:instrText>ADDIN CSL_CITATION {"citationItems":[{"id":"ITEM-1","itemData":{"DOI":"10.1590/0103-6513.20170086","ISSN":"19805411","abstract":"Paper aims: The purpose of the paper is to offer guidance regarding how to write a Literature Review for empirical papers, that provides adequate background and convincing support. The literature review plays the fundamental role of unveiling the theory, or theories, that underpin the paper argument, sets its limits, and defines and clarifies the main concepts that will be used in the empirical sections of the text. Originality: Most papers and books focus on literature review as full articles (systematic reviews, meta analyses and critical analyses) or dissertation, chapters, this paper is focused on literature review for an empirical article. Research method: It is a theoretical essay. Main findings: The paper summarizes the main steps for performing a literature review and guides how to organize the analyzed literature. Implications for theory and practice: Well-crafted literature reviews are the cornerstone of good papers, and this paper offers some guidance on how to write good reviews for empirical papers, and, as a consequence, to produce better quality texts.","author":[{"dropping-particle":"","family":"Nakano","given":"Davi","non-dropping-particle":"","parse-names":false,"suffix":""},{"dropping-particle":"","family":"Muniz","given":"Jorge","non-dropping-particle":"","parse-names":false,"suffix":""}],"container-title":"Production","id":"ITEM-1","issued":{"date-parts":[["2018"]]},"title":"Writing the literature review for empirical papers","type":"article-journal","volume":"28"},"uris":["http://www.mendeley.com/documents/?uuid=9542b66e-6b67-46bb-b506-f4b21e83d996"]}],"mendeley":{"formattedCitation":"(Nakano &amp; Muniz, 2018)","plainTextFormattedCitation":"(Nakano &amp; Muniz, 2018)","previouslyFormattedCitation":"(Nakano &amp; Muniz, 2018)"},"properties":{"noteIndex":0},"schema":"https://github.com/citation-style-language/schema/raw/master/csl-citation.json"}</w:instrText>
      </w:r>
      <w:r w:rsidRPr="00446A7C">
        <w:rPr>
          <w:rFonts w:cs="Times New Roman"/>
          <w:szCs w:val="24"/>
        </w:rPr>
        <w:fldChar w:fldCharType="separate"/>
      </w:r>
      <w:r w:rsidRPr="00446A7C">
        <w:rPr>
          <w:rFonts w:cs="Times New Roman"/>
          <w:szCs w:val="24"/>
        </w:rPr>
        <w:t>(Nakano &amp; Muniz, 2018)</w:t>
      </w:r>
      <w:r w:rsidRPr="00446A7C">
        <w:rPr>
          <w:rFonts w:cs="Times New Roman"/>
          <w:szCs w:val="24"/>
        </w:rPr>
        <w:fldChar w:fldCharType="end"/>
      </w:r>
      <w:r w:rsidRPr="00446A7C">
        <w:rPr>
          <w:rFonts w:cs="Times New Roman"/>
          <w:szCs w:val="24"/>
        </w:rPr>
        <w:t xml:space="preserve">. It helps researchers identify knowledge gaps in the literature. Hence, this chapter presents the review of relevant theories forming the theoretical framework. It also discusses the conceptual issues, and ends with the conceptual framework for the study. </w:t>
      </w:r>
    </w:p>
    <w:p w14:paraId="704371D4" w14:textId="77777777" w:rsidR="0008415E" w:rsidRPr="00446A7C" w:rsidRDefault="00000000">
      <w:pPr>
        <w:pStyle w:val="Heading2"/>
        <w:rPr>
          <w:rFonts w:cs="Times New Roman"/>
          <w:szCs w:val="24"/>
        </w:rPr>
      </w:pPr>
      <w:bookmarkStart w:id="35" w:name="_Toc171703204"/>
      <w:r w:rsidRPr="00446A7C">
        <w:rPr>
          <w:rFonts w:cs="Times New Roman"/>
          <w:szCs w:val="24"/>
        </w:rPr>
        <w:t>2. 2 Theoretical Framework</w:t>
      </w:r>
      <w:bookmarkEnd w:id="35"/>
    </w:p>
    <w:p w14:paraId="6672C88D"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rPr>
        <w:t xml:space="preserve">A theoretical framework is an important aspect of research because it serves as the foundation for knowledge construction (Neuman, 2006).  This is to say, the framework provides a plan for the research foundation, statement of the problem, significance of the study, and research questions. Similarly, it serves as the foundation for reviewing literature and guiding the selection of data collection methods and tools and analysis methods (Grant &amp; Osanloo, 2014). The theories underpinning this study are the theory of technological determinism and the empowerment theory. </w:t>
      </w:r>
      <w:r w:rsidRPr="00446A7C">
        <w:rPr>
          <w:rFonts w:cs="Times New Roman"/>
          <w:bCs/>
          <w:szCs w:val="24"/>
          <w:lang w:val="en-US"/>
        </w:rPr>
        <w:t xml:space="preserve">The combination of these theories was necessary because each one of them alone is insufficient for explaining the role of digital technology in enhancing the LEAP programme towards sustainable poverty reduction. Therefore, they complemented each other in explaining the concepts and provided a blueprint for the conceptual framework of the study.  </w:t>
      </w:r>
      <w:r w:rsidRPr="00446A7C">
        <w:rPr>
          <w:rFonts w:cs="Times New Roman"/>
          <w:bCs/>
          <w:szCs w:val="24"/>
        </w:rPr>
        <w:t>These theories are discussed below.</w:t>
      </w:r>
    </w:p>
    <w:p w14:paraId="5C84B0D9" w14:textId="77777777" w:rsidR="0008415E" w:rsidRPr="00446A7C" w:rsidRDefault="00000000">
      <w:pPr>
        <w:pStyle w:val="Heading3"/>
      </w:pPr>
      <w:bookmarkStart w:id="36" w:name="_Toc171703205"/>
      <w:r w:rsidRPr="00446A7C">
        <w:t>2.2.1. Empowerment Theory (ET)</w:t>
      </w:r>
      <w:bookmarkEnd w:id="36"/>
    </w:p>
    <w:p w14:paraId="698156B0"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lang w:val="en-US"/>
        </w:rPr>
        <w:t xml:space="preserve">Empowerment refers to both the personal process of self-empowerment and the professional assistance given to individuals. This support plays a crucial role in </w:t>
      </w:r>
      <w:r w:rsidRPr="00446A7C">
        <w:rPr>
          <w:rFonts w:cs="Times New Roman"/>
          <w:bCs/>
          <w:szCs w:val="24"/>
          <w:lang w:val="en-US"/>
        </w:rPr>
        <w:lastRenderedPageBreak/>
        <w:t>helping people overcome feelings of powerlessness and lack of influence, allowing them to identify and utilize their resources effectively. The term empowerment originated from American community psychology and is closely associated with the social scientist Julian Rappaport (1981). However, the concept of empowerment has its roots in Marxist sociological theory and has been further developed through neo-Marxist theory, also known as critical theory. In the field of social work, empowerment serves as a practical approach to intervention that focuses on utilizing available resources.</w:t>
      </w:r>
    </w:p>
    <w:p w14:paraId="21E78052" w14:textId="77777777" w:rsidR="0008415E" w:rsidRPr="00446A7C" w:rsidRDefault="0008415E" w:rsidP="00371F7B">
      <w:pPr>
        <w:pStyle w:val="NoSpacing"/>
      </w:pPr>
    </w:p>
    <w:p w14:paraId="49329039"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Empowerment theory postulates that individuals and communities can overcome oppression and achieve self-determination through the acquisition of resources, development of skills, and expansion of decision-making power (</w:t>
      </w:r>
      <w:bookmarkStart w:id="37" w:name="_Hlk160606828"/>
      <w:r w:rsidRPr="00446A7C">
        <w:rPr>
          <w:rFonts w:cs="Times New Roman"/>
          <w:bCs/>
          <w:szCs w:val="24"/>
        </w:rPr>
        <w:t xml:space="preserve">Zimmerman, 1995). This theory emphasizes the importance of participatory processes, collaboration, and social support in fostering empowerment (Maton, 2008). </w:t>
      </w:r>
      <w:bookmarkEnd w:id="37"/>
      <w:r w:rsidRPr="00446A7C">
        <w:rPr>
          <w:rFonts w:cs="Times New Roman"/>
          <w:bCs/>
          <w:szCs w:val="24"/>
        </w:rPr>
        <w:t>It recognized that power dynamics, structural barriers, and social inequalities play crucial roles in shaping individuals' lives and opportunities for growth (Perkins &amp; Zimmerman, 1995). The term empowerment in actual sense has been a difficult concept to define as it is context and population specific, suggesting that a universal measure of empowerment may not be possible (Rappaport, 1984; Zimmerman, 1993). The theory has been applied across various fields, including social work, public health, and community development, to address issues such as poverty, discrimination, and inequality (Perkins &amp; Zimmerman, 1995; Wallerstein &amp; Duran, 2010; Haque &amp; Sweetman, 2015). For instance, empowerment strategies have been utilized to promote health literacy, encourage community engagement, and advocate for policy changes (</w:t>
      </w:r>
      <w:bookmarkStart w:id="38" w:name="_Hlk159337772"/>
      <w:r w:rsidRPr="00446A7C">
        <w:rPr>
          <w:rFonts w:cs="Times New Roman"/>
          <w:bCs/>
          <w:szCs w:val="24"/>
        </w:rPr>
        <w:t>Wallerstein &amp; Duran, 2010</w:t>
      </w:r>
      <w:bookmarkEnd w:id="38"/>
      <w:r w:rsidRPr="00446A7C">
        <w:rPr>
          <w:rFonts w:cs="Times New Roman"/>
          <w:bCs/>
          <w:szCs w:val="24"/>
        </w:rPr>
        <w:t>).</w:t>
      </w:r>
    </w:p>
    <w:p w14:paraId="5A46C19A"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 xml:space="preserve">Critics of the empowerment theory have raised several concerns regarding its implementation. One criticism revolves around the potential for individual blame, suggesting that the theory places excessive emphasis on personal empowerment while neglecting the influence of broader structural factors that contribute to marginalization and inequality (Fawcett et al., 2001; </w:t>
      </w:r>
      <w:bookmarkStart w:id="39" w:name="_Hlk159396199"/>
      <w:r w:rsidRPr="00446A7C">
        <w:rPr>
          <w:rFonts w:cs="Times New Roman"/>
          <w:bCs/>
          <w:szCs w:val="24"/>
        </w:rPr>
        <w:t xml:space="preserve">Maton, 2008). </w:t>
      </w:r>
      <w:bookmarkEnd w:id="39"/>
      <w:r w:rsidRPr="00446A7C">
        <w:rPr>
          <w:rFonts w:cs="Times New Roman"/>
          <w:bCs/>
          <w:szCs w:val="24"/>
        </w:rPr>
        <w:t xml:space="preserve">Structural factors (such as gender, race, class, sexuality and age) intersect and shape individuals' experiences. By applying an intersectional lens, researchers can better understand the complex interplay of social factors and design more inclusive and effective interventions (Maton, 2008). Additionally, some argue that the empowerment theory falls short in addressing broad power dynamics, as it may overlook the complex interplay of power </w:t>
      </w:r>
      <w:bookmarkStart w:id="40" w:name="_Hlk160600593"/>
      <w:r w:rsidRPr="00446A7C">
        <w:rPr>
          <w:rFonts w:cs="Times New Roman"/>
          <w:bCs/>
          <w:szCs w:val="24"/>
        </w:rPr>
        <w:t>relations (</w:t>
      </w:r>
      <w:r w:rsidRPr="00446A7C">
        <w:rPr>
          <w:rFonts w:cs="Times New Roman"/>
          <w:bCs/>
          <w:szCs w:val="24"/>
          <w:lang w:val="en-US"/>
        </w:rPr>
        <w:t>Prilleltensky &amp; Nelson, 2012;</w:t>
      </w:r>
      <w:r w:rsidRPr="00446A7C">
        <w:rPr>
          <w:rFonts w:cs="Times New Roman"/>
          <w:szCs w:val="24"/>
        </w:rPr>
        <w:t xml:space="preserve"> </w:t>
      </w:r>
      <w:r w:rsidRPr="00446A7C">
        <w:rPr>
          <w:rFonts w:cs="Times New Roman"/>
          <w:bCs/>
          <w:szCs w:val="24"/>
        </w:rPr>
        <w:t xml:space="preserve">Alsop &amp; Heinsohn, 2005). </w:t>
      </w:r>
      <w:bookmarkEnd w:id="40"/>
      <w:r w:rsidRPr="00446A7C">
        <w:rPr>
          <w:rFonts w:cs="Times New Roman"/>
          <w:bCs/>
          <w:szCs w:val="24"/>
        </w:rPr>
        <w:t>This is to say that, since the empowerment theory looks at individual and community-based empowerment, it overlooks the broader social power dynamics such as societal norms and institutional hierarchy or bureaucracies, that limit people’s ability to fully participate and engage with interventions geared towards empowerment.</w:t>
      </w:r>
    </w:p>
    <w:p w14:paraId="677E113A" w14:textId="77777777" w:rsidR="0008415E" w:rsidRPr="00446A7C" w:rsidRDefault="0008415E" w:rsidP="00371F7B">
      <w:pPr>
        <w:pStyle w:val="NoSpacing"/>
      </w:pPr>
    </w:p>
    <w:p w14:paraId="6A67C791"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Despite the backlash, the theory of empowerment is highly relevant and frequently applied in social protection programmes. This is because, these programmes aim to reduce poverty, vulnerability, and social exclusion by providing individuals and families with access to essential services, resources, and opportunities. The empowerment theory emphasizes the importance of fostering agency, autonomy, and participation in social protection interventions (Narayan et al., 2000). Scholars suggests that integrating empowerment approaches into social protection initiatives can enhance their effectiveness and sustainability (</w:t>
      </w:r>
      <w:bookmarkStart w:id="41" w:name="_Hlk159337903"/>
      <w:r w:rsidRPr="00446A7C">
        <w:rPr>
          <w:rFonts w:cs="Times New Roman"/>
          <w:bCs/>
          <w:szCs w:val="24"/>
        </w:rPr>
        <w:t>Haque &amp; Sweetman, 2015</w:t>
      </w:r>
      <w:bookmarkEnd w:id="41"/>
      <w:r w:rsidRPr="00446A7C">
        <w:rPr>
          <w:rFonts w:cs="Times New Roman"/>
          <w:bCs/>
          <w:szCs w:val="24"/>
        </w:rPr>
        <w:t xml:space="preserve">). This is because the theory recognises that poverty is not solely a result of individual </w:t>
      </w:r>
      <w:r w:rsidRPr="00446A7C">
        <w:rPr>
          <w:rFonts w:cs="Times New Roman"/>
          <w:bCs/>
          <w:szCs w:val="24"/>
        </w:rPr>
        <w:lastRenderedPageBreak/>
        <w:t>deficiencies but is also influenced by other factors such as structural barriers, unequal power relations, and limited access to resources and opportunities (Perkins &amp; Zimmerman, 1995).</w:t>
      </w:r>
      <w:bookmarkStart w:id="42" w:name="_Hlk128476512"/>
      <w:bookmarkStart w:id="43" w:name="_Hlk128472857"/>
      <w:r w:rsidRPr="00446A7C">
        <w:rPr>
          <w:rFonts w:cs="Times New Roman"/>
          <w:bCs/>
          <w:szCs w:val="24"/>
        </w:rPr>
        <w:t xml:space="preserve"> Integrating the</w:t>
      </w:r>
      <w:r w:rsidRPr="00446A7C">
        <w:rPr>
          <w:rFonts w:cs="Times New Roman"/>
          <w:szCs w:val="24"/>
        </w:rPr>
        <w:t xml:space="preserve"> </w:t>
      </w:r>
      <w:r w:rsidRPr="00446A7C">
        <w:rPr>
          <w:rFonts w:cs="Times New Roman"/>
          <w:bCs/>
          <w:szCs w:val="24"/>
        </w:rPr>
        <w:t xml:space="preserve">empowerment theory in cash transfers under social protection programme particularly LEAP, suggests these cash transfers can contribute to empowerment by increasing recipients' economic autonomy, decision-making power, and access to resources (Adato &amp; Roopnaraine, 2014; Bastagli et al., 2016). </w:t>
      </w:r>
    </w:p>
    <w:p w14:paraId="2A5FFC4A" w14:textId="77777777" w:rsidR="0008415E" w:rsidRPr="00446A7C" w:rsidRDefault="0008415E" w:rsidP="00371F7B">
      <w:pPr>
        <w:pStyle w:val="NoSpacing"/>
      </w:pPr>
    </w:p>
    <w:p w14:paraId="3F5E6AF7"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Moreover, the cash transfers provided by LEAP can serve as a platform for promoting broader forms of empowerment, such as social and political participation. For instance, LEAP programme requires recipients to fulfil certain criteria, such as attending school or participating in health screenings, which can encourage beneficiaries to engage with public institutions and demand accountability (see O'Brien &amp; Garcia, 2015). Additionally, the cash provided to beneficiaries encourage financial literacy training and support women's economic activities which further enhance beneficiaries' empowerment outcomes (Hidrobo et al., 2014). By adopting the empowerment theory in LEAP programme, organizations and policymakers can promote sustainable poverty reduction by focusing on building individuals' capabilities, enhancing their agency, and addressing structural factors that perpetuate poverty and inequality.</w:t>
      </w:r>
      <w:r w:rsidRPr="00446A7C">
        <w:rPr>
          <w:rFonts w:cs="Times New Roman"/>
          <w:szCs w:val="24"/>
        </w:rPr>
        <w:t xml:space="preserve"> </w:t>
      </w:r>
      <w:r w:rsidRPr="00446A7C">
        <w:rPr>
          <w:rFonts w:cs="Times New Roman"/>
          <w:bCs/>
          <w:szCs w:val="24"/>
        </w:rPr>
        <w:t>It also helps in explaining the implementation and design of the LEAP programme and how beneficiaries are able to access the services provided by the programme.</w:t>
      </w:r>
      <w:bookmarkEnd w:id="42"/>
      <w:bookmarkEnd w:id="43"/>
    </w:p>
    <w:p w14:paraId="243A5588" w14:textId="77777777" w:rsidR="0008415E" w:rsidRPr="00446A7C" w:rsidRDefault="00000000">
      <w:pPr>
        <w:pStyle w:val="Heading3"/>
      </w:pPr>
      <w:bookmarkStart w:id="44" w:name="_Toc171703206"/>
      <w:r w:rsidRPr="00446A7C">
        <w:t>2.2.2 Theory of Technological Determinism (TD)</w:t>
      </w:r>
      <w:bookmarkEnd w:id="44"/>
    </w:p>
    <w:p w14:paraId="6CF0070A"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Technology is changing society in ways that have become incomprehensible. New technologies have a great tendency of influencing social life once they are developed </w:t>
      </w:r>
      <w:r w:rsidRPr="00446A7C">
        <w:rPr>
          <w:rFonts w:cs="Times New Roman"/>
          <w:bCs/>
          <w:szCs w:val="24"/>
        </w:rPr>
        <w:lastRenderedPageBreak/>
        <w:t xml:space="preserve">and made available to the public. The creation of social networks has allowed people to share ideas, make decisions and transact business all over the globe (Hauer, 2017). The theory of technological determinism holds that, technological advancements have a direct and transformative impact on various aspects of human life, including culture, politics, economy, and social relationships </w:t>
      </w:r>
      <w:bookmarkStart w:id="45" w:name="_Hlk149652914"/>
      <w:r w:rsidRPr="00446A7C">
        <w:rPr>
          <w:rFonts w:cs="Times New Roman"/>
          <w:bCs/>
          <w:szCs w:val="24"/>
        </w:rPr>
        <w:t>(Hauer, 2017).</w:t>
      </w:r>
      <w:r w:rsidRPr="00446A7C">
        <w:rPr>
          <w:rFonts w:cs="Times New Roman"/>
          <w:szCs w:val="24"/>
        </w:rPr>
        <w:t xml:space="preserve"> </w:t>
      </w:r>
      <w:bookmarkEnd w:id="45"/>
      <w:r w:rsidRPr="00446A7C">
        <w:rPr>
          <w:rFonts w:cs="Times New Roman"/>
          <w:bCs/>
          <w:szCs w:val="24"/>
        </w:rPr>
        <w:t xml:space="preserve">For instance, the advent of the internet and digital communication technologies has radically transformed the way people communicate, access information, and engage in social interactions. But how it transforms and/or can transform social protection interventions requires further scrutiny. The rise of social media platforms, such as Facebook, Instagram, TikTok, Snapchat and Twitter (now X), has significantly impacted political discourse, activism, public opinion formation and formulation of social protection interventions (Castells, 2010). </w:t>
      </w:r>
    </w:p>
    <w:p w14:paraId="4F4AF328" w14:textId="77777777" w:rsidR="0008415E" w:rsidRPr="00446A7C" w:rsidRDefault="0008415E" w:rsidP="00371F7B">
      <w:pPr>
        <w:pStyle w:val="NoSpacing"/>
      </w:pPr>
    </w:p>
    <w:p w14:paraId="095F2E5C" w14:textId="77777777" w:rsidR="0008415E" w:rsidRDefault="00000000">
      <w:pPr>
        <w:spacing w:line="480" w:lineRule="auto"/>
        <w:ind w:firstLine="0"/>
        <w:contextualSpacing/>
        <w:jc w:val="both"/>
        <w:rPr>
          <w:rFonts w:cs="Times New Roman"/>
          <w:bCs/>
          <w:szCs w:val="24"/>
        </w:rPr>
      </w:pPr>
      <w:r w:rsidRPr="00446A7C">
        <w:rPr>
          <w:rFonts w:cs="Times New Roman"/>
          <w:bCs/>
          <w:szCs w:val="24"/>
        </w:rPr>
        <w:t>The theory of technological determinism is mostly attributed to American sociologist Thorstein Veblen (1857–1929). Technological determinists assert that society is influenced and shaped by technology. They suggest that any negative consequences of technological advancement result from its human use (Hauer, 2017). Two aspects of technological determinism have been identified: Soft determinism and hard determinism (</w:t>
      </w:r>
      <w:r w:rsidRPr="00446A7C">
        <w:rPr>
          <w:rFonts w:cs="Times New Roman"/>
          <w:bCs/>
          <w:szCs w:val="24"/>
          <w:lang w:val="en-US"/>
        </w:rPr>
        <w:t>Kanekar, 2022)</w:t>
      </w:r>
      <w:r w:rsidRPr="00446A7C">
        <w:rPr>
          <w:rFonts w:cs="Times New Roman"/>
          <w:bCs/>
          <w:szCs w:val="24"/>
        </w:rPr>
        <w:t>. Soft determinism acknowledges technology as a driver of social change. It views technology's role in propelling social change, recognizing its ability to shape behaviours, norms, and institutions.</w:t>
      </w:r>
      <w:r w:rsidRPr="00446A7C">
        <w:rPr>
          <w:rFonts w:cs="Times New Roman"/>
          <w:szCs w:val="24"/>
        </w:rPr>
        <w:t xml:space="preserve"> </w:t>
      </w:r>
      <w:r w:rsidRPr="00446A7C">
        <w:rPr>
          <w:rFonts w:cs="Times New Roman"/>
          <w:bCs/>
          <w:szCs w:val="24"/>
        </w:rPr>
        <w:t>For instance, the evolution of communication technology, such as the internet and social media platforms, has revolutionized how people interact and share information.</w:t>
      </w:r>
      <w:r w:rsidRPr="00446A7C">
        <w:rPr>
          <w:rFonts w:cs="Times New Roman"/>
          <w:szCs w:val="24"/>
        </w:rPr>
        <w:t xml:space="preserve"> </w:t>
      </w:r>
      <w:r w:rsidRPr="00446A7C">
        <w:rPr>
          <w:rFonts w:cs="Times New Roman"/>
          <w:bCs/>
          <w:szCs w:val="24"/>
        </w:rPr>
        <w:t>This technological shift has prompted discussions on education, retraining, and the future of work, influencing societal perspectives on employment and economic policies.</w:t>
      </w:r>
    </w:p>
    <w:p w14:paraId="55910B9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Hard determinist contends that, once technology permeates society, it reshapes social structures, norms, and behaviours. Hard determinism views these changes as predetermined outcomes of technological development, where individuals must adapt to the altered social landscape without the ability to alter the technology's trajectory or its societal effects</w:t>
      </w:r>
      <w:bookmarkStart w:id="46" w:name="_Hlk151958701"/>
      <w:r w:rsidRPr="00446A7C">
        <w:rPr>
          <w:rFonts w:cs="Times New Roman"/>
          <w:bCs/>
          <w:szCs w:val="24"/>
        </w:rPr>
        <w:t xml:space="preserve"> (</w:t>
      </w:r>
      <w:bookmarkStart w:id="47" w:name="_Hlk159401869"/>
      <w:r w:rsidRPr="00446A7C">
        <w:rPr>
          <w:rFonts w:cs="Times New Roman"/>
          <w:bCs/>
          <w:szCs w:val="24"/>
        </w:rPr>
        <w:t xml:space="preserve">Marie,1972; </w:t>
      </w:r>
      <w:bookmarkEnd w:id="47"/>
      <w:r w:rsidRPr="00446A7C">
        <w:rPr>
          <w:rFonts w:cs="Times New Roman"/>
          <w:bCs/>
          <w:szCs w:val="24"/>
        </w:rPr>
        <w:t>Hauer, 2017).</w:t>
      </w:r>
      <w:bookmarkEnd w:id="46"/>
      <w:r w:rsidRPr="00446A7C">
        <w:rPr>
          <w:rFonts w:cs="Times New Roman"/>
          <w:bCs/>
          <w:szCs w:val="24"/>
        </w:rPr>
        <w:t xml:space="preserve"> These forces include scientific discoveries, economic imperatives, and societal demands, which propel technological advancement regardless of individual desires or interventions (Marie, 1972). This can be seen in the recent advancements in technology where individuals adapt to the mobile phone usages regardless of personal preferences.</w:t>
      </w:r>
    </w:p>
    <w:p w14:paraId="3876B902" w14:textId="77777777" w:rsidR="0008415E" w:rsidRPr="00446A7C" w:rsidRDefault="0008415E" w:rsidP="00371F7B">
      <w:pPr>
        <w:pStyle w:val="NoSpacing"/>
      </w:pPr>
    </w:p>
    <w:p w14:paraId="3DA4660E"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Social protection programmes increasingly rely on technology for efficient delivery. For example, biometric authentication systems streamline identification processes, reducing fraud and ensuring accurate targeting of beneficiaries (Devereux &amp;Vincent, 2010). Technology enhances access to social protection services, especially in remote areas. Cash transfer programmes under social protection now rely on technology to facilitate the programme implementation. For example, biometric identification and digital payment systems are now heavily used to streamline distribution processes, enhancing efficiency and reducing leakages (Devereux &amp;Vincent, 2010). Also, Mobile applications and online platforms enable individuals to register, apply, and receive benefits conveniently, reducing barriers to entry (Gelb &amp; Mukherjee, 2020).</w:t>
      </w:r>
    </w:p>
    <w:p w14:paraId="66EC093D" w14:textId="77777777" w:rsidR="0008415E" w:rsidRPr="00446A7C" w:rsidRDefault="0008415E" w:rsidP="00371F7B">
      <w:pPr>
        <w:pStyle w:val="NoSpacing"/>
      </w:pPr>
    </w:p>
    <w:p w14:paraId="082B676B"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However, critics of the theory of technological determinism argue that the success of social protection programmes is not solely dependent on the introduction of technology, but it is influenced by some contextual factors which can be social, economic or political in nature (Winner, 1986). For instance, the availability of supporting infrastructure (Janssen et al., 2014) is crucial for effective utilization of </w:t>
      </w:r>
      <w:r w:rsidRPr="00446A7C">
        <w:rPr>
          <w:rFonts w:cs="Times New Roman"/>
          <w:bCs/>
          <w:szCs w:val="24"/>
        </w:rPr>
        <w:lastRenderedPageBreak/>
        <w:t xml:space="preserve">technology in enhancing livelihoods. Furthermore, digital literacy levels challenge the deterministic view of technology by highlighting the agency of individuals in navigating their digital environment (Bukingham, 2007). In Indonesia, </w:t>
      </w:r>
      <w:r w:rsidRPr="00446A7C">
        <w:rPr>
          <w:rFonts w:cs="Times New Roman"/>
          <w:bCs/>
          <w:szCs w:val="24"/>
          <w:lang w:val="en-US"/>
        </w:rPr>
        <w:t xml:space="preserve">a study on youth digital literacy highlights the importance of digital literacy among youth for community development (Setiadi et al., 2023). It emphasizes the role of digital literacy in enabling young people to actively participate in programmes that fosters community empowerment. This   aligns with the idea that digital literacy is a crucial factor for </w:t>
      </w:r>
      <w:bookmarkStart w:id="48" w:name="_Hlk150047962"/>
      <w:r w:rsidRPr="00446A7C">
        <w:rPr>
          <w:rFonts w:cs="Times New Roman"/>
          <w:bCs/>
          <w:szCs w:val="24"/>
          <w:lang w:val="en-US"/>
        </w:rPr>
        <w:t>empowerment</w:t>
      </w:r>
      <w:bookmarkStart w:id="49" w:name="_Hlk159093242"/>
      <w:r w:rsidRPr="00446A7C">
        <w:rPr>
          <w:rFonts w:cs="Times New Roman"/>
          <w:bCs/>
          <w:szCs w:val="24"/>
          <w:lang w:val="en-US"/>
        </w:rPr>
        <w:t xml:space="preserve">. </w:t>
      </w:r>
      <w:bookmarkEnd w:id="48"/>
      <w:bookmarkEnd w:id="49"/>
      <w:r w:rsidRPr="00446A7C">
        <w:rPr>
          <w:rFonts w:cs="Times New Roman"/>
          <w:bCs/>
          <w:szCs w:val="24"/>
        </w:rPr>
        <w:t>Critics also highlights that, social and cultural context of the target populations challenges the deterministic view of technology (</w:t>
      </w:r>
      <w:r w:rsidRPr="00446A7C">
        <w:rPr>
          <w:rFonts w:cs="Times New Roman"/>
          <w:bCs/>
          <w:szCs w:val="24"/>
          <w:lang w:val="en-US"/>
        </w:rPr>
        <w:t xml:space="preserve">Chandler, 1995; </w:t>
      </w:r>
      <w:r w:rsidRPr="00446A7C">
        <w:rPr>
          <w:rFonts w:cs="Times New Roman"/>
          <w:bCs/>
          <w:szCs w:val="24"/>
        </w:rPr>
        <w:t>Gillespie, 2018). Therefore, ignoring these contextual factors can lead to the exclusion of certain groups or the disruption of existing livelihood practices in the implementation of social protection programmes.</w:t>
      </w:r>
    </w:p>
    <w:p w14:paraId="042B29D3" w14:textId="77777777" w:rsidR="0008415E" w:rsidRPr="00446A7C" w:rsidRDefault="0008415E" w:rsidP="00371F7B">
      <w:pPr>
        <w:pStyle w:val="NoSpacing"/>
      </w:pPr>
    </w:p>
    <w:p w14:paraId="06F02EBD" w14:textId="2F2E65E0" w:rsidR="0008415E" w:rsidRPr="00446A7C" w:rsidRDefault="00000000">
      <w:pPr>
        <w:spacing w:line="480" w:lineRule="auto"/>
        <w:ind w:firstLine="0"/>
        <w:contextualSpacing/>
        <w:jc w:val="both"/>
        <w:rPr>
          <w:rFonts w:cs="Times New Roman"/>
          <w:szCs w:val="24"/>
        </w:rPr>
      </w:pPr>
      <w:r w:rsidRPr="00446A7C">
        <w:rPr>
          <w:rFonts w:cs="Times New Roman"/>
          <w:bCs/>
          <w:szCs w:val="24"/>
        </w:rPr>
        <w:t xml:space="preserve">Despite these backlash, technological determinism has implications for livelihood empowerment programmes. Livelihood empowerment programmes aim to improve the economic well-being and self-sufficiency of individuals and communities by providing them with the skills, resources and opportunities to generate income and improve their living conditions (UNDP, 2015). In this regard technological determinism suggests that the introduction and utilization of appropriate technologies can have a transformative impact on individuals' livelihoods. </w:t>
      </w:r>
      <w:bookmarkStart w:id="50" w:name="_Hlk151958951"/>
      <w:r w:rsidRPr="00446A7C">
        <w:rPr>
          <w:rFonts w:cs="Times New Roman"/>
          <w:bCs/>
          <w:szCs w:val="24"/>
        </w:rPr>
        <w:t xml:space="preserve">By adopting and integrating technology into their work and business practices, participants in these programmes can enhance their productivity, efficiency, and market competitiveness (Kaplinsky, 2011). </w:t>
      </w:r>
      <w:bookmarkEnd w:id="50"/>
      <w:r w:rsidRPr="00446A7C">
        <w:rPr>
          <w:rFonts w:cs="Times New Roman"/>
          <w:bCs/>
          <w:szCs w:val="24"/>
        </w:rPr>
        <w:t xml:space="preserve">The assumption that technology exerts a significant influence on addressing social needs can be seen in most governments’ initiatives (Medosch, </w:t>
      </w:r>
      <w:r w:rsidRPr="00446A7C">
        <w:rPr>
          <w:rFonts w:cs="Times New Roman"/>
          <w:bCs/>
          <w:szCs w:val="24"/>
        </w:rPr>
        <w:lastRenderedPageBreak/>
        <w:t xml:space="preserve">2005). Social intervention programmes have particularly adopted technology as means of aiding the delivery and improving condition of service. </w:t>
      </w:r>
      <w:r w:rsidRPr="00446A7C">
        <w:rPr>
          <w:rFonts w:cs="Times New Roman"/>
          <w:szCs w:val="24"/>
        </w:rPr>
        <w:t xml:space="preserve"> </w:t>
      </w:r>
    </w:p>
    <w:p w14:paraId="28F3DF08"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For instance, digital technology has been adopted in the health sector to deliver health care information and services through smart phones and tablets to remote areas. These initiatives can include telemedicine, where healthcare professionals remotely diagnose and treat patients, or health education programmes delivered through mobile apps or text messaging services. Examples include: the ‘Talk space’, which is an online therapy platform that connects individuals with licensed therapists via text, voice, or video chat, allowing people to access mental health support conveniently (Schwartzman, 2022) and mHealth app "mDoc" in Nigeria, which provides remote consultations and health monitoring for chronic disease management (Smith, 2019). </w:t>
      </w:r>
    </w:p>
    <w:p w14:paraId="2EC00089" w14:textId="77777777" w:rsidR="0008415E" w:rsidRPr="00446A7C" w:rsidRDefault="0008415E" w:rsidP="00371F7B">
      <w:pPr>
        <w:pStyle w:val="NoSpacing"/>
      </w:pPr>
    </w:p>
    <w:p w14:paraId="16E15E51"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Again, Technology has revolutionized education by providing access to learning resources and educational content through online platforms. Social intervention programmes that focus on education can use e-learning platforms to provide remote learning opportunities, especially for disadvantaged populations. Platforms like Khan Academy and Coursera offer free online courses and educational materials to learners worldwide (Arnavut et al., 2019). Financial technology, or fintech, has yet again played a crucial role in enhancing financial inclusion and access to banking services for underserved populations (Beck, 2020). Mobile banking, digital wallets, and microfinance platforms have made it easier for individuals in remote areas to access financial services and manage their finances. For instance, M-Pesa in Kenya is a widely known mobile money service that allows users to send and receive money, pay bills, and access other financial services through their mobile phones (Ndung’u, 2018).</w:t>
      </w:r>
    </w:p>
    <w:p w14:paraId="1D24292C" w14:textId="77777777" w:rsidR="0008415E" w:rsidRPr="00446A7C" w:rsidRDefault="00000000">
      <w:pPr>
        <w:spacing w:line="480" w:lineRule="auto"/>
        <w:ind w:firstLine="0"/>
        <w:contextualSpacing/>
        <w:jc w:val="both"/>
        <w:rPr>
          <w:rFonts w:cs="Times New Roman"/>
          <w:szCs w:val="24"/>
          <w:lang w:val="en-US"/>
        </w:rPr>
      </w:pPr>
      <w:r w:rsidRPr="00446A7C">
        <w:rPr>
          <w:rFonts w:cs="Times New Roman"/>
          <w:szCs w:val="24"/>
        </w:rPr>
        <w:lastRenderedPageBreak/>
        <w:t xml:space="preserve">Therefore, while technological determinism emphasizes the transformative potential of technology, it is essential for LEAP programme to consider the broader socio-economic context, local needs, and the capacity of participants to effectively adopt and utilize technology. Additionally, ensuring equitable access to digital technology and addressing any potential negative consequences, such as the digital divide or displacement of traditional livelihoods, should also be part of programme planning and implementation. </w:t>
      </w:r>
      <w:r w:rsidRPr="00446A7C">
        <w:rPr>
          <w:rFonts w:cs="Times New Roman"/>
          <w:szCs w:val="24"/>
          <w:lang w:val="en-US"/>
        </w:rPr>
        <w:t>To put the theoretical issues into perspective, a discussion on some of the key relevant concepts driving the study are necessary.</w:t>
      </w:r>
    </w:p>
    <w:p w14:paraId="0F4C3ABB" w14:textId="77777777" w:rsidR="0008415E" w:rsidRPr="00446A7C" w:rsidRDefault="00000000">
      <w:pPr>
        <w:pStyle w:val="Heading2"/>
        <w:rPr>
          <w:rFonts w:cs="Times New Roman"/>
          <w:szCs w:val="24"/>
        </w:rPr>
      </w:pPr>
      <w:bookmarkStart w:id="51" w:name="_Toc171703207"/>
      <w:r w:rsidRPr="00446A7C">
        <w:rPr>
          <w:rFonts w:cs="Times New Roman"/>
          <w:szCs w:val="24"/>
        </w:rPr>
        <w:t>2.3 Conceptual Review</w:t>
      </w:r>
      <w:bookmarkEnd w:id="51"/>
    </w:p>
    <w:p w14:paraId="7A75BED1" w14:textId="77777777" w:rsidR="0008415E" w:rsidRPr="00446A7C" w:rsidRDefault="00000000">
      <w:pPr>
        <w:spacing w:line="480" w:lineRule="auto"/>
        <w:ind w:firstLine="0"/>
        <w:contextualSpacing/>
        <w:jc w:val="both"/>
        <w:rPr>
          <w:rFonts w:cs="Times New Roman"/>
          <w:szCs w:val="24"/>
        </w:rPr>
      </w:pPr>
      <w:r w:rsidRPr="00446A7C">
        <w:rPr>
          <w:rFonts w:cs="Times New Roman"/>
          <w:bCs/>
          <w:szCs w:val="24"/>
        </w:rPr>
        <w:t xml:space="preserve">The Conceptual review of a study serves as an important component of the research study. The review of concepts aids in the identification of critical variables which provides in-depth knowledge of the study area, and refines the problem statement </w:t>
      </w:r>
      <w:r w:rsidRPr="00446A7C">
        <w:rPr>
          <w:rFonts w:cs="Times New Roman"/>
          <w:szCs w:val="24"/>
        </w:rPr>
        <w:fldChar w:fldCharType="begin"/>
      </w:r>
      <w:r w:rsidRPr="00446A7C">
        <w:rPr>
          <w:rFonts w:cs="Times New Roman"/>
          <w:bCs/>
          <w:szCs w:val="24"/>
        </w:rPr>
        <w:instrText>ADDIN CSL_CITATION {"citationItems":[{"id":"ITEM-1","itemData":{"ISBN":"9781849203005","author":[{"dropping-particle":"","family":"Kumar","given":"Ranjit","non-dropping-particle":"","parse-names":false,"suffix":""}],"edition":"3rd editio","id":"ITEM-1","issued":{"date-parts":[["2011"]]},"number-of-pages":"366","title":"Research methodology","type":"book"},"uris":["http://www.mendeley.com/documents/?uuid=3f282246-1719-4817-948b-d15ee338cf8f"]},{"id":"ITEM-2","itemData":{"ISBN":"0205318479","author":[{"dropping-particle":"","family":"Berg","given":"Bruce L","non-dropping-particle":"","parse-names":false,"suffix":""}],"edition":"4th editio","id":"ITEM-2","issued":{"date-parts":[["2001"]]},"number-of-pages":"321","title":"Qualitative research methods for Social Sciences","type":"book"},"uris":["http://www.mendeley.com/documents/?uuid=829217e7-f174-4306-ae2a-535b8d61132b"]}],"mendeley":{"formattedCitation":"(Berg, 2001; Kumar, 2011)","manualFormatting":"(Berg, 2001; Kumar, 2011)","plainTextFormattedCitation":"(Berg, 2001; Kumar, 2011)","previouslyFormattedCitation":"(Berg, 2001; Kumar, 2011)"},"properties":{"noteIndex":0},"schema":"https://github.com/citation-style-language/schema/raw/master/csl-citation.json"}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 xml:space="preserve">(Berg, 2001). </w:t>
      </w:r>
      <w:r w:rsidRPr="00446A7C">
        <w:rPr>
          <w:rFonts w:cs="Times New Roman"/>
          <w:bCs/>
          <w:szCs w:val="24"/>
        </w:rPr>
        <w:fldChar w:fldCharType="end"/>
      </w:r>
      <w:r w:rsidRPr="00446A7C">
        <w:rPr>
          <w:rFonts w:cs="Times New Roman"/>
          <w:szCs w:val="24"/>
        </w:rPr>
        <w:t>The focal concepts reviewed include poverty, social protection and cash transfers. Others were around digital technology in delivering social protection programmes especially cash transfers.</w:t>
      </w:r>
    </w:p>
    <w:p w14:paraId="1226628C" w14:textId="77777777" w:rsidR="0008415E" w:rsidRPr="00446A7C" w:rsidRDefault="00000000">
      <w:pPr>
        <w:pStyle w:val="Heading3"/>
      </w:pPr>
      <w:bookmarkStart w:id="52" w:name="_Toc171703208"/>
      <w:r w:rsidRPr="00446A7C">
        <w:t>2.3.1 Conceptual Perspective on Poverty</w:t>
      </w:r>
      <w:bookmarkEnd w:id="52"/>
    </w:p>
    <w:p w14:paraId="659F49D5"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Poverty can be defined as a state of economic deprivation characterized by the lack of access to necessities required for a decent standard of living (</w:t>
      </w:r>
      <w:r w:rsidRPr="00446A7C">
        <w:rPr>
          <w:rFonts w:cs="Times New Roman"/>
          <w:bCs/>
          <w:szCs w:val="24"/>
          <w:lang w:val="en-US"/>
        </w:rPr>
        <w:t>Townsend, 2006</w:t>
      </w:r>
      <w:r w:rsidRPr="00446A7C">
        <w:rPr>
          <w:rFonts w:cs="Times New Roman"/>
          <w:bCs/>
          <w:szCs w:val="24"/>
        </w:rPr>
        <w:t xml:space="preserve">). This deprivation encompasses a range of dimensions, including inadequate income, limited access to education and healthcare, substandard housing, and food insecurity (Alkire et al., 2023). Furthermore, poverty is often intertwined with broader structural inequalities, such as unequal distribution of wealth, discrimination, and systemic barriers to socio-economic advancement (Sen, 1999). These interconnected factors contribute to the perpetuation of poverty cycles, trapping individuals and communities in persistent deprivation (Deaton, 2019). Therefore, understanding poverty requires a </w:t>
      </w:r>
      <w:r w:rsidRPr="00446A7C">
        <w:rPr>
          <w:rFonts w:cs="Times New Roman"/>
          <w:bCs/>
          <w:szCs w:val="24"/>
        </w:rPr>
        <w:lastRenderedPageBreak/>
        <w:t>holistic examination of its multi-dimensional nature and the complex interplay of socio-economic factors that underpin it.</w:t>
      </w:r>
    </w:p>
    <w:p w14:paraId="7BF61C35" w14:textId="2207030A"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According to Devereux (2002), there are three factors which lead people into income poverty and or consumption poverty. </w:t>
      </w:r>
    </w:p>
    <w:p w14:paraId="2BA51956" w14:textId="77777777" w:rsidR="0008415E" w:rsidRPr="001F0AB7" w:rsidRDefault="00000000" w:rsidP="001F0AB7">
      <w:pPr>
        <w:pStyle w:val="ListParagraph"/>
        <w:numPr>
          <w:ilvl w:val="0"/>
          <w:numId w:val="19"/>
        </w:numPr>
        <w:spacing w:line="480" w:lineRule="auto"/>
        <w:jc w:val="both"/>
        <w:rPr>
          <w:rFonts w:cs="Times New Roman"/>
          <w:bCs/>
          <w:szCs w:val="24"/>
        </w:rPr>
      </w:pPr>
      <w:r w:rsidRPr="001F0AB7">
        <w:rPr>
          <w:rFonts w:cs="Times New Roman"/>
          <w:bCs/>
          <w:szCs w:val="24"/>
        </w:rPr>
        <w:t>Low productivity: this occurs when there is a low return for labour and other productive assets. Low productivity leads to chronic poverty. Chronically poor individuals or households are unable to maintain a minimum living standard per available resources at their disposal.</w:t>
      </w:r>
    </w:p>
    <w:p w14:paraId="77C9CA49" w14:textId="77777777" w:rsidR="0008415E" w:rsidRPr="001F0AB7" w:rsidRDefault="00000000" w:rsidP="001F0AB7">
      <w:pPr>
        <w:pStyle w:val="ListParagraph"/>
        <w:numPr>
          <w:ilvl w:val="0"/>
          <w:numId w:val="19"/>
        </w:numPr>
        <w:tabs>
          <w:tab w:val="left" w:pos="720"/>
          <w:tab w:val="left" w:pos="1440"/>
          <w:tab w:val="left" w:pos="2160"/>
          <w:tab w:val="left" w:pos="2560"/>
        </w:tabs>
        <w:spacing w:line="480" w:lineRule="auto"/>
        <w:jc w:val="both"/>
        <w:rPr>
          <w:rFonts w:cs="Times New Roman"/>
          <w:bCs/>
          <w:szCs w:val="24"/>
        </w:rPr>
      </w:pPr>
      <w:r w:rsidRPr="001F0AB7">
        <w:rPr>
          <w:rFonts w:cs="Times New Roman"/>
          <w:bCs/>
          <w:szCs w:val="24"/>
        </w:rPr>
        <w:t>Vulnerability: this occurs when an individual or household is susceptible to risks and shocks either shaped by low-income capacity, and/or consumption. Transitory poverty is caused by vulnerability.</w:t>
      </w:r>
    </w:p>
    <w:p w14:paraId="13624EC1" w14:textId="77777777" w:rsidR="0008415E" w:rsidRDefault="00000000" w:rsidP="001F0AB7">
      <w:pPr>
        <w:pStyle w:val="ListParagraph"/>
        <w:numPr>
          <w:ilvl w:val="0"/>
          <w:numId w:val="19"/>
        </w:numPr>
        <w:spacing w:line="480" w:lineRule="auto"/>
        <w:jc w:val="both"/>
        <w:rPr>
          <w:rFonts w:cs="Times New Roman"/>
          <w:bCs/>
          <w:szCs w:val="24"/>
        </w:rPr>
      </w:pPr>
      <w:r w:rsidRPr="001F0AB7">
        <w:rPr>
          <w:rFonts w:cs="Times New Roman"/>
          <w:bCs/>
          <w:szCs w:val="24"/>
        </w:rPr>
        <w:t>Dependency: these result from an individual’s inability to generate independent livelihood due to their inability to engage active work.  For examples due to old age, children, mentally or physical disability.</w:t>
      </w:r>
    </w:p>
    <w:p w14:paraId="5F9A5CE2" w14:textId="77777777" w:rsidR="00371F7B" w:rsidRDefault="00371F7B" w:rsidP="00371F7B">
      <w:pPr>
        <w:pStyle w:val="NoSpacing"/>
      </w:pPr>
    </w:p>
    <w:p w14:paraId="3D73FBE2" w14:textId="7EE2D88C" w:rsidR="0008415E" w:rsidRPr="00446A7C" w:rsidRDefault="00000000" w:rsidP="001F0AB7">
      <w:pPr>
        <w:pStyle w:val="Heading4"/>
      </w:pPr>
      <w:bookmarkStart w:id="53" w:name="_Toc171703209"/>
      <w:r w:rsidRPr="00446A7C">
        <w:t>2.3.1.1 Exploring the Multifaceted Approaches to Poverty</w:t>
      </w:r>
      <w:bookmarkEnd w:id="53"/>
    </w:p>
    <w:p w14:paraId="2592E8AA" w14:textId="77777777" w:rsidR="0008415E" w:rsidRPr="001F0AB7" w:rsidRDefault="00000000" w:rsidP="001F0AB7">
      <w:pPr>
        <w:ind w:firstLine="0"/>
        <w:rPr>
          <w:b/>
          <w:bCs/>
        </w:rPr>
      </w:pPr>
      <w:r w:rsidRPr="001F0AB7">
        <w:rPr>
          <w:b/>
          <w:bCs/>
        </w:rPr>
        <w:t>2.3.1.1.1 Monetary poverty</w:t>
      </w:r>
    </w:p>
    <w:p w14:paraId="0FF49A40"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Monetary poverty refers to the lack of income or financial resources necessary to meet basic needs and maintain a decent standard of living. In recent years, efforts to understand and address monetary poverty have been ongoing, particularly in the context of developing countries. Monetary poverty remains a significant challenge in many parts of the world. For example, in Sub-Saharan Africa, a substantial proportion of the population still lives below the international poverty line, defined as earning less than $1.90 per day (World Bank, 2021). Similarly, in South Asia, despite significant progress in reducing poverty rates, millions of people continue to </w:t>
      </w:r>
      <w:r w:rsidRPr="00446A7C">
        <w:rPr>
          <w:rFonts w:cs="Times New Roman"/>
          <w:bCs/>
          <w:szCs w:val="24"/>
        </w:rPr>
        <w:lastRenderedPageBreak/>
        <w:t>experience monetary poverty due to factors such as low wages, limited employment opportunities, and economic vulnerability (World Bank, 2021).</w:t>
      </w:r>
    </w:p>
    <w:p w14:paraId="46F63AF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Efforts to combat monetary poverty often involve policies and programmes aimed at improving income levels, promoting economic growth, and providing social safety nets for vulnerable populations. For instance, cash transfer programmes, such as the Ghana Livelihood Empowerment Against Poverty programme (Handa &amp; Park, 2022; Debrah, 2013) as well as Bolsa Família in Brazil and the Juntos programme in Peru, provide direct financial assistance to low-income families, helping to alleviate monetary poverty and improve household welfare (Fiszbein &amp; Schady, 2009; Araujo &amp; Bosch, 2019). In spite of these interventions, addressing monetary poverty remains a complex and ongoing challenge that requires coordinated efforts from governments, international organizations, and civil society to implement effective policies and programmes targeting the root causes of poverty and promote sustainable economic development.</w:t>
      </w:r>
    </w:p>
    <w:p w14:paraId="6F4129F0" w14:textId="77777777" w:rsidR="0008415E" w:rsidRPr="001F0AB7" w:rsidRDefault="00000000" w:rsidP="001F0AB7">
      <w:pPr>
        <w:ind w:firstLine="0"/>
        <w:rPr>
          <w:b/>
          <w:bCs/>
        </w:rPr>
      </w:pPr>
      <w:r w:rsidRPr="001F0AB7">
        <w:rPr>
          <w:b/>
          <w:bCs/>
        </w:rPr>
        <w:t>2.3.1.1.2 Multidimensional poverty</w:t>
      </w:r>
    </w:p>
    <w:p w14:paraId="31F2C0F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The </w:t>
      </w:r>
      <w:bookmarkStart w:id="54" w:name="_Hlk148517877"/>
      <w:r w:rsidRPr="00446A7C">
        <w:rPr>
          <w:rFonts w:cs="Times New Roman"/>
          <w:bCs/>
          <w:szCs w:val="24"/>
        </w:rPr>
        <w:t>multidimensional</w:t>
      </w:r>
      <w:bookmarkEnd w:id="54"/>
      <w:r w:rsidRPr="00446A7C">
        <w:rPr>
          <w:rFonts w:cs="Times New Roman"/>
          <w:bCs/>
          <w:szCs w:val="24"/>
        </w:rPr>
        <w:t xml:space="preserve"> perspective of poverty has gained significant attention in the conceptualization of poverty. This perspective recognizes that poverty encompasses various aspects of individuals' lives, including both economic and non-economic dimensions (Faisal, 2022; Ludi, 2009).  Salecker et al. (2020), highlight that people can experience deprivation in multiple ways, such as in education, health, income, in social status amongst others. They may lack access to basic services and healthcare or face exclusion from social participation. Consequently, relying solely on a monetary measure is insufficient to fully capture poverty and its diverse manifestations across different dimensions (Salecker et al., 2020). </w:t>
      </w:r>
    </w:p>
    <w:p w14:paraId="142CE74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The Oxford Poverty and Human Development Initiative's (OPHI) multidimensional poverty index (MPI) is one method for assessing poverty in a multidimensional manner (Faisal, 2022). The MPI combines the incidence of poverty (the proportion of people who are poor) with the intensity of poverty (the average percentage of dimensions in which the poor experience deprivation). It comprises three main dimensions of poverty: education, health, and standard of living, with a set of 10 indicators (Donaldson et al., 2013). These indicators include years of schooling, child enrolment in school, child mortality, nutrition, access to electricity, access to clean drinking water, sanitation facilities, flooring quality, cooking fuel source, and possession of assets (Donaldson et al., 2013). The MPI serves as an analytical tool to identify the most vulnerable individuals, identify the specific dimensions in which they are deprived, and uncover the interconnectedness among these deprivations. This information can assist policymakers in targeting resources and designing more effective policies (Alkire &amp; Santos, 2010).</w:t>
      </w:r>
    </w:p>
    <w:p w14:paraId="19B1693C" w14:textId="77777777" w:rsidR="0008415E" w:rsidRPr="001F0AB7" w:rsidRDefault="00000000" w:rsidP="001F0AB7">
      <w:pPr>
        <w:ind w:firstLine="0"/>
        <w:rPr>
          <w:b/>
          <w:bCs/>
        </w:rPr>
      </w:pPr>
      <w:r w:rsidRPr="001F0AB7">
        <w:rPr>
          <w:b/>
          <w:bCs/>
        </w:rPr>
        <w:t xml:space="preserve">2.3.1.1.3 Capability approach </w:t>
      </w:r>
    </w:p>
    <w:p w14:paraId="461EDF7D"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Amatya Sen’s capability approach (CA) is another particularly relevant approach within the context of poverty. The approach emphasizes the importance of increasing people's freedom and capabilities in order to help them get out of poverty (Alkire, 2007). Sen (1987) contends that, poverty should not solely be measured in monetary terms, however it should consider the limitations that placed on the individuals’ ability to function in society. According to the CA, freedom to achieve well-being is a matter of what people can do and be, and thus the life choices they can effectively lead (Sen, 1987).</w:t>
      </w:r>
    </w:p>
    <w:p w14:paraId="29709D32" w14:textId="77777777" w:rsidR="0008415E" w:rsidRPr="00446A7C" w:rsidRDefault="0008415E" w:rsidP="00371F7B">
      <w:pPr>
        <w:pStyle w:val="NoSpacing"/>
      </w:pPr>
    </w:p>
    <w:p w14:paraId="604B5862" w14:textId="77777777" w:rsidR="0008415E" w:rsidRPr="00446A7C" w:rsidRDefault="00000000">
      <w:pPr>
        <w:spacing w:line="480" w:lineRule="auto"/>
        <w:ind w:firstLine="0"/>
        <w:contextualSpacing/>
        <w:jc w:val="both"/>
        <w:rPr>
          <w:rFonts w:cs="Times New Roman"/>
          <w:bCs/>
          <w:szCs w:val="24"/>
        </w:rPr>
      </w:pPr>
      <w:r w:rsidRPr="00446A7C">
        <w:rPr>
          <w:rFonts w:cs="Times New Roman"/>
          <w:szCs w:val="24"/>
        </w:rPr>
        <w:lastRenderedPageBreak/>
        <w:fldChar w:fldCharType="begin"/>
      </w:r>
      <w:r w:rsidRPr="00446A7C">
        <w:rPr>
          <w:rFonts w:cs="Times New Roman"/>
          <w:bCs/>
          <w:szCs w:val="24"/>
        </w:rPr>
        <w:instrText>ADDIN CSL_CITATION {"citationItems":[{"id":"ITEM-1","itemData":{"DOI":"10.1007/s11205-020-02382-z","ISBN":"0123456789","ISSN":"15730921","abstract":"Despite significant progress in poverty measurement, few studies have undertaken an in-depth comparison of monetary and multidimensional measures in the context of low-income countries and fewer still in Sub-Saharan Africa. Yet the differences can be particularly consequential in these settings. We address this gap by applying a distinct analytical strategy to the case of Rwanda. Using data from two waves of the Rwandan Integrated Household Living Conditions Survey, we combine comparing poverty rates cross-sectionally and over time, examining the overlaps and differences in the two measures, investigating poverty rates within population sub-groups, and estimating several statistical models to assess the differences between the two measures in identifying poverty risk factors. We find that using a monetary measure alone does not capture high incidence of multidimensional poverty in both waves, that it is possible to be multidimensional poor without being monetary poor, and that using a monetary measure alone overlooks significant change in multidimensional poverty over time. The two measures also differ in which poverty risk factors they put emphasis on. Relying only on monetary measures in low-income sub-Saharan Africa can send inaccurate signals to policymakers regarding the optimal design of social policies as well as monitoring their effectiveness.","author":[{"dropping-particle":"","family":"Salecker","given":"Lukas","non-dropping-particle":"","parse-names":false,"suffix":""},{"dropping-particle":"","family":"Ahmadov","given":"Anar K.","non-dropping-particle":"","parse-names":false,"suffix":""},{"dropping-particle":"","family":"Karimli","given":"Leyla","non-dropping-particle":"","parse-names":false,"suffix":""}],"container-title":"Social Indicators Research","id":"ITEM-1","issue":"2","issued":{"date-parts":[["2020"]]},"page":"547-574","publisher":"Springer Netherlands","title":"Contrasting Monetary and Multidimensional Poverty Measures in a Low-Income Sub-Saharan African Country","type":"article-journal","volume":"151"},"uris":["http://www.mendeley.com/documents/?uuid=aedd78b6-f52a-4164-b989-59080ecdd9b8"]}],"mendeley":{"formattedCitation":"(Salecker et al., 2020)","manualFormatting":" Salecker et al. (2020)","plainTextFormattedCitation":"(Salecker et al., 2020)","previouslyFormattedCitation":"(Salecker et al., 2020)"},"properties":{"noteIndex":0},"schema":"https://github.com/citation-style-language/schema/raw/master/csl-citation.json"}</w:instrText>
      </w:r>
      <w:r w:rsidRPr="00446A7C">
        <w:rPr>
          <w:rFonts w:cs="Times New Roman"/>
          <w:bCs/>
          <w:szCs w:val="24"/>
        </w:rPr>
        <w:fldChar w:fldCharType="separate"/>
      </w:r>
      <w:bookmarkStart w:id="55" w:name="_Hlk130806411"/>
      <w:r w:rsidRPr="00446A7C">
        <w:rPr>
          <w:rFonts w:cs="Times New Roman"/>
          <w:bCs/>
          <w:szCs w:val="24"/>
        </w:rPr>
        <w:t>Salecker et al. (2020)</w:t>
      </w:r>
      <w:r w:rsidRPr="00446A7C">
        <w:rPr>
          <w:rFonts w:cs="Times New Roman"/>
          <w:bCs/>
          <w:szCs w:val="24"/>
        </w:rPr>
        <w:fldChar w:fldCharType="end"/>
      </w:r>
      <w:bookmarkEnd w:id="55"/>
      <w:r w:rsidRPr="00446A7C">
        <w:rPr>
          <w:rFonts w:cs="Times New Roman"/>
          <w:bCs/>
          <w:szCs w:val="24"/>
        </w:rPr>
        <w:t xml:space="preserve"> contends that, using the CA as a measure of poverty provides accurate information to understanding the complex nature of poverty using realistic assumptions to measure wellbeing instead of relying on only resource inputs. In contrast to the viewpoint presented by Salecker et al. (2020), Nunes (2008) and Donaldson et al. (2013) offer counterarguments. Nunes (2008) suggests that the capability approach lacks measurable indicators of poverty. Additionally, Donaldson et al. (2013) argues that measures based on capabilities present challenges in terms of comparability, both between countries and within countries over time.</w:t>
      </w:r>
    </w:p>
    <w:p w14:paraId="458AA3E8" w14:textId="77777777" w:rsidR="0008415E" w:rsidRPr="001F0AB7" w:rsidRDefault="00000000" w:rsidP="001F0AB7">
      <w:pPr>
        <w:ind w:firstLine="0"/>
        <w:rPr>
          <w:b/>
          <w:bCs/>
        </w:rPr>
      </w:pPr>
      <w:r w:rsidRPr="001F0AB7">
        <w:rPr>
          <w:b/>
          <w:bCs/>
        </w:rPr>
        <w:t>2.3.1.1.4 Social exclusion approach</w:t>
      </w:r>
    </w:p>
    <w:p w14:paraId="72BEE23B"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The social exclusion approach is another perspective in understanding multidimensional poverty. It is a framework that offers an examination of the intricate factors and processes that mitigate individuals ability to fully participate in the society (</w:t>
      </w:r>
      <w:r w:rsidRPr="00446A7C">
        <w:rPr>
          <w:rFonts w:cs="Times New Roman"/>
          <w:bCs/>
          <w:szCs w:val="24"/>
          <w:lang w:val="en-US"/>
        </w:rPr>
        <w:t>Dalton</w:t>
      </w:r>
      <w:r w:rsidRPr="00446A7C">
        <w:rPr>
          <w:rFonts w:cs="Times New Roman"/>
          <w:bCs/>
          <w:szCs w:val="24"/>
        </w:rPr>
        <w:t xml:space="preserve">, 2007). </w:t>
      </w:r>
      <w:r w:rsidRPr="00446A7C">
        <w:rPr>
          <w:rFonts w:cs="Times New Roman"/>
          <w:szCs w:val="24"/>
        </w:rPr>
        <w:fldChar w:fldCharType="begin"/>
      </w:r>
      <w:r w:rsidRPr="00446A7C">
        <w:rPr>
          <w:rFonts w:cs="Times New Roman"/>
          <w:bCs/>
          <w:szCs w:val="24"/>
        </w:rPr>
        <w:instrText>ADDIN CSL_CITATION {"citationItems":[{"id":"ITEM-1","itemData":{"author":[{"dropping-particle":"","family":"Ludi","given":"E V A","non-dropping-particle":"","parse-names":false,"suffix":""}],"id":"ITEM-1","issued":{"date-parts":[["2009"]]},"page":"8","title":"POVERTY BRIEF – UNDERSTANDING POVERTY","type":"article-journal"},"uris":["http://www.mendeley.com/documents/?uuid=c2208272-a38c-4faf-96bc-5181cc6c895f"]}],"mendeley":{"formattedCitation":"(Ludi, 2009)","manualFormatting":"Ludi (2009)","plainTextFormattedCitation":"(Ludi, 2009)","previouslyFormattedCitation":"(Ludi, 2009)"},"properties":{"noteIndex":0},"schema":"https://github.com/citation-style-language/schema/raw/master/csl-citation.json"}</w:instrText>
      </w:r>
      <w:bookmarkStart w:id="56" w:name="_Hlk130809676"/>
      <w:r w:rsidRPr="00446A7C">
        <w:rPr>
          <w:rFonts w:cs="Times New Roman"/>
          <w:bCs/>
          <w:szCs w:val="24"/>
        </w:rPr>
        <w:fldChar w:fldCharType="separate"/>
      </w:r>
      <w:r w:rsidRPr="00446A7C">
        <w:rPr>
          <w:rFonts w:cs="Times New Roman"/>
          <w:bCs/>
          <w:szCs w:val="24"/>
        </w:rPr>
        <w:t>Ludi (2009)</w:t>
      </w:r>
      <w:r w:rsidRPr="00446A7C">
        <w:rPr>
          <w:rFonts w:cs="Times New Roman"/>
          <w:bCs/>
          <w:szCs w:val="24"/>
        </w:rPr>
        <w:fldChar w:fldCharType="end"/>
      </w:r>
      <w:bookmarkEnd w:id="56"/>
      <w:r w:rsidRPr="00446A7C">
        <w:rPr>
          <w:rFonts w:cs="Times New Roman"/>
          <w:bCs/>
          <w:szCs w:val="24"/>
        </w:rPr>
        <w:t xml:space="preserve"> views social exclusion as a way of marginalizing and depriving people and is closely linked to power and powerlessness. Taking the views of Donaldson et al. (2013) and Ludi (2009), social exclusion encompasses all that hinders individuals’ ability to participate in society. </w:t>
      </w:r>
    </w:p>
    <w:p w14:paraId="1FF9E14E" w14:textId="77777777" w:rsidR="0008415E" w:rsidRPr="00446A7C" w:rsidRDefault="0008415E" w:rsidP="00371F7B">
      <w:pPr>
        <w:pStyle w:val="NoSpacing"/>
      </w:pPr>
    </w:p>
    <w:p w14:paraId="50452827" w14:textId="46D15C50"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The social exclusion index is used to measure social exclusion. It has twenty-four indicators with three dimensions. A person is said to be socially excluded if they are deprived of at least nine of the indicators </w:t>
      </w:r>
      <w:r w:rsidRPr="00446A7C">
        <w:rPr>
          <w:rFonts w:cs="Times New Roman"/>
          <w:szCs w:val="24"/>
        </w:rPr>
        <w:fldChar w:fldCharType="begin"/>
      </w:r>
      <w:r w:rsidRPr="00446A7C">
        <w:rPr>
          <w:rFonts w:cs="Times New Roman"/>
          <w:bCs/>
          <w:szCs w:val="24"/>
        </w:rPr>
        <w:instrText>ADDIN CSL_CITATION {"citationItems":[{"id":"ITEM-1","itemData":{"ISBN":"9781907194160","author":[{"dropping-particle":"","family":"Alkire","given":"Sabina","non-dropping-particle":"","parse-names":false,"suffix":""},{"dropping-particle":"","family":"Foster","given":"James","non-dropping-particle":"","parse-names":false,"suffix":""}],"id":"ITEM-1","issued":{"date-parts":[["2009"]]},"title":"OPHI W ORKING P APER N O . 32 Counting and Multidimensional Poverty Measurement","type":"book"},"uris":["http://www.mendeley.com/documents/?uuid=0ca990f8-ec8e-4962-8dc9-7f142fee0ba3"]}],"mendeley":{"formattedCitation":"(Alkire &amp; Foster, 2009)","plainTextFormattedCitation":"(Alkire &amp; Foster, 2009)","previouslyFormattedCitation":"(Alkire &amp; Foster, 2009)"},"properties":{"noteIndex":0},"schema":"https://github.com/citation-style-language/schema/raw/master/csl-citation.json"}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(Alkire &amp; Foster, 2009)</w:t>
      </w:r>
      <w:r w:rsidRPr="00446A7C">
        <w:rPr>
          <w:rFonts w:cs="Times New Roman"/>
          <w:bCs/>
          <w:szCs w:val="24"/>
        </w:rPr>
        <w:fldChar w:fldCharType="end"/>
      </w:r>
      <w:r w:rsidRPr="00446A7C">
        <w:rPr>
          <w:rFonts w:cs="Times New Roman"/>
          <w:bCs/>
          <w:szCs w:val="24"/>
        </w:rPr>
        <w:t>. According to Donaldson et al. (2013), the dimensions of social exclusion can be categorized as follows: economic exclusion, which involves deprivation in terms of income and basic needs, exclusion from social services, which pertains to limited access to education and health services, and exclusion from civic and social life, which encompasses deprivation in political, cultural, and social networks or participation.</w:t>
      </w:r>
    </w:p>
    <w:p w14:paraId="08225090" w14:textId="77777777" w:rsidR="0008415E" w:rsidRPr="000E08D9" w:rsidRDefault="00000000" w:rsidP="00491E2B">
      <w:pPr>
        <w:ind w:firstLine="0"/>
        <w:rPr>
          <w:b/>
          <w:bCs/>
        </w:rPr>
      </w:pPr>
      <w:r w:rsidRPr="000E08D9">
        <w:rPr>
          <w:b/>
          <w:bCs/>
        </w:rPr>
        <w:lastRenderedPageBreak/>
        <w:t>2.3.1.1.5 Summary and Conclusion</w:t>
      </w:r>
    </w:p>
    <w:p w14:paraId="27796979"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This subsection explored the relationship that exist between the various approaches to poverty. These various approaches each have a lens of viewing poverty. The monetary approach gauges poverty in terms of income and expenditure. While the multidimensional approach considers wellbeing dimensions’ which goes beyond income. the capability approach emphasises expanding individuals’ freedom and opportunities for them to have dignified and fulfilling lives. Also, the social exclusion approach highlights the multifaceted factors that marginalise individuals. The cash transfer component of LEAP focuses on giving beneficiaries cash towards bridging the poverty gap, reduce decency and marginalization and empowerment of recipients to access the resources that will lead to better </w:t>
      </w:r>
      <w:r w:rsidRPr="00446A7C">
        <w:rPr>
          <w:rFonts w:cs="Times New Roman"/>
          <w:bCs/>
          <w:szCs w:val="24"/>
          <w:lang w:val="en-US"/>
        </w:rPr>
        <w:t xml:space="preserve">livelihood </w:t>
      </w:r>
      <w:r w:rsidRPr="00446A7C">
        <w:rPr>
          <w:rFonts w:cs="Times New Roman"/>
          <w:bCs/>
          <w:szCs w:val="24"/>
        </w:rPr>
        <w:t>outcome</w:t>
      </w:r>
      <w:r w:rsidRPr="00446A7C">
        <w:rPr>
          <w:rFonts w:cs="Times New Roman"/>
          <w:bCs/>
          <w:szCs w:val="24"/>
          <w:lang w:val="en-US"/>
        </w:rPr>
        <w:t>s</w:t>
      </w:r>
      <w:r w:rsidRPr="00446A7C">
        <w:rPr>
          <w:rFonts w:cs="Times New Roman"/>
          <w:bCs/>
          <w:szCs w:val="24"/>
        </w:rPr>
        <w:t xml:space="preserve">. </w:t>
      </w:r>
    </w:p>
    <w:p w14:paraId="77D01388" w14:textId="77777777" w:rsidR="0008415E" w:rsidRPr="00446A7C" w:rsidRDefault="0008415E" w:rsidP="00371F7B">
      <w:pPr>
        <w:pStyle w:val="NoSpacing"/>
      </w:pPr>
    </w:p>
    <w:p w14:paraId="048A3AAD"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As stated earlier, Devereux (2002) classified the determinants of poverty into: low productivity, vulnerability and dependency. Consequently, it will not be far fetching to argue that addressing these three determinants may lead people out of poverty. The LEAP programme provides cash transfer to vulnerable households and people living in poverty with the aim of building human capital towards long term poverty reduction. With </w:t>
      </w:r>
      <w:r w:rsidRPr="00446A7C">
        <w:rPr>
          <w:rFonts w:cs="Times New Roman"/>
          <w:bCs/>
          <w:szCs w:val="24"/>
          <w:lang w:val="en-US"/>
        </w:rPr>
        <w:t>th</w:t>
      </w:r>
      <w:r w:rsidRPr="00446A7C">
        <w:rPr>
          <w:rFonts w:cs="Times New Roman"/>
          <w:bCs/>
          <w:szCs w:val="24"/>
        </w:rPr>
        <w:t xml:space="preserve">is said, in the context of this study, the monetary approach and the multidimensional poverty approaches to poverty are particularly relevant as they align with the direct impact of technology on improving beneficiaries’ monetary wellbeing. The increase in their financial wellbeing will expand their economic freedom and opportunities leading them to live a dignified life and subsequently above the poverty line. </w:t>
      </w:r>
    </w:p>
    <w:p w14:paraId="45F9B279" w14:textId="48E32BCB" w:rsidR="0008415E" w:rsidRPr="00491E2B" w:rsidRDefault="00000000" w:rsidP="00491E2B">
      <w:pPr>
        <w:pStyle w:val="Heading3"/>
        <w:rPr>
          <w:rStyle w:val="Heading3Char"/>
          <w:b/>
        </w:rPr>
      </w:pPr>
      <w:bookmarkStart w:id="57" w:name="_Toc171703210"/>
      <w:r w:rsidRPr="00491E2B">
        <w:lastRenderedPageBreak/>
        <w:t>2.3.2 Understanding Social Protection as an Interventionist Approach</w:t>
      </w:r>
      <w:bookmarkEnd w:id="57"/>
    </w:p>
    <w:p w14:paraId="1740AB91"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The definition of social protection in academia and among donor organizations varies, reflecting different scopes and perspectives. Browne (2015) describes social protection as a means to safeguard the poor, vulnerable, and marginalized segments of society from various risks. Standing (2007) takes a broader view, defining social protection as a comprehensive framework that includes protective transfers, services, and institutional safeguards to support individuals who are at risk of falling into need. Barrientos et al. (2005) further expands the concept, considering social protection as a collection of public actions undertaken to address levels of vulnerability, risk, and deprivation that are considered socially unacceptable within a particular polity or society.</w:t>
      </w:r>
    </w:p>
    <w:p w14:paraId="2702AAD3" w14:textId="77777777" w:rsidR="0008415E" w:rsidRPr="00446A7C" w:rsidRDefault="0008415E" w:rsidP="00371F7B">
      <w:pPr>
        <w:pStyle w:val="NoSpacing"/>
      </w:pPr>
    </w:p>
    <w:p w14:paraId="2C602FA1"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Contextual definitions of social protection have been provided by various organizations. The United Nations Economic and Social Council (UNESCO), for example, defines social protection as a set of policies and programmes implemented by the state or private sector, or even informally through community or household support groups, to address risk, vulnerability, and chronic poverty (2019). Furthermore, the United Nations (UN) defines social protection as a set of policies and programmes aimed at preventing or protecting people from poverty, vulnerability, and social exclusion, with a focus on vulnerable groups (UN, 2021). As a result, the World Bank introduces a social risk management (SRM) framework in its paper Social Protection Sector Strategy. This framework includes traditional social protection programmes as well as macroeconomic stability and financial-market development. SRM entails public interventions that aid individuals, households, and communities in risk management (Barrientos et al., 2005; Khan, 2013).</w:t>
      </w:r>
    </w:p>
    <w:p w14:paraId="5CB185A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 xml:space="preserve">However, </w:t>
      </w:r>
      <w:r w:rsidRPr="00446A7C">
        <w:rPr>
          <w:rFonts w:cs="Times New Roman"/>
          <w:szCs w:val="24"/>
        </w:rPr>
        <w:fldChar w:fldCharType="begin"/>
      </w:r>
      <w:r w:rsidRPr="00446A7C">
        <w:rPr>
          <w:rFonts w:cs="Times New Roman"/>
          <w:bCs/>
          <w:szCs w:val="24"/>
        </w:rPr>
        <w:instrText>ADDIN CSL_CITATION {"citationItems":[{"id":"ITEM-1","itemData":{"author":[{"dropping-particle":"","family":"Devereux","given":"Stephen","non-dropping-particle":"","parse-names":false,"suffix":""},{"dropping-particle":"","family":"Sabates-wheeler","given":"Rachel","non-dropping-particle":"","parse-names":false,"suffix":""}],"id":"ITEM-1","issue":"October","issued":{"date-parts":[["2004"]]},"title":"IDS Working Paper 232 Transformative social protection","type":"article-journal"},"uris":["http://www.mendeley.com/documents/?uuid=b9d75fdd-3f76-47be-983e-caf9c744f25b"]}],"mendeley":{"formattedCitation":"(Devereux &amp; Sabates-wheeler, 2004)","manualFormatting":"Devereux &amp; Sabates-wheeler (2004)","plainTextFormattedCitation":"(Devereux &amp; Sabates-wheeler, 2004)","previouslyFormattedCitation":"(Devereux &amp; Sabates-wheeler, 2004)"},"properties":{"noteIndex":0},"schema":"https://github.com/citation-style-language/schema/raw/master/csl-citation.json"}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Devereux and Sabates-wheeler (2004)</w:t>
      </w:r>
      <w:r w:rsidRPr="00446A7C">
        <w:rPr>
          <w:rFonts w:cs="Times New Roman"/>
          <w:bCs/>
          <w:szCs w:val="24"/>
        </w:rPr>
        <w:fldChar w:fldCharType="end"/>
      </w:r>
      <w:r w:rsidRPr="00446A7C">
        <w:rPr>
          <w:rFonts w:cs="Times New Roman"/>
          <w:bCs/>
          <w:szCs w:val="24"/>
        </w:rPr>
        <w:t xml:space="preserve"> argues that, conceptualizing social protection mainly as public response to shock is narrow and should be clustered as economic protection instead of social protection. They introduced a transformative element to social protection taking in to consideration social equity as well as protection to livelihood shocks.</w:t>
      </w:r>
      <w:r w:rsidRPr="00446A7C">
        <w:rPr>
          <w:rFonts w:cs="Times New Roman"/>
          <w:szCs w:val="24"/>
        </w:rPr>
        <w:t xml:space="preserve"> </w:t>
      </w:r>
      <w:r w:rsidRPr="00446A7C">
        <w:rPr>
          <w:rFonts w:cs="Times New Roman"/>
          <w:bCs/>
          <w:szCs w:val="24"/>
        </w:rPr>
        <w:t>The concept "transformative" in the context of social protection, highlights the need for policies that address power imbalances in society, which contributes to and reduces vulnerabilities</w:t>
      </w:r>
      <w:bookmarkStart w:id="58" w:name="_Hlk136761765"/>
      <w:r w:rsidRPr="00446A7C">
        <w:rPr>
          <w:rFonts w:cs="Times New Roman"/>
          <w:bCs/>
          <w:szCs w:val="24"/>
        </w:rPr>
        <w:t xml:space="preserve"> (Devereux &amp; Sabates-Wheeler (2004)</w:t>
      </w:r>
      <w:bookmarkEnd w:id="58"/>
      <w:r w:rsidRPr="00446A7C">
        <w:rPr>
          <w:rFonts w:cs="Times New Roman"/>
          <w:bCs/>
          <w:szCs w:val="24"/>
        </w:rPr>
        <w:t>. It emphasizes the importance of policies that promote equal integration of individuals into society, ensuring that everyone can benefit from market outcomes and enabling marginalized groups to assert their rights. For example, supporting labour unions can empower socially marginalized groups to advocate for improved livelihood opportunities. Sensitization campaigns and changes in regulations can also contribute to transforming public behaviour and protecting vulnerable individuals from discrimination and abuse. Transformative measures seek to address issues of social equity and exclusion, such as advocating for workers' rights and upholding the human rights of minority groups</w:t>
      </w:r>
      <w:r w:rsidRPr="00446A7C">
        <w:rPr>
          <w:rFonts w:cs="Times New Roman"/>
          <w:szCs w:val="24"/>
        </w:rPr>
        <w:t xml:space="preserve"> (</w:t>
      </w:r>
      <w:r w:rsidRPr="00446A7C">
        <w:rPr>
          <w:rFonts w:cs="Times New Roman"/>
          <w:bCs/>
          <w:szCs w:val="24"/>
        </w:rPr>
        <w:t xml:space="preserve">Devereux and Sabates-Wheeler, 2004). </w:t>
      </w:r>
    </w:p>
    <w:p w14:paraId="216162AA" w14:textId="77777777" w:rsidR="0008415E" w:rsidRPr="00446A7C" w:rsidRDefault="0008415E" w:rsidP="00371F7B">
      <w:pPr>
        <w:pStyle w:val="NoSpacing"/>
      </w:pPr>
    </w:p>
    <w:p w14:paraId="3012D087"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Social protection measures are classified into four types: the protective, preventive, promotional, and transformative. Protective measures include social assistance programmes such as disability benefits, single-parent allowances, and services for vulnerable populations such as abandoned children or refugees. Preventive measures include social insurance schemes such as pensions, health insurance, maternity benefits, and unemployment benefits, as well as savings clubs and funeral clubs. Promoting measures aim to increase real incomes and capabilities through initiatives such as microfinance and school feeding programmes that target households and </w:t>
      </w:r>
      <w:r w:rsidRPr="00446A7C">
        <w:rPr>
          <w:rFonts w:cs="Times New Roman"/>
          <w:bCs/>
          <w:szCs w:val="24"/>
        </w:rPr>
        <w:lastRenderedPageBreak/>
        <w:t>individuals. In contrast, transformative measures address issues of social equity and exclusion (Devereux &amp; Sabates-Wheeler, 2004). These interventions include changing the regulatory framework to protect socially vulnerable groups from discrimination and abuse, as well as conducting public awareness campaigns, such as the HIV/AIDS Anti-Stigma Campaign (Devereux &amp; Sabates-Wheeler, 2004).</w:t>
      </w:r>
    </w:p>
    <w:p w14:paraId="5CD68A6E" w14:textId="77777777" w:rsidR="0008415E" w:rsidRPr="00446A7C" w:rsidRDefault="0008415E" w:rsidP="00371F7B">
      <w:pPr>
        <w:pStyle w:val="NoSpacing"/>
      </w:pPr>
    </w:p>
    <w:p w14:paraId="2D89916D"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Norton et al. (2001) argue that social protection should be primarily provided by the state, as the private sector's profit-driven nature may hinder the provision of services for social protection. However, resource constraints often limit the state's ability to effectively respond and support the poor, vulnerable, and the marginalized in society. As a result, these groups often rely on informal networks to cope with various shocks and challenges they face. Devereux et al. (2011) support this perspective by highlighting that though the state's holds the responsibility to cater to the needs of the disadvantaged through social protection programmes, they are often unwilling or unable to provide adequate support. Consequently, the burden falls on civil society organizations or external agencies to assist the poor, the marginalized, and vulnerable populations.</w:t>
      </w:r>
    </w:p>
    <w:p w14:paraId="119CD8EB" w14:textId="77777777" w:rsidR="0008415E" w:rsidRPr="00446A7C" w:rsidRDefault="0008415E" w:rsidP="00371F7B">
      <w:pPr>
        <w:pStyle w:val="NoSpacing"/>
      </w:pPr>
    </w:p>
    <w:p w14:paraId="493A6C70"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From the foregoing debate for a substantial definition of social protection, it can be observed that, while others adopt a narrow meaning to social protection, others </w:t>
      </w:r>
      <w:bookmarkStart w:id="59" w:name="_Hlk125531327"/>
      <w:r w:rsidRPr="00446A7C">
        <w:rPr>
          <w:rFonts w:cs="Times New Roman"/>
          <w:bCs/>
          <w:szCs w:val="24"/>
        </w:rPr>
        <w:t>such as Devereux and Sabates-Wheeler’s (2004</w:t>
      </w:r>
      <w:bookmarkEnd w:id="59"/>
      <w:r w:rsidRPr="00446A7C">
        <w:rPr>
          <w:rFonts w:cs="Times New Roman"/>
          <w:bCs/>
          <w:szCs w:val="24"/>
        </w:rPr>
        <w:t xml:space="preserve">) proposes for a broader meaning to social protection. Whereas agreeing with the broader concept of social protection by Devereux and Sabates-Wheeler’s (2004), this study focuses on the narrow definition of social protection as it focuses on the intervention that transfers cash to individuals or households living in poverty. </w:t>
      </w:r>
    </w:p>
    <w:p w14:paraId="615EDFF3" w14:textId="77777777" w:rsidR="0008415E" w:rsidRPr="00446A7C" w:rsidRDefault="00000000" w:rsidP="00491E2B">
      <w:pPr>
        <w:pStyle w:val="Heading3"/>
      </w:pPr>
      <w:bookmarkStart w:id="60" w:name="_Toc171703211"/>
      <w:r w:rsidRPr="00446A7C">
        <w:lastRenderedPageBreak/>
        <w:t>2.3.3 Social Protection and Sustainable Poverty Reduction</w:t>
      </w:r>
      <w:bookmarkEnd w:id="60"/>
      <w:r w:rsidRPr="00446A7C">
        <w:t xml:space="preserve"> </w:t>
      </w:r>
    </w:p>
    <w:p w14:paraId="0FC25043"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Sustainable poverty reduction refers to long-term strategies and approaches aimed at addressing poverty in a way that not only provides immediate relief but also tackles the underlying causes and promotes lasting change. It entails implementing interventions and policies that focus on economic, social, and environmental dimensions, ensuring the well-being of present and future generations (UNDP, 2018; World Bank, 2018). The notion of sustainable poverty reduction recognizes that poverty is a multidimensional issue influenced by complex factors such as unequal access to resources, social exclusion, environmental degradation, and lack of opportunities. It emphasizes the need to go beyond short-term poverty alleviation measures and instead adopt holistic approaches that empower individuals, enhance capabilities, and promote inclusive and equitable development (Sen, 1999). </w:t>
      </w:r>
    </w:p>
    <w:p w14:paraId="2C8DCBCB" w14:textId="77777777" w:rsidR="0008415E" w:rsidRPr="00446A7C" w:rsidRDefault="0008415E" w:rsidP="00371F7B">
      <w:pPr>
        <w:pStyle w:val="NoSpacing"/>
      </w:pPr>
    </w:p>
    <w:p w14:paraId="56D00017"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The adoption of the SDGs in 2015 marked the era of commitment to enhancing the resilience of individuals living in poverty and vulnerable situations, as well as reducing their exposure to risks through the implementation of social protection measures </w:t>
      </w:r>
      <w:r w:rsidRPr="00446A7C">
        <w:rPr>
          <w:rFonts w:cs="Times New Roman"/>
          <w:szCs w:val="24"/>
        </w:rPr>
        <w:fldChar w:fldCharType="begin"/>
      </w:r>
      <w:r w:rsidRPr="00446A7C">
        <w:rPr>
          <w:rFonts w:cs="Times New Roman"/>
          <w:bCs/>
          <w:szCs w:val="24"/>
        </w:rPr>
        <w:instrText>ADDIN CSL_CITATION {"citationItems":[{"id":"ITEM-1","itemData":{"ISBN":"9789241507226","abstract":"Annex IV of the Report of the Inter-Agency and Expert Group on Sustainable Development Goal Indicators","author":[{"dropping-particle":"","family":"United Nations","given":"","non-dropping-particle":"","parse-names":false,"suffix":""}],"container-title":"Report of the Inter-Agency and Expert Group on Sustainable Development Goal Indicators","id":"ITEM-1","issued":{"date-parts":[["2016"]]},"page":"Annex IV","title":"Final list of proposed SDG","type":"article-journal"},"uris":["http://www.mendeley.com/documents/?uuid=12239e48-7a4a-469b-88d8-9932d05318c2"]}],"mendeley":{"formattedCitation":"(United Nations, 2016)","plainTextFormattedCitation":"(United Nations, 2016)","previouslyFormattedCitation":"(United Nations, 2016)"},"properties":{"noteIndex":0},"schema":"https://github.com/citation-style-language/schema/raw/master/csl-citation.json"}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(United Nations, 2016)</w:t>
      </w:r>
      <w:r w:rsidRPr="00446A7C">
        <w:rPr>
          <w:rFonts w:cs="Times New Roman"/>
          <w:bCs/>
          <w:szCs w:val="24"/>
        </w:rPr>
        <w:fldChar w:fldCharType="end"/>
      </w:r>
      <w:r w:rsidRPr="00446A7C">
        <w:rPr>
          <w:rFonts w:cs="Times New Roman"/>
          <w:bCs/>
          <w:szCs w:val="24"/>
        </w:rPr>
        <w:t xml:space="preserve">. According to </w:t>
      </w:r>
      <w:r w:rsidRPr="00446A7C">
        <w:rPr>
          <w:rFonts w:cs="Times New Roman"/>
          <w:szCs w:val="24"/>
        </w:rPr>
        <w:fldChar w:fldCharType="begin"/>
      </w:r>
      <w:r w:rsidRPr="00446A7C">
        <w:rPr>
          <w:rFonts w:cs="Times New Roman"/>
          <w:bCs/>
          <w:szCs w:val="24"/>
        </w:rPr>
        <w:instrText>ADDIN CSL_CITATION {"citationItems":[{"id":"ITEM-1","itemData":{"ISBN":"9780620365949","author":[{"dropping-particle":"","family":"Samson","given":"Michael","non-dropping-particle":"","parse-names":false,"suffix":""},{"dropping-particle":"Van","family":"Niekerk","given":"Ingrid","non-dropping-particle":"","parse-names":false,"suffix":""},{"dropping-particle":"","family":"Mac","given":"Kenneth","non-dropping-particle":"","parse-names":false,"suffix":""}],"id":"ITEM-1","issued":{"date-parts":[["2006"]]},"number-of-pages":"195","title":"Social Transfer Programmes","type":"book"},"uris":["http://www.mendeley.com/documents/?uuid=7465882c-6af4-4743-8579-fa2f1e0f7c0a"]}],"mendeley":{"formattedCitation":"(Samson et al., 2006)","manualFormatting":"Samson et al. (2006)","plainTextFormattedCitation":"(Samson et al., 2006)","previouslyFormattedCitation":"(Samson et al., 2006)"},"properties":{"noteIndex":0},"schema":"https://github.com/citation-style-language/schema/raw/master/csl-citation.json"}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Samson et al. (2006)</w:t>
      </w:r>
      <w:r w:rsidRPr="00446A7C">
        <w:rPr>
          <w:rFonts w:cs="Times New Roman"/>
          <w:bCs/>
          <w:szCs w:val="24"/>
        </w:rPr>
        <w:fldChar w:fldCharType="end"/>
      </w:r>
      <w:r w:rsidRPr="00446A7C">
        <w:rPr>
          <w:rFonts w:cs="Times New Roman"/>
          <w:bCs/>
          <w:szCs w:val="24"/>
        </w:rPr>
        <w:t xml:space="preserve">, Social protection has the potential to boost productivity and increase domestic demands. In the absence of social protection, people living in poverty tend to sell or deplete their productive assets when hit by shocks in order to survive leaving them at the mercy of  continuous poverty leading to poverty traps </w:t>
      </w:r>
      <w:r w:rsidRPr="00446A7C">
        <w:rPr>
          <w:rFonts w:cs="Times New Roman"/>
          <w:szCs w:val="24"/>
        </w:rPr>
        <w:fldChar w:fldCharType="begin"/>
      </w:r>
      <w:r w:rsidRPr="00446A7C">
        <w:rPr>
          <w:rFonts w:cs="Times New Roman"/>
          <w:bCs/>
          <w:szCs w:val="24"/>
        </w:rPr>
        <w:instrText>ADDIN CSL_CITATION {"citationItems":[{"id":"ITEM-1","itemData":{"DOI":"10.1111/j.1759-5436.2007.tb00374.x","ISSN":"02655012","abstract":"The Development Assistance Committee of the Organisation for Economic Cooperation and Development (OECD-DAC) is an arena where donor agencies endorse a common understanding of key development concepts. The OECD-DAC Poverty Network (POVNET) identified 'risks and vulnerability' as a major theme emerging from its work on pro-poor growth. Reducing the risks faced by poor people through reliable social protection instruments can help to stimulate economic growth by encouraging engagement in higher risk/higher profit activities and decreasing reliance on coping strategies that can lead to increased poverty. A new Task Team on Risk, Vulnerability and Social Protection was established to contribute to the POVNET's Overarching Paper on Pro-poor Growth. Analytical work commissioned by the Task Team illustrates the diverse concepts used by donors for social protection, The Task Team is now drafting DAC-Guidelines on social protection and social policy in development, while continuing to argue for broad-based economic growth that is employment-intensive and inclusive. © Institute of Development Studies.","author":[{"dropping-particle":"","family":"Voipio","given":"Timo","non-dropping-particle":"","parse-names":false,"suffix":""}],"container-title":"IDS Bulletin","id":"ITEM-1","issue":"3","issued":{"date-parts":[["2007"]]},"page":"45-50","title":"Social protection for poverty reduction: The OECD/DAC/POVNET view","type":"article-journal","volume":"38"},"uris":["http://www.mendeley.com/documents/?uuid=21275193-bf46-4966-aa37-b22552cf2ff8"]},{"id":"ITEM-2","itemData":{"DOI":"10.1080/09578810500066456","author":[{"dropping-particle":"","family":"Barrientos","given":"Armando","non-dropping-particle":"","parse-names":false,"suffix":""},{"dropping-particle":"","family":"Hulme","given":"David","non-dropping-particle":"","parse-names":false,"suffix":""},{"dropping-particle":"","family":"Shepherd","given":"Andrew","non-dropping-particle":"","parse-names":false,"suffix":""},{"dropping-particle":"","family":"De","given":"Les","non-dropping-particle":"","parse-names":false,"suffix":""}],"id":"ITEM-2","issue":"1","issued":{"date-parts":[["2005"]]},"page":"8-23","title":"Can Social Protection Tackle Chronic Poverty ?","type":"article-journal","volume":"17"},"uris":["http://www.mendeley.com/documents/?uuid=b3fb2895-2347-4fbb-8b3b-264c7faf990f"]},{"id":"ITEM-3","itemData":{"author":[{"dropping-particle":"","family":"Devereux","given":"Stephen","non-dropping-particle":"","parse-names":false,"suffix":""}],"id":"ITEM-3","issue":"5","issued":{"date-parts":[["2002"]]},"page":"657-675","title":"Poverty ?","type":"article-journal","volume":"20"},"uris":["http://www.mendeley.com/documents/?uuid=fae8d331-1c68-4b7d-9ae1-ad094187d729"]}],"mendeley":{"formattedCitation":"(Barrientos et al., 2005; Devereux, 2002; Voipio, 2007)","plainTextFormattedCitation":"(Barrientos et al., 2005; Devereux, 2002; Voipio, 2007)","previouslyFormattedCitation":"(Barrientos et al., 2005; Devereux, 2002; Voipio, 2007)"},"properties":{"noteIndex":0},"schema":"https://github.com/citation-style-language/schema/raw/master/csl-citation.json"}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(Avis, 2020; Barrientos et al., 2005; Devereux, 2002; Voipio, 2007)</w:t>
      </w:r>
      <w:r w:rsidRPr="00446A7C">
        <w:rPr>
          <w:rFonts w:cs="Times New Roman"/>
          <w:bCs/>
          <w:szCs w:val="24"/>
        </w:rPr>
        <w:fldChar w:fldCharType="end"/>
      </w:r>
      <w:r w:rsidRPr="00446A7C">
        <w:rPr>
          <w:rFonts w:cs="Times New Roman"/>
          <w:bCs/>
          <w:szCs w:val="24"/>
        </w:rPr>
        <w:t xml:space="preserve">. </w:t>
      </w:r>
      <w:r w:rsidRPr="00446A7C">
        <w:rPr>
          <w:rFonts w:cs="Times New Roman"/>
          <w:szCs w:val="24"/>
        </w:rPr>
        <w:fldChar w:fldCharType="begin"/>
      </w:r>
      <w:r w:rsidRPr="00446A7C">
        <w:rPr>
          <w:rFonts w:cs="Times New Roman"/>
          <w:bCs/>
          <w:szCs w:val="24"/>
        </w:rPr>
        <w:instrText>ADDIN CSL_CITATION {"citationItems":[{"id":"ITEM-1","itemData":{"author":[{"dropping-particle":"","family":"Devereux","given":"Stephen","non-dropping-particle":"","parse-names":false,"suffix":""}],"id":"ITEM-1","issue":"5","issued":{"date-parts":[["2002"]]},"page":"657-675","title":"Poverty ?","type":"article-journal","volume":"20"},"uris":["http://www.mendeley.com/documents/?uuid=fae8d331-1c68-4b7d-9ae1-ad094187d729"]}],"mendeley":{"formattedCitation":"(Devereux, 2002)","manualFormatting":"Devereux (2002)","plainTextFormattedCitation":"(Devereux, 2002)","previouslyFormattedCitation":"(Devereux, 2002)"},"properties":{"noteIndex":0},"schema":"https://github.com/citation-style-language/schema/raw/master/csl-citation.json"}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Devereux (2002)</w:t>
      </w:r>
      <w:r w:rsidRPr="00446A7C">
        <w:rPr>
          <w:rFonts w:cs="Times New Roman"/>
          <w:bCs/>
          <w:szCs w:val="24"/>
        </w:rPr>
        <w:fldChar w:fldCharType="end"/>
      </w:r>
      <w:r w:rsidRPr="00446A7C">
        <w:rPr>
          <w:rFonts w:cs="Times New Roman"/>
          <w:bCs/>
          <w:szCs w:val="24"/>
        </w:rPr>
        <w:t xml:space="preserve">, contends that, social safety nets or more broadly social protection schemes have the potential for reducing chronic poverty. </w:t>
      </w:r>
    </w:p>
    <w:p w14:paraId="04A047ED" w14:textId="77777777" w:rsidR="0008415E" w:rsidRPr="00446A7C" w:rsidRDefault="0008415E" w:rsidP="00371F7B">
      <w:pPr>
        <w:pStyle w:val="NoSpacing"/>
      </w:pPr>
    </w:p>
    <w:p w14:paraId="13F41336"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 xml:space="preserve">Evidence from literature suggest that social protection programmes particularly cash transfers, have a key role to play in sustainable poverty reduction, i.e., they hold potential for alleviating chronic poverty and thus improving the beneficiaries' long-term living standards (Barrientos et al., 2005; Borga &amp; D’Ambrosio, 2021; Browne, 2015; Sabates-Wheeler &amp; Devereux, 2007).  Cash transfer (CT) programmes are social assistance programmes often aim at providing financial assistance to the poor  and vulnerable </w:t>
      </w:r>
      <w:r w:rsidRPr="00446A7C">
        <w:rPr>
          <w:rFonts w:cs="Times New Roman"/>
          <w:szCs w:val="24"/>
        </w:rPr>
        <w:fldChar w:fldCharType="begin"/>
      </w:r>
      <w:r w:rsidRPr="00446A7C">
        <w:rPr>
          <w:rFonts w:cs="Times New Roman"/>
          <w:bCs/>
          <w:szCs w:val="24"/>
        </w:rPr>
        <w:instrText>ADDIN CSL_CITATION {"citationItems":[{"id":"ITEM-1","itemData":{"author":[{"dropping-particle":"","family":"Bastagli","given":"Francesca","non-dropping-particle":"","parse-names":false,"suffix":""},{"dropping-particle":"","family":"Hagen-zanker","given":"Jessica","non-dropping-particle":"","parse-names":false,"suffix":""},{"dropping-particle":"","family":"Harman","given":"Luke","non-dropping-particle":"","parse-names":false,"suffix":""},{"dropping-particle":"","family":"Barca","given":"Valentina","non-dropping-particle":"","parse-names":false,"suffix":""},{"dropping-particle":"","family":"Sturge","given":"Georgina","non-dropping-particle":"","parse-names":false,"suffix":""},{"dropping-particle":"","family":"Schmidt","given":"Tanja","non-dropping-particle":"","parse-names":false,"suffix":""},{"dropping-particle":"","family":"Pellerano","given":"Luca","non-dropping-particle":"","parse-names":false,"suffix":""}],"id":"ITEM-1","issue":"July","issued":{"date-parts":[["2016"]]},"title":"Cash transfers : what does the evidence say ? A rigorous review of programme impact and of the role of design and implementation features","type":"article-journal"},"uris":["http://www.mendeley.com/documents/?uuid=5c9266e4-f82b-44bb-bb12-3d3493ea4642"]}],"mendeley":{"formattedCitation":"(Bastagli, Hagen-zanker, et al., 2016)","plainTextFormattedCitation":"(Bastagli, Hagen-zanker, et al., 2016)","previouslyFormattedCitation":"(Bastagli, Hagen-zanker, et al., 2016)"},"properties":{"noteIndex":0},"schema":"https://github.com/citation-style-language/schema/raw/master/csl-citation.json"}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(Bastagli et al., 2016)</w:t>
      </w:r>
      <w:r w:rsidRPr="00446A7C">
        <w:rPr>
          <w:rFonts w:cs="Times New Roman"/>
          <w:bCs/>
          <w:szCs w:val="24"/>
        </w:rPr>
        <w:fldChar w:fldCharType="end"/>
      </w:r>
      <w:r w:rsidRPr="00446A7C">
        <w:rPr>
          <w:rFonts w:cs="Times New Roman"/>
          <w:bCs/>
          <w:szCs w:val="24"/>
        </w:rPr>
        <w:t xml:space="preserve">. These CTs are intended to provide some form of security to the vulnerable, by improving consumption, investment as well as human capital </w:t>
      </w:r>
      <w:r w:rsidRPr="00446A7C">
        <w:rPr>
          <w:rFonts w:cs="Times New Roman"/>
          <w:szCs w:val="24"/>
        </w:rPr>
        <w:fldChar w:fldCharType="begin"/>
      </w:r>
      <w:r w:rsidRPr="00446A7C">
        <w:rPr>
          <w:rFonts w:cs="Times New Roman"/>
          <w:bCs/>
          <w:szCs w:val="24"/>
        </w:rPr>
        <w:instrText>ADDIN CSL_CITATION {"citationItems":[{"id":"ITEM-1","itemData":{"DOI":"10.1002/pop4.270","ISSN":"1944-2858","author":[{"dropping-particle":"","family":"Osei","given":"Prince","non-dropping-particle":"","parse-names":false,"suffix":""},{"dropping-particle":"","family":"Adjei","given":"Wusu","non-dropping-particle":"","parse-names":false,"suffix":""}],"container-title":"Poverty &amp; Public Policy","id":"ITEM-1","issue":"1","issued":{"date-parts":[["2020"]]},"page":"84-111","publisher":"John Wiley &amp; Sons, Ltd","title":"Looking Beyond Cash Transfers for Optimizing Poverty Reduction and Livelihood Sustainability in Rural Ghana : Comparative Analysis of Two Social Policy Interventions Against Poverty","type":"article-journal","volume":"12"},"uris":["http://www.mendeley.com/documents/?uuid=786eb3f5-ebf2-45f3-ab2d-488f513da5bc"]},{"id":"ITEM-2","itemData":{"DOI":"10.1080/00220388.2016.1222679","ISSN":"0022-0388","abstract":"Predicting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approach.","author":[{"dropping-particle":"","family":"Barrientos","given":"Armando","non-dropping-particle":"","parse-names":false,"suffix":""}],"container-title":"The Journal of Development Studies","id":"ITEM-2","issue":"12","issued":{"date-parts":[["2016"]]},"page":"1831-1832","title":"From Evidence to Action: The Story of Cash Transfers and Impact Evaluation in Sub-Saharan Africa, Edited by Benjamin Davis, Sudhanshu Handa, Nicola Hypher, Nicola Winder, Paul C. Winters, and Jennifer Yablonski","type":"article-journal","volume":"52"},"uris":["http://www.mendeley.com/documents/?uuid=a4e7f569-2c6a-4975-880f-8a0a70a8680b"]}],"mendeley":{"formattedCitation":"(Barrientos, 2016; Osei &amp; Adjei, 2020)","manualFormatting":"(Barrientos, 2016; Adjei et al., 2020)","plainTextFormattedCitation":"(Barrientos, 2016; Osei &amp; Adjei, 2020)","previouslyFormattedCitation":"(Barrientos, 2016; Osei &amp; Adjei, 2020)"},"properties":{"noteIndex":0},"schema":"https://github.com/citation-style-language/schema/raw/master/csl-citation.json"}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(Barrientos, 2016; Adjei et al., 2020)</w:t>
      </w:r>
      <w:r w:rsidRPr="00446A7C">
        <w:rPr>
          <w:rFonts w:cs="Times New Roman"/>
          <w:bCs/>
          <w:szCs w:val="24"/>
        </w:rPr>
        <w:fldChar w:fldCharType="end"/>
      </w:r>
      <w:r w:rsidRPr="00446A7C">
        <w:rPr>
          <w:rFonts w:cs="Times New Roman"/>
          <w:szCs w:val="24"/>
        </w:rPr>
        <w:t>.</w:t>
      </w:r>
      <w:r w:rsidRPr="00446A7C">
        <w:rPr>
          <w:rFonts w:cs="Times New Roman"/>
          <w:bCs/>
          <w:szCs w:val="24"/>
        </w:rPr>
        <w:t xml:space="preserve"> Bastagli et al. (2016) defines cash transfers as payments made based on economic criteria, intended to provide minimum social protection and support consumption for recipients who are often excluded from formal employment. They are classified into two: </w:t>
      </w:r>
      <w:bookmarkStart w:id="61" w:name="_Hlk125268998"/>
      <w:r w:rsidRPr="00446A7C">
        <w:rPr>
          <w:rFonts w:cs="Times New Roman"/>
          <w:bCs/>
          <w:szCs w:val="24"/>
        </w:rPr>
        <w:t xml:space="preserve">conditional cash transfers (CCTs) </w:t>
      </w:r>
      <w:bookmarkEnd w:id="61"/>
      <w:r w:rsidRPr="00446A7C">
        <w:rPr>
          <w:rFonts w:cs="Times New Roman"/>
          <w:bCs/>
          <w:szCs w:val="24"/>
        </w:rPr>
        <w:t xml:space="preserve">and unconditional cash transfers (UCTs) </w:t>
      </w:r>
      <w:r w:rsidRPr="00446A7C">
        <w:rPr>
          <w:rFonts w:cs="Times New Roman"/>
          <w:szCs w:val="24"/>
        </w:rPr>
        <w:fldChar w:fldCharType="begin"/>
      </w:r>
      <w:r w:rsidRPr="00446A7C">
        <w:rPr>
          <w:rFonts w:cs="Times New Roman"/>
          <w:bCs/>
          <w:szCs w:val="24"/>
        </w:rPr>
        <w:instrText>ADDIN CSL_CITATION {"citationItems":[{"id":"ITEM-1","itemData":{"author":[{"dropping-particle":"","family":"FAO","given":"","non-dropping-particle":"","parse-names":false,"suffix":""},{"dropping-particle":"","family":"PtoP","given":"","non-dropping-particle":"","parse-names":false,"suffix":""}],"id":"ITEM-1","issue":"januari 2015","issued":{"date-parts":[["2015"]]},"page":"70076","title":"The impacts of the Social Cash Transfer programme on community dynamics in Malawi","type":"article-journal"},"uris":["http://www.mendeley.com/documents/?uuid=b242280f-cd64-45c8-b115-9de1936feb4a"]},{"id":"ITEM-2","itemData":{"ISSN":"0022-3654","abstract":"Cash transfers have been increasingly adopted by countries worldwide as central elements of their social protection and poverty reduction strategies. A growing number of studies provide rigorous evidence on the impact of cash transfers, and the role of specific cash transfer design and implementation features in shaping outcomes. This rigorous review of the impact of cash transfers is the largest and most comprehensive review of its kind to date. It consolidates and assesses the body of evidence from 2000 to 2015, covering low- and middle-income countries worldwide, to provide policy-makers, practitioners and researchers with a single resource on the most rigorous and up-to-date evidence available. The review covers the intended and unintended impact on individuals and households of non-contributory cash transfer programmes on six outcome areas: Monetary poverty Education Health and nutrition Savings, investment and production Employment Empowerment It pays particular attention to the links between variations in cash transfer design and implementation details (e.g. transfer value, targeting mechanism, conditionality) and outcomes.","author":[{"dropping-particle":"","family":"Bastagli","given":"Francesca","non-dropping-particle":"","parse-names":false,"suffix":""},{"dropping-particle":"","family":"Hagen-Zanker","given":"Jessica","non-dropping-particle":"","parse-names":false,"suffix":""},{"dropping-particle":"","family":"Harman","given":"Luke","non-dropping-particle":"","parse-names":false,"suffix":""},{"dropping-particle":"","family":"Barca","given":"Valentina","non-dropping-particle":"","parse-names":false,"suffix":""},{"dropping-particle":"","family":"Sturge","given":"Georgina","non-dropping-particle":"","parse-names":false,"suffix":""},{"dropping-particle":"","family":"Schmidt","given":"Tanja","non-dropping-particle":"","parse-names":false,"suffix":""},{"dropping-particle":"","family":"Pellerano","given":"Luca","non-dropping-particle":"","parse-names":false,"suffix":""}],"container-title":"ODI Report","id":"ITEM-2","issue":"July","issued":{"date-parts":[["2016"]]},"page":"1-300","title":"Cash transfers: what does the evidence say?","type":"article-journal"},"uris":["http://www.mendeley.com/documents/?uuid=a8f06041-f3a5-4212-be14-1e9c64015ae3"]},{"id":"ITEM-3","itemData":{"author":[{"dropping-particle":"","family":"Tercelli","given":"Ilaria","non-dropping-particle":"","parse-names":false,"suffix":""}],"id":"ITEM-3","issued":{"date-parts":[["2010"]]},"page":"1-45","title":"Tercelli_2010_Targeted_Conditional_Cash_Transfers_Peru","type":"article-journal"},"uris":["http://www.mendeley.com/documents/?uuid=1b2be8e3-1dee-41e1-a144-b7d6a586a5cc"]}],"mendeley":{"formattedCitation":"(Bastagli, Hagen-Zanker, et al., 2016; FAO &amp; PtoP, 2015; Tercelli, 2010)","plainTextFormattedCitation":"(Bastagli, Hagen-Zanker, et al., 2016; FAO &amp; PtoP, 2015; Tercelli, 2010)","previouslyFormattedCitation":"(Bastagli, Hagen-Zanker, et al., 2016; FAO &amp; PtoP, 2015; Tercelli, 2010)"},"properties":{"noteIndex":0},"schema":"https://github.com/citation-style-language/schema/raw/master/csl-citation.json"}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w:t>
      </w:r>
      <w:bookmarkStart w:id="62" w:name="_Hlk160943395"/>
      <w:r w:rsidRPr="00446A7C">
        <w:rPr>
          <w:rFonts w:cs="Times New Roman"/>
          <w:bCs/>
          <w:szCs w:val="24"/>
        </w:rPr>
        <w:t>Bastagli et al., 2016; FAO &amp; PtoP, 2015; Tercelli, 2010)</w:t>
      </w:r>
      <w:r w:rsidRPr="00446A7C">
        <w:rPr>
          <w:rFonts w:cs="Times New Roman"/>
          <w:bCs/>
          <w:szCs w:val="24"/>
        </w:rPr>
        <w:fldChar w:fldCharType="end"/>
      </w:r>
      <w:bookmarkEnd w:id="62"/>
      <w:r w:rsidRPr="00446A7C">
        <w:rPr>
          <w:rFonts w:cs="Times New Roman"/>
          <w:bCs/>
          <w:szCs w:val="24"/>
        </w:rPr>
        <w:t xml:space="preserve">. </w:t>
      </w:r>
    </w:p>
    <w:p w14:paraId="1591B65E" w14:textId="77777777" w:rsidR="0008415E" w:rsidRPr="00446A7C" w:rsidRDefault="0008415E" w:rsidP="00371F7B">
      <w:pPr>
        <w:pStyle w:val="NoSpacing"/>
      </w:pPr>
    </w:p>
    <w:p w14:paraId="120DED06"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CCT are often referred to as cash for human development. CCTs require households or individual to show active compliance to human capital conditionalities in exchange for cash or in-kind benefits from the state or non-governmental organizations. Human capital conditionalities include, school attendance, clinic visits, nutritional objectives, adult education amongst others </w:t>
      </w:r>
      <w:r w:rsidRPr="00446A7C">
        <w:rPr>
          <w:rFonts w:cs="Times New Roman"/>
          <w:szCs w:val="24"/>
        </w:rPr>
        <w:fldChar w:fldCharType="begin"/>
      </w:r>
      <w:r w:rsidRPr="00446A7C">
        <w:rPr>
          <w:rFonts w:cs="Times New Roman"/>
          <w:bCs/>
          <w:szCs w:val="24"/>
        </w:rPr>
        <w:instrText>ADDIN CSL_CITATION {"citationItems":[{"id":"ITEM-1","itemData":{"ISBN":"9780620365949","author":[{"dropping-particle":"","family":"Samson","given":"Michael","non-dropping-particle":"","parse-names":false,"suffix":""},{"dropping-particle":"Van","family":"Niekerk","given":"Ingrid","non-dropping-particle":"","parse-names":false,"suffix":""},{"dropping-particle":"","family":"Mac","given":"Kenneth","non-dropping-particle":"","parse-names":false,"suffix":""}],"id":"ITEM-1","issued":{"date-parts":[["2006"]]},"number-of-pages":"195","title":"Social Transfer Programmes","type":"book"},"uris":["http://www.mendeley.com/documents/?uuid=7465882c-6af4-4743-8579-fa2f1e0f7c0a"]},{"id":"ITEM-2","itemData":{"author":[{"dropping-particle":"","family":"Bastagli","given":"Francesca","non-dropping-particle":"","parse-names":false,"suffix":""},{"dropping-particle":"","family":"Hagen-zanker","given":"Jessica","non-dropping-particle":"","parse-names":false,"suffix":""},{"dropping-particle":"","family":"Harman","given":"Luke","non-dropping-particle":"","parse-names":false,"suffix":""},{"dropping-particle":"","family":"Barca","given":"Valentina","non-dropping-particle":"","parse-names":false,"suffix":""},{"dropping-particle":"","family":"Sturge","given":"Georgina","non-dropping-particle":"","parse-names":false,"suffix":""},{"dropping-particle":"","family":"Schmidt","given":"Tanja","non-dropping-particle":"","parse-names":false,"suffix":""},{"dropping-particle":"","family":"Pellerano","given":"Luca","non-dropping-particle":"","parse-names":false,"suffix":""}],"id":"ITEM-2","issue":"July","issued":{"date-parts":[["2016"]]},"title":"Cash transfers : what does the evidence say ? A rigorous review of programme impact and of the role of design and implementation features","type":"article-journal"},"uris":["http://www.mendeley.com/documents/?uuid=5c9266e4-f82b-44bb-bb12-3d3493ea4642"]}],"mendeley":{"formattedCitation":"(Bastagli, Hagen-zanker, et al., 2016; Samson et al., 2006)","plainTextFormattedCitation":"(Bastagli, Hagen-zanker, et al., 2016; Samson et al., 2006)","previouslyFormattedCitation":"(Bastagli, Hagen-zanker, et al., 2016; Samson et al., 2006)"},"properties":{"noteIndex":0},"schema":"https://github.com/citation-style-language/schema/raw/master/csl-citation.json"}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(Bastagli et al., 2016; Samson et al., 2006)</w:t>
      </w:r>
      <w:r w:rsidRPr="00446A7C">
        <w:rPr>
          <w:rFonts w:cs="Times New Roman"/>
          <w:bCs/>
          <w:szCs w:val="24"/>
        </w:rPr>
        <w:fldChar w:fldCharType="end"/>
      </w:r>
      <w:r w:rsidRPr="00446A7C">
        <w:rPr>
          <w:rFonts w:cs="Times New Roman"/>
          <w:bCs/>
          <w:szCs w:val="24"/>
        </w:rPr>
        <w:t xml:space="preserve">. Similarly, UCTs are regular non-contributory payments of cash to households and individual by the state or non -governmental organizations (NGOs). UCTs do not require beneficiaries to fulfil conditionalities like school enrolment, work in order to qualify for transfer. However, it does not exclude, administrative requirement like providing identification documents and registration. Examples of UCT include; school pension, </w:t>
      </w:r>
      <w:r w:rsidRPr="00446A7C">
        <w:rPr>
          <w:rFonts w:cs="Times New Roman"/>
          <w:bCs/>
          <w:szCs w:val="24"/>
        </w:rPr>
        <w:lastRenderedPageBreak/>
        <w:t xml:space="preserve">child support, family assistance, grants for people living with disability </w:t>
      </w:r>
      <w:r w:rsidRPr="00446A7C">
        <w:rPr>
          <w:rFonts w:cs="Times New Roman"/>
          <w:szCs w:val="24"/>
        </w:rPr>
        <w:fldChar w:fldCharType="begin"/>
      </w:r>
      <w:r w:rsidRPr="00446A7C">
        <w:rPr>
          <w:rFonts w:cs="Times New Roman"/>
          <w:bCs/>
          <w:szCs w:val="24"/>
        </w:rPr>
        <w:instrText>ADDIN CSL_CITATION {"citationItems":[{"id":"ITEM-1","itemData":{"ISBN":"9780620365949","author":[{"dropping-particle":"","family":"Samson","given":"Michael","non-dropping-particle":"","parse-names":false,"suffix":""},{"dropping-particle":"Van","family":"Niekerk","given":"Ingrid","non-dropping-particle":"","parse-names":false,"suffix":""},{"dropping-particle":"","family":"Mac","given":"Kenneth","non-dropping-particle":"","parse-names":false,"suffix":""}],"id":"ITEM-1","issued":{"date-parts":[["2006"]]},"number-of-pages":"195","title":"Social Transfer Programmes","type":"book"},"uris":["http://www.mendeley.com/documents/?uuid=7465882c-6af4-4743-8579-fa2f1e0f7c0a"]},{"id":"ITEM-2","itemData":{"ISSN":"0022-3654","abstract":"Cash transfers have been increasingly adopted by countries worldwide as central elements of their social protection and poverty reduction strategies. A growing number of studies provide rigorous evidence on the impact of cash transfers, and the role of specific cash transfer design and implementation features in shaping outcomes. This rigorous review of the impact of cash transfers is the largest and most comprehensive review of its kind to date. It consolidates and assesses the body of evidence from 2000 to 2015, covering low- and middle-income countries worldwide, to provide policy-makers, practitioners and researchers with a single resource on the most rigorous and up-to-date evidence available. The review covers the intended and unintended impact on individuals and households of non-contributory cash transfer programmes on six outcome areas: Monetary poverty Education Health and nutrition Savings, investment and production Employment Empowerment It pays particular attention to the links between variations in cash transfer design and implementation details (e.g. transfer value, targeting mechanism, conditionality) and outcomes.","author":[{"dropping-particle":"","family":"Bastagli","given":"Francesca","non-dropping-particle":"","parse-names":false,"suffix":""},{"dropping-particle":"","family":"Hagen-Zanker","given":"Jessica","non-dropping-particle":"","parse-names":false,"suffix":""},{"dropping-particle":"","family":"Harman","given":"Luke","non-dropping-particle":"","parse-names":false,"suffix":""},{"dropping-particle":"","family":"Barca","given":"Valentina","non-dropping-particle":"","parse-names":false,"suffix":""},{"dropping-particle":"","family":"Sturge","given":"Georgina","non-dropping-particle":"","parse-names":false,"suffix":""},{"dropping-particle":"","family":"Schmidt","given":"Tanja","non-dropping-particle":"","parse-names":false,"suffix":""},{"dropping-particle":"","family":"Pellerano","given":"Luca","non-dropping-particle":"","parse-names":false,"suffix":""}],"container-title":"ODI Report","id":"ITEM-2","issue":"July","issued":{"date-parts":[["2016"]]},"page":"1-300","title":"Cash transfers: what does the evidence say?","type":"article-journal"},"uris":["http://www.mendeley.com/documents/?uuid=a8f06041-f3a5-4212-be14-1e9c64015ae3"]}],"mendeley":{"formattedCitation":"(Bastagli, Hagen-Zanker, et al., 2016; Samson et al., 2006)","plainTextFormattedCitation":"(Bastagli, Hagen-Zanker, et al., 2016; Samson et al., 2006)","previouslyFormattedCitation":"(Bastagli, Hagen-Zanker, et al., 2016; Samson et al., 2006)"},"properties":{"noteIndex":0},"schema":"https://github.com/citation-style-language/schema/raw/master/csl-citation.json"}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(Bastagli et al., 2016; Samson et al., 2006)</w:t>
      </w:r>
      <w:r w:rsidRPr="00446A7C">
        <w:rPr>
          <w:rFonts w:cs="Times New Roman"/>
          <w:bCs/>
          <w:szCs w:val="24"/>
        </w:rPr>
        <w:fldChar w:fldCharType="end"/>
      </w:r>
      <w:r w:rsidRPr="00446A7C">
        <w:rPr>
          <w:rFonts w:cs="Times New Roman"/>
          <w:bCs/>
          <w:szCs w:val="24"/>
        </w:rPr>
        <w:t xml:space="preserve">. The main aim is to reduce chronic poverty, addressing social risks and reducing economic vulnerability. </w:t>
      </w:r>
    </w:p>
    <w:p w14:paraId="3B4AAD7C" w14:textId="77777777" w:rsidR="0008415E" w:rsidRPr="00446A7C" w:rsidRDefault="0008415E" w:rsidP="00371F7B">
      <w:pPr>
        <w:pStyle w:val="NoSpacing"/>
      </w:pPr>
    </w:p>
    <w:p w14:paraId="3AEE51A1"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rPr>
        <w:t>Where there are poverty traps, cash transfers have the potential of building human assets by creating access to health care and education for their children (</w:t>
      </w:r>
      <w:bookmarkStart w:id="63" w:name="_Hlk159029757"/>
      <w:r w:rsidRPr="00446A7C">
        <w:rPr>
          <w:rFonts w:cs="Times New Roman"/>
          <w:bCs/>
          <w:szCs w:val="24"/>
        </w:rPr>
        <w:t>Bastagli et al., 2020</w:t>
      </w:r>
      <w:bookmarkEnd w:id="63"/>
      <w:r w:rsidRPr="00446A7C">
        <w:rPr>
          <w:rFonts w:cs="Times New Roman"/>
          <w:bCs/>
          <w:szCs w:val="24"/>
        </w:rPr>
        <w:t xml:space="preserve">). The prompt and accurate distribution of cash transfers is crucial for providing immediate financial assistance to individuals in need, especially during times of crisis. </w:t>
      </w:r>
      <w:bookmarkStart w:id="64" w:name="_Hlk161482378"/>
      <w:r w:rsidRPr="00446A7C">
        <w:rPr>
          <w:rFonts w:cs="Times New Roman"/>
          <w:bCs/>
          <w:szCs w:val="24"/>
          <w:lang w:val="en-US"/>
        </w:rPr>
        <w:t xml:space="preserve">The timely provision of cash transfers is essential for reducing poverty, enhancing resilience, and fostering economic prosperity. It not only helps meet basic needs but also empowers vulnerable populations, promotes recipient autonomy, boosts local economies, and reduces reliance on harmful coping mechanisms </w:t>
      </w:r>
      <w:r w:rsidRPr="00446A7C">
        <w:rPr>
          <w:rFonts w:cs="Times New Roman"/>
          <w:bCs/>
          <w:szCs w:val="24"/>
        </w:rPr>
        <w:t xml:space="preserve">(Debrah, 2013; Una et al., 2020). </w:t>
      </w:r>
      <w:bookmarkEnd w:id="64"/>
      <w:r w:rsidRPr="00446A7C">
        <w:rPr>
          <w:rFonts w:cs="Times New Roman"/>
          <w:bCs/>
          <w:szCs w:val="24"/>
        </w:rPr>
        <w:t>Amongst these programmes include: Brazil's Bolsa Familia (Handa et al., 2022; Neves et al., 2022; Hailu &amp; Soares, 2008), Mexico's Progresa/Oportunidades (</w:t>
      </w:r>
      <w:r w:rsidRPr="00446A7C">
        <w:rPr>
          <w:rFonts w:cs="Times New Roman"/>
          <w:bCs/>
          <w:szCs w:val="24"/>
          <w:lang w:val="en-US"/>
        </w:rPr>
        <w:t>Molyneux, 2006),</w:t>
      </w:r>
      <w:r w:rsidRPr="00446A7C">
        <w:rPr>
          <w:rFonts w:cs="Times New Roman"/>
          <w:bCs/>
          <w:szCs w:val="24"/>
        </w:rPr>
        <w:t xml:space="preserve"> Zambia’s Child Grant programme (Bastagli et al., 2016) and Ghana’s livelihood programme (LEAP) (Handa &amp; Park, 2012; Debrah, 2013). </w:t>
      </w:r>
    </w:p>
    <w:p w14:paraId="63BE5053" w14:textId="77777777" w:rsidR="0008415E" w:rsidRPr="00446A7C" w:rsidRDefault="00000000" w:rsidP="00371F7B">
      <w:pPr>
        <w:pStyle w:val="NoSpacing"/>
      </w:pPr>
      <w:r w:rsidRPr="00446A7C">
        <w:tab/>
      </w:r>
    </w:p>
    <w:p w14:paraId="171C5AE5"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Sustainable poverty reductions recognise the multidimensional nature of poverty. This is reflected in the efforts of government policies that seek to provide providing financial supports and other forms of services to develop human capital and promote long term alleviation. Cash transfers have been recognised as of such policy intervention that can help address poverty. The Ghanaian Livelihood Empowerment Against Poverty programme which this study centres are of such poverty reduction measures that provides cash to vulnerable households with the aim of reducing poverty. Because sustainable poverty reduction recognises the multifaceted nature of </w:t>
      </w:r>
      <w:r w:rsidRPr="00446A7C">
        <w:rPr>
          <w:rFonts w:cs="Times New Roman"/>
          <w:bCs/>
          <w:szCs w:val="24"/>
        </w:rPr>
        <w:lastRenderedPageBreak/>
        <w:t xml:space="preserve">poverty, incorporating digital technologies in the programme is one way of enhancing the delivery of the programme. </w:t>
      </w:r>
    </w:p>
    <w:p w14:paraId="35D7B565" w14:textId="77777777" w:rsidR="0008415E" w:rsidRPr="00446A7C" w:rsidRDefault="00000000">
      <w:pPr>
        <w:pStyle w:val="Heading3"/>
      </w:pPr>
      <w:bookmarkStart w:id="65" w:name="_Toc171703212"/>
      <w:r w:rsidRPr="00446A7C">
        <w:t>2.3.4 Access to Social Protection</w:t>
      </w:r>
      <w:bookmarkEnd w:id="65"/>
    </w:p>
    <w:p w14:paraId="2F56B1FE" w14:textId="77777777" w:rsidR="0008415E" w:rsidRPr="00446A7C" w:rsidRDefault="00000000">
      <w:pPr>
        <w:spacing w:line="480" w:lineRule="auto"/>
        <w:ind w:firstLine="0"/>
        <w:contextualSpacing/>
        <w:jc w:val="both"/>
        <w:rPr>
          <w:rFonts w:cs="Times New Roman"/>
          <w:szCs w:val="24"/>
          <w:lang w:val="en-US"/>
        </w:rPr>
      </w:pPr>
      <w:bookmarkStart w:id="66" w:name="_Hlk158931540"/>
      <w:r w:rsidRPr="00446A7C">
        <w:rPr>
          <w:rFonts w:cs="Times New Roman"/>
          <w:szCs w:val="24"/>
          <w:lang w:val="en-US"/>
        </w:rPr>
        <w:t xml:space="preserve">Access refers to the ability of individuals or groups to obtain or utilize resources, services, or opportunities necessary for their well-being and development (World Health Organization, 2021). </w:t>
      </w:r>
      <w:bookmarkEnd w:id="66"/>
      <w:r w:rsidRPr="00446A7C">
        <w:rPr>
          <w:rFonts w:cs="Times New Roman"/>
          <w:szCs w:val="24"/>
          <w:lang w:val="en-US"/>
        </w:rPr>
        <w:t xml:space="preserve">In the context of social protection, access encompasses the availability and acceptability of social welfare programmes and interventions aimed at mitigating poverty and promoting inclusive development. Acceptability and availability of social protection programmes play a crucial role in determining access to for individuals and communities (ILO, 2017). Availability of such interventions means there is the right type of intervention for those who need it. Poor provider-beneficiary relationship affects the acceptability of social protection interventions. The acceptance of these interventions’ hinges on the overall design of these interventions, cultural norms, individual and community perception, communication barriers, discrimination towards certain groups of beneficiaries (see Gilson et al., 2007; Pal, 2018). </w:t>
      </w:r>
    </w:p>
    <w:p w14:paraId="2BF72FFF" w14:textId="77777777" w:rsidR="0008415E" w:rsidRPr="00446A7C" w:rsidRDefault="0008415E" w:rsidP="00371F7B">
      <w:pPr>
        <w:pStyle w:val="NoSpacing"/>
      </w:pPr>
    </w:p>
    <w:p w14:paraId="44F9117E" w14:textId="77777777" w:rsidR="0008415E" w:rsidRPr="00446A7C" w:rsidRDefault="00000000">
      <w:pPr>
        <w:spacing w:line="480" w:lineRule="auto"/>
        <w:ind w:firstLine="0"/>
        <w:contextualSpacing/>
        <w:jc w:val="both"/>
        <w:rPr>
          <w:rFonts w:cs="Times New Roman"/>
          <w:szCs w:val="24"/>
          <w:lang w:val="en-US"/>
        </w:rPr>
      </w:pPr>
      <w:r w:rsidRPr="00446A7C">
        <w:rPr>
          <w:rFonts w:cs="Times New Roman"/>
          <w:szCs w:val="24"/>
          <w:lang w:val="en-US"/>
        </w:rPr>
        <w:t xml:space="preserve">Admore (2011) and Ayodeji (2015) argued that access to assets is an important determinant of poverty. Access to interventions such as cash transfers leads to the creation of assets and improved health and wellbeing leading to poverty reduction. For instances, cash transfers given to the vulnerable populations, such as the poor, elderly, disabled, and marginalized communities, gives them the means to cope with economic shocks and risks (World Bank, 2020). It is however important to note that, poverty and vulnerability are avoided and reduced throughout life when people have access to consistent and sufficient cash transfers under social protection schemes. In </w:t>
      </w:r>
      <w:r w:rsidRPr="00446A7C">
        <w:rPr>
          <w:rFonts w:cs="Times New Roman"/>
          <w:szCs w:val="24"/>
          <w:lang w:val="en-US"/>
        </w:rPr>
        <w:lastRenderedPageBreak/>
        <w:t>the event of an economic shock, it lessens the need for households to resort to destructive coping mechanisms like selling possessions or pulling out children from school (</w:t>
      </w:r>
      <w:bookmarkStart w:id="67" w:name="_Hlk159029874"/>
      <w:r w:rsidRPr="00446A7C">
        <w:rPr>
          <w:rFonts w:cs="Times New Roman"/>
          <w:szCs w:val="24"/>
          <w:lang w:val="en-US"/>
        </w:rPr>
        <w:t>Kind &amp; Lee, 2021</w:t>
      </w:r>
      <w:bookmarkEnd w:id="67"/>
      <w:r w:rsidRPr="00446A7C">
        <w:rPr>
          <w:rFonts w:cs="Times New Roman"/>
          <w:szCs w:val="24"/>
          <w:lang w:val="en-US"/>
        </w:rPr>
        <w:t>), however, there are several barriers including administrative, financial and programme design barriers that hinder people from effectively accessing social programme services even when these schemes are readily available (Kind &amp; Lee, 2021).</w:t>
      </w:r>
      <w:r w:rsidRPr="00446A7C">
        <w:rPr>
          <w:rFonts w:cs="Times New Roman"/>
          <w:szCs w:val="24"/>
        </w:rPr>
        <w:t xml:space="preserve"> </w:t>
      </w:r>
      <w:r w:rsidRPr="00446A7C">
        <w:rPr>
          <w:rFonts w:cs="Times New Roman"/>
          <w:szCs w:val="24"/>
          <w:lang w:val="en-US"/>
        </w:rPr>
        <w:t xml:space="preserve"> </w:t>
      </w:r>
    </w:p>
    <w:p w14:paraId="2220F008" w14:textId="77777777" w:rsidR="0008415E" w:rsidRPr="00446A7C" w:rsidRDefault="0008415E" w:rsidP="00371F7B">
      <w:pPr>
        <w:pStyle w:val="NoSpacing"/>
      </w:pPr>
    </w:p>
    <w:p w14:paraId="64A533E7" w14:textId="77777777" w:rsidR="0008415E" w:rsidRPr="00446A7C" w:rsidRDefault="00000000">
      <w:pPr>
        <w:spacing w:line="480" w:lineRule="auto"/>
        <w:ind w:firstLine="0"/>
        <w:contextualSpacing/>
        <w:jc w:val="both"/>
        <w:rPr>
          <w:rFonts w:cs="Times New Roman"/>
          <w:szCs w:val="24"/>
          <w:lang w:val="en-US"/>
        </w:rPr>
      </w:pPr>
      <w:r w:rsidRPr="00446A7C">
        <w:rPr>
          <w:rFonts w:cs="Times New Roman"/>
          <w:szCs w:val="24"/>
          <w:lang w:val="en-US"/>
        </w:rPr>
        <w:t xml:space="preserve">Within the context of digital technology in social protection, access takes on additional dimensions related to the utilization of digital platforms and tools for programme delivery and implementation. </w:t>
      </w:r>
      <w:bookmarkStart w:id="68" w:name="_Hlk159714450"/>
      <w:r w:rsidRPr="00446A7C">
        <w:rPr>
          <w:rFonts w:cs="Times New Roman"/>
          <w:szCs w:val="24"/>
          <w:lang w:val="en-US"/>
        </w:rPr>
        <w:t xml:space="preserve">Digital technology facilitates access to social protection programmes by reducing barriers such as distance, time, and administrative complexity (World Bank, 2021). </w:t>
      </w:r>
      <w:bookmarkEnd w:id="68"/>
      <w:r w:rsidRPr="00446A7C">
        <w:rPr>
          <w:rFonts w:cs="Times New Roman"/>
          <w:szCs w:val="24"/>
          <w:lang w:val="en-US"/>
        </w:rPr>
        <w:t>Access to digital financial services empowers beneficiaries to manage their funds, save, and access credit, ultimately contributing to their long-term economic well-being especially amongst marginalized populations, as discussed.</w:t>
      </w:r>
    </w:p>
    <w:p w14:paraId="30C50C52" w14:textId="77777777" w:rsidR="0008415E" w:rsidRPr="00446A7C" w:rsidRDefault="00000000">
      <w:pPr>
        <w:pStyle w:val="Heading3"/>
      </w:pPr>
      <w:bookmarkStart w:id="69" w:name="_Toc171703213"/>
      <w:r w:rsidRPr="00446A7C">
        <w:t>2.3.5 Perception and Experiences of Beneficiaries</w:t>
      </w:r>
      <w:bookmarkEnd w:id="69"/>
    </w:p>
    <w:p w14:paraId="127672BE" w14:textId="77777777" w:rsidR="0008415E" w:rsidRPr="00446A7C" w:rsidRDefault="00000000">
      <w:pPr>
        <w:spacing w:line="480" w:lineRule="auto"/>
        <w:ind w:firstLine="0"/>
        <w:contextualSpacing/>
        <w:jc w:val="both"/>
        <w:rPr>
          <w:rFonts w:cs="Times New Roman"/>
          <w:bCs/>
          <w:szCs w:val="24"/>
        </w:rPr>
      </w:pPr>
      <w:r w:rsidRPr="00446A7C">
        <w:rPr>
          <w:rFonts w:cs="Times New Roman"/>
          <w:szCs w:val="24"/>
        </w:rPr>
        <w:t xml:space="preserve">According to </w:t>
      </w:r>
      <w:bookmarkStart w:id="70" w:name="_Hlk159084813"/>
      <w:r w:rsidRPr="00446A7C">
        <w:rPr>
          <w:rFonts w:cs="Times New Roman"/>
          <w:szCs w:val="24"/>
        </w:rPr>
        <w:t>Smith and Osborn (2015), e</w:t>
      </w:r>
      <w:r w:rsidRPr="00446A7C">
        <w:rPr>
          <w:rFonts w:cs="Times New Roman"/>
          <w:bCs/>
          <w:szCs w:val="24"/>
        </w:rPr>
        <w:t>xperience refers to the subjective knowledge, understanding, and insight gained through direct involvement or exposure to specific events, situations, or activities</w:t>
      </w:r>
      <w:bookmarkEnd w:id="70"/>
      <w:r w:rsidRPr="00446A7C">
        <w:rPr>
          <w:rFonts w:cs="Times New Roman"/>
          <w:bCs/>
          <w:szCs w:val="24"/>
        </w:rPr>
        <w:t>. It incorporates the personal encounters, interactions, and lived realities of individuals within a particular context. Likewise, perception is viewed as the cognitive process through which individuals interpret, organize, and make sense of sensory information from their environment (Goldstein, 2019).</w:t>
      </w:r>
      <w:r w:rsidRPr="00446A7C">
        <w:rPr>
          <w:rFonts w:cs="Times New Roman"/>
          <w:szCs w:val="24"/>
        </w:rPr>
        <w:t xml:space="preserve"> </w:t>
      </w:r>
      <w:r w:rsidRPr="00446A7C">
        <w:rPr>
          <w:rFonts w:cs="Times New Roman"/>
          <w:bCs/>
          <w:szCs w:val="24"/>
        </w:rPr>
        <w:t>In this context, understanding the experiences and perceptions of programme beneficiaries is crucial for designing and implementing effective interventions and achieving sustainable poverty reduction goals through social protection programmes.</w:t>
      </w:r>
    </w:p>
    <w:p w14:paraId="17E87A1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 xml:space="preserve">According to Mendoza et al. (2017), </w:t>
      </w:r>
      <w:bookmarkStart w:id="71" w:name="_Hlk159025012"/>
      <w:r w:rsidRPr="00446A7C">
        <w:rPr>
          <w:rFonts w:cs="Times New Roman"/>
          <w:bCs/>
          <w:szCs w:val="24"/>
        </w:rPr>
        <w:t>beneficiary perspectives provide valuable insights into programme effectiveness, highlighting areas of success, challenges, and areas for improvement. By incorporating beneficiary feedback, programme implementers can ensure that interventions are responsive to the unique needs and aspirations of individuals living in poverty</w:t>
      </w:r>
      <w:bookmarkEnd w:id="71"/>
      <w:r w:rsidRPr="00446A7C">
        <w:rPr>
          <w:rFonts w:cs="Times New Roman"/>
          <w:bCs/>
          <w:szCs w:val="24"/>
        </w:rPr>
        <w:t>.</w:t>
      </w:r>
      <w:r w:rsidRPr="00446A7C">
        <w:rPr>
          <w:rFonts w:cs="Times New Roman"/>
          <w:szCs w:val="24"/>
        </w:rPr>
        <w:t xml:space="preserve"> </w:t>
      </w:r>
      <w:r w:rsidRPr="00446A7C">
        <w:rPr>
          <w:rFonts w:cs="Times New Roman"/>
          <w:bCs/>
          <w:szCs w:val="24"/>
        </w:rPr>
        <w:t xml:space="preserve">Research by Ahmed et al. (2020) emphasizes the significance of beneficiary perceptions in shaping their engagement with social protection programmes. Positive perceptions, such as feelings of dignity, empowerment, and inclusiveness, can contribute to increased programme participation and utilization. </w:t>
      </w:r>
      <w:bookmarkStart w:id="72" w:name="_Hlk149222064"/>
      <w:r w:rsidRPr="00446A7C">
        <w:rPr>
          <w:rFonts w:cs="Times New Roman"/>
          <w:bCs/>
          <w:szCs w:val="24"/>
        </w:rPr>
        <w:t>Conversely, negative perceptions, such as stigma, bureaucracy, and lack of trust, can hinder beneficiary engagement and limit the potential impact of social protection interventions</w:t>
      </w:r>
      <w:r w:rsidRPr="00446A7C">
        <w:rPr>
          <w:rFonts w:cs="Times New Roman"/>
          <w:szCs w:val="24"/>
        </w:rPr>
        <w:t xml:space="preserve"> (</w:t>
      </w:r>
      <w:r w:rsidRPr="00446A7C">
        <w:rPr>
          <w:rFonts w:cs="Times New Roman"/>
          <w:bCs/>
          <w:szCs w:val="24"/>
        </w:rPr>
        <w:t>Ahmed et al., 2020).</w:t>
      </w:r>
      <w:bookmarkEnd w:id="72"/>
      <w:r w:rsidRPr="00446A7C">
        <w:rPr>
          <w:rFonts w:cs="Times New Roman"/>
          <w:bCs/>
          <w:szCs w:val="24"/>
        </w:rPr>
        <w:t xml:space="preserve"> Furthermore, beneficiary experiences and perceptions are closely intertwined with programme outcomes and sustainability. A study by Haq et al. (2018) suggests that when beneficiaries perceive social protection programmes as fair, transparent, and responsive to their needs, they are more likely to actively engage in income-generating activities and adopt sustainable livelihood strategies. This highlights the importance of fostering a sense of ownership and agency among beneficiaries to ensure the long-term effectiveness and sustainability of poverty reduction initiatives.</w:t>
      </w:r>
    </w:p>
    <w:p w14:paraId="4CA09EDE" w14:textId="699CD493" w:rsidR="0008415E" w:rsidRPr="00446A7C" w:rsidRDefault="00000000" w:rsidP="00491E2B">
      <w:pPr>
        <w:pStyle w:val="Heading3"/>
      </w:pPr>
      <w:bookmarkStart w:id="73" w:name="_Hlk150227723"/>
      <w:bookmarkStart w:id="74" w:name="_Toc171703214"/>
      <w:r w:rsidRPr="00446A7C">
        <w:t>2.3.6</w:t>
      </w:r>
      <w:r w:rsidR="00491E2B">
        <w:t xml:space="preserve"> </w:t>
      </w:r>
      <w:r w:rsidRPr="00446A7C">
        <w:t>Harnessing Digital Technologies in The Delivery of Cash Transfers</w:t>
      </w:r>
      <w:bookmarkEnd w:id="74"/>
    </w:p>
    <w:p w14:paraId="48FB94AC" w14:textId="77777777" w:rsidR="0008415E" w:rsidRPr="00446A7C" w:rsidRDefault="00000000">
      <w:pPr>
        <w:spacing w:line="480" w:lineRule="auto"/>
        <w:ind w:firstLine="0"/>
        <w:contextualSpacing/>
        <w:jc w:val="both"/>
        <w:rPr>
          <w:rFonts w:cs="Times New Roman"/>
          <w:szCs w:val="24"/>
        </w:rPr>
      </w:pPr>
      <w:r w:rsidRPr="00446A7C">
        <w:rPr>
          <w:rFonts w:cs="Times New Roman"/>
          <w:bCs/>
          <w:szCs w:val="24"/>
        </w:rPr>
        <w:t xml:space="preserve">Digital technology encompasses a wide range of tools, systems, and applications that use digital information and communication processes to enable a variety of functions and activities (Tulinayo et al., 2018). It covers technologies such as computers, smartphones, the internet, software applications, digital platforms, and other electronic devices that facilitate the creation, storage, retrieval, manipulation, and </w:t>
      </w:r>
      <w:r w:rsidRPr="00446A7C">
        <w:rPr>
          <w:rFonts w:cs="Times New Roman"/>
          <w:bCs/>
          <w:szCs w:val="24"/>
        </w:rPr>
        <w:lastRenderedPageBreak/>
        <w:t xml:space="preserve">transmission of digital data (Palfrey &amp; Gasser, 2016). In the context of social protection, digital technology is viewed as the application and integration of various digital tools, platforms, and systems at various stages of the programme cycle to enhance the design, delivery, and effectiveness of social protection programmes for the overall benefit of the beneficiaries </w:t>
      </w:r>
      <w:bookmarkStart w:id="75" w:name="_Hlk149981116"/>
      <w:r w:rsidRPr="00446A7C">
        <w:rPr>
          <w:rFonts w:cs="Times New Roman"/>
          <w:bCs/>
          <w:szCs w:val="24"/>
        </w:rPr>
        <w:t>(</w:t>
      </w:r>
      <w:bookmarkStart w:id="76" w:name="_Hlk160773197"/>
      <w:r w:rsidRPr="00446A7C">
        <w:rPr>
          <w:rFonts w:cs="Times New Roman"/>
          <w:bCs/>
          <w:szCs w:val="24"/>
        </w:rPr>
        <w:t>Handayani et al., 2017</w:t>
      </w:r>
      <w:bookmarkEnd w:id="76"/>
      <w:r w:rsidRPr="00446A7C">
        <w:rPr>
          <w:rFonts w:cs="Times New Roman"/>
          <w:bCs/>
          <w:szCs w:val="24"/>
        </w:rPr>
        <w:t>).</w:t>
      </w:r>
      <w:r w:rsidRPr="00446A7C">
        <w:rPr>
          <w:rFonts w:cs="Times New Roman"/>
          <w:szCs w:val="24"/>
        </w:rPr>
        <w:t xml:space="preserve"> </w:t>
      </w:r>
      <w:bookmarkEnd w:id="75"/>
    </w:p>
    <w:p w14:paraId="76836525" w14:textId="77777777" w:rsidR="0008415E" w:rsidRPr="00446A7C" w:rsidRDefault="0008415E" w:rsidP="00371F7B">
      <w:pPr>
        <w:pStyle w:val="NoSpacing"/>
      </w:pPr>
    </w:p>
    <w:p w14:paraId="29CC3467"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rPr>
        <w:t>Digital technologies are used in various aspects of social protection delivery, the most important of which are information systems, financial services, and grievance/accountability mechanisms (Carter, 2019). Since the long-term goal of social protection programmes is to empower beneficiaries towards sustainable living, digital technology fits well in this landscape.</w:t>
      </w:r>
      <w:r w:rsidRPr="00446A7C">
        <w:rPr>
          <w:rFonts w:cs="Times New Roman"/>
          <w:szCs w:val="24"/>
        </w:rPr>
        <w:t xml:space="preserve"> </w:t>
      </w:r>
      <w:r w:rsidRPr="00446A7C">
        <w:rPr>
          <w:rFonts w:cs="Times New Roman"/>
          <w:bCs/>
          <w:szCs w:val="24"/>
        </w:rPr>
        <w:t xml:space="preserve">The introduction of digital technology has enabled governments and implementing agencies of social protection programmes to reach beneficiaries in remote areas, effectively expanding their coverage (Gupta &amp; Mahajan, 2019). In a study of cash transfer programmes in sub–Saharan Africa, Gronbach (2020) highlights that, the delivery of these interventions have now moved from manual delivery to a more digitised system. </w:t>
      </w:r>
      <w:r w:rsidRPr="00446A7C">
        <w:rPr>
          <w:rFonts w:cs="Times New Roman"/>
          <w:bCs/>
          <w:szCs w:val="24"/>
          <w:lang w:val="en-US"/>
        </w:rPr>
        <w:t xml:space="preserve">Manual payments require officials of interventions to physically transport significant amounts of cash to designated payment locations to distribute funds to recipients. Regrettably, this procedure has been shown to facilitate various fraudulent activities </w:t>
      </w:r>
      <w:r w:rsidRPr="00446A7C">
        <w:rPr>
          <w:rFonts w:cs="Times New Roman"/>
          <w:bCs/>
          <w:szCs w:val="24"/>
        </w:rPr>
        <w:t>(</w:t>
      </w:r>
      <w:r w:rsidRPr="00446A7C">
        <w:rPr>
          <w:rFonts w:cs="Times New Roman"/>
          <w:bCs/>
          <w:szCs w:val="24"/>
          <w:lang w:val="en-US"/>
        </w:rPr>
        <w:t>Iazzolino, 2018;</w:t>
      </w:r>
      <w:r w:rsidRPr="00446A7C">
        <w:rPr>
          <w:rFonts w:cs="Times New Roman"/>
          <w:szCs w:val="24"/>
          <w:lang w:val="en-US"/>
        </w:rPr>
        <w:t xml:space="preserve"> </w:t>
      </w:r>
      <w:r w:rsidRPr="00446A7C">
        <w:rPr>
          <w:rFonts w:cs="Times New Roman"/>
          <w:bCs/>
          <w:szCs w:val="24"/>
          <w:lang w:val="en-US"/>
        </w:rPr>
        <w:t>Hosny, 2022).</w:t>
      </w:r>
      <w:r w:rsidRPr="00446A7C">
        <w:rPr>
          <w:rFonts w:cs="Times New Roman"/>
          <w:bCs/>
          <w:szCs w:val="24"/>
        </w:rPr>
        <w:t xml:space="preserve"> </w:t>
      </w:r>
      <w:r w:rsidRPr="00446A7C">
        <w:rPr>
          <w:rFonts w:cs="Times New Roman"/>
          <w:bCs/>
          <w:szCs w:val="24"/>
          <w:lang w:val="en-US"/>
        </w:rPr>
        <w:t>The limited use of digital tools during the pandemic adversely affected the timely and efficient delivery of assistance, particularly during lockdowns. According to the World Bank (2022b), these lockdowns led to an approximate loss of US$1.9 billion in total household income.</w:t>
      </w:r>
      <w:r w:rsidRPr="00446A7C">
        <w:rPr>
          <w:rFonts w:cs="Times New Roman"/>
          <w:bCs/>
          <w:szCs w:val="24"/>
        </w:rPr>
        <w:t xml:space="preserve"> It is from this point that, Lowe et al. (2023) argues incorporation of digital technology can significantly transform the landscape of these programmes, making them more efficient, transparent, and accessible. </w:t>
      </w:r>
    </w:p>
    <w:p w14:paraId="05D25B54" w14:textId="77777777" w:rsidR="0008415E" w:rsidRDefault="00000000">
      <w:pPr>
        <w:spacing w:line="480" w:lineRule="auto"/>
        <w:ind w:firstLine="0"/>
        <w:contextualSpacing/>
        <w:jc w:val="both"/>
        <w:rPr>
          <w:rFonts w:cs="Times New Roman"/>
          <w:bCs/>
          <w:szCs w:val="24"/>
        </w:rPr>
      </w:pPr>
      <w:r w:rsidRPr="00446A7C">
        <w:rPr>
          <w:rFonts w:cs="Times New Roman"/>
          <w:bCs/>
          <w:szCs w:val="24"/>
        </w:rPr>
        <w:lastRenderedPageBreak/>
        <w:t>A study in India demonstrates how a direct bank transfer of a subsidy (rather than an in-kind subsidy) resulted in less diversion of subsidized goods to the black market, thereby reducing leakages (Barnwal, 2014). Mobile banking has been on rise in several emerging and developing countries, e.g., Kenya, India, Cambodia and Colombia</w:t>
      </w:r>
      <w:r w:rsidRPr="00446A7C">
        <w:rPr>
          <w:rFonts w:cs="Times New Roman"/>
          <w:szCs w:val="24"/>
        </w:rPr>
        <w:t xml:space="preserve"> (</w:t>
      </w:r>
      <w:r w:rsidRPr="00446A7C">
        <w:rPr>
          <w:rFonts w:cs="Times New Roman"/>
          <w:bCs/>
          <w:szCs w:val="24"/>
        </w:rPr>
        <w:t xml:space="preserve">Una et al., 2020) facilitating the government’s transfer of cash to beneficiaries. </w:t>
      </w:r>
      <w:r w:rsidRPr="00446A7C">
        <w:rPr>
          <w:rFonts w:cs="Times New Roman"/>
          <w:bCs/>
          <w:szCs w:val="24"/>
          <w:lang w:val="en-US"/>
        </w:rPr>
        <w:t xml:space="preserve">For instance, in Colombia, the Daviplata app by Banco Davivienda has facilitated fund transfers to over 900,000 recipients of Familias en Acción, which is Colombia's largest social assistance programme (Lindert et al., 2020). </w:t>
      </w:r>
      <w:r w:rsidRPr="00446A7C">
        <w:rPr>
          <w:rFonts w:cs="Times New Roman"/>
          <w:bCs/>
          <w:szCs w:val="24"/>
        </w:rPr>
        <w:t>The use of cash cards in Nepal also exemplifies the use of digital solutions for transferring social protection funds to programme beneficiaries (ADB, 2015). Also Islam et al., (2022) highlighted the transformative potential of mobile money, as it facilitates beneficiaries to receive funds directly into their mobile wallets, promoting financial inclusion, and minimizing the need for physical bank branches.</w:t>
      </w:r>
    </w:p>
    <w:p w14:paraId="7F109724" w14:textId="77777777" w:rsidR="00491E2B" w:rsidRPr="00371F7B" w:rsidRDefault="00491E2B" w:rsidP="00371F7B">
      <w:pPr>
        <w:pStyle w:val="NoSpacing"/>
        <w:rPr>
          <w:sz w:val="2"/>
          <w:szCs w:val="2"/>
        </w:rPr>
      </w:pPr>
    </w:p>
    <w:p w14:paraId="72064668" w14:textId="77777777" w:rsidR="0008415E" w:rsidRPr="00446A7C" w:rsidRDefault="00000000">
      <w:pPr>
        <w:spacing w:before="240" w:line="480" w:lineRule="auto"/>
        <w:ind w:firstLine="0"/>
        <w:contextualSpacing/>
        <w:jc w:val="both"/>
        <w:rPr>
          <w:rFonts w:cs="Times New Roman"/>
          <w:bCs/>
          <w:szCs w:val="24"/>
        </w:rPr>
      </w:pPr>
      <w:r w:rsidRPr="00446A7C">
        <w:rPr>
          <w:rFonts w:cs="Times New Roman"/>
          <w:bCs/>
          <w:szCs w:val="24"/>
        </w:rPr>
        <w:t xml:space="preserve">Besides the roles of digital technologies in facilitating cash transfers to the beneficiaries, it also plays a crucial role in transforming the administrative operations within the programme. cash transfer schemes rely on robust data management systems to achieve their objectives. Data management encompasses various processes, from beneficiary selection to monitoring and evaluation (Hare &amp; Parekh, 2020). Digital platforms can facilitate the efficient transfer of benefits, reducing transaction costs and delays while improving accuracy and accountability (Hare &amp; Parekh, 2020). </w:t>
      </w:r>
      <w:bookmarkStart w:id="77" w:name="_Hlk149643436"/>
      <w:r w:rsidRPr="00446A7C">
        <w:rPr>
          <w:rFonts w:cs="Times New Roman"/>
          <w:bCs/>
          <w:szCs w:val="24"/>
        </w:rPr>
        <w:t xml:space="preserve">Furthermore, data analytics and digital identity systems enable better identification and targeting of beneficiaries, ensuring that support reaches those who need it the </w:t>
      </w:r>
      <w:bookmarkStart w:id="78" w:name="_Hlk149231072"/>
      <w:r w:rsidRPr="00446A7C">
        <w:rPr>
          <w:rFonts w:cs="Times New Roman"/>
          <w:bCs/>
          <w:szCs w:val="24"/>
        </w:rPr>
        <w:t>most</w:t>
      </w:r>
      <w:r w:rsidRPr="00446A7C">
        <w:rPr>
          <w:rFonts w:cs="Times New Roman"/>
          <w:szCs w:val="24"/>
        </w:rPr>
        <w:t xml:space="preserve"> (</w:t>
      </w:r>
      <w:r w:rsidRPr="00446A7C">
        <w:rPr>
          <w:rFonts w:cs="Times New Roman"/>
          <w:bCs/>
          <w:szCs w:val="24"/>
        </w:rPr>
        <w:t>Barnwal, 2014</w:t>
      </w:r>
      <w:bookmarkEnd w:id="77"/>
      <w:bookmarkEnd w:id="78"/>
      <w:r w:rsidRPr="00446A7C">
        <w:rPr>
          <w:rFonts w:cs="Times New Roman"/>
          <w:bCs/>
          <w:szCs w:val="24"/>
        </w:rPr>
        <w:t xml:space="preserve">). Improvements in database management, for example, helped address inclusion and exclusion errors in Vietnam and the Philippines, and allowed </w:t>
      </w:r>
      <w:r w:rsidRPr="00446A7C">
        <w:rPr>
          <w:rFonts w:cs="Times New Roman"/>
          <w:bCs/>
          <w:szCs w:val="24"/>
        </w:rPr>
        <w:lastRenderedPageBreak/>
        <w:t>for greater transparency in beneficiary lists of social protection programmes (Handayani et al., 2017).</w:t>
      </w:r>
    </w:p>
    <w:p w14:paraId="75C7FA04" w14:textId="77777777" w:rsidR="0008415E" w:rsidRPr="00446A7C" w:rsidRDefault="00000000" w:rsidP="00491E2B">
      <w:pPr>
        <w:pStyle w:val="Heading4"/>
      </w:pPr>
      <w:bookmarkStart w:id="79" w:name="_Toc171703215"/>
      <w:r w:rsidRPr="00446A7C">
        <w:t xml:space="preserve">2.3.6.1 Digital </w:t>
      </w:r>
      <w:r w:rsidRPr="00491E2B">
        <w:t>technologies</w:t>
      </w:r>
      <w:r w:rsidRPr="00446A7C">
        <w:t xml:space="preserve"> as Grievance Redress Mechanism (GRM)</w:t>
      </w:r>
      <w:bookmarkEnd w:id="79"/>
    </w:p>
    <w:p w14:paraId="13CF5D92"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rPr>
        <w:t xml:space="preserve">Grievance redress mechanisms (GRMs) are vital components in the delivery of social protection schemes (Agarwal, 2013). The incorporation of grievance redress mechanisms (GRM) enables individuals to provide feedback. This not only provides beneficiaries and the general public with a platform to voice their concerns regarding the programme's administration but also facilitates the process of holding programme managers accountable for irregularities (Azad, 2018; Lindert et al., 2020). Studies have shown that, social welfare programme delivery have been challenged with irregularities in their implementation </w:t>
      </w:r>
      <w:r w:rsidRPr="00446A7C">
        <w:rPr>
          <w:rFonts w:cs="Times New Roman"/>
          <w:szCs w:val="24"/>
        </w:rPr>
        <w:fldChar w:fldCharType="begin"/>
      </w:r>
      <w:r w:rsidRPr="00446A7C">
        <w:rPr>
          <w:rFonts w:cs="Times New Roman"/>
          <w:bCs/>
          <w:szCs w:val="24"/>
        </w:rPr>
        <w:instrText>ADDIN CSL_CITATION {"citationItems":[{"id":"ITEM-1","itemData":{"DOI":"10.1145/3136560.3136574","ISBN":"9781450352772","abstract":"Social welfare schemes and public infrastructure services often face implementation and last mile delivery challenges. Governments in India have set up phone helplines for beneficiaries to report irregularities but we find that it remains challenging for beneficiaries to realise positive outcomes through these helplines; without a personal follow-up with the concerned local government officials by experienced members from the civil society, the redressals done are often inadequate. To combine the scalability of centralised helplines with the effectiveness of decentralised mediation by civil society groups, we set up an IVR (Interactive Voice Response) system where beneficiaries can record their grievances, which are then delegated to a network of civil society volunteers who do the required local follow-ups for resolution of these grievances. Through this pilot, we analysed over 200 cases of redressal and document how volunteer networks operate and can plug accountability gaps in government services. We advocate for formalisation of this civil-society mediated and technology assisted model into the design of public welfare schemes to enable citizens to engage with government departments in productive ways.","author":[{"dropping-particle":"","family":"Chakraborty","given":"Dipanjan","non-dropping-particle":"","parse-names":false,"suffix":""},{"dropping-particle":"","family":"Ahmad","given":"Mohd Sultan","non-dropping-particle":"","parse-names":false,"suffix":""},{"dropping-particle":"","family":"Seth","given":"Aaditeshwar","non-dropping-particle":"","parse-names":false,"suffix":""}],"container-title":"ACM International Conference Proceeding Series","id":"ITEM-1","issued":{"date-parts":[["2017"]]},"title":"Findings from a civil society mediated and technology assisted grievance redressal model in rural India","type":"article-journal","volume":"Part F1320"},"uris":["http://www.mendeley.com/documents/?uuid=0b3fe1fb-db4a-4f91-bbb9-4f9522e9d55b"]}],"mendeley":{"formattedCitation":"(Chakraborty et al., 2017)","manualFormatting":"(Chakraborty et al., 2017","plainTextFormattedCitation":"(Chakraborty et al., 2017)","previouslyFormattedCitation":"(Chakraborty et al., 2017)"},"properties":{"noteIndex":0},"schema":"https://github.com/citation-style-language/schema/raw/master/csl-citation.json"}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lang w:val="da-DK"/>
        </w:rPr>
        <w:t>(Chakraborty et al., 2017</w:t>
      </w:r>
      <w:r w:rsidRPr="00446A7C">
        <w:rPr>
          <w:rFonts w:cs="Times New Roman"/>
          <w:bCs/>
          <w:szCs w:val="24"/>
        </w:rPr>
        <w:fldChar w:fldCharType="end"/>
      </w:r>
      <w:r w:rsidRPr="00446A7C">
        <w:rPr>
          <w:rFonts w:cs="Times New Roman"/>
          <w:szCs w:val="24"/>
        </w:rPr>
        <w:fldChar w:fldCharType="begin"/>
      </w:r>
      <w:r w:rsidRPr="00446A7C">
        <w:rPr>
          <w:rFonts w:cs="Times New Roman"/>
          <w:bCs/>
          <w:szCs w:val="24"/>
        </w:rPr>
        <w:instrText>ADDIN CSL_CITATION {"citationItems":[{"id":"ITEM-1","itemData":{"author":[{"dropping-particle":"","family":"Nicholas","given":"Roinson","non-dropping-particle":"","parse-names":false,"suffix":""}],"container-title":"Center for the advanced study of India","id":"ITEM-1","issue":"13","issued":{"date-parts":[["2013"]]},"page":"1-38","title":"C ITIZENS R IGHT TO G RIEVANCE R EDRESS B ILL 2011 Government of India","type":"article-journal"},"uris":["http://www.mendeley.com/documents/?uuid=b65b248e-a25d-47e0-bf14-40440179a0c6"]},{"id":"ITEM-2","itemData":{"author":[{"dropping-particle":"","family":"Agarwal","given":"Sanjay","non-dropping-particle":"","parse-names":false,"suffix":""}],"id":"ITEM-2","issued":{"date-parts":[["2013"]]},"title":"Effective Grievance Redress Mechanisms","type":"article-journal"},"uris":["http://www.mendeley.com/documents/?uuid=1bad38b4-267f-437a-a972-0c6bd1e6a867"]},{"id":"ITEM-3","itemData":{"author":[{"dropping-particle":"","family":"Randolph","given":"Robert C","non-dropping-particle":"","parse-names":false,"suffix":""},{"dropping-particle":"","family":"Edjeta","given":"Buli","non-dropping-particle":"","parse-names":false,"suffix":""}],"id":"ITEM-3","issued":{"date-parts":[["2011"]]},"title":"Study on Strengthening Grievance Redress Mechanisms for the Protection of the Basic Services ( PBS ) Program in Ethiopia","type":"article-journal"},"uris":["http://www.mendeley.com/documents/?uuid=94b46d29-8403-44f2-87c3-dd8976a32ed9"]}],"mendeley":{"formattedCitation":"(Agarwal, 2013; Nicholas, 2013; Randolph &amp; Edjeta, 2011)","manualFormatting":"; Agarwal, 2013; Nicholas, 2013; Randolph &amp; Edjeta, 2011)","plainTextFormattedCitation":"(Agarwal, 2013; Nicholas, 2013; Randolph &amp; Edjeta, 2011)","previouslyFormattedCitation":"(Agarwal, 2013; Nicholas, 2013; Randolph &amp; Edjeta, 2011)"},"properties":{"noteIndex":0},"schema":"https://github.com/citation-style-language/schema/raw/master/csl-citation.json"}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lang w:val="da-DK"/>
        </w:rPr>
        <w:t>; Agarwal, 2013; Nicholas, 2013; Randolph &amp; Edjeta, 2011)</w:t>
      </w:r>
      <w:r w:rsidRPr="00446A7C">
        <w:rPr>
          <w:rFonts w:cs="Times New Roman"/>
          <w:bCs/>
          <w:szCs w:val="24"/>
        </w:rPr>
        <w:fldChar w:fldCharType="end"/>
      </w:r>
      <w:r w:rsidRPr="00446A7C">
        <w:rPr>
          <w:rFonts w:cs="Times New Roman"/>
          <w:bCs/>
          <w:szCs w:val="24"/>
          <w:lang w:val="da-DK"/>
        </w:rPr>
        <w:t xml:space="preserve">. </w:t>
      </w:r>
      <w:r w:rsidRPr="00446A7C">
        <w:rPr>
          <w:rFonts w:cs="Times New Roman"/>
          <w:szCs w:val="24"/>
        </w:rPr>
        <w:fldChar w:fldCharType="begin"/>
      </w:r>
      <w:r w:rsidRPr="00446A7C">
        <w:rPr>
          <w:rFonts w:cs="Times New Roman"/>
          <w:bCs/>
          <w:szCs w:val="24"/>
          <w:lang w:val="da-DK"/>
        </w:rPr>
        <w:instrText>ADDIN CSL_CITATION {"citationItems":[{"id":"ITEM-1","itemData":{"DOI":"10.1145/3136560.3136574","ISBN":"9781450352772","abstract":"Social welfare schemes and public infrastructure services often face implementation and last mile delivery challenges. Governments in India have set up phone helplines for beneficiaries to report irregularities but we find that it remains challenging for beneficiaries to realise positive outcomes through these helplines; without a personal follow-up with the concerned local government officials by experienced members from the civil society, the redressals done are often inadequate. To combine the scalability of centralised helplines with the effectiveness of decentralised mediation by civil society groups, we set up an IVR (Interactive Voice Response) system where beneficiaries can record their grievances, which are then delegated to a network of civil society volunteers who do the required local follow-ups for resolution of these grievances. Through this pilot, we analysed over 200 cases of redressal and document how volunteer networks operate and can plug accountability gaps in government services. We advocate for formalisation of this civil-society mediated and technology assisted model into the design of public welfare schemes to enable citizens to engage with government departments in productive ways.","author":[{"dropping-particle":"","family":"Chakraborty","given":"Dipanjan","non-dropping-particle":"","parse-names":false,"suffix":""},{"dropping-particle":"","family":"Ahmad","given":"Mohd Sultan","non-dropping-particle":"","parse-names":false,"suffix":""},{"dropping-particle":"","family":"Seth","given":"Aaditeshwar","non-dropping-particle":"","parse-names":false,"suffix":""}],"container-title":"ACM International Conference Proceeding Series","id":"ITEM-1","issued":{"date-parts":[["2017"]]},"title":"Findings from a civil society mediated and technology assisted grievance redressal model in rural India","type":"article-journal","volume":"Part F1320"},"uris":["http://www.mendeley.com/documents/?uuid=0b3fe1fb-db4a-4f91-bbb9-4f9522e9d55b"]}],"mendeley":{"formattedCitation":"(Chakraborty et al., 2017)","manualFormatting":"Chakraborty et al. (2017)","plainTextFormattedCitation":"(Chakraborty et al., 2017)","previouslyFormattedCitation":"(Chakraborty et al., 2017)"},"properties":{"noteIndex":0},"schema":"https://github.com/citation-style-language/schema/raw/master/csl-citation.json"}</w:instrText>
      </w:r>
      <w:r w:rsidRPr="00446A7C">
        <w:rPr>
          <w:rFonts w:cs="Times New Roman"/>
          <w:bCs/>
          <w:szCs w:val="24"/>
          <w:lang w:val="da-DK"/>
        </w:rPr>
        <w:fldChar w:fldCharType="separate"/>
      </w:r>
      <w:r w:rsidRPr="00446A7C">
        <w:rPr>
          <w:rFonts w:cs="Times New Roman"/>
          <w:bCs/>
          <w:szCs w:val="24"/>
          <w:lang w:val="da-DK"/>
        </w:rPr>
        <w:t xml:space="preserve">Chakraborty et al. </w:t>
      </w:r>
      <w:r w:rsidRPr="00446A7C">
        <w:rPr>
          <w:rFonts w:cs="Times New Roman"/>
          <w:bCs/>
          <w:szCs w:val="24"/>
        </w:rPr>
        <w:t>(2017)</w:t>
      </w:r>
      <w:r w:rsidRPr="00446A7C">
        <w:rPr>
          <w:rFonts w:cs="Times New Roman"/>
          <w:bCs/>
          <w:szCs w:val="24"/>
          <w:lang w:val="da-DK"/>
        </w:rPr>
        <w:fldChar w:fldCharType="end"/>
      </w:r>
      <w:r w:rsidRPr="00446A7C">
        <w:rPr>
          <w:rFonts w:cs="Times New Roman"/>
          <w:bCs/>
          <w:szCs w:val="24"/>
        </w:rPr>
        <w:t xml:space="preserve"> revealed that, the employment guarantee scheme (NREGA) in India amongst other social welfare programmes face problems like non-enrolment, non-payment of wages, poor quality of work and ghost work.  This phenomenon is not different in Latin American countries such as the Bolsa Familia of Brazil, the Opportunities of Mexico, and Columbia. A well-structured GRM system can mitigate the problems of programme implementation (</w:t>
      </w:r>
      <w:r w:rsidRPr="00446A7C">
        <w:rPr>
          <w:rFonts w:cs="Times New Roman"/>
          <w:szCs w:val="24"/>
        </w:rPr>
        <w:fldChar w:fldCharType="begin"/>
      </w:r>
      <w:r w:rsidRPr="00446A7C">
        <w:rPr>
          <w:rFonts w:cs="Times New Roman"/>
          <w:bCs/>
          <w:szCs w:val="24"/>
        </w:rPr>
        <w:instrText>ADDIN CSL_CITATION {"citationItems":[{"id":"ITEM-1","itemData":{"author":[{"dropping-particle":"","family":"Randolph","given":"Robert C","non-dropping-particle":"","parse-names":false,"suffix":""},{"dropping-particle":"","family":"Edjeta","given":"Buli","non-dropping-particle":"","parse-names":false,"suffix":""}],"id":"ITEM-1","issued":{"date-parts":[["2011"]]},"title":"Study on Strengthening Grievance Redress Mechanisms for the Protection of the Basic Services ( PBS ) Program in Ethiopia","type":"article-journal"},"uris":["http://www.mendeley.com/documents/?uuid=94b46d29-8403-44f2-87c3-dd8976a32ed9","http://www.mendeley.com/documents/?uuid=c500d6a1-7e52-4436-a248-3eddc850ce0e"]}],"mendeley":{"formattedCitation":"(Randolph &amp; Edjeta, 2011)","manualFormatting":"Randolph &amp; Edjeta 2011","plainTextFormattedCitation":"(Randolph &amp; Edjeta, 2011)","previouslyFormattedCitation":"(Randolph &amp; Edjeta, 2011)"},"properties":{"noteIndex":0},"schema":"https://github.com/citation-style-language/schema/raw/master/csl-citation.json"}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Randolph &amp; Edjeta 2011</w:t>
      </w:r>
      <w:r w:rsidRPr="00446A7C">
        <w:rPr>
          <w:rFonts w:cs="Times New Roman"/>
          <w:bCs/>
          <w:szCs w:val="24"/>
        </w:rPr>
        <w:fldChar w:fldCharType="end"/>
      </w:r>
      <w:r w:rsidRPr="00446A7C">
        <w:rPr>
          <w:rFonts w:cs="Times New Roman"/>
          <w:bCs/>
          <w:szCs w:val="24"/>
        </w:rPr>
        <w:t xml:space="preserve">; </w:t>
      </w:r>
      <w:r w:rsidRPr="00446A7C">
        <w:rPr>
          <w:rFonts w:cs="Times New Roman"/>
          <w:szCs w:val="24"/>
        </w:rPr>
        <w:fldChar w:fldCharType="begin"/>
      </w:r>
      <w:r w:rsidRPr="00446A7C">
        <w:rPr>
          <w:rFonts w:cs="Times New Roman"/>
          <w:bCs/>
          <w:szCs w:val="24"/>
        </w:rPr>
        <w:instrText>ADDIN CSL_CITATION {"citationItems":[{"id":"ITEM-1","itemData":{"author":[{"dropping-particle":"","family":"David","given":"Post","non-dropping-particle":"","parse-names":false,"suffix":""},{"dropping-particle":"","family":"Sanjay","given":"Agarwal","non-dropping-particle":"","parse-names":false,"suffix":""}],"container-title":"social development","id":"ITEM-1","issued":{"date-parts":[["2012"]]},"page":"20","title":"Feedback Matters : Designing Effective Grievance Redress","type":"article-journal","volume":"2"},"uris":["http://www.mendeley.com/documents/?uuid=46ea6b30-5603-47df-a882-0c6f76ce5472","http://www.mendeley.com/documents/?uuid=8007ec05-db08-4866-b4bb-fd6651c1aca2"]}],"mendeley":{"formattedCitation":"(David &amp; Sanjay, 2012)","manualFormatting":"David &amp; Sanjay 2012","plainTextFormattedCitation":"(David &amp; Sanjay, 2012)","previouslyFormattedCitation":"(David &amp; Sanjay, 2012)"},"properties":{"noteIndex":0},"schema":"https://github.com/citation-style-language/schema/raw/master/csl-citation.json"}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David &amp; Sanjay 2012</w:t>
      </w:r>
      <w:r w:rsidRPr="00446A7C">
        <w:rPr>
          <w:rFonts w:cs="Times New Roman"/>
          <w:bCs/>
          <w:szCs w:val="24"/>
        </w:rPr>
        <w:fldChar w:fldCharType="end"/>
      </w:r>
      <w:r w:rsidRPr="00446A7C">
        <w:rPr>
          <w:rFonts w:cs="Times New Roman"/>
          <w:bCs/>
          <w:szCs w:val="24"/>
        </w:rPr>
        <w:t xml:space="preserve">; </w:t>
      </w:r>
      <w:r w:rsidRPr="00446A7C">
        <w:rPr>
          <w:rFonts w:cs="Times New Roman"/>
          <w:szCs w:val="24"/>
        </w:rPr>
        <w:fldChar w:fldCharType="begin"/>
      </w:r>
      <w:r w:rsidRPr="00446A7C">
        <w:rPr>
          <w:rFonts w:cs="Times New Roman"/>
          <w:bCs/>
          <w:szCs w:val="24"/>
        </w:rPr>
        <w:instrText>ADDIN CSL_CITATION {"citationItems":[{"id":"ITEM-1","itemData":{"ISSN":"2318-9118","abstract":"A Grievance Mechanism (GM) is a system that allows citizens to provide feedback to implementers of a given service and allows implementers to respond. There are several important benefits to setting up strong GMs for social protection programmes, such as: increasing overall programme accountability and citizens' trust and involvement; continuously solving operational issues (complementary to monitoring and evaluation) and reducing the cost of addressing them; holding implementing authorities accountable at all levels of implementation to curb corruption; and standardising programme implementation and performance. Despite these benefits, a review of the relevant literature and primary research in Indonesia (Barca, Notosusanto and Emmett 2012) clearly highlighted that GMs within social protection programmes worldwide are often underused and/or underperforming. This is underpinned by both demand-and supply-side problems. Demand-side problems, all of which are likely to have a greater impact on vulnerable and marginalised groups, include: lack of information about the programme and entitlements, including knowledge of how the GM works; not feeling entitled to redress for poor programme performance (feeling 'grateful' or 'embarrassed'); concerns about the repercussions of giving negative feedback; scepticism about the credibility of the GM and whether complaining changes outcomes; not being able to access existing GMs because of time and resources to make a complaint, illiteracy, stigma and/or lack of trust; and reluctance to challenge the authority of decision-makers (government staff and-where community targeting is used to determine eligibility-other community members) due to unequal power dynamics. On the supply side, challenges include: lack of a standardised process to collect and respond to feedback; lack of communication between different levels of programme implementation; inadequate training on standard solutions to common grievances; an inadequate communication strategy to inform citizens of the GM functioning; existing processes to collect grievances that are not designed for the target population (e.g. complaint boxes for illiterate people etc.); no incentives to respond and act on grievances; and no system to monitor the collection and addressing of grievances. Addressing the challenges, condensing international best practice: International best practice discusses several solutions, while clarifying that GMs cannot compensate for poorly designe…","author":[{"dropping-particle":"","family":"Barca","given":"Valentina","non-dropping-particle":"","parse-names":false,"suffix":""}],"container-title":"The International Policy Centre for Inclusive Growth","id":"ITEM-1","issued":{"date-parts":[["2016"]]},"page":"70076","title":"Grievance mechanisms for social protection programmes: stumbling blocks and best practice","type":"article-journal"},"uris":["http://www.mendeley.com/documents/?uuid=223ed51c-227d-496e-9a4c-7ab48afe6182","http://www.mendeley.com/documents/?uuid=57c2aa33-6eb8-48ae-ac34-35a43e811bd7"]}],"mendeley":{"formattedCitation":"(Barca, 2016)","manualFormatting":"Barca 2016)","plainTextFormattedCitation":"(Barca, 2016)","previouslyFormattedCitation":"(Barca, 2016)"},"properties":{"noteIndex":0},"schema":"https://github.com/citation-style-language/schema/raw/master/csl-citation.json"}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Barca 2016)</w:t>
      </w:r>
      <w:r w:rsidRPr="00446A7C">
        <w:rPr>
          <w:rFonts w:cs="Times New Roman"/>
          <w:bCs/>
          <w:szCs w:val="24"/>
        </w:rPr>
        <w:fldChar w:fldCharType="end"/>
      </w:r>
      <w:r w:rsidRPr="00446A7C">
        <w:rPr>
          <w:rFonts w:cs="Times New Roman"/>
          <w:bCs/>
          <w:szCs w:val="24"/>
        </w:rPr>
        <w:t xml:space="preserve">. Though GRMs is viewed as an effective way </w:t>
      </w:r>
      <w:r w:rsidRPr="00446A7C">
        <w:rPr>
          <w:rFonts w:cs="Times New Roman"/>
          <w:bCs/>
          <w:szCs w:val="24"/>
          <w:lang w:val="en-US"/>
        </w:rPr>
        <w:t xml:space="preserve">to </w:t>
      </w:r>
      <w:r w:rsidRPr="00446A7C">
        <w:rPr>
          <w:rFonts w:cs="Times New Roman"/>
          <w:bCs/>
          <w:szCs w:val="24"/>
        </w:rPr>
        <w:t>address maladministration arising from cash transfer programmes, GRMs are challenging to operate as they require time, money and manpower (Agarwal' 2013).</w:t>
      </w:r>
    </w:p>
    <w:p w14:paraId="15457618" w14:textId="77777777" w:rsidR="0008415E" w:rsidRPr="00446A7C" w:rsidRDefault="0008415E" w:rsidP="007A4181">
      <w:pPr>
        <w:pStyle w:val="NoSpacing"/>
      </w:pPr>
    </w:p>
    <w:p w14:paraId="24D03835"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Digital technology can play a vital role in strengthening grievance redress mechanisms within social protection programmes. By leveraging on digital tools and platforms, grievances can be efficiently reported, tracked, and resolved, ensuring </w:t>
      </w:r>
      <w:r w:rsidRPr="00446A7C">
        <w:rPr>
          <w:rFonts w:cs="Times New Roman"/>
          <w:bCs/>
          <w:szCs w:val="24"/>
        </w:rPr>
        <w:lastRenderedPageBreak/>
        <w:t>timely and effective responses to beneficiary’s concerns (World Bank, 2021). Digital platforms and mobile applications can provide user-friendly interfaces for beneficiaries to submit their grievances electronically, facilitating easy and convenient reporting (</w:t>
      </w:r>
      <w:bookmarkStart w:id="80" w:name="_Hlk159096449"/>
      <w:r w:rsidRPr="00446A7C">
        <w:rPr>
          <w:rFonts w:cs="Times New Roman"/>
          <w:bCs/>
          <w:szCs w:val="24"/>
        </w:rPr>
        <w:t xml:space="preserve">Choudhury et al., 2019). </w:t>
      </w:r>
      <w:bookmarkEnd w:id="80"/>
      <w:r w:rsidRPr="00446A7C">
        <w:rPr>
          <w:rFonts w:cs="Times New Roman"/>
          <w:bCs/>
          <w:szCs w:val="24"/>
        </w:rPr>
        <w:t>These platforms can enable the collection of essential data regarding the grievance, such as date, time, location, and description, ensuring comprehensive documentation (World Bank, 2021). Once grievances are submitted, digital technology allows for streamlined tracking and monitoring of the grievance resolution process. Case management systems can be utilized to assign, prioritize, and escalate grievances to the relevant authorities for appropriate action (Dwivedi et al., 2020). Real-time updates and notifications can be sent to beneficiaries, keeping them informed about the progress and status of their grievances (Choudhury et al., 2019).</w:t>
      </w:r>
    </w:p>
    <w:p w14:paraId="630919A6" w14:textId="77777777" w:rsidR="0008415E" w:rsidRPr="00446A7C" w:rsidRDefault="0008415E" w:rsidP="007A4181">
      <w:pPr>
        <w:pStyle w:val="NoSpacing"/>
      </w:pPr>
    </w:p>
    <w:p w14:paraId="6F29F1AF"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Furthermore, digital technology facilitates data analysis and reporting on grievance patterns, enabling programme managers to identify systemic issues, common concerns and trends (World Bank, 2021). This information can inform policy and programmatic adjustments, leading to improvements in service delivery and addressing recurring grievances (Dwivedi et al., 2020). Importantly, digital grievance redress mechanisms can promote transparency and accountability by providing a clear audit trail of grievance handling processes (Choudhury et al., 2019). The digital records can facilitate internal and external audits, ensuring compliance with established standards and regulations (World Bank, 2021). However, it is crucial to ensure equitable access to digital grievance redress mechanisms, considering the digital divide and the varying levels of digital literacy among beneficiaries (Dwivedi et al., 2020). Adequate training and support should be provided to ensure beneficiaries </w:t>
      </w:r>
      <w:r w:rsidRPr="00446A7C">
        <w:rPr>
          <w:rFonts w:cs="Times New Roman"/>
          <w:bCs/>
          <w:szCs w:val="24"/>
        </w:rPr>
        <w:lastRenderedPageBreak/>
        <w:t>can effectively use digital platforms to report grievances and access the redress process (Choudhury et al., 2019).</w:t>
      </w:r>
    </w:p>
    <w:p w14:paraId="3729B47F" w14:textId="1D20DCFB" w:rsidR="0008415E" w:rsidRPr="00446A7C" w:rsidRDefault="00480294">
      <w:pPr>
        <w:spacing w:line="480" w:lineRule="auto"/>
        <w:ind w:firstLine="0"/>
        <w:contextualSpacing/>
        <w:jc w:val="both"/>
        <w:rPr>
          <w:rFonts w:cs="Times New Roman"/>
          <w:szCs w:val="24"/>
        </w:rPr>
      </w:pPr>
      <w:r>
        <w:rPr>
          <w:noProof/>
        </w:rPr>
        <w:pict w14:anchorId="622942C8">
          <v:shapetype id="_x0000_t32" coordsize="21600,21600" o:spt="32" o:oned="t" path="m,l21600,21600e" filled="f">
            <v:path arrowok="t" fillok="f" o:connecttype="none"/>
            <o:lock v:ext="edit" shapetype="t"/>
          </v:shapetype>
          <v:shape id="Straight Arrow Connector 8" o:spid="_x0000_s1028" type="#_x0000_t32" style="position:absolute;left:0;text-align:left;margin-left:247.4pt;margin-top:108.95pt;width:33.95pt;height:39.15pt;flip:x;z-index:251655168;visibility:visible;mso-wrap-style:square;mso-wrap-distance-left:3pt;mso-wrap-distance-top:0;mso-wrap-distance-right:.55pt;mso-wrap-distance-bottom:2.85pt;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">
            <v:stroke endarrow="block"/>
          </v:shape>
        </w:pict>
      </w:r>
      <w:r>
        <w:rPr>
          <w:noProof/>
        </w:rPr>
        <w:pict w14:anchorId="354C8ADF">
          <v:oval id="Oval 6" o:spid="_x0000_s1027" style="position:absolute;left:0;text-align:left;margin-left:168.55pt;margin-top:149.15pt;width:134pt;height:60.75pt;z-index:251666432;visibility:visible;mso-wrap-style:square;mso-wrap-distance-left:0;mso-wrap-distance-top:0;mso-wrap-distance-right:0;mso-wrap-distance-bottom:.7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">
            <v:textbox style="mso-next-textbox:#Oval 6">
              <w:txbxContent>
                <w:p w14:paraId="0EC8B255" w14:textId="77777777" w:rsidR="0008415E" w:rsidRDefault="00000000">
                  <w:pPr>
                    <w:pStyle w:val="FrameContents"/>
                    <w:ind w:firstLine="0"/>
                    <w:rPr>
                      <w:b/>
                      <w:bCs/>
                    </w:rPr>
                  </w:pPr>
                  <w:r>
                    <w:rPr>
                      <w:b/>
                      <w:bCs/>
                      <w:color w:val="000000"/>
                    </w:rPr>
                    <w:t>Takes action</w:t>
                  </w:r>
                  <w:r>
                    <w:rPr>
                      <w:b/>
                      <w:bCs/>
                      <w:color w:val="000000"/>
                      <w:lang w:val="en-US"/>
                    </w:rPr>
                    <w:t xml:space="preserve"> &amp;</w:t>
                  </w:r>
                  <w:r>
                    <w:rPr>
                      <w:b/>
                      <w:bCs/>
                      <w:color w:val="000000"/>
                    </w:rPr>
                    <w:t xml:space="preserve"> communicates</w:t>
                  </w:r>
                </w:p>
              </w:txbxContent>
            </v:textbox>
          </v:oval>
        </w:pict>
      </w:r>
      <w:r>
        <w:rPr>
          <w:noProof/>
        </w:rPr>
        <w:pict w14:anchorId="21418D40">
          <v:shape id="Straight Arrow Connector 4" o:spid="_x0000_s1026" type="#_x0000_t32" style="position:absolute;left:0;text-align:left;margin-left:205pt;margin-top:211.75pt;width:28.45pt;height:24.2pt;flip:x;z-index:251677696;visibility:visible;mso-wrap-style:square;mso-wrap-distance-left:3pt;mso-wrap-distance-top:0;mso-wrap-distance-right:.05pt;mso-wrap-distance-bottom:2.8pt;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">
            <v:stroke endarrow="block"/>
          </v:shape>
        </w:pict>
      </w:r>
      <w:r w:rsidR="00000000" w:rsidRPr="00446A7C">
        <w:rPr>
          <w:rFonts w:cs="Times New Roman"/>
          <w:szCs w:val="24"/>
        </w:rPr>
        <w:t xml:space="preserve"> </w:t>
      </w:r>
      <w:bookmarkStart w:id="81" w:name="_Hlk148372171"/>
      <w:r w:rsidR="00000000" w:rsidRPr="00446A7C">
        <w:rPr>
          <w:rFonts w:cs="Times New Roman"/>
          <w:noProof/>
          <w:szCs w:val="24"/>
        </w:rPr>
        <w:drawing>
          <wp:inline distT="0" distB="0" distL="0" distR="0" wp14:anchorId="4F1D4575" wp14:editId="6C761035">
            <wp:extent cx="6064250" cy="3594100"/>
            <wp:effectExtent l="0" t="0" r="0" b="6350"/>
            <wp:docPr id="4" name="Diagram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bookmarkEnd w:id="73"/>
    </w:p>
    <w:p w14:paraId="446E316F" w14:textId="34C174A1" w:rsidR="0008415E" w:rsidRPr="00446A7C" w:rsidRDefault="00000000" w:rsidP="007A4181">
      <w:pPr>
        <w:pStyle w:val="Heading5"/>
      </w:pPr>
      <w:bookmarkStart w:id="82" w:name="_Toc153172804"/>
      <w:bookmarkStart w:id="83" w:name="_Toc171701581"/>
      <w:r w:rsidRPr="00446A7C">
        <w:t xml:space="preserve">Figure </w:t>
      </w:r>
      <w:fldSimple w:instr=" SEQ Figure \* ARABIC ">
        <w:r w:rsidR="00986730">
          <w:rPr>
            <w:noProof/>
          </w:rPr>
          <w:t>1</w:t>
        </w:r>
      </w:fldSimple>
      <w:r w:rsidRPr="00446A7C">
        <w:t>: GRM structure for an effective implementation of the LEAP programme</w:t>
      </w:r>
      <w:bookmarkEnd w:id="82"/>
      <w:bookmarkEnd w:id="83"/>
    </w:p>
    <w:p w14:paraId="526B4A66" w14:textId="77777777" w:rsidR="0008415E" w:rsidRPr="00446A7C" w:rsidRDefault="00000000">
      <w:pPr>
        <w:pStyle w:val="caption11"/>
        <w:ind w:firstLine="0"/>
      </w:pPr>
      <w:r w:rsidRPr="00446A7C">
        <w:t xml:space="preserve">Source: Agarwal (2013). </w:t>
      </w:r>
      <w:bookmarkEnd w:id="81"/>
    </w:p>
    <w:p w14:paraId="79120FC1" w14:textId="77777777" w:rsidR="0008415E" w:rsidRPr="00446A7C" w:rsidRDefault="0008415E">
      <w:pPr>
        <w:rPr>
          <w:rFonts w:cs="Times New Roman"/>
          <w:szCs w:val="24"/>
          <w:lang w:val="en-US"/>
        </w:rPr>
      </w:pPr>
    </w:p>
    <w:p w14:paraId="44F3641C" w14:textId="77777777" w:rsidR="0008415E" w:rsidRPr="00446A7C" w:rsidRDefault="00000000" w:rsidP="00491E2B">
      <w:pPr>
        <w:pStyle w:val="Heading4"/>
      </w:pPr>
      <w:bookmarkStart w:id="84" w:name="_Toc171703216"/>
      <w:r w:rsidRPr="00446A7C">
        <w:t xml:space="preserve">2.3.6.2 </w:t>
      </w:r>
      <w:r w:rsidRPr="00491E2B">
        <w:t>Digital</w:t>
      </w:r>
      <w:r w:rsidRPr="00446A7C">
        <w:t xml:space="preserve"> technology as a tool for Monitoring and Evaluation (M&amp;E)</w:t>
      </w:r>
      <w:bookmarkEnd w:id="84"/>
    </w:p>
    <w:p w14:paraId="48546FE5"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Monitoring and evaluation are different yet complementary tools used in the implantation of projects especially, social protection programmes. The World Bank (2001) defines monitoring as an ongoing process of collecting and analysing information to understand the performance of programmes in relation to its overall goal. Evaluation is used as an objective assessment tool, how well a programme is operating against expected outputs. It is used to determine whether a programme is </w:t>
      </w:r>
      <w:r w:rsidRPr="00446A7C">
        <w:rPr>
          <w:rFonts w:cs="Times New Roman"/>
          <w:bCs/>
          <w:szCs w:val="24"/>
        </w:rPr>
        <w:lastRenderedPageBreak/>
        <w:t>achieving its objectives. Evaluation is also used to predict the impact of a programme and to carry out cost benefit analysis (World Bank, 2001).</w:t>
      </w:r>
    </w:p>
    <w:p w14:paraId="6A558958" w14:textId="77777777" w:rsidR="0008415E" w:rsidRPr="00446A7C" w:rsidRDefault="0008415E" w:rsidP="00C553E2">
      <w:pPr>
        <w:pStyle w:val="NoSpacing"/>
      </w:pPr>
    </w:p>
    <w:p w14:paraId="6E82D70C"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In the past years, monitoring and evaluation (M&amp;E) has been observed as a fundamental tool used to ensure quality in the delivery of social protection programmes </w:t>
      </w:r>
      <w:r w:rsidRPr="00446A7C">
        <w:rPr>
          <w:rFonts w:cs="Times New Roman"/>
          <w:szCs w:val="24"/>
        </w:rPr>
        <w:fldChar w:fldCharType="begin"/>
      </w:r>
      <w:r w:rsidRPr="00446A7C">
        <w:rPr>
          <w:rFonts w:cs="Times New Roman"/>
          <w:bCs/>
          <w:szCs w:val="24"/>
        </w:rPr>
        <w:instrText>ADDIN CSL_CITATION {"citationItems":[{"id":"ITEM-1","itemData":{"author":[{"dropping-particle":"","family":"Economic   Co-operation and Development (OECD)","given":"","non-dropping-particle":"","parse-names":false,"suffix":""}],"id":"ITEM-1","issued":{"date-parts":[["2019"]]},"page":"1-36","title":"Lessons from the EU-SPS Programme Monitoring and evaluating social protection systems","type":"article-journal"},"uris":["http://www.mendeley.com/documents/?uuid=3e6135bb-2355-4281-823d-fe59062a7733"]}],"mendeley":{"formattedCitation":"(Economic   Co-operation and Development (OECD), 2019)","manualFormatting":"(Economic   Co-operation and Development (OECD), 2019)","plainTextFormattedCitation":"(Economic   Co-operation and Development (OECD), 2019)","previouslyFormattedCitation":"(Economic   Co-operation and Development (OECD), 2019)"},"properties":{"noteIndex":0},"schema":"https://github.com/citation-style-language/schema/raw/master/csl-citation.json"}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(Economic Co-operation and Development (OECD), 2019)</w:t>
      </w:r>
      <w:r w:rsidRPr="00446A7C">
        <w:rPr>
          <w:rFonts w:cs="Times New Roman"/>
          <w:bCs/>
          <w:szCs w:val="24"/>
        </w:rPr>
        <w:fldChar w:fldCharType="end"/>
      </w:r>
      <w:r w:rsidRPr="00446A7C">
        <w:rPr>
          <w:rFonts w:cs="Times New Roman"/>
          <w:bCs/>
          <w:szCs w:val="24"/>
        </w:rPr>
        <w:t xml:space="preserve">. It forms an integral component in programme implementation, especially in achieving long term goals of programmes </w:t>
      </w:r>
      <w:r w:rsidRPr="00446A7C">
        <w:rPr>
          <w:rFonts w:cs="Times New Roman"/>
          <w:szCs w:val="24"/>
        </w:rPr>
        <w:fldChar w:fldCharType="begin"/>
      </w:r>
      <w:r w:rsidRPr="00446A7C">
        <w:rPr>
          <w:rFonts w:cs="Times New Roman"/>
          <w:bCs/>
          <w:szCs w:val="24"/>
        </w:rPr>
        <w:instrText>ADDIN CSL_CITATION {"citationItems":[{"id":"ITEM-1","itemData":{"author":[{"dropping-particle":"","family":"(ISPA)","given":"international Agency social protection assesment","non-dropping-particle":"","parse-names":false,"suffix":""}],"container-title":"Inter Agency Social Protection Assessments Partnership","id":"ITEM-1","issued":{"date-parts":[["2016"]]},"page":"158","title":"SOCIAL PROTECTION DPAYMENT ELIVERY MECHANISMS","type":"article-journal"},"uris":["http://www.mendeley.com/documents/?uuid=35b4562a-c1d0-49fc-a569-7628b1836813"]}],"mendeley":{"formattedCitation":"((ISPA), 2016)","manualFormatting":"(ISPA, 2016)","plainTextFormattedCitation":"((ISPA), 2016)","previouslyFormattedCitation":"((ISPA), 2016)"},"properties":{"noteIndex":0},"schema":"https://github.com/citation-style-language/schema/raw/master/csl-citation.json"}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(ISPA, 2016)</w:t>
      </w:r>
      <w:r w:rsidRPr="00446A7C">
        <w:rPr>
          <w:rFonts w:cs="Times New Roman"/>
          <w:bCs/>
          <w:szCs w:val="24"/>
        </w:rPr>
        <w:fldChar w:fldCharType="end"/>
      </w:r>
      <w:r w:rsidRPr="00446A7C">
        <w:rPr>
          <w:rFonts w:cs="Times New Roman"/>
          <w:bCs/>
          <w:szCs w:val="24"/>
        </w:rPr>
        <w:t xml:space="preserve">. Robust M&amp;E frameworks aids the growth of social protection systems and it offers vital productive instruments which assesses programme effectiveness and as well as providing a roadmap for improvements </w:t>
      </w:r>
      <w:r w:rsidRPr="00446A7C">
        <w:rPr>
          <w:rFonts w:cs="Times New Roman"/>
          <w:szCs w:val="24"/>
        </w:rPr>
        <w:fldChar w:fldCharType="begin"/>
      </w:r>
      <w:r w:rsidRPr="00446A7C">
        <w:rPr>
          <w:rFonts w:cs="Times New Roman"/>
          <w:bCs/>
          <w:szCs w:val="24"/>
        </w:rPr>
        <w:instrText>ADDIN CSL_CITATION {"citationItems":[{"id":"ITEM-1","itemData":{"author":[{"dropping-particle":"","family":"Economic   Co-operation and Development (OECD)","given":"","non-dropping-particle":"","parse-names":false,"suffix":""}],"id":"ITEM-1","issued":{"date-parts":[["2019"]]},"page":"1-36","title":"Lessons from the EU-SPS Programme Monitoring and evaluating social protection systems","type":"article-journal"},"uris":["http://www.mendeley.com/documents/?uuid=3e6135bb-2355-4281-823d-fe59062a7733"]}],"mendeley":{"formattedCitation":"(Economic   Co-operation and Development (OECD), 2019)","manualFormatting":"(OECD, 2019)","plainTextFormattedCitation":"(Economic   Co-operation and Development (OECD), 2019)","previouslyFormattedCitation":"(Economic   Co-operation and Development (OECD), 2019)"},"properties":{"noteIndex":0},"schema":"https://github.com/citation-style-language/schema/raw/master/csl-citation.json"}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(OECD, 2019)</w:t>
      </w:r>
      <w:r w:rsidRPr="00446A7C">
        <w:rPr>
          <w:rFonts w:cs="Times New Roman"/>
          <w:bCs/>
          <w:szCs w:val="24"/>
        </w:rPr>
        <w:fldChar w:fldCharType="end"/>
      </w:r>
      <w:r w:rsidRPr="00446A7C">
        <w:rPr>
          <w:rFonts w:cs="Times New Roman"/>
          <w:bCs/>
          <w:szCs w:val="24"/>
        </w:rPr>
        <w:t xml:space="preserve">. David &amp; Sanjay (2012) adds that, using M&amp;E data will aid in identifying problems arising from programme implementation to improve operational processes and performance. According to World </w:t>
      </w:r>
      <w:r w:rsidRPr="00446A7C">
        <w:rPr>
          <w:rFonts w:cs="Times New Roman"/>
          <w:szCs w:val="24"/>
        </w:rPr>
        <w:fldChar w:fldCharType="begin"/>
      </w:r>
      <w:r w:rsidRPr="00446A7C">
        <w:rPr>
          <w:rFonts w:cs="Times New Roman"/>
          <w:bCs/>
          <w:szCs w:val="24"/>
        </w:rPr>
        <w:instrText>ADDIN CSL_CITATION {"citationItems":[{"id":"ITEM-1","itemData":{"author":[{"dropping-particle":"","family":"Bank","given":"World","non-dropping-particle":"","parse-names":false,"suffix":""}],"id":"ITEM-1","issue":"2","issued":{"date-parts":[["2001"]]},"page":"8-13","title":"evaluation – monitoring Monitoring","type":"article-journal","volume":"1"},"uris":["http://www.mendeley.com/documents/?uuid=e6d43a13-d1a0-42be-9da1-837ebfef1e57"]}],"mendeley":{"formattedCitation":"(Bank, 2001)","manualFormatting":"Bank (2001)","plainTextFormattedCitation":"(Bank, 2001)","previouslyFormattedCitation":"(Bank, 2001)"},"properties":{"noteIndex":0},"schema":"https://github.com/citation-style-language/schema/raw/master/csl-citation.json"}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Bank (2001)</w:t>
      </w:r>
      <w:r w:rsidRPr="00446A7C">
        <w:rPr>
          <w:rFonts w:cs="Times New Roman"/>
          <w:bCs/>
          <w:szCs w:val="24"/>
        </w:rPr>
        <w:fldChar w:fldCharType="end"/>
      </w:r>
      <w:r w:rsidRPr="00446A7C">
        <w:rPr>
          <w:rFonts w:cs="Times New Roman"/>
          <w:bCs/>
          <w:szCs w:val="24"/>
        </w:rPr>
        <w:t>, information gathered during M&amp;E is important in providing the needed feedback to enhance the efficacy of the programme, ensures the programme is held accountable by the  public, and help</w:t>
      </w:r>
      <w:r w:rsidRPr="00446A7C">
        <w:rPr>
          <w:rFonts w:cs="Times New Roman"/>
          <w:bCs/>
          <w:szCs w:val="24"/>
          <w:lang w:val="en-US"/>
        </w:rPr>
        <w:t>s</w:t>
      </w:r>
      <w:r w:rsidRPr="00446A7C">
        <w:rPr>
          <w:rFonts w:cs="Times New Roman"/>
          <w:bCs/>
          <w:szCs w:val="24"/>
        </w:rPr>
        <w:t xml:space="preserve"> government to direct budget resources in areas in need of attention. </w:t>
      </w:r>
    </w:p>
    <w:p w14:paraId="2C80DEA6" w14:textId="77777777" w:rsidR="0008415E" w:rsidRPr="00446A7C" w:rsidRDefault="0008415E" w:rsidP="007A4181">
      <w:pPr>
        <w:pStyle w:val="NoSpacing"/>
      </w:pPr>
    </w:p>
    <w:p w14:paraId="66EA405F"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Digital technology enables better monitoring and evaluation of social protection programmes. Real-time data collection and analysis enable policymakers and programme managers to track programme performance, measure the extent of programme impacts, and make evidence-based decisions for programme improvement (Smith et al., 2020). Digital technologies, such as mobile surveys and remote sensing, can support data collection and monitoring in hard-to-reach areas, ensuring more comprehensive coverage (World Bank, 2020). However, it is important to consider the digital divide and ensure equitable access to digital technologies in the design and implementation of digital-based social protection programmes (Bassier, 2017; </w:t>
      </w:r>
      <w:r w:rsidRPr="00446A7C">
        <w:rPr>
          <w:rFonts w:cs="Times New Roman"/>
          <w:bCs/>
          <w:szCs w:val="24"/>
        </w:rPr>
        <w:lastRenderedPageBreak/>
        <w:t>UNICEF, 2021). Special attention should be given to vulnerable and marginalized populations who may have limited access to digital infrastructure, devices or digital literacy skills.</w:t>
      </w:r>
    </w:p>
    <w:p w14:paraId="43B473F3" w14:textId="77777777" w:rsidR="0008415E" w:rsidRPr="00446A7C" w:rsidRDefault="00000000" w:rsidP="00491E2B">
      <w:pPr>
        <w:pStyle w:val="Heading3"/>
      </w:pPr>
      <w:bookmarkStart w:id="85" w:name="_Toc171703217"/>
      <w:r w:rsidRPr="00446A7C">
        <w:t xml:space="preserve">2.3.7 Limitations in </w:t>
      </w:r>
      <w:r w:rsidRPr="00491E2B">
        <w:t>Using</w:t>
      </w:r>
      <w:r w:rsidRPr="00446A7C">
        <w:t xml:space="preserve"> Digital Technology in The Delivery of Social Protection (Cash Transfer)</w:t>
      </w:r>
      <w:bookmarkEnd w:id="85"/>
    </w:p>
    <w:p w14:paraId="7CD0F948" w14:textId="77777777" w:rsidR="0008415E" w:rsidRPr="00446A7C" w:rsidRDefault="00000000">
      <w:pPr>
        <w:spacing w:line="480" w:lineRule="auto"/>
        <w:ind w:firstLine="0"/>
        <w:contextualSpacing/>
        <w:jc w:val="both"/>
        <w:rPr>
          <w:rFonts w:cs="Times New Roman"/>
          <w:bCs/>
          <w:iCs/>
          <w:szCs w:val="24"/>
        </w:rPr>
      </w:pPr>
      <w:r w:rsidRPr="00446A7C">
        <w:rPr>
          <w:rFonts w:cs="Times New Roman"/>
          <w:bCs/>
          <w:szCs w:val="24"/>
        </w:rPr>
        <w:t xml:space="preserve">While digital technology holds great promise, there are several constrains that hinder the usage of digital technology in social protection programmes in this case cash transfers. </w:t>
      </w:r>
      <w:bookmarkStart w:id="86" w:name="_Hlk159658767"/>
      <w:r w:rsidRPr="00446A7C">
        <w:rPr>
          <w:rFonts w:cs="Times New Roman"/>
          <w:bCs/>
          <w:szCs w:val="24"/>
        </w:rPr>
        <w:t xml:space="preserve">Poor telecommunications infrastructure, limited power supply and limited internet connectivity (ADB, 2015; Endert, 2018; Lee et al., 2022), pose significant challenges in the adoption of digital technology in </w:t>
      </w:r>
      <w:r w:rsidRPr="00446A7C">
        <w:rPr>
          <w:rFonts w:cs="Times New Roman"/>
          <w:bCs/>
          <w:szCs w:val="24"/>
          <w:lang w:val="en-US"/>
        </w:rPr>
        <w:t xml:space="preserve">the </w:t>
      </w:r>
      <w:r w:rsidRPr="00446A7C">
        <w:rPr>
          <w:rFonts w:cs="Times New Roman"/>
          <w:bCs/>
          <w:szCs w:val="24"/>
        </w:rPr>
        <w:t>delivery of these programme</w:t>
      </w:r>
      <w:r w:rsidRPr="00446A7C">
        <w:rPr>
          <w:rFonts w:cs="Times New Roman"/>
          <w:bCs/>
          <w:szCs w:val="24"/>
          <w:lang w:val="en-US"/>
        </w:rPr>
        <w:t>s</w:t>
      </w:r>
      <w:r w:rsidRPr="00446A7C">
        <w:rPr>
          <w:rFonts w:cs="Times New Roman"/>
          <w:bCs/>
          <w:szCs w:val="24"/>
        </w:rPr>
        <w:t xml:space="preserve">. </w:t>
      </w:r>
      <w:bookmarkEnd w:id="86"/>
      <w:r w:rsidRPr="00446A7C">
        <w:rPr>
          <w:rFonts w:cs="Times New Roman"/>
          <w:bCs/>
          <w:szCs w:val="24"/>
        </w:rPr>
        <w:t>For example, in Mongolia, where intended beneficiaries are dispersed across a large territory, establishing ICT infrastructure in all of these areas becomes difficult, and unreliable power supply imposes significant constraints (ADB, 2015). Similarly, a study on the Kenyan social intervention scheme (Inua Jamii programme) highlighted challenges with</w:t>
      </w:r>
      <w:r w:rsidRPr="00446A7C">
        <w:rPr>
          <w:rFonts w:cs="Times New Roman"/>
          <w:bCs/>
          <w:iCs/>
          <w:szCs w:val="24"/>
        </w:rPr>
        <w:t xml:space="preserve"> internet failure and difficulties in capturing biometric features which poses a challenge in the digitizing of these interventions (McKay et al., 2020).</w:t>
      </w:r>
    </w:p>
    <w:p w14:paraId="77F82E59" w14:textId="77777777" w:rsidR="0008415E" w:rsidRPr="00446A7C" w:rsidRDefault="0008415E" w:rsidP="007A4181">
      <w:pPr>
        <w:pStyle w:val="NoSpacing"/>
      </w:pPr>
    </w:p>
    <w:p w14:paraId="0716FB74" w14:textId="77777777" w:rsidR="0008415E" w:rsidRPr="00446A7C" w:rsidRDefault="00000000">
      <w:pPr>
        <w:spacing w:line="480" w:lineRule="auto"/>
        <w:ind w:firstLine="0"/>
        <w:contextualSpacing/>
        <w:jc w:val="both"/>
        <w:rPr>
          <w:rFonts w:cs="Times New Roman"/>
          <w:bCs/>
          <w:iCs/>
          <w:szCs w:val="24"/>
        </w:rPr>
      </w:pPr>
      <w:r w:rsidRPr="00446A7C">
        <w:rPr>
          <w:rFonts w:cs="Times New Roman"/>
          <w:bCs/>
          <w:szCs w:val="24"/>
        </w:rPr>
        <w:t>Additionally, concerns related to data security and privacy have been raised (Hare &amp; Parekh, 2020). Furthermore, digital illiteracy can further impede the utilization of available resources (Endert, 2018; Lee et al., 2022). In rural communities, there may be a lack of knowledge and skills needed to make effective use of the internet, mobile phones, and other digital tools (Endert, 2018).</w:t>
      </w:r>
    </w:p>
    <w:p w14:paraId="17B95301" w14:textId="77777777" w:rsidR="0008415E" w:rsidRPr="00446A7C" w:rsidRDefault="00000000" w:rsidP="00491E2B">
      <w:pPr>
        <w:pStyle w:val="Heading2"/>
      </w:pPr>
      <w:bookmarkStart w:id="87" w:name="_Toc171703218"/>
      <w:r w:rsidRPr="00446A7C">
        <w:t>2.4 Conceptual Framework of The Study</w:t>
      </w:r>
      <w:bookmarkEnd w:id="87"/>
    </w:p>
    <w:p w14:paraId="3BB21A3E"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McGregor (2018) defined a conceptual framework as a group of concepts and/or constructs that are broadly defined and systematically organized to provide a focus, a </w:t>
      </w:r>
      <w:r w:rsidRPr="00446A7C">
        <w:rPr>
          <w:rFonts w:cs="Times New Roman"/>
          <w:bCs/>
          <w:szCs w:val="24"/>
        </w:rPr>
        <w:lastRenderedPageBreak/>
        <w:t>rationale, and a tool for the integration and interpretation of information and data. Kivunja (2018) argued that conceptual framework facilitates a focused and systematic approach to research, enabling researchers to generate meaningful insights and contribute to the existing body of knowledge in their field. Therefore, the conceptual framework discussed in the section served as a roadmap for the study. The study’s conceptual framework was built on two theories: The Empowerment Theory and Theory of Technological determinism.</w:t>
      </w:r>
    </w:p>
    <w:p w14:paraId="3AA57DF0" w14:textId="77777777" w:rsidR="0008415E" w:rsidRPr="00446A7C" w:rsidRDefault="0008415E" w:rsidP="007A4181">
      <w:pPr>
        <w:pStyle w:val="NoSpacing"/>
      </w:pPr>
    </w:p>
    <w:p w14:paraId="79DD299D" w14:textId="3303AF2E" w:rsidR="0008415E" w:rsidRPr="00446A7C" w:rsidRDefault="00000000">
      <w:pPr>
        <w:spacing w:line="480" w:lineRule="auto"/>
        <w:ind w:firstLine="0"/>
        <w:contextualSpacing/>
        <w:jc w:val="both"/>
        <w:rPr>
          <w:rFonts w:cs="Times New Roman"/>
          <w:szCs w:val="24"/>
        </w:rPr>
      </w:pPr>
      <w:r w:rsidRPr="00446A7C">
        <w:rPr>
          <w:rFonts w:cs="Times New Roman"/>
          <w:szCs w:val="24"/>
        </w:rPr>
        <w:t>Figure 2 presents the conceptual framework of the study. From figure 2, contextual factors have a direct link between sustainable poverty reduction and digital technology. In this study, sustainable poverty reduction is achieved when beneficiaries of the LEAP programme become empowered, their capabilities enhanced and when the programme is able to promote inclusive growth. The contextual factors are the external factors that have great influence on the use of digital technology to enhance LEAP for sustainable poverty reduction. They are the determinants to the adoption and full utilisation of digital technology. These include: social structures, distance, local customs/norms/values, internet connectivity, individual capabilities/resources, individual perception and literacy levels. These factors can either impede or enhance the adoption of digital technology especially in rural areas such as Nandom. Ignoring these contextual factors can lead to the exclusion of certain groups or the disruption of existing livelihood practices. This can consequently affect the effective implementation of anti-poverty programmes especially LEAP.</w:t>
      </w:r>
    </w:p>
    <w:p w14:paraId="34926C8A" w14:textId="77777777" w:rsidR="0008415E" w:rsidRPr="00446A7C" w:rsidRDefault="00000000" w:rsidP="007A4181">
      <w:pPr>
        <w:pStyle w:val="NoSpacing"/>
      </w:pPr>
      <w:r w:rsidRPr="00446A7C">
        <w:t xml:space="preserve"> </w:t>
      </w:r>
    </w:p>
    <w:p w14:paraId="62541933" w14:textId="38C141C2"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However, when LEAP takes into account these contextual factors when incorporating digital technology into the programme delivery, it means the aspirations and needs of </w:t>
      </w:r>
      <w:r w:rsidRPr="00446A7C">
        <w:rPr>
          <w:rFonts w:cs="Times New Roman"/>
          <w:szCs w:val="24"/>
        </w:rPr>
        <w:lastRenderedPageBreak/>
        <w:t xml:space="preserve">the communities are going to be met (see Tacchi et al., 2018). With this, beneficiaries from these communities tend to benefit from the programme leading to sustainable poverty reduction. From the diagram also, </w:t>
      </w:r>
      <w:bookmarkStart w:id="88" w:name="_Hlk161479606"/>
      <w:r w:rsidR="00491E2B" w:rsidRPr="00446A7C">
        <w:rPr>
          <w:rFonts w:cs="Times New Roman"/>
          <w:szCs w:val="24"/>
        </w:rPr>
        <w:t xml:space="preserve">feedback </w:t>
      </w:r>
      <w:r w:rsidRPr="00446A7C">
        <w:rPr>
          <w:rFonts w:cs="Times New Roman"/>
          <w:szCs w:val="24"/>
        </w:rPr>
        <w:t xml:space="preserve">loop plays a significant role in sustainable poverty reduction. </w:t>
      </w:r>
      <w:r w:rsidRPr="00446A7C">
        <w:rPr>
          <w:rFonts w:cs="Times New Roman"/>
          <w:szCs w:val="24"/>
          <w:lang w:val="en-US"/>
        </w:rPr>
        <w:t xml:space="preserve">For example, if beneficiaries have any concerns regarding the implementation of the programme, this opportunity enables them to report challenges. These challenges may include payment delays, issues with e-zwitch cards, or other administrative difficulties. </w:t>
      </w:r>
      <w:r w:rsidRPr="00446A7C">
        <w:rPr>
          <w:rFonts w:cs="Times New Roman"/>
          <w:szCs w:val="24"/>
        </w:rPr>
        <w:t xml:space="preserve">These may enable the programme implementors to respond to the challenges by providing timely feedback to the beneficiaries. Mainstreaming digital technologies such as mobile phones, online portals amongst others in social protection programmes can enhance feedback loop. The presence of this feedback loop may ensure beneficiaries channels their concerns regarding the programme to the implementors. The implementors on the other hand are able to give timely feedback to the beneficiaries, this exchange tends to enhance beneficiary experiences leading to the desired goal of the programme. </w:t>
      </w:r>
      <w:bookmarkEnd w:id="88"/>
    </w:p>
    <w:p w14:paraId="4F57ABA4" w14:textId="77777777" w:rsidR="0008415E" w:rsidRPr="00446A7C" w:rsidRDefault="0008415E" w:rsidP="007A4181">
      <w:pPr>
        <w:pStyle w:val="NoSpacing"/>
      </w:pPr>
    </w:p>
    <w:p w14:paraId="7160A4EA" w14:textId="77777777" w:rsidR="0008415E" w:rsidRPr="00446A7C" w:rsidRDefault="00000000">
      <w:pPr>
        <w:spacing w:line="480" w:lineRule="auto"/>
        <w:ind w:firstLine="0"/>
        <w:contextualSpacing/>
        <w:jc w:val="both"/>
        <w:rPr>
          <w:rFonts w:cs="Times New Roman"/>
          <w:szCs w:val="24"/>
          <w:lang w:val="en-US"/>
        </w:rPr>
      </w:pPr>
      <w:r w:rsidRPr="00446A7C">
        <w:rPr>
          <w:rFonts w:cs="Times New Roman"/>
          <w:szCs w:val="24"/>
          <w:lang w:val="en-US"/>
        </w:rPr>
        <w:t xml:space="preserve">Similarly, effective monitoring and evaluation enhance the overall effectiveness of programmes. By monitoring and evaluating programmes, implementers can make necessary adjustments and ensure that beneficiaries derive maximum benefit from them, thereby contributing to sustainable poverty reduction. For instance, through monitoring the LEAP programme, implementers can gather feedback on the effectiveness or weaknesses of incorporating digital technology in delivering services to beneficiaries. Additionally, they can monitor the poverty growth rates of beneficiaries to assess the programme's achievement of its targets. This information can guide future reassessments of the programme, with the aim of improving </w:t>
      </w:r>
      <w:r w:rsidRPr="00446A7C">
        <w:rPr>
          <w:rFonts w:cs="Times New Roman"/>
          <w:szCs w:val="24"/>
          <w:lang w:val="en-US"/>
        </w:rPr>
        <w:lastRenderedPageBreak/>
        <w:t>beneficiary experiences and ultimately advancing sustainable poverty reduction (see Figure 2).</w:t>
      </w:r>
    </w:p>
    <w:p w14:paraId="23A3AC41" w14:textId="77777777" w:rsidR="0008415E" w:rsidRPr="00446A7C" w:rsidRDefault="00000000">
      <w:pPr>
        <w:spacing w:after="200" w:line="480" w:lineRule="auto"/>
        <w:ind w:firstLine="0"/>
        <w:contextualSpacing/>
        <w:jc w:val="both"/>
        <w:rPr>
          <w:rFonts w:cs="Times New Roman"/>
          <w:b/>
          <w:iCs/>
          <w:szCs w:val="24"/>
          <w:lang w:val="en-US"/>
        </w:rPr>
      </w:pPr>
      <w:r w:rsidRPr="00446A7C">
        <w:rPr>
          <w:rFonts w:cs="Times New Roman"/>
          <w:noProof/>
          <w:szCs w:val="24"/>
        </w:rPr>
        <w:drawing>
          <wp:inline distT="0" distB="0" distL="0" distR="0" wp14:editId="45056CB9">
            <wp:extent cx="5400136" cy="3657600"/>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noChangeArrowheads="1"/>
                    </pic:cNvPicPr>
                  </pic:nvPicPr>
                  <pic:blipFill>
                    <a:blip r:embed="rId19"/>
                    <a:stretch>
                      <a:fillRect/>
                    </a:stretch>
                  </pic:blipFill>
                  <pic:spPr bwMode="auto">
                    <a:xfrm>
                      <a:off x="0" y="0"/>
                      <a:ext cx="5410059" cy="3664321"/>
                    </a:xfrm>
                    <a:prstGeom prst="rect">
                      <a:avLst/>
                    </a:prstGeom>
                  </pic:spPr>
                </pic:pic>
              </a:graphicData>
            </a:graphic>
          </wp:inline>
        </w:drawing>
      </w:r>
    </w:p>
    <w:p w14:paraId="59140E35" w14:textId="765DF9F3" w:rsidR="0008415E" w:rsidRPr="00446A7C" w:rsidRDefault="00000000" w:rsidP="007C55D6">
      <w:pPr>
        <w:pStyle w:val="Heading5"/>
      </w:pPr>
      <w:bookmarkStart w:id="89" w:name="_Toc171701582"/>
      <w:r w:rsidRPr="00446A7C">
        <w:t xml:space="preserve">Figure </w:t>
      </w:r>
      <w:fldSimple w:instr=" SEQ Figure \* ARABIC ">
        <w:r w:rsidR="00986730">
          <w:rPr>
            <w:noProof/>
          </w:rPr>
          <w:t>2</w:t>
        </w:r>
      </w:fldSimple>
      <w:r w:rsidRPr="00446A7C">
        <w:t xml:space="preserve">: </w:t>
      </w:r>
      <w:r w:rsidR="00491E2B" w:rsidRPr="00446A7C">
        <w:t xml:space="preserve">Conceptual </w:t>
      </w:r>
      <w:r w:rsidRPr="00446A7C">
        <w:t>framework of the role of digital technology in enhancing LEAP for sustainable poverty reduction</w:t>
      </w:r>
      <w:bookmarkEnd w:id="89"/>
    </w:p>
    <w:p w14:paraId="7171E3DD" w14:textId="77777777" w:rsidR="0008415E" w:rsidRPr="00446A7C" w:rsidRDefault="00000000">
      <w:pPr>
        <w:pStyle w:val="caption11"/>
        <w:spacing w:line="480" w:lineRule="auto"/>
        <w:ind w:firstLine="0"/>
      </w:pPr>
      <w:r w:rsidRPr="00446A7C">
        <w:rPr>
          <w:rFonts w:eastAsiaTheme="majorEastAsia"/>
        </w:rPr>
        <w:t>Source: Author’s Construct.</w:t>
      </w:r>
    </w:p>
    <w:p w14:paraId="393F829B" w14:textId="77777777" w:rsidR="0008415E" w:rsidRPr="00446A7C" w:rsidRDefault="00000000" w:rsidP="007C55D6">
      <w:pPr>
        <w:pStyle w:val="Heading2"/>
      </w:pPr>
      <w:bookmarkStart w:id="90" w:name="_Toc171703219"/>
      <w:r w:rsidRPr="00446A7C">
        <w:t xml:space="preserve">2.5 </w:t>
      </w:r>
      <w:r w:rsidRPr="007C55D6">
        <w:t>Overview</w:t>
      </w:r>
      <w:r w:rsidRPr="00446A7C">
        <w:t xml:space="preserve"> of the Livelihood Empowerment Against Poverty (LEAP) Programme</w:t>
      </w:r>
      <w:bookmarkEnd w:id="90"/>
      <w:r w:rsidRPr="00446A7C">
        <w:t xml:space="preserve"> </w:t>
      </w:r>
    </w:p>
    <w:p w14:paraId="54824EBF" w14:textId="59971692" w:rsidR="0008415E" w:rsidRPr="00446A7C" w:rsidRDefault="00000000" w:rsidP="007A4181">
      <w:pPr>
        <w:pStyle w:val="Heading3"/>
      </w:pPr>
      <w:bookmarkStart w:id="91" w:name="_Toc171703220"/>
      <w:r w:rsidRPr="00446A7C">
        <w:t>2.5.</w:t>
      </w:r>
      <w:r w:rsidRPr="007A4181">
        <w:t>1Rationale</w:t>
      </w:r>
      <w:bookmarkEnd w:id="91"/>
    </w:p>
    <w:p w14:paraId="2613D872"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Ghana, amongst other sub-Saharan African countries, has taken up the mantle to eradicate poverty and improve the livelihoods of its citizens</w:t>
      </w:r>
      <w:r w:rsidRPr="00446A7C">
        <w:rPr>
          <w:rFonts w:cs="Times New Roman"/>
          <w:szCs w:val="24"/>
        </w:rPr>
        <w:fldChar w:fldCharType="begin"/>
      </w:r>
      <w:r w:rsidRPr="00446A7C">
        <w:rPr>
          <w:rFonts w:cs="Times New Roman"/>
          <w:bCs/>
          <w:szCs w:val="24"/>
        </w:rPr>
        <w:instrText>ADDIN CSL_CITATION {"citationItems":[{"id":"ITEM-1","itemData":{"author":[{"dropping-particle":"","family":"Grace","given":"Palm","non-dropping-particle":"","parse-names":false,"suffix":""}],"id":"ITEM-1","issue":"July","issued":{"date-parts":[["2017"]]},"page":"1-147","title":"Local Governance and Social Protection Policy Implementation in Ghana: a Case of the Leap in Ga East Municipality By","type":"article-journal"},"uris":["http://www.mendeley.com/documents/?uuid=e4bb4566-eb86-4f30-a94e-7226220f94e0"]}],"mendeley":{"formattedCitation":"(Grace, 2017)","plainTextFormattedCitation":"(Grace, 2017)","previouslyFormattedCitation":"(Grace, 2017)"},"properties":{"noteIndex":0},"schema":"https://github.com/citation-style-language/schema/raw/master/csl-citation.json"}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(Grace, 2017)</w:t>
      </w:r>
      <w:r w:rsidRPr="00446A7C">
        <w:rPr>
          <w:rFonts w:cs="Times New Roman"/>
          <w:bCs/>
          <w:szCs w:val="24"/>
        </w:rPr>
        <w:fldChar w:fldCharType="end"/>
      </w:r>
      <w:r w:rsidRPr="00446A7C">
        <w:rPr>
          <w:rFonts w:cs="Times New Roman"/>
          <w:bCs/>
          <w:szCs w:val="24"/>
        </w:rPr>
        <w:t xml:space="preserve">. Every citizen in Ghana has the right to social protection. The 1992 constitution's Article 17(4) (a) lays the groundwork for the implementation of programmes and policies aimed at social, economic, and educational inclusion (NSPS, 2007). The Ghana Growth Poverty Reduction Strategy (GPRS II) made provision for the development of </w:t>
      </w:r>
      <w:r w:rsidRPr="00446A7C">
        <w:rPr>
          <w:rFonts w:cs="Times New Roman"/>
          <w:bCs/>
          <w:szCs w:val="24"/>
        </w:rPr>
        <w:lastRenderedPageBreak/>
        <w:t xml:space="preserve">a cash transfer programme to assist the extreme poor and vulnerable population in the National Social Protection Strategy (NSPS) of 2007. </w:t>
      </w:r>
    </w:p>
    <w:p w14:paraId="626345D5" w14:textId="77777777" w:rsidR="0008415E" w:rsidRPr="00446A7C" w:rsidRDefault="0008415E" w:rsidP="00372E48">
      <w:pPr>
        <w:pStyle w:val="NoSpacing"/>
      </w:pPr>
    </w:p>
    <w:p w14:paraId="157AF3F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Following success stories of the Brazilian poverty alleviation programmes, Ghana implemented the Livelihood Empowerment Against Poverty (LEAP) programme as a means of combating poverty (Debrah, 2013). LEAP is one of Ghana's social assistance programmes, launched in 2008 as part of the National Social Protection Strategy (Debrah, 2013). The programme is funded by the World Bank and the United Kingdom's Department of International Development, as well as revenue from the Ghanaian government (Benjamine et al., 2014; Handa &amp; Park, 2012).</w:t>
      </w:r>
    </w:p>
    <w:p w14:paraId="28EE20AD" w14:textId="77777777" w:rsidR="0008415E" w:rsidRPr="00446A7C" w:rsidRDefault="0008415E" w:rsidP="007A4181">
      <w:pPr>
        <w:pStyle w:val="NoSpacing"/>
      </w:pPr>
    </w:p>
    <w:p w14:paraId="52684D6F"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The LEAP programme started with a pilot phase in 21 districts covering 1,654 beneficiary households (Perprem, 2020) and has since seen massive growth in terms of household coverage throughout the country (Handa &amp; Park, 2012). According to Adaboh (2022), the programme has been extended to approximately 344,000 households across the country, covering up to 254 districts, from approximately 70,000 households. Along the line, some of the vulnerable persons in the Upper West Region, including the Nandom District were selected as beneficiaries of the LEAP programme. </w:t>
      </w:r>
    </w:p>
    <w:p w14:paraId="066F8B32" w14:textId="77777777" w:rsidR="0008415E" w:rsidRPr="00446A7C" w:rsidRDefault="00000000" w:rsidP="007C55D6">
      <w:pPr>
        <w:pStyle w:val="Heading3"/>
      </w:pPr>
      <w:bookmarkStart w:id="92" w:name="_Toc171703221"/>
      <w:r w:rsidRPr="00446A7C">
        <w:t>2.5.2 Objectives and eligibility criteria</w:t>
      </w:r>
      <w:bookmarkEnd w:id="92"/>
    </w:p>
    <w:p w14:paraId="003BB7E9"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As a poverty reduction strategy, LEAP aims among others: to reduce extreme poverty, hunger and starvation amongst the extremely poor population in Ghana, to increase access and participation in education of extremely poor Orphaned and Vulnerable Children (OVC) aged 15 years and below and to empower the caregivers to acquire skills and resources that will transition them out of extreme poverty and break the </w:t>
      </w:r>
      <w:r w:rsidRPr="00446A7C">
        <w:rPr>
          <w:rFonts w:cs="Times New Roman"/>
          <w:bCs/>
          <w:szCs w:val="24"/>
        </w:rPr>
        <w:lastRenderedPageBreak/>
        <w:t xml:space="preserve">inter-generational poverty cycle (DSW, 2009). Eligibility for programme is centred on people living in poverty or having a member of a household in one of the following three demographic categories: elderly people 65years and above who have no alternative means of survival, people with severe disabilities with no capacity to work (PLWD), vulnerable pregnant women and children under one year, orphans and vulnerable children (OVCs) (these include children under 18 years who have lost one or both parents, disabled, chronically ill) </w:t>
      </w:r>
      <w:r w:rsidRPr="00446A7C">
        <w:rPr>
          <w:rFonts w:cs="Times New Roman"/>
          <w:szCs w:val="24"/>
        </w:rPr>
        <w:fldChar w:fldCharType="begin"/>
      </w:r>
      <w:r w:rsidRPr="00446A7C">
        <w:rPr>
          <w:rFonts w:cs="Times New Roman"/>
          <w:bCs/>
          <w:szCs w:val="24"/>
        </w:rPr>
        <w:instrText>ADDIN CSL_CITATION {"citationItems":[{"id":"ITEM-1","itemData":{"ISSN":"0014-4819","abstract":"The antisaccade task requires participants to inhibit the reflexive tendency to look at a sudden onset target and instead direct their gaze to the opposite hemifield. As such it provides a convenient tool with which to investigate the cognitive and neural systems that support goal-directed behaviour. Recent models of cognitive control suggest that antisaccade performance on a single trial should vary as a function of the outcome (correct antisaccade or erroneous prosaccade) of the previous trial. In addition, repetition priming effects suggest that the spatial location of the target on the previous trial may also influence current trial performance. Thus an analysis of contingency effects in antisaccade performance may provide new insights into the factors that influence the monitoring and modulation of the antisaccade task and other ongoing behaviours. Using a multilevel modelling analysis we explored previous trial effects on current trial performance in a large antisaccade dataset. We found (1) repetition priming effects following correct antisaccades; (2) contrary to models of cognitive control antisaccade error rates were increased on trials following an error, suggesting that failures to adequately maintain the task goal can persist across more than one trial; and (3) current trial latencies varied according to the previous trial outcome (correct antisaccade, slowly corrected error or rapidly corrected error). These results are discussed in terms of current models of antisaccade performance and cognitive control and further demonstrate the utility of multilevel modelling for analysing antisaccade data.","author":[{"dropping-particle":"","family":"Ministry of Gender Children and Social Protection","given":"","non-dropping-particle":"","parse-names":false,"suffix":""}],"id":"ITEM-1","issued":{"date-parts":[["2015"]]},"page":"1-52","title":"MINISTRY OF GENDER, CHILDREN AND SOCIAL PROTECTION GHANA NATIONAL SOCIAL PROTECTION POLICY Final Draft November, 2015","type":"article-journal"},"uris":["http://www.mendeley.com/documents/?uuid=8fead279-c734-4c2a-8019-0291f0ac24df"]},{"id":"ITEM-2","itemData":{"author":[{"dropping-particle":"","family":"Perprem","given":"Andrews","non-dropping-particle":"","parse-names":false,"suffix":""}],"id":"ITEM-2","issue":"October","issued":{"date-parts":[["2020"]]},"title":"Assessing The Level Of Beneficiaries ’ Awareness Of Livelihood Empowerment Against Poverty ( LEAP ) Conditionalities In Nandom District Of The Upper West Region Of Ghana","type":"article-journal"},"uris":["http://www.mendeley.com/documents/?uuid=043c24f6-bbff-4994-ae34-a030feac1056"]},{"id":"ITEM-3","itemData":{"author":[{"dropping-particle":"","family":"Adaboh","given":"Afia Achiaa","non-dropping-particle":"","parse-names":false,"suffix":""}],"id":"ITEM-3","issue":"May","issued":{"date-parts":[["2022"]]},"title":"social protection programs in Ghana:A Study of LEAP","type":"article-journal"},"uris":["http://www.mendeley.com/documents/?uuid=8252941c-0094-408b-81e6-24d55b959f01"]}],"mendeley":{"formattedCitation":"(Adaboh, 2022; Ministry of Gender Children and Social Protection, 2015; Perprem, 2020)","manualFormatting":"(MoGCSP, 2005)","plainTextFormattedCitation":"(Adaboh, 2022; Ministry of Gender Children and Social Protection, 2015; Perprem, 2020)","previouslyFormattedCitation":"(Adaboh, 2022; Ministry of Gender Children and Social Protection, 2015; Perprem, 2020)"},"properties":{"noteIndex":0},"schema":"https://github.com/citation-style-language/schema/raw/master/csl-citation.json"}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(MoGCSP, 2005)</w:t>
      </w:r>
      <w:r w:rsidRPr="00446A7C">
        <w:rPr>
          <w:rFonts w:cs="Times New Roman"/>
          <w:bCs/>
          <w:szCs w:val="24"/>
        </w:rPr>
        <w:fldChar w:fldCharType="end"/>
      </w:r>
      <w:r w:rsidRPr="00446A7C">
        <w:rPr>
          <w:rFonts w:cs="Times New Roman"/>
          <w:bCs/>
          <w:szCs w:val="24"/>
        </w:rPr>
        <w:t xml:space="preserve">. </w:t>
      </w:r>
    </w:p>
    <w:p w14:paraId="0E0B28B5" w14:textId="77777777" w:rsidR="0008415E" w:rsidRPr="00446A7C" w:rsidRDefault="00000000" w:rsidP="007C55D6">
      <w:pPr>
        <w:pStyle w:val="Heading3"/>
      </w:pPr>
      <w:bookmarkStart w:id="93" w:name="_Toc171703222"/>
      <w:r w:rsidRPr="00446A7C">
        <w:t>2.5.3 Brief overview of the implementation process.</w:t>
      </w:r>
      <w:bookmarkEnd w:id="93"/>
    </w:p>
    <w:p w14:paraId="5D257109" w14:textId="77777777" w:rsidR="0008415E" w:rsidRDefault="00000000">
      <w:pPr>
        <w:spacing w:line="480" w:lineRule="auto"/>
        <w:ind w:firstLine="0"/>
        <w:contextualSpacing/>
        <w:jc w:val="both"/>
        <w:rPr>
          <w:rFonts w:cs="Times New Roman"/>
          <w:bCs/>
          <w:szCs w:val="24"/>
          <w:lang w:val="en-US"/>
        </w:rPr>
      </w:pPr>
      <w:r w:rsidRPr="00446A7C">
        <w:rPr>
          <w:rFonts w:cs="Times New Roman"/>
          <w:bCs/>
          <w:szCs w:val="24"/>
        </w:rPr>
        <w:t xml:space="preserve">The LEAP programme offers  a bi-monthly cash transfer  to people living in extreme poverty whilst also providing health insurance and other complementary services to those who are beneficiaries of the programme </w:t>
      </w:r>
      <w:r w:rsidRPr="00446A7C">
        <w:rPr>
          <w:rFonts w:cs="Times New Roman"/>
          <w:szCs w:val="24"/>
        </w:rPr>
        <w:fldChar w:fldCharType="begin"/>
      </w:r>
      <w:r w:rsidRPr="00446A7C">
        <w:rPr>
          <w:rFonts w:cs="Times New Roman"/>
          <w:bCs/>
          <w:szCs w:val="24"/>
        </w:rPr>
        <w:instrText>ADDIN CSL_CITATION {"citationItems":[{"id":"ITEM-1","itemData":{"author":[{"dropping-particle":"","family":"Benjamine","given":"Davis","non-dropping-particle":"","parse-names":false,"suffix":""},{"dropping-particle":"","family":"Silvio","given":"Daidone","non-dropping-particle":"","parse-names":false,"suffix":""},{"dropping-particle":"","family":"Handa","given":"Sudhansu","non-dropping-particle":"","parse-names":false,"suffix":""},{"dropping-particle":"","family":"Park","given":"Michael","non-dropping-particle":"","parse-names":false,"suffix":""},{"dropping-particle":"","family":"Darko","given":"Robert Osei","non-dropping-particle":"","parse-names":false,"suffix":""},{"dropping-particle":"","family":"Osei-Akoto","given":"Isaac","non-dropping-particle":"","parse-names":false,"suffix":""}],"id":"ITEM-1","issue":"271","issued":{"date-parts":[["2014"]]},"page":"70076","title":"The Impact of Ghana ’ s LEAP Programme","type":"article-journal"},"uris":["http://www.mendeley.com/documents/?uuid=7d25a78b-16bb-4be4-b6e4-76ab410e28f4"]}],"mendeley":{"formattedCitation":"(Benjamine et al., 2014)","plainTextFormattedCitation":"(Benjamine et al., 2014)","previouslyFormattedCitation":"(Benjamine et al., 2014)"},"properties":{"noteIndex":0},"schema":"https://github.com/citation-style-language/schema/raw/master/csl-citation.json"}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(Benjamine et al., 2014)</w:t>
      </w:r>
      <w:r w:rsidRPr="00446A7C">
        <w:rPr>
          <w:rFonts w:cs="Times New Roman"/>
          <w:bCs/>
          <w:szCs w:val="24"/>
        </w:rPr>
        <w:fldChar w:fldCharType="end"/>
      </w:r>
      <w:r w:rsidRPr="00446A7C">
        <w:rPr>
          <w:rFonts w:cs="Times New Roman"/>
          <w:bCs/>
          <w:szCs w:val="24"/>
        </w:rPr>
        <w:t xml:space="preserve"> to reduce short-term poverty and ensure long term human capital development </w:t>
      </w:r>
      <w:r w:rsidRPr="00446A7C">
        <w:rPr>
          <w:rFonts w:cs="Times New Roman"/>
          <w:szCs w:val="24"/>
        </w:rPr>
        <w:fldChar w:fldCharType="begin"/>
      </w:r>
      <w:r w:rsidRPr="00446A7C">
        <w:rPr>
          <w:rFonts w:cs="Times New Roman"/>
          <w:bCs/>
          <w:szCs w:val="24"/>
        </w:rPr>
        <w:instrText>ADDIN CSL_CITATION {"citationItems":[{"id":"ITEM-1","itemData":{"abstract":"… LEAP provides a cash transfer to ultra-poor households within three demographic categories: elderly … The cash is conditional on enrollment in the National Health Insurance Scheme (NHIS … As in most cash transfers targeted to the ultra-poor and vulnerable, the immediate impact …","author":[{"dropping-particle":"","family":"Handa","given":"S","non-dropping-particle":"","parse-names":false,"suffix":""},{"dropping-particle":"","family":"Park","given":"M","non-dropping-particle":"","parse-names":false,"suffix":""}],"container-title":"University of North Carolina at Chapel Hill …","id":"ITEM-1","issue":"December","issued":{"date-parts":[["2012"]]},"title":"Livelihood empowerment against poverty program: Ghana baseline report","type":"article-journal"},"uris":["http://www.mendeley.com/documents/?uuid=f34ed014-42df-470d-9a00-fca7b98e6c36"]}],"mendeley":{"formattedCitation":"(Handa &amp; Park, 2012)","plainTextFormattedCitation":"(Handa &amp; Park, 2012)","previouslyFormattedCitation":"(Handa &amp; Park, 2012)"},"properties":{"noteIndex":0},"schema":"https://github.com/citation-style-language/schema/raw/master/csl-citation.json"}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(Handa &amp; Park, 2012)</w:t>
      </w:r>
      <w:r w:rsidRPr="00446A7C">
        <w:rPr>
          <w:rFonts w:cs="Times New Roman"/>
          <w:bCs/>
          <w:szCs w:val="24"/>
        </w:rPr>
        <w:fldChar w:fldCharType="end"/>
      </w:r>
      <w:r w:rsidRPr="00446A7C">
        <w:rPr>
          <w:rFonts w:cs="Times New Roman"/>
          <w:bCs/>
          <w:szCs w:val="24"/>
        </w:rPr>
        <w:t>. Key activities are untaken by the LEAP implementors to ensure that programme runs smoothly and provide the maximum benefits to beneficiaries. These activities include</w:t>
      </w:r>
      <w:r w:rsidRPr="00446A7C">
        <w:rPr>
          <w:rFonts w:cs="Times New Roman"/>
          <w:bCs/>
          <w:i/>
          <w:iCs/>
          <w:szCs w:val="24"/>
        </w:rPr>
        <w:t>: targeting</w:t>
      </w:r>
      <w:r w:rsidRPr="00446A7C">
        <w:rPr>
          <w:rFonts w:cs="Times New Roman"/>
          <w:bCs/>
          <w:szCs w:val="24"/>
        </w:rPr>
        <w:t xml:space="preserve">: this is where potential beneficiaries are examined and selected for the programme. According to osei (2011), the effectiveness of poverty reduction relies on amongst other things the nature of targeting used to reach beneficiaries. </w:t>
      </w:r>
      <w:r w:rsidRPr="00446A7C">
        <w:rPr>
          <w:rFonts w:cs="Times New Roman"/>
          <w:bCs/>
          <w:szCs w:val="24"/>
          <w:lang w:val="en-US"/>
        </w:rPr>
        <w:t>Targeting of potential beneficiaries must go through four scientific stages before arriving at an eligible beneficiary. They are, geographical targeting, community-based targeting, proxy-means test and community validation (</w:t>
      </w:r>
      <w:r w:rsidRPr="00446A7C">
        <w:rPr>
          <w:rFonts w:cs="Times New Roman"/>
          <w:bCs/>
          <w:szCs w:val="24"/>
        </w:rPr>
        <w:t xml:space="preserve">NSPS, 2015). </w:t>
      </w:r>
      <w:r w:rsidRPr="00446A7C">
        <w:rPr>
          <w:rFonts w:cs="Times New Roman"/>
          <w:bCs/>
          <w:szCs w:val="24"/>
          <w:lang w:val="en-US"/>
        </w:rPr>
        <w:t xml:space="preserve">Therefore, what constitutes effective targeting, is when the programme implementers have followed all these procedures without any deficiency in getting the required categories of people on the programme. </w:t>
      </w:r>
    </w:p>
    <w:p w14:paraId="5E5E7324" w14:textId="77777777" w:rsidR="007C55D6" w:rsidRPr="00446A7C" w:rsidRDefault="007C55D6" w:rsidP="007A4181">
      <w:pPr>
        <w:pStyle w:val="NoSpacing"/>
      </w:pPr>
    </w:p>
    <w:p w14:paraId="006E40D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 xml:space="preserve">Enrolment is the second vital activity in the implementation of the LEAP programme is enrolment. </w:t>
      </w:r>
      <w:r w:rsidRPr="00446A7C">
        <w:rPr>
          <w:rFonts w:cs="Times New Roman"/>
          <w:bCs/>
          <w:i/>
          <w:iCs/>
          <w:szCs w:val="24"/>
        </w:rPr>
        <w:t xml:space="preserve">Enrolment </w:t>
      </w:r>
      <w:r w:rsidRPr="00446A7C">
        <w:rPr>
          <w:rFonts w:cs="Times New Roman"/>
          <w:bCs/>
          <w:szCs w:val="24"/>
        </w:rPr>
        <w:t>is when qualified beneficiaries and household caregivers are registered onto the electronic payment platform by a Payment Service Provider (GHiPPS) after they have been sensitised on their rights, and the option to be included or opt out of the Programme. The beneficiary households selected are required to comply with a number of conditions as outlined by the NSPS (2007). These include:</w:t>
      </w:r>
    </w:p>
    <w:p w14:paraId="20BA4A9B" w14:textId="68740B76" w:rsidR="0008415E" w:rsidRPr="007C55D6" w:rsidRDefault="00000000" w:rsidP="007C55D6">
      <w:pPr>
        <w:pStyle w:val="ListParagraph"/>
        <w:numPr>
          <w:ilvl w:val="0"/>
          <w:numId w:val="20"/>
        </w:numPr>
        <w:spacing w:line="480" w:lineRule="auto"/>
        <w:jc w:val="both"/>
        <w:rPr>
          <w:rFonts w:cs="Times New Roman"/>
          <w:bCs/>
          <w:szCs w:val="24"/>
        </w:rPr>
      </w:pPr>
      <w:r w:rsidRPr="007C55D6">
        <w:rPr>
          <w:rFonts w:cs="Times New Roman"/>
          <w:bCs/>
          <w:szCs w:val="24"/>
        </w:rPr>
        <w:t>Children of school going age should be enroled in public schools and be retained.</w:t>
      </w:r>
    </w:p>
    <w:p w14:paraId="25CCCF43" w14:textId="46E89079" w:rsidR="0008415E" w:rsidRPr="007C55D6" w:rsidRDefault="00000000" w:rsidP="007C55D6">
      <w:pPr>
        <w:pStyle w:val="ListParagraph"/>
        <w:numPr>
          <w:ilvl w:val="0"/>
          <w:numId w:val="20"/>
        </w:numPr>
        <w:spacing w:line="480" w:lineRule="auto"/>
        <w:jc w:val="both"/>
        <w:rPr>
          <w:rFonts w:cs="Times New Roman"/>
          <w:bCs/>
          <w:szCs w:val="24"/>
        </w:rPr>
      </w:pPr>
      <w:r w:rsidRPr="007C55D6">
        <w:rPr>
          <w:rFonts w:cs="Times New Roman"/>
          <w:bCs/>
          <w:szCs w:val="24"/>
        </w:rPr>
        <w:t>All beneficiary household members are to be registered and be card bearing members of National health insurance scheme (NHIS).</w:t>
      </w:r>
    </w:p>
    <w:p w14:paraId="3D381019" w14:textId="62FB4D4B" w:rsidR="0008415E" w:rsidRPr="007C55D6" w:rsidRDefault="00000000" w:rsidP="007C55D6">
      <w:pPr>
        <w:pStyle w:val="ListParagraph"/>
        <w:numPr>
          <w:ilvl w:val="0"/>
          <w:numId w:val="20"/>
        </w:numPr>
        <w:spacing w:line="480" w:lineRule="auto"/>
        <w:jc w:val="both"/>
        <w:rPr>
          <w:rFonts w:cs="Times New Roman"/>
          <w:bCs/>
          <w:szCs w:val="24"/>
        </w:rPr>
      </w:pPr>
      <w:r w:rsidRPr="007C55D6">
        <w:rPr>
          <w:rFonts w:cs="Times New Roman"/>
          <w:bCs/>
          <w:szCs w:val="24"/>
        </w:rPr>
        <w:t xml:space="preserve">New-born babies should be registered to have a birth certificate and also ensure regular attendance at postnatal clinics. </w:t>
      </w:r>
    </w:p>
    <w:p w14:paraId="2ACE6D9B" w14:textId="77777777" w:rsidR="0008415E" w:rsidRPr="007C55D6" w:rsidRDefault="00000000" w:rsidP="007C55D6">
      <w:pPr>
        <w:pStyle w:val="ListParagraph"/>
        <w:numPr>
          <w:ilvl w:val="0"/>
          <w:numId w:val="20"/>
        </w:numPr>
        <w:spacing w:line="480" w:lineRule="auto"/>
        <w:jc w:val="both"/>
        <w:rPr>
          <w:rFonts w:cs="Times New Roman"/>
          <w:bCs/>
          <w:szCs w:val="24"/>
        </w:rPr>
      </w:pPr>
      <w:r w:rsidRPr="007C55D6">
        <w:rPr>
          <w:rFonts w:cs="Times New Roman"/>
          <w:bCs/>
          <w:szCs w:val="24"/>
        </w:rPr>
        <w:t>Children up to the age of five should have full vaccination.</w:t>
      </w:r>
    </w:p>
    <w:p w14:paraId="4C4F9F49" w14:textId="584708B4" w:rsidR="0008415E" w:rsidRPr="007C55D6" w:rsidRDefault="00000000" w:rsidP="007C55D6">
      <w:pPr>
        <w:pStyle w:val="ListParagraph"/>
        <w:numPr>
          <w:ilvl w:val="0"/>
          <w:numId w:val="20"/>
        </w:numPr>
        <w:spacing w:line="480" w:lineRule="auto"/>
        <w:jc w:val="both"/>
        <w:rPr>
          <w:rFonts w:cs="Times New Roman"/>
          <w:bCs/>
          <w:szCs w:val="24"/>
        </w:rPr>
      </w:pPr>
      <w:r w:rsidRPr="007C55D6">
        <w:rPr>
          <w:rFonts w:cs="Times New Roman"/>
          <w:bCs/>
          <w:szCs w:val="24"/>
        </w:rPr>
        <w:t>Ensure the non-engagement of children in any worst form of child labour and no child is to be trafficked.</w:t>
      </w:r>
    </w:p>
    <w:p w14:paraId="259E9467" w14:textId="77777777" w:rsidR="0008415E" w:rsidRPr="00446A7C" w:rsidRDefault="0008415E" w:rsidP="007A4181">
      <w:pPr>
        <w:pStyle w:val="NoSpacing"/>
      </w:pPr>
    </w:p>
    <w:p w14:paraId="4FB007F0"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Once beneficiaries are finally enrolled into the programme, they are now eligible to receive payments after verifications are complete. The </w:t>
      </w:r>
      <w:r w:rsidRPr="00446A7C">
        <w:rPr>
          <w:rFonts w:cs="Times New Roman"/>
          <w:bCs/>
          <w:i/>
          <w:iCs/>
          <w:szCs w:val="24"/>
        </w:rPr>
        <w:t>Payment</w:t>
      </w:r>
      <w:r w:rsidRPr="00446A7C">
        <w:rPr>
          <w:rFonts w:cs="Times New Roman"/>
          <w:bCs/>
          <w:szCs w:val="24"/>
        </w:rPr>
        <w:t xml:space="preserve"> process involves the disbursement of cash grants to beneficiaries by Participating Financial Institutions (PFIs). Cash grants are transferred by a Financial Service Provider (GhIPPS) to the PFIs for onward disbursement to beneficiaries. Cash grants are paid on bi-monthly basis. Payment of stipends to beneficiaries are based on the number of eligible individuals in the household, vulnerability levels of the potential beneficiaries and the minimum wage (NSPS, 2007). </w:t>
      </w:r>
    </w:p>
    <w:p w14:paraId="2F2D57D5" w14:textId="77777777" w:rsidR="0008415E" w:rsidRPr="00446A7C" w:rsidRDefault="0008415E" w:rsidP="007A4181">
      <w:pPr>
        <w:pStyle w:val="NoSpacing"/>
      </w:pPr>
    </w:p>
    <w:p w14:paraId="798F5174"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The initial payments given to the beneficiaries of the programme started from GHS 8 to GHS</w:t>
      </w:r>
      <w:r w:rsidRPr="00446A7C">
        <w:rPr>
          <w:rStyle w:val="FootnoteReference"/>
          <w:rFonts w:cs="Times New Roman"/>
          <w:bCs/>
          <w:szCs w:val="24"/>
        </w:rPr>
        <w:footnoteReference w:id="1"/>
      </w:r>
      <w:r w:rsidRPr="00446A7C">
        <w:rPr>
          <w:rFonts w:cs="Times New Roman"/>
          <w:bCs/>
          <w:szCs w:val="24"/>
        </w:rPr>
        <w:t xml:space="preserve"> 15. This amount increased in six-fold from GHS 48 to GHS 90 in 2015 and later, beneficiaries of the programme received cash amounts ranging from GHS 64 bimonthly  to GHS 106 per cycle </w:t>
      </w:r>
      <w:r w:rsidRPr="00446A7C">
        <w:rPr>
          <w:rFonts w:cs="Times New Roman"/>
          <w:szCs w:val="24"/>
        </w:rPr>
        <w:fldChar w:fldCharType="begin"/>
      </w:r>
      <w:r w:rsidRPr="00446A7C">
        <w:rPr>
          <w:rFonts w:cs="Times New Roman"/>
          <w:bCs/>
          <w:szCs w:val="24"/>
        </w:rPr>
        <w:instrText>ADDIN CSL_CITATION {"citationItems":[{"id":"ITEM-1","itemData":{"DOI":"10.1080/23311886.2019.1627789","ISSN":"23311886","abstract":"Livelihood Empowerment Against Poverty (LEAP) is a flagship programme of the National Social Protection Strategy (NSPS) targeted at the vulnerable and extremely poor in Ghana. Based on the peculiar characteristics that the participants of the LEAP programme exude, a combination of non-probability sampling techniques was deployed, namely; purposive and snowballing. Using a qualitative research strategy under an interpretive philosophical paradigm, this paper explored how beneficiaries of the LEAP programme are riddled with certain irregularities which were identified in this paper to be an insufficiency of cash amount given, as well as the difficulty in accessing complimentary service. It is shown that these identified irregularities warrants a responds from the government judging from the fact that the beneficiaries who face these irregularities constitute the bottom 20 per cent of the poor in Ghana.","author":[{"dropping-particle":"","family":"Sackey","given":"Paa Kwesi","non-dropping-particle":"","parse-names":false,"suffix":""}],"container-title":"Cogent Social Sciences","id":"ITEM-1","issue":"1","issued":{"date-parts":[["2019"]]},"publisher":"Cogent","title":"Ghana’s Livelihood Empowerment Against Poverty (LEAP) programme is leaking: Irregularities watering down the impact of the flagship LEAP programme","type":"article-journal","volume":"5"},"uris":["http://www.mendeley.com/documents/?uuid=6ee0f1a5-06d0-474a-93f7-f7047d53a971"]}],"mendeley":{"formattedCitation":"(P. K. Sackey, 2019)","manualFormatting":"(Sackey, 2019)","plainTextFormattedCitation":"(P. K. Sackey, 2019)","previouslyFormattedCitation":"(P. K. Sackey, 2019)"},"properties":{"noteIndex":0},"schema":"https://github.com/citation-style-language/schema/raw/master/csl-citation.json"}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(Sackey, 2019)</w:t>
      </w:r>
      <w:r w:rsidRPr="00446A7C">
        <w:rPr>
          <w:rFonts w:cs="Times New Roman"/>
          <w:bCs/>
          <w:szCs w:val="24"/>
        </w:rPr>
        <w:fldChar w:fldCharType="end"/>
      </w:r>
      <w:r w:rsidRPr="00446A7C">
        <w:rPr>
          <w:rFonts w:cs="Times New Roman"/>
          <w:bCs/>
          <w:szCs w:val="24"/>
        </w:rPr>
        <w:t>. The table below presents the current payment amounts given to beneficiaries of the programme.</w:t>
      </w:r>
    </w:p>
    <w:p w14:paraId="1D97049F" w14:textId="0B6FD66E" w:rsidR="0008415E" w:rsidRPr="00FC2F19" w:rsidRDefault="00000000" w:rsidP="00FC2F19">
      <w:pPr>
        <w:pStyle w:val="Heading6"/>
        <w:rPr>
          <w:b w:val="0"/>
          <w:bCs/>
        </w:rPr>
      </w:pPr>
      <w:bookmarkStart w:id="94" w:name="_Toc171700077"/>
      <w:r w:rsidRPr="00446A7C">
        <w:t xml:space="preserve">Table </w:t>
      </w:r>
      <w:fldSimple w:instr=" SEQ Table \* ARABIC ">
        <w:r w:rsidR="00986730">
          <w:rPr>
            <w:noProof/>
          </w:rPr>
          <w:t>1</w:t>
        </w:r>
      </w:fldSimple>
      <w:r w:rsidRPr="00446A7C">
        <w:t xml:space="preserve">: </w:t>
      </w:r>
      <w:r w:rsidRPr="00FC2F19">
        <w:t>Current</w:t>
      </w:r>
      <w:r w:rsidRPr="00446A7C">
        <w:t xml:space="preserve"> pay starting from 83&amp;84 cycle</w:t>
      </w:r>
      <w:bookmarkEnd w:id="94"/>
      <w:r w:rsidRPr="00FC2F19">
        <w:rPr>
          <w:b w:val="0"/>
          <w:bCs/>
          <w:iCs/>
        </w:rPr>
        <w:fldChar w:fldCharType="begin"/>
      </w:r>
      <w:r w:rsidRPr="00FC2F19">
        <w:rPr>
          <w:b w:val="0"/>
          <w:bCs/>
        </w:rPr>
        <w:instrText>LINK Excel.Sheet.12 "Book1" "Sheet1!R5C2:R9C5" \a \f 4 \h  \* MERGEFORMAT</w:instrText>
      </w:r>
      <w:r w:rsidRPr="00FC2F19">
        <w:rPr>
          <w:b w:val="0"/>
          <w:bCs/>
          <w:iCs/>
        </w:rPr>
        <w:fldChar w:fldCharType="separate"/>
      </w:r>
    </w:p>
    <w:tbl>
      <w:tblPr>
        <w:tblStyle w:val="TableGridLight"/>
        <w:tblpPr w:leftFromText="180" w:rightFromText="180" w:vertAnchor="text" w:tblpY="1"/>
        <w:tblW w:w="80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1"/>
        <w:gridCol w:w="3377"/>
        <w:gridCol w:w="1890"/>
        <w:gridCol w:w="1800"/>
      </w:tblGrid>
      <w:tr w:rsidR="00FC2F19" w:rsidRPr="00FC2F19" w14:paraId="67E05164" w14:textId="77777777" w:rsidTr="00340FEA">
        <w:trPr>
          <w:trHeight w:val="600"/>
        </w:trPr>
        <w:tc>
          <w:tcPr>
            <w:tcW w:w="961" w:type="dxa"/>
            <w:tcBorders>
              <w:top w:val="single" w:sz="4" w:space="0" w:color="auto"/>
              <w:bottom w:val="single" w:sz="4" w:space="0" w:color="auto"/>
            </w:tcBorders>
          </w:tcPr>
          <w:p w14:paraId="4599129D"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S/N</w:t>
            </w:r>
          </w:p>
        </w:tc>
        <w:tc>
          <w:tcPr>
            <w:tcW w:w="3377" w:type="dxa"/>
            <w:tcBorders>
              <w:top w:val="single" w:sz="4" w:space="0" w:color="auto"/>
              <w:bottom w:val="single" w:sz="4" w:space="0" w:color="auto"/>
            </w:tcBorders>
          </w:tcPr>
          <w:p w14:paraId="1C6BFC7C"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NO. of eligible Beneficiaries</w:t>
            </w:r>
          </w:p>
        </w:tc>
        <w:tc>
          <w:tcPr>
            <w:tcW w:w="1890" w:type="dxa"/>
            <w:tcBorders>
              <w:top w:val="single" w:sz="4" w:space="0" w:color="auto"/>
              <w:bottom w:val="single" w:sz="4" w:space="0" w:color="auto"/>
            </w:tcBorders>
          </w:tcPr>
          <w:p w14:paraId="75C1E6A7"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Previous Amt</w:t>
            </w:r>
          </w:p>
          <w:p w14:paraId="2ABA8B0E"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(GHS)</w:t>
            </w:r>
          </w:p>
        </w:tc>
        <w:tc>
          <w:tcPr>
            <w:tcW w:w="1800" w:type="dxa"/>
            <w:tcBorders>
              <w:top w:val="single" w:sz="4" w:space="0" w:color="auto"/>
              <w:bottom w:val="single" w:sz="4" w:space="0" w:color="auto"/>
            </w:tcBorders>
          </w:tcPr>
          <w:p w14:paraId="517571A0"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Current Amt</w:t>
            </w:r>
          </w:p>
          <w:p w14:paraId="2194E34A"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(GHS)</w:t>
            </w:r>
          </w:p>
        </w:tc>
      </w:tr>
      <w:tr w:rsidR="00FC2F19" w:rsidRPr="00FC2F19" w14:paraId="05FBF529" w14:textId="77777777" w:rsidTr="00340FEA">
        <w:trPr>
          <w:trHeight w:val="300"/>
        </w:trPr>
        <w:tc>
          <w:tcPr>
            <w:tcW w:w="961" w:type="dxa"/>
            <w:tcBorders>
              <w:top w:val="single" w:sz="4" w:space="0" w:color="auto"/>
            </w:tcBorders>
          </w:tcPr>
          <w:p w14:paraId="239F5C6C"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1</w:t>
            </w:r>
          </w:p>
        </w:tc>
        <w:tc>
          <w:tcPr>
            <w:tcW w:w="3377" w:type="dxa"/>
            <w:tcBorders>
              <w:top w:val="single" w:sz="4" w:space="0" w:color="auto"/>
            </w:tcBorders>
          </w:tcPr>
          <w:p w14:paraId="33A94EB6"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1</w:t>
            </w:r>
          </w:p>
        </w:tc>
        <w:tc>
          <w:tcPr>
            <w:tcW w:w="1890" w:type="dxa"/>
            <w:tcBorders>
              <w:top w:val="single" w:sz="4" w:space="0" w:color="auto"/>
            </w:tcBorders>
          </w:tcPr>
          <w:p w14:paraId="013D6DCB"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64</w:t>
            </w:r>
          </w:p>
        </w:tc>
        <w:tc>
          <w:tcPr>
            <w:tcW w:w="1800" w:type="dxa"/>
            <w:tcBorders>
              <w:top w:val="single" w:sz="4" w:space="0" w:color="auto"/>
            </w:tcBorders>
          </w:tcPr>
          <w:p w14:paraId="2CA9B7C6"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128</w:t>
            </w:r>
          </w:p>
        </w:tc>
      </w:tr>
      <w:tr w:rsidR="00FC2F19" w:rsidRPr="00FC2F19" w14:paraId="26A767F7" w14:textId="77777777" w:rsidTr="007558F1">
        <w:trPr>
          <w:trHeight w:val="300"/>
        </w:trPr>
        <w:tc>
          <w:tcPr>
            <w:tcW w:w="961" w:type="dxa"/>
          </w:tcPr>
          <w:p w14:paraId="2DF8D6C9"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2</w:t>
            </w:r>
          </w:p>
        </w:tc>
        <w:tc>
          <w:tcPr>
            <w:tcW w:w="3377" w:type="dxa"/>
          </w:tcPr>
          <w:p w14:paraId="3E54B7A5"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2</w:t>
            </w:r>
          </w:p>
        </w:tc>
        <w:tc>
          <w:tcPr>
            <w:tcW w:w="1890" w:type="dxa"/>
          </w:tcPr>
          <w:p w14:paraId="5316163C"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76</w:t>
            </w:r>
          </w:p>
        </w:tc>
        <w:tc>
          <w:tcPr>
            <w:tcW w:w="1800" w:type="dxa"/>
          </w:tcPr>
          <w:p w14:paraId="115FE380"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152</w:t>
            </w:r>
          </w:p>
        </w:tc>
      </w:tr>
      <w:tr w:rsidR="00FC2F19" w:rsidRPr="00FC2F19" w14:paraId="7DB79BA0" w14:textId="77777777" w:rsidTr="00340FEA">
        <w:trPr>
          <w:trHeight w:val="300"/>
        </w:trPr>
        <w:tc>
          <w:tcPr>
            <w:tcW w:w="961" w:type="dxa"/>
          </w:tcPr>
          <w:p w14:paraId="7F4C26A0"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3</w:t>
            </w:r>
          </w:p>
        </w:tc>
        <w:tc>
          <w:tcPr>
            <w:tcW w:w="3377" w:type="dxa"/>
          </w:tcPr>
          <w:p w14:paraId="2772B54C"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3</w:t>
            </w:r>
          </w:p>
        </w:tc>
        <w:tc>
          <w:tcPr>
            <w:tcW w:w="1890" w:type="dxa"/>
          </w:tcPr>
          <w:p w14:paraId="76A1F11C"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88</w:t>
            </w:r>
          </w:p>
        </w:tc>
        <w:tc>
          <w:tcPr>
            <w:tcW w:w="1800" w:type="dxa"/>
          </w:tcPr>
          <w:p w14:paraId="3DABAA78"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176</w:t>
            </w:r>
          </w:p>
        </w:tc>
      </w:tr>
      <w:tr w:rsidR="00FC2F19" w:rsidRPr="00FC2F19" w14:paraId="0CF1EE03" w14:textId="77777777" w:rsidTr="00340FEA">
        <w:trPr>
          <w:trHeight w:val="300"/>
        </w:trPr>
        <w:tc>
          <w:tcPr>
            <w:tcW w:w="961" w:type="dxa"/>
            <w:tcBorders>
              <w:bottom w:val="single" w:sz="4" w:space="0" w:color="auto"/>
            </w:tcBorders>
          </w:tcPr>
          <w:p w14:paraId="07DA47C2"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4</w:t>
            </w:r>
          </w:p>
        </w:tc>
        <w:tc>
          <w:tcPr>
            <w:tcW w:w="3377" w:type="dxa"/>
            <w:tcBorders>
              <w:bottom w:val="single" w:sz="4" w:space="0" w:color="auto"/>
            </w:tcBorders>
          </w:tcPr>
          <w:p w14:paraId="5BFF900D"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4 and above</w:t>
            </w:r>
          </w:p>
        </w:tc>
        <w:tc>
          <w:tcPr>
            <w:tcW w:w="1890" w:type="dxa"/>
            <w:tcBorders>
              <w:bottom w:val="single" w:sz="4" w:space="0" w:color="auto"/>
            </w:tcBorders>
          </w:tcPr>
          <w:p w14:paraId="764633DD"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106</w:t>
            </w:r>
          </w:p>
        </w:tc>
        <w:tc>
          <w:tcPr>
            <w:tcW w:w="1800" w:type="dxa"/>
            <w:tcBorders>
              <w:bottom w:val="single" w:sz="4" w:space="0" w:color="auto"/>
            </w:tcBorders>
          </w:tcPr>
          <w:p w14:paraId="7E4089C3" w14:textId="77777777" w:rsidR="0008415E" w:rsidRPr="00FC2F19" w:rsidRDefault="00000000" w:rsidP="00FC2F19">
            <w:pPr>
              <w:spacing w:after="0" w:line="240" w:lineRule="auto"/>
              <w:ind w:firstLine="0"/>
              <w:jc w:val="center"/>
              <w:rPr>
                <w:rFonts w:eastAsia="Times New Roman" w:cs="Times New Roman"/>
                <w:bCs/>
                <w:color w:val="000000" w:themeColor="text1"/>
                <w:szCs w:val="24"/>
                <w:lang w:eastAsia="en-GB"/>
              </w:rPr>
            </w:pPr>
            <w:r w:rsidRPr="00FC2F19">
              <w:rPr>
                <w:rFonts w:eastAsia="Times New Roman" w:cs="Times New Roman"/>
                <w:bCs/>
                <w:color w:val="000000" w:themeColor="text1"/>
                <w:szCs w:val="24"/>
                <w:lang w:eastAsia="en-GB"/>
              </w:rPr>
              <w:t>212</w:t>
            </w:r>
          </w:p>
        </w:tc>
      </w:tr>
      <w:bookmarkStart w:id="95" w:name="_Toc160947639"/>
      <w:bookmarkStart w:id="96" w:name="_Toc161240385"/>
    </w:tbl>
    <w:p w14:paraId="3844996B" w14:textId="7E411C9F" w:rsidR="0008415E" w:rsidRPr="00446A7C" w:rsidRDefault="00000000" w:rsidP="00FC2F19">
      <w:pPr>
        <w:spacing w:line="480" w:lineRule="auto"/>
        <w:ind w:firstLine="0"/>
        <w:contextualSpacing/>
        <w:jc w:val="both"/>
        <w:rPr>
          <w:rFonts w:cs="Times New Roman"/>
          <w:b/>
          <w:szCs w:val="24"/>
        </w:rPr>
      </w:pPr>
      <w:r w:rsidRPr="00FC2F19">
        <w:rPr>
          <w:rFonts w:cs="Times New Roman"/>
          <w:bCs/>
          <w:szCs w:val="24"/>
        </w:rPr>
        <w:fldChar w:fldCharType="end"/>
      </w:r>
      <w:bookmarkEnd w:id="95"/>
      <w:bookmarkEnd w:id="96"/>
      <w:r w:rsidRPr="00446A7C">
        <w:rPr>
          <w:rFonts w:cs="Times New Roman"/>
          <w:b/>
          <w:szCs w:val="24"/>
        </w:rPr>
        <w:t>Source: Department of Social Welfare (2023)</w:t>
      </w:r>
    </w:p>
    <w:p w14:paraId="38EC2850" w14:textId="77777777" w:rsidR="0008415E" w:rsidRPr="00446A7C" w:rsidRDefault="0008415E">
      <w:pPr>
        <w:spacing w:line="480" w:lineRule="auto"/>
        <w:ind w:firstLine="0"/>
        <w:contextualSpacing/>
        <w:jc w:val="both"/>
        <w:rPr>
          <w:rFonts w:cs="Times New Roman"/>
          <w:b/>
          <w:szCs w:val="24"/>
        </w:rPr>
      </w:pPr>
    </w:p>
    <w:p w14:paraId="72805382" w14:textId="77777777" w:rsidR="0008415E" w:rsidRPr="00446A7C" w:rsidRDefault="00000000">
      <w:pPr>
        <w:spacing w:line="480" w:lineRule="auto"/>
        <w:ind w:firstLine="0"/>
        <w:contextualSpacing/>
        <w:jc w:val="both"/>
        <w:rPr>
          <w:rFonts w:cs="Times New Roman"/>
          <w:b/>
          <w:szCs w:val="24"/>
        </w:rPr>
      </w:pPr>
      <w:r w:rsidRPr="00446A7C">
        <w:rPr>
          <w:rFonts w:cs="Times New Roman"/>
          <w:noProof/>
          <w:szCs w:val="24"/>
        </w:rPr>
        <w:drawing>
          <wp:inline distT="0" distB="0" distL="0" distR="0" wp14:editId="496E33F4">
            <wp:extent cx="5287992" cy="2922905"/>
            <wp:effectExtent l="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noChangeArrowheads="1"/>
                    </pic:cNvPicPr>
                  </pic:nvPicPr>
                  <pic:blipFill>
                    <a:blip r:embed="rId20"/>
                    <a:stretch>
                      <a:fillRect/>
                    </a:stretch>
                  </pic:blipFill>
                  <pic:spPr bwMode="auto">
                    <a:xfrm>
                      <a:off x="0" y="0"/>
                      <a:ext cx="5297315" cy="2928058"/>
                    </a:xfrm>
                    <a:prstGeom prst="rect">
                      <a:avLst/>
                    </a:prstGeom>
                  </pic:spPr>
                </pic:pic>
              </a:graphicData>
            </a:graphic>
          </wp:inline>
        </w:drawing>
      </w:r>
    </w:p>
    <w:p w14:paraId="40108B0D" w14:textId="4C98A74D" w:rsidR="0008415E" w:rsidRPr="00446A7C" w:rsidRDefault="00000000" w:rsidP="00340FEA">
      <w:pPr>
        <w:pStyle w:val="Heading5"/>
      </w:pPr>
      <w:bookmarkStart w:id="97" w:name="_Toc171701583"/>
      <w:r w:rsidRPr="00446A7C">
        <w:t xml:space="preserve">Figure </w:t>
      </w:r>
      <w:fldSimple w:instr=" SEQ Figure \* ARABIC ">
        <w:r w:rsidR="00986730">
          <w:rPr>
            <w:noProof/>
          </w:rPr>
          <w:t>3</w:t>
        </w:r>
      </w:fldSimple>
      <w:r w:rsidRPr="00446A7C">
        <w:t>: LEAP implementation Diagram</w:t>
      </w:r>
      <w:bookmarkEnd w:id="97"/>
    </w:p>
    <w:p w14:paraId="55B3500E" w14:textId="77777777" w:rsidR="0008415E" w:rsidRPr="00446A7C" w:rsidRDefault="00000000">
      <w:pPr>
        <w:pStyle w:val="caption11"/>
        <w:spacing w:line="480" w:lineRule="auto"/>
        <w:ind w:firstLine="0"/>
      </w:pPr>
      <w:r w:rsidRPr="00446A7C">
        <w:rPr>
          <w:lang w:val="fr-FR"/>
        </w:rPr>
        <w:t>Source : (Department of Social Welfare, 2023)</w:t>
      </w:r>
    </w:p>
    <w:p w14:paraId="5B131D39" w14:textId="77777777" w:rsidR="0008415E" w:rsidRDefault="00000000">
      <w:pPr>
        <w:spacing w:line="480" w:lineRule="auto"/>
        <w:ind w:firstLine="0"/>
        <w:contextualSpacing/>
        <w:jc w:val="both"/>
        <w:rPr>
          <w:rFonts w:cs="Times New Roman"/>
          <w:bCs/>
          <w:szCs w:val="24"/>
        </w:rPr>
      </w:pPr>
      <w:r w:rsidRPr="00446A7C">
        <w:rPr>
          <w:rFonts w:cs="Times New Roman"/>
          <w:bCs/>
          <w:szCs w:val="24"/>
        </w:rPr>
        <w:t xml:space="preserve">The Livelihood Empowerment against Poverty (LEAP) programme since its inception has enabled poor and vulnerable households and individuals to meet their basic needs </w:t>
      </w:r>
      <w:r w:rsidRPr="00446A7C">
        <w:rPr>
          <w:rFonts w:cs="Times New Roman"/>
          <w:bCs/>
          <w:szCs w:val="24"/>
        </w:rPr>
        <w:lastRenderedPageBreak/>
        <w:t xml:space="preserve">(food, clothing and shelter), be healthier, improvement in school attendance. Also with the influx of cash in the community as a result of LEAP, the local economy has seen a boost as a result of an increase in demand and other economic activities </w:t>
      </w:r>
      <w:r w:rsidRPr="00446A7C">
        <w:rPr>
          <w:rFonts w:cs="Times New Roman"/>
          <w:szCs w:val="24"/>
        </w:rPr>
        <w:fldChar w:fldCharType="begin"/>
      </w:r>
      <w:r w:rsidRPr="00446A7C">
        <w:rPr>
          <w:rFonts w:cs="Times New Roman"/>
          <w:bCs/>
          <w:szCs w:val="24"/>
        </w:rPr>
        <w:instrText>ADDIN CSL_CITATION {"citationItems":[{"id":"ITEM-1","itemData":{"author":[{"dropping-particle":"","family":"Benjamine","given":"Davis","non-dropping-particle":"","parse-names":false,"suffix":""},{"dropping-particle":"","family":"Silvio","given":"Daidone","non-dropping-particle":"","parse-names":false,"suffix":""},{"dropping-particle":"","family":"Handa","given":"Sudhansu","non-dropping-particle":"","parse-names":false,"suffix":""},{"dropping-particle":"","family":"Park","given":"Michael","non-dropping-particle":"","parse-names":false,"suffix":""},{"dropping-particle":"","family":"Darko","given":"Robert Osei","non-dropping-particle":"","parse-names":false,"suffix":""},{"dropping-particle":"","family":"Osei-Akoto","given":"Isaac","non-dropping-particle":"","parse-names":false,"suffix":""}],"id":"ITEM-1","issue":"271","issued":{"date-parts":[["2014"]]},"page":"70076","title":"The Impact of Ghana ’ s LEAP Programme","type":"article-journal"},"uris":["http://www.mendeley.com/documents/?uuid=7d25a78b-16bb-4be4-b6e4-76ab410e28f4"]}],"mendeley":{"formattedCitation":"(Benjamine et al., 2014)","plainTextFormattedCitation":"(Benjamine et al., 2014)","previouslyFormattedCitation":"(Benjamine et al., 2014)"},"properties":{"noteIndex":0},"schema":"https://github.com/citation-style-language/schema/raw/master/csl-citation.json"}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(Benjamine et al., 2014)</w:t>
      </w:r>
      <w:r w:rsidRPr="00446A7C">
        <w:rPr>
          <w:rFonts w:cs="Times New Roman"/>
          <w:bCs/>
          <w:szCs w:val="24"/>
        </w:rPr>
        <w:fldChar w:fldCharType="end"/>
      </w:r>
      <w:r w:rsidRPr="00446A7C">
        <w:rPr>
          <w:rFonts w:cs="Times New Roman"/>
          <w:bCs/>
          <w:szCs w:val="24"/>
        </w:rPr>
        <w:t xml:space="preserve">. </w:t>
      </w:r>
    </w:p>
    <w:p w14:paraId="22F44214" w14:textId="77777777" w:rsidR="00372E48" w:rsidRDefault="00372E48">
      <w:pPr>
        <w:spacing w:line="480" w:lineRule="auto"/>
        <w:ind w:firstLine="0"/>
        <w:contextualSpacing/>
        <w:jc w:val="both"/>
        <w:rPr>
          <w:rFonts w:cs="Times New Roman"/>
          <w:bCs/>
          <w:szCs w:val="24"/>
        </w:rPr>
      </w:pPr>
    </w:p>
    <w:p w14:paraId="4D4E52B5" w14:textId="77777777" w:rsidR="00372E48" w:rsidRDefault="00372E48">
      <w:pPr>
        <w:spacing w:line="480" w:lineRule="auto"/>
        <w:ind w:firstLine="0"/>
        <w:contextualSpacing/>
        <w:jc w:val="both"/>
        <w:rPr>
          <w:rFonts w:cs="Times New Roman"/>
          <w:bCs/>
          <w:szCs w:val="24"/>
        </w:rPr>
      </w:pPr>
    </w:p>
    <w:p w14:paraId="5B4904E4" w14:textId="77777777" w:rsidR="00372E48" w:rsidRDefault="00372E48">
      <w:pPr>
        <w:spacing w:line="480" w:lineRule="auto"/>
        <w:ind w:firstLine="0"/>
        <w:contextualSpacing/>
        <w:jc w:val="both"/>
        <w:rPr>
          <w:rFonts w:cs="Times New Roman"/>
          <w:bCs/>
          <w:szCs w:val="24"/>
        </w:rPr>
      </w:pPr>
    </w:p>
    <w:p w14:paraId="2B77366E" w14:textId="77777777" w:rsidR="00372E48" w:rsidRDefault="00372E48">
      <w:pPr>
        <w:spacing w:line="480" w:lineRule="auto"/>
        <w:ind w:firstLine="0"/>
        <w:contextualSpacing/>
        <w:jc w:val="both"/>
        <w:rPr>
          <w:rFonts w:cs="Times New Roman"/>
          <w:bCs/>
          <w:szCs w:val="24"/>
        </w:rPr>
      </w:pPr>
    </w:p>
    <w:p w14:paraId="2047042E" w14:textId="77777777" w:rsidR="00372E48" w:rsidRDefault="00372E48">
      <w:pPr>
        <w:spacing w:line="480" w:lineRule="auto"/>
        <w:ind w:firstLine="0"/>
        <w:contextualSpacing/>
        <w:jc w:val="both"/>
        <w:rPr>
          <w:rFonts w:cs="Times New Roman"/>
          <w:bCs/>
          <w:szCs w:val="24"/>
        </w:rPr>
      </w:pPr>
    </w:p>
    <w:p w14:paraId="746E4D54" w14:textId="77777777" w:rsidR="00372E48" w:rsidRDefault="00372E48">
      <w:pPr>
        <w:spacing w:line="480" w:lineRule="auto"/>
        <w:ind w:firstLine="0"/>
        <w:contextualSpacing/>
        <w:jc w:val="both"/>
        <w:rPr>
          <w:rFonts w:cs="Times New Roman"/>
          <w:bCs/>
          <w:szCs w:val="24"/>
        </w:rPr>
      </w:pPr>
    </w:p>
    <w:p w14:paraId="29E64E46" w14:textId="77777777" w:rsidR="00372E48" w:rsidRDefault="00372E48">
      <w:pPr>
        <w:spacing w:line="480" w:lineRule="auto"/>
        <w:ind w:firstLine="0"/>
        <w:contextualSpacing/>
        <w:jc w:val="both"/>
        <w:rPr>
          <w:rFonts w:cs="Times New Roman"/>
          <w:bCs/>
          <w:szCs w:val="24"/>
        </w:rPr>
      </w:pPr>
    </w:p>
    <w:p w14:paraId="1F49A5F5" w14:textId="77777777" w:rsidR="00372E48" w:rsidRDefault="00372E48">
      <w:pPr>
        <w:spacing w:line="480" w:lineRule="auto"/>
        <w:ind w:firstLine="0"/>
        <w:contextualSpacing/>
        <w:jc w:val="both"/>
        <w:rPr>
          <w:rFonts w:cs="Times New Roman"/>
          <w:bCs/>
          <w:szCs w:val="24"/>
        </w:rPr>
      </w:pPr>
    </w:p>
    <w:p w14:paraId="59AD374D" w14:textId="77777777" w:rsidR="00372E48" w:rsidRDefault="00372E48">
      <w:pPr>
        <w:spacing w:line="480" w:lineRule="auto"/>
        <w:ind w:firstLine="0"/>
        <w:contextualSpacing/>
        <w:jc w:val="both"/>
        <w:rPr>
          <w:rFonts w:cs="Times New Roman"/>
          <w:bCs/>
          <w:szCs w:val="24"/>
        </w:rPr>
      </w:pPr>
    </w:p>
    <w:p w14:paraId="1F69B408" w14:textId="77777777" w:rsidR="00372E48" w:rsidRDefault="00372E48">
      <w:pPr>
        <w:spacing w:line="480" w:lineRule="auto"/>
        <w:ind w:firstLine="0"/>
        <w:contextualSpacing/>
        <w:jc w:val="both"/>
        <w:rPr>
          <w:rFonts w:cs="Times New Roman"/>
          <w:bCs/>
          <w:szCs w:val="24"/>
        </w:rPr>
      </w:pPr>
    </w:p>
    <w:p w14:paraId="6A2B1D46" w14:textId="77777777" w:rsidR="00372E48" w:rsidRDefault="00372E48">
      <w:pPr>
        <w:spacing w:line="480" w:lineRule="auto"/>
        <w:ind w:firstLine="0"/>
        <w:contextualSpacing/>
        <w:jc w:val="both"/>
        <w:rPr>
          <w:rFonts w:cs="Times New Roman"/>
          <w:bCs/>
          <w:szCs w:val="24"/>
        </w:rPr>
      </w:pPr>
    </w:p>
    <w:p w14:paraId="1CC009DF" w14:textId="77777777" w:rsidR="00372E48" w:rsidRDefault="00372E48">
      <w:pPr>
        <w:spacing w:line="480" w:lineRule="auto"/>
        <w:ind w:firstLine="0"/>
        <w:contextualSpacing/>
        <w:jc w:val="both"/>
        <w:rPr>
          <w:rFonts w:cs="Times New Roman"/>
          <w:bCs/>
          <w:szCs w:val="24"/>
        </w:rPr>
      </w:pPr>
    </w:p>
    <w:p w14:paraId="7CABE4AD" w14:textId="77777777" w:rsidR="00372E48" w:rsidRDefault="00372E48">
      <w:pPr>
        <w:spacing w:line="480" w:lineRule="auto"/>
        <w:ind w:firstLine="0"/>
        <w:contextualSpacing/>
        <w:jc w:val="both"/>
        <w:rPr>
          <w:rFonts w:cs="Times New Roman"/>
          <w:bCs/>
          <w:szCs w:val="24"/>
        </w:rPr>
      </w:pPr>
    </w:p>
    <w:p w14:paraId="3D3D9C98" w14:textId="77777777" w:rsidR="00372E48" w:rsidRDefault="00372E48">
      <w:pPr>
        <w:spacing w:line="480" w:lineRule="auto"/>
        <w:ind w:firstLine="0"/>
        <w:contextualSpacing/>
        <w:jc w:val="both"/>
        <w:rPr>
          <w:rFonts w:cs="Times New Roman"/>
          <w:bCs/>
          <w:szCs w:val="24"/>
        </w:rPr>
      </w:pPr>
    </w:p>
    <w:p w14:paraId="220F17FA" w14:textId="77777777" w:rsidR="00372E48" w:rsidRDefault="00372E48">
      <w:pPr>
        <w:spacing w:line="480" w:lineRule="auto"/>
        <w:ind w:firstLine="0"/>
        <w:contextualSpacing/>
        <w:jc w:val="both"/>
        <w:rPr>
          <w:rFonts w:cs="Times New Roman"/>
          <w:bCs/>
          <w:szCs w:val="24"/>
        </w:rPr>
      </w:pPr>
    </w:p>
    <w:p w14:paraId="50F1D3B4" w14:textId="77777777" w:rsidR="00372E48" w:rsidRDefault="00372E48">
      <w:pPr>
        <w:spacing w:line="480" w:lineRule="auto"/>
        <w:ind w:firstLine="0"/>
        <w:contextualSpacing/>
        <w:jc w:val="both"/>
        <w:rPr>
          <w:rFonts w:cs="Times New Roman"/>
          <w:bCs/>
          <w:szCs w:val="24"/>
        </w:rPr>
      </w:pPr>
    </w:p>
    <w:p w14:paraId="26E232DA" w14:textId="77777777" w:rsidR="00372E48" w:rsidRDefault="00372E48">
      <w:pPr>
        <w:spacing w:line="480" w:lineRule="auto"/>
        <w:ind w:firstLine="0"/>
        <w:contextualSpacing/>
        <w:jc w:val="both"/>
        <w:rPr>
          <w:rFonts w:cs="Times New Roman"/>
          <w:bCs/>
          <w:szCs w:val="24"/>
        </w:rPr>
      </w:pPr>
    </w:p>
    <w:p w14:paraId="287D9990" w14:textId="77777777" w:rsidR="00372E48" w:rsidRDefault="00372E48">
      <w:pPr>
        <w:spacing w:line="480" w:lineRule="auto"/>
        <w:ind w:firstLine="0"/>
        <w:contextualSpacing/>
        <w:jc w:val="both"/>
        <w:rPr>
          <w:rFonts w:cs="Times New Roman"/>
          <w:bCs/>
          <w:szCs w:val="24"/>
        </w:rPr>
      </w:pPr>
    </w:p>
    <w:p w14:paraId="2A290DF0" w14:textId="77777777" w:rsidR="00372E48" w:rsidRDefault="00372E48">
      <w:pPr>
        <w:spacing w:line="480" w:lineRule="auto"/>
        <w:ind w:firstLine="0"/>
        <w:contextualSpacing/>
        <w:jc w:val="both"/>
        <w:rPr>
          <w:rFonts w:cs="Times New Roman"/>
          <w:bCs/>
          <w:szCs w:val="24"/>
        </w:rPr>
      </w:pPr>
    </w:p>
    <w:p w14:paraId="0FAE4513" w14:textId="77777777" w:rsidR="00372E48" w:rsidRPr="00446A7C" w:rsidRDefault="00372E48">
      <w:pPr>
        <w:spacing w:line="480" w:lineRule="auto"/>
        <w:ind w:firstLine="0"/>
        <w:contextualSpacing/>
        <w:jc w:val="both"/>
        <w:rPr>
          <w:rFonts w:cs="Times New Roman"/>
          <w:bCs/>
          <w:szCs w:val="24"/>
        </w:rPr>
      </w:pPr>
    </w:p>
    <w:p w14:paraId="43AE57B4" w14:textId="77777777" w:rsidR="0008415E" w:rsidRDefault="00000000" w:rsidP="00B74686">
      <w:pPr>
        <w:pStyle w:val="Heading1"/>
        <w:spacing w:before="0"/>
      </w:pPr>
      <w:bookmarkStart w:id="98" w:name="_Toc171703223"/>
      <w:r w:rsidRPr="00340FEA">
        <w:lastRenderedPageBreak/>
        <w:t>CHAPTER</w:t>
      </w:r>
      <w:r w:rsidRPr="00446A7C">
        <w:t xml:space="preserve"> THREE</w:t>
      </w:r>
      <w:bookmarkEnd w:id="98"/>
    </w:p>
    <w:p w14:paraId="317252E6" w14:textId="77777777" w:rsidR="00340FEA" w:rsidRPr="00340FEA" w:rsidRDefault="00340FEA" w:rsidP="00B74686">
      <w:pPr>
        <w:pStyle w:val="NoSpacing"/>
      </w:pPr>
    </w:p>
    <w:p w14:paraId="12677295" w14:textId="77777777" w:rsidR="0008415E" w:rsidRPr="00446A7C" w:rsidRDefault="00000000" w:rsidP="00340FEA">
      <w:pPr>
        <w:pStyle w:val="Heading1"/>
      </w:pPr>
      <w:bookmarkStart w:id="99" w:name="_Toc171703224"/>
      <w:r w:rsidRPr="00340FEA">
        <w:t>RESEARCH</w:t>
      </w:r>
      <w:r w:rsidRPr="00446A7C">
        <w:t xml:space="preserve"> METHODOLOGY</w:t>
      </w:r>
      <w:bookmarkEnd w:id="99"/>
    </w:p>
    <w:p w14:paraId="25A36E9C" w14:textId="77777777" w:rsidR="0008415E" w:rsidRPr="00446A7C" w:rsidRDefault="00000000" w:rsidP="00340FEA">
      <w:pPr>
        <w:pStyle w:val="Heading2"/>
      </w:pPr>
      <w:bookmarkStart w:id="100" w:name="_Toc171703225"/>
      <w:r w:rsidRPr="00446A7C">
        <w:t xml:space="preserve">3.1 </w:t>
      </w:r>
      <w:r w:rsidRPr="00340FEA">
        <w:t>Introduction</w:t>
      </w:r>
      <w:bookmarkEnd w:id="100"/>
    </w:p>
    <w:p w14:paraId="09D71E28"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Research methodology is defined as the procedures used in the study (Creswell &amp; Poth, 2018). It is the combination of research elements to explain how a research project will be carried out (Leavy, 2022). Grønmo (2020) described research methodology as part of the logic that deals with the general principles for developing knowledge. This section discussed the methodology of the study. The chapter starts with the area of study, research approach, research design, data collection procedures, instrument design. It also looks at how the instruments w</w:t>
      </w:r>
      <w:r w:rsidRPr="00446A7C">
        <w:rPr>
          <w:rFonts w:cs="Times New Roman"/>
          <w:bCs/>
          <w:szCs w:val="24"/>
          <w:lang w:val="en-US"/>
        </w:rPr>
        <w:t>ere</w:t>
      </w:r>
      <w:r w:rsidRPr="00446A7C">
        <w:rPr>
          <w:rFonts w:cs="Times New Roman"/>
          <w:bCs/>
          <w:szCs w:val="24"/>
        </w:rPr>
        <w:t xml:space="preserve"> pre-tested before the actual data collection, selection of respondents, the target population, data management and analysis as well as issues pertaining to reliability and validity. The limitation, and issues of ethics were also discussed. </w:t>
      </w:r>
    </w:p>
    <w:p w14:paraId="1CACA2F3" w14:textId="77777777" w:rsidR="0008415E" w:rsidRPr="00446A7C" w:rsidRDefault="00000000" w:rsidP="00340FEA">
      <w:pPr>
        <w:pStyle w:val="Heading2"/>
      </w:pPr>
      <w:bookmarkStart w:id="101" w:name="_Toc171703226"/>
      <w:r w:rsidRPr="00446A7C">
        <w:t>3.2 Profile of the Area of Study</w:t>
      </w:r>
      <w:bookmarkEnd w:id="101"/>
    </w:p>
    <w:p w14:paraId="25F40385" w14:textId="77777777" w:rsidR="0008415E" w:rsidRDefault="00000000">
      <w:pPr>
        <w:spacing w:line="480" w:lineRule="auto"/>
        <w:ind w:firstLine="0"/>
        <w:contextualSpacing/>
        <w:jc w:val="both"/>
        <w:rPr>
          <w:rFonts w:cs="Times New Roman"/>
          <w:bCs/>
          <w:szCs w:val="24"/>
        </w:rPr>
      </w:pPr>
      <w:r w:rsidRPr="00446A7C">
        <w:rPr>
          <w:rFonts w:cs="Times New Roman"/>
          <w:bCs/>
          <w:szCs w:val="24"/>
        </w:rPr>
        <w:t xml:space="preserve">Nandom District lies in the north-western corner of the Upper West Region of Ghana between Longitude 2°25 W and 2°45W and Latitude 10°20 N and 11°00 S. It is bounded to the East and South by the Lambussie District and Lawra Municipal and to the North and West by the Republic of Burkina Faso. The land area is estimated at about 567.6 square km. This constitutes about 3.1% of the Region’s total land area. Nandom is made up of 88 communities with 86% of the inhabitants living in rural areas (Nandom Municipal Assembly (NMA), 2022). The population density is about 89 per square kilometre. Based on the 2021 National Population and Housing census, the population of Nandom is reported to be 51,328, with a growth rate of 1.9%. The average household size is 4.1, indicating the number of individuals per household. </w:t>
      </w:r>
      <w:r w:rsidRPr="00446A7C">
        <w:rPr>
          <w:rFonts w:cs="Times New Roman"/>
          <w:bCs/>
          <w:szCs w:val="24"/>
        </w:rPr>
        <w:lastRenderedPageBreak/>
        <w:t>Based on projections, the current population of the district is estimated to be around 52,303, consisting of 26,063 males and 26,240 females (NMA, 2022).</w:t>
      </w:r>
    </w:p>
    <w:p w14:paraId="27E02A52" w14:textId="77777777" w:rsidR="00340FEA" w:rsidRPr="00446A7C" w:rsidRDefault="00340FEA" w:rsidP="00B74686">
      <w:pPr>
        <w:pStyle w:val="NoSpacing"/>
      </w:pPr>
    </w:p>
    <w:p w14:paraId="1D37C47C"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Regarding economic performance, the private sector is the primary employer in the district, accounting for 94.6 percent. Within the private sector, the informal sector comprises 93.2 percent, while the formal sector constitutes 1.4 percent. The agricultural sector is the dominant economic activity, engaging approximately 85 percent of the district population of 51,328, with a growth rate of 1.9 percent. Out of the total 7,417 households in the district 85.3 percent are engaged in agriculture, while 14.7 percent are involved in non-agricultural activities. Agriculture primarily focuses on crop and livestock production, primarily at the subsistence level with limited output.</w:t>
      </w:r>
    </w:p>
    <w:p w14:paraId="7F79813D" w14:textId="77777777" w:rsidR="0008415E" w:rsidRPr="00446A7C" w:rsidRDefault="0008415E" w:rsidP="00B74686">
      <w:pPr>
        <w:pStyle w:val="NoSpacing"/>
      </w:pPr>
    </w:p>
    <w:p w14:paraId="73600A34" w14:textId="5DC45D16"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Nandom, as one of the implementing districts of LEAP, has 47 communities currently benefiting from the programme and a total number of LEAP beneficiaries in Nandom is 2892 (DSW, 2023). The district was selected as part of the LEAP implementing communities in Ghana to conduct a reassessment of the programme. Reassessment is the process of seeking to identify and determine the poverty status and eligibility of households (LEAP and non-LEAP) that should benefit from the LEAP programme; and to ultimately reduce the incidence of inclusion and exclusion errors occasioned by the dynamic nature of poverty due to the factor of time and improving the efficiencies of allocating budget to the most vulnerable households. By the programme design, re-assessment is done in every four years (DSW, 2023). </w:t>
      </w:r>
    </w:p>
    <w:p w14:paraId="46744F45" w14:textId="77777777" w:rsidR="0008415E" w:rsidRPr="00446A7C" w:rsidRDefault="0008415E" w:rsidP="00B74686">
      <w:pPr>
        <w:pStyle w:val="NoSpacing"/>
      </w:pPr>
    </w:p>
    <w:p w14:paraId="7711F6EF"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In order to realize the research objective, data was collected in four communities in Nandom District namely: Vaapuo, Munyupelle, Guo and Nabugang. The decision to </w:t>
      </w:r>
      <w:r w:rsidRPr="00446A7C">
        <w:rPr>
          <w:rFonts w:cs="Times New Roman"/>
          <w:bCs/>
          <w:szCs w:val="24"/>
        </w:rPr>
        <w:lastRenderedPageBreak/>
        <w:t>situate this research in Nandom was informed by the limited studies conducted on LEAP in the district despite it being one of the earliest districts to benefit from the programme since the programme’s inception in 2008. This research focused on specific stakeholders who are essential to the effective implementation of the LEAP programme and various categories of beneficiaries in these four selected areas in the Nandom District. These specific groups of participants were selected due to their direct relevance and involvement in the programme.</w:t>
      </w:r>
      <w:r w:rsidRPr="00446A7C">
        <w:rPr>
          <w:rFonts w:cs="Times New Roman"/>
          <w:szCs w:val="24"/>
        </w:rPr>
        <w:t xml:space="preserve"> </w:t>
      </w:r>
      <w:r w:rsidRPr="00446A7C">
        <w:rPr>
          <w:rFonts w:cs="Times New Roman"/>
          <w:bCs/>
          <w:szCs w:val="24"/>
        </w:rPr>
        <w:t>This selection provided, diverse views and perspectives on the adoption and usage of digital technology due to the differences in demographics of these communities. The data collection process involved engaging with caregivers of Orphans and Vulnerable Children (COVCs), Persons Living with Disabilities (PLWD), and the elderly poor. Additionally, district-level implementing officials from the District Social Welfare and Community Development (DSW/CD) office were included as they play a crucial role in programme implementation.</w:t>
      </w:r>
    </w:p>
    <w:p w14:paraId="073B2C1C" w14:textId="77777777" w:rsidR="0008415E" w:rsidRPr="00446A7C" w:rsidRDefault="00000000">
      <w:pPr>
        <w:spacing w:line="480" w:lineRule="auto"/>
        <w:ind w:firstLine="0"/>
        <w:contextualSpacing/>
        <w:rPr>
          <w:rFonts w:cs="Times New Roman"/>
          <w:szCs w:val="24"/>
        </w:rPr>
      </w:pPr>
      <w:r w:rsidRPr="00446A7C">
        <w:rPr>
          <w:rFonts w:cs="Times New Roman"/>
          <w:noProof/>
          <w:szCs w:val="24"/>
        </w:rPr>
        <w:lastRenderedPageBreak/>
        <w:drawing>
          <wp:inline distT="0" distB="0" distL="0" distR="0" wp14:editId="2F81953B">
            <wp:extent cx="5270740" cy="6605270"/>
            <wp:effectExtent l="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21"/>
                    <a:stretch>
                      <a:fillRect/>
                    </a:stretch>
                  </pic:blipFill>
                  <pic:spPr bwMode="auto">
                    <a:xfrm>
                      <a:off x="0" y="0"/>
                      <a:ext cx="5277173" cy="6613332"/>
                    </a:xfrm>
                    <a:prstGeom prst="rect">
                      <a:avLst/>
                    </a:prstGeom>
                  </pic:spPr>
                </pic:pic>
              </a:graphicData>
            </a:graphic>
          </wp:inline>
        </w:drawing>
      </w:r>
    </w:p>
    <w:p w14:paraId="0417D643" w14:textId="5B9BE7DC" w:rsidR="0008415E" w:rsidRPr="00446A7C" w:rsidRDefault="00000000" w:rsidP="00124D74">
      <w:pPr>
        <w:pStyle w:val="Heading5"/>
      </w:pPr>
      <w:bookmarkStart w:id="102" w:name="_Toc153173694"/>
      <w:bookmarkStart w:id="103" w:name="_Toc153173229"/>
      <w:bookmarkStart w:id="104" w:name="_Toc153172785"/>
      <w:bookmarkStart w:id="105" w:name="_Toc171701584"/>
      <w:r w:rsidRPr="00446A7C">
        <w:t xml:space="preserve">Figure </w:t>
      </w:r>
      <w:r w:rsidR="00124D74">
        <w:t>4</w:t>
      </w:r>
      <w:r w:rsidRPr="00446A7C">
        <w:t>: Map of study Area</w:t>
      </w:r>
      <w:bookmarkEnd w:id="102"/>
      <w:bookmarkEnd w:id="103"/>
      <w:bookmarkEnd w:id="104"/>
      <w:bookmarkEnd w:id="105"/>
    </w:p>
    <w:p w14:paraId="4D3766D4" w14:textId="77777777" w:rsidR="0008415E" w:rsidRPr="00446A7C" w:rsidRDefault="00000000" w:rsidP="00B74686">
      <w:pPr>
        <w:pStyle w:val="NoSpacing"/>
      </w:pPr>
      <w:r w:rsidRPr="00446A7C">
        <w:tab/>
      </w:r>
      <w:r w:rsidRPr="00446A7C">
        <w:tab/>
      </w:r>
    </w:p>
    <w:p w14:paraId="6170B505" w14:textId="77777777" w:rsidR="0008415E" w:rsidRPr="00446A7C" w:rsidRDefault="00000000" w:rsidP="00340FEA">
      <w:pPr>
        <w:pStyle w:val="Heading2"/>
      </w:pPr>
      <w:bookmarkStart w:id="106" w:name="_Toc171703227"/>
      <w:r w:rsidRPr="00446A7C">
        <w:t xml:space="preserve">3.3 </w:t>
      </w:r>
      <w:r w:rsidRPr="00340FEA">
        <w:t>Research</w:t>
      </w:r>
      <w:r w:rsidRPr="00446A7C">
        <w:t xml:space="preserve"> Philosophy</w:t>
      </w:r>
      <w:bookmarkEnd w:id="106"/>
    </w:p>
    <w:p w14:paraId="3BDD7122" w14:textId="77777777" w:rsidR="0008415E" w:rsidRPr="00446A7C" w:rsidRDefault="00000000">
      <w:pPr>
        <w:spacing w:line="480" w:lineRule="auto"/>
        <w:ind w:firstLine="0"/>
        <w:contextualSpacing/>
        <w:jc w:val="both"/>
        <w:rPr>
          <w:rFonts w:cs="Times New Roman"/>
          <w:bCs/>
          <w:szCs w:val="24"/>
        </w:rPr>
      </w:pPr>
      <w:r w:rsidRPr="00446A7C">
        <w:rPr>
          <w:rFonts w:cs="Times New Roman"/>
          <w:bCs/>
          <w:iCs/>
          <w:szCs w:val="24"/>
          <w:lang w:val="en-US"/>
        </w:rPr>
        <w:t>start</w:t>
      </w:r>
      <w:r w:rsidRPr="00446A7C">
        <w:rPr>
          <w:rFonts w:cs="Times New Roman"/>
          <w:bCs/>
          <w:iCs/>
          <w:szCs w:val="24"/>
        </w:rPr>
        <w:t xml:space="preserve">It can be argued that every scientific research needs a philosophical basis to hinge on. Such a philosophical foundation is known as a paradigm according to Leavy (2022), or a worldview as stated by Creswell and Creswell (2018). Creswell and Poth (2018) </w:t>
      </w:r>
      <w:r w:rsidRPr="00446A7C">
        <w:rPr>
          <w:rFonts w:cs="Times New Roman"/>
          <w:bCs/>
          <w:szCs w:val="24"/>
        </w:rPr>
        <w:t xml:space="preserve">asserted that a research paradigm is a belief about ontology, epistemology, </w:t>
      </w:r>
      <w:r w:rsidRPr="00446A7C">
        <w:rPr>
          <w:rFonts w:cs="Times New Roman"/>
          <w:bCs/>
          <w:szCs w:val="24"/>
        </w:rPr>
        <w:lastRenderedPageBreak/>
        <w:t>axiology, and methodology (the process of research). It is argued that, the choices of research philosophy primarily depend on the topic under study, the target audiences of the research as well as the researchers personal understanding of the phenomena he or she is studying (Creswell, 2009). In the understanding of social phenomena’s, the philosophical assumptions can be mainly characterised as positivism, pragmatism and interpretivism (Bryman 2012; Creswell 2014).</w:t>
      </w:r>
    </w:p>
    <w:p w14:paraId="394A09E8" w14:textId="77777777" w:rsidR="0008415E" w:rsidRPr="00446A7C" w:rsidRDefault="0008415E" w:rsidP="00B74686">
      <w:pPr>
        <w:pStyle w:val="NoSpacing"/>
      </w:pPr>
    </w:p>
    <w:p w14:paraId="686AD9FA"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rPr>
        <w:t>This study was guided by an interpretive paradigm.</w:t>
      </w:r>
      <w:r w:rsidRPr="00446A7C">
        <w:rPr>
          <w:rFonts w:cs="Times New Roman"/>
          <w:szCs w:val="24"/>
          <w:lang w:val="en-US"/>
        </w:rPr>
        <w:t xml:space="preserve"> </w:t>
      </w:r>
      <w:r w:rsidRPr="00446A7C">
        <w:rPr>
          <w:rFonts w:cs="Times New Roman"/>
          <w:bCs/>
          <w:szCs w:val="24"/>
          <w:lang w:val="en-US"/>
        </w:rPr>
        <w:t xml:space="preserve">The interpretivists apply qualitative research approach when conducting research (Leitch et al., 2010) and based on </w:t>
      </w:r>
      <w:r w:rsidRPr="00446A7C">
        <w:rPr>
          <w:rFonts w:cs="Times New Roman"/>
          <w:bCs/>
          <w:szCs w:val="24"/>
        </w:rPr>
        <w:t xml:space="preserve">the research objectives and modes in which the researcher collected data for the study the use of this paradigm was deemed appropriate. Participants of the research have their perceptions of the LEAP programme which are based on their lived experiences. In exploring the role of digital technology in enhancing the LEAP programme towards sustainable poverty reduction, the working experiences and practical knowledge the LEAP beneficiaries and </w:t>
      </w:r>
      <w:r w:rsidRPr="00446A7C">
        <w:rPr>
          <w:rFonts w:cs="Times New Roman"/>
          <w:bCs/>
          <w:szCs w:val="24"/>
          <w:lang w:val="en-US"/>
        </w:rPr>
        <w:t>implementers</w:t>
      </w:r>
      <w:r w:rsidRPr="00446A7C">
        <w:rPr>
          <w:rFonts w:cs="Times New Roman"/>
          <w:bCs/>
          <w:szCs w:val="24"/>
        </w:rPr>
        <w:t xml:space="preserve"> respectively have </w:t>
      </w:r>
      <w:r w:rsidRPr="00446A7C">
        <w:rPr>
          <w:rFonts w:cs="Times New Roman"/>
          <w:bCs/>
          <w:szCs w:val="24"/>
          <w:lang w:val="en-US"/>
        </w:rPr>
        <w:t xml:space="preserve">would be </w:t>
      </w:r>
      <w:r w:rsidRPr="00446A7C">
        <w:rPr>
          <w:rFonts w:cs="Times New Roman"/>
          <w:bCs/>
          <w:szCs w:val="24"/>
        </w:rPr>
        <w:t>helpful in interpreting the findings in a holistic manner (e.g. See Geertz, 1983).  As the philosophical assumptions of LEAP is to alleviate short-term poverty and encourage long-term human capital development (NSPS, 2017), through the provision of cash and other complementary services to beneficiaries (Handa and Park, 2022), I found an interpretive paradigm appropriate for the study.  This is because, this paradigm enabled me to explore participants’ perceptions in the context of LEAP and how digital technology can be leveraged to ensure beneficiaries get the full benefits of the programme and also enable them to graduate from the programme.</w:t>
      </w:r>
    </w:p>
    <w:p w14:paraId="66393DB6" w14:textId="77777777" w:rsidR="0008415E" w:rsidRPr="00446A7C" w:rsidRDefault="00000000">
      <w:pPr>
        <w:pStyle w:val="Heading2"/>
        <w:rPr>
          <w:rFonts w:cs="Times New Roman"/>
          <w:szCs w:val="24"/>
        </w:rPr>
      </w:pPr>
      <w:bookmarkStart w:id="107" w:name="_Toc171703228"/>
      <w:r w:rsidRPr="00446A7C">
        <w:rPr>
          <w:rFonts w:cs="Times New Roman"/>
          <w:szCs w:val="24"/>
        </w:rPr>
        <w:lastRenderedPageBreak/>
        <w:t>3.4 Research Approach</w:t>
      </w:r>
      <w:bookmarkEnd w:id="107"/>
    </w:p>
    <w:p w14:paraId="3D014C8E"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The study adopted a qualitative research method with the intent </w:t>
      </w:r>
      <w:r w:rsidRPr="00446A7C">
        <w:rPr>
          <w:rFonts w:cs="Times New Roman"/>
          <w:szCs w:val="24"/>
          <w:lang w:val="en-US"/>
        </w:rPr>
        <w:t>of</w:t>
      </w:r>
      <w:r w:rsidRPr="00446A7C">
        <w:rPr>
          <w:rFonts w:cs="Times New Roman"/>
          <w:szCs w:val="24"/>
        </w:rPr>
        <w:t xml:space="preserve"> exploring the role of digital technology in enhancing LEAP programme towards sustainable poverty reduction. The use of qualitative method is deemed more appropriate because it allows for a subjective selection of the research participants who are made up of the beneficiaries of the LEAP programme and the implement</w:t>
      </w:r>
      <w:r w:rsidRPr="00446A7C">
        <w:rPr>
          <w:rFonts w:cs="Times New Roman"/>
          <w:szCs w:val="24"/>
          <w:lang w:val="en-US"/>
        </w:rPr>
        <w:t>e</w:t>
      </w:r>
      <w:r w:rsidRPr="00446A7C">
        <w:rPr>
          <w:rFonts w:cs="Times New Roman"/>
          <w:szCs w:val="24"/>
        </w:rPr>
        <w:t xml:space="preserve">rs who constitute the study’s key informants. Also, the qualitative approach allowed the researcher to conduct follow </w:t>
      </w:r>
      <w:r w:rsidRPr="00446A7C">
        <w:rPr>
          <w:rFonts w:cs="Times New Roman"/>
          <w:szCs w:val="24"/>
          <w:lang w:val="en-US"/>
        </w:rPr>
        <w:t xml:space="preserve">up </w:t>
      </w:r>
      <w:r w:rsidRPr="00446A7C">
        <w:rPr>
          <w:rFonts w:cs="Times New Roman"/>
          <w:szCs w:val="24"/>
        </w:rPr>
        <w:t>interviews so that, participants can fully express their thoughts and feelings (see Creswell, 2014). Again, the use of the qualitative approach was appropriate as it helped in exploring the research topic in an in-depth and comprehensive manner.</w:t>
      </w:r>
    </w:p>
    <w:p w14:paraId="75E2AA77" w14:textId="77777777" w:rsidR="0008415E" w:rsidRPr="00446A7C" w:rsidRDefault="0008415E" w:rsidP="00B74686">
      <w:pPr>
        <w:pStyle w:val="NoSpacing"/>
      </w:pPr>
    </w:p>
    <w:p w14:paraId="13B290FE" w14:textId="77777777" w:rsidR="0008415E" w:rsidRDefault="00000000">
      <w:pPr>
        <w:spacing w:line="480" w:lineRule="auto"/>
        <w:ind w:firstLine="0"/>
        <w:contextualSpacing/>
        <w:jc w:val="both"/>
        <w:rPr>
          <w:rFonts w:cs="Times New Roman"/>
          <w:szCs w:val="24"/>
        </w:rPr>
      </w:pPr>
      <w:r w:rsidRPr="00446A7C">
        <w:rPr>
          <w:rFonts w:cs="Times New Roman"/>
          <w:szCs w:val="24"/>
        </w:rPr>
        <w:t xml:space="preserve">Likewise, most studies reviewed on social assistance programmes used the qualitative approach. As stated by Creswell, the use of qualitative approach allows for the understanding of the meaning individual ascribe to social problem due to its natural setting (Creswell, 2013:3). The main sources of data were interviews, documents reviews and observations which also correspond with the qualitative approach in conducting social science research (De Villiers, 2005). </w:t>
      </w:r>
    </w:p>
    <w:p w14:paraId="44711A31" w14:textId="77777777" w:rsidR="0008415E" w:rsidRPr="00446A7C" w:rsidRDefault="00000000">
      <w:pPr>
        <w:pStyle w:val="Heading2"/>
        <w:rPr>
          <w:rFonts w:cs="Times New Roman"/>
          <w:szCs w:val="24"/>
        </w:rPr>
      </w:pPr>
      <w:bookmarkStart w:id="108" w:name="_Toc171703229"/>
      <w:r w:rsidRPr="00446A7C">
        <w:rPr>
          <w:rFonts w:cs="Times New Roman"/>
          <w:szCs w:val="24"/>
        </w:rPr>
        <w:t>3.5 Research Design</w:t>
      </w:r>
      <w:bookmarkEnd w:id="108"/>
    </w:p>
    <w:p w14:paraId="4206B34D" w14:textId="58E902FB" w:rsidR="0008415E" w:rsidRDefault="00000000">
      <w:pPr>
        <w:spacing w:line="480" w:lineRule="auto"/>
        <w:ind w:firstLine="0"/>
        <w:contextualSpacing/>
        <w:jc w:val="both"/>
        <w:rPr>
          <w:rFonts w:cs="Times New Roman"/>
          <w:bCs/>
          <w:szCs w:val="24"/>
        </w:rPr>
      </w:pPr>
      <w:r w:rsidRPr="00446A7C">
        <w:rPr>
          <w:rFonts w:cs="Times New Roman"/>
          <w:bCs/>
          <w:szCs w:val="24"/>
        </w:rPr>
        <w:t xml:space="preserve">Research design refers to the overarching strategy that connects conceptual research problems with feasible empirical research </w:t>
      </w:r>
      <w:r w:rsidRPr="00446A7C">
        <w:rPr>
          <w:rFonts w:cs="Times New Roman"/>
          <w:szCs w:val="24"/>
        </w:rPr>
        <w:fldChar w:fldCharType="begin"/>
      </w:r>
      <w:r w:rsidRPr="00446A7C">
        <w:rPr>
          <w:rFonts w:cs="Times New Roman"/>
          <w:bCs/>
          <w:szCs w:val="24"/>
        </w:rPr>
        <w:instrText>ADDIN CSL_CITATION {"citationItems":[{"id":"ITEM-1","itemData":{"abstract":"For a research to be carried out successfully, it requires suitable research design. This is a plan adopted by a researcher before data collection commences so as to achieve the research objective in a valid way. The essence of research design is to translate a research problem into data for analysis so as to provide relevant answers to research questions at a minimum cost. This paper investigates what research design is, the different kinds of research design and how a researcher can choose the appropriate research design for his/her study. The study reveals that research design choice is guided by a careful analysis of statement of the problem, research questions, conceptual /theoretical framework and analyzing the relevant literature.","author":[{"dropping-particle":"","family":"Bostley","given":"Muyembe Asenahabi","non-dropping-particle":"","parse-names":false,"suffix":""}],"container-title":"International Journal of Contemporary Applied Researches","id":"ITEM-1","issue":"5","issued":{"date-parts":[["2019"]]},"page":"76-89","title":"Basics of research design: A guide to selecting appropriate research design.","type":"article-journal","volume":"Vol. 6, No"},"uris":["http://www.mendeley.com/documents/?uuid=5d276c01-7e2c-41b3-8985-c70ec94cede8"]}],"mendeley":{"formattedCitation":"(Bostley, 2019)","plainTextFormattedCitation":"(Bostley, 2019)","previouslyFormattedCitation":"(Bostley, 2019)"},"properties":{"noteIndex":0},"schema":"https://github.com/citation-style-language/schema/raw/master/csl-citation.json"}</w:instrText>
      </w:r>
      <w:r w:rsidRPr="00446A7C">
        <w:rPr>
          <w:rFonts w:cs="Times New Roman"/>
          <w:bCs/>
          <w:szCs w:val="24"/>
        </w:rPr>
        <w:fldChar w:fldCharType="separate"/>
      </w:r>
      <w:r w:rsidRPr="00446A7C">
        <w:rPr>
          <w:rFonts w:cs="Times New Roman"/>
          <w:bCs/>
          <w:szCs w:val="24"/>
        </w:rPr>
        <w:t>(Bostley, 2019)</w:t>
      </w:r>
      <w:r w:rsidRPr="00446A7C">
        <w:rPr>
          <w:rFonts w:cs="Times New Roman"/>
          <w:bCs/>
          <w:szCs w:val="24"/>
        </w:rPr>
        <w:fldChar w:fldCharType="end"/>
      </w:r>
      <w:r w:rsidRPr="00446A7C">
        <w:rPr>
          <w:rFonts w:cs="Times New Roman"/>
          <w:bCs/>
          <w:szCs w:val="24"/>
        </w:rPr>
        <w:t xml:space="preserve">. According to Yin (2009), the selection of a research design depends on several factors, including the research questions posed, the level of control the investigator has over behavioural events, and the focus on contemporary or historical events. A case study design was specifically used in this study to investage the role of digital technology in enhancing the LEAP programme towards sustainable poverty reduction in Nandom.  The design was </w:t>
      </w:r>
      <w:r w:rsidRPr="00446A7C">
        <w:rPr>
          <w:rFonts w:cs="Times New Roman"/>
          <w:bCs/>
          <w:szCs w:val="24"/>
        </w:rPr>
        <w:lastRenderedPageBreak/>
        <w:t xml:space="preserve">particularly suited for this study since it allowed for a hlistic understanding of the this complex phenominor. The approach provides an indepth exploration of the how the use of digital tools in the LEAP programme impact sustainable poverty reduction within the unique social and cultural context of Nandom (Yin, 2009). </w:t>
      </w:r>
      <w:r w:rsidR="00340FEA" w:rsidRPr="00446A7C">
        <w:rPr>
          <w:rFonts w:cs="Times New Roman"/>
          <w:bCs/>
          <w:szCs w:val="24"/>
        </w:rPr>
        <w:t>Again,</w:t>
      </w:r>
      <w:r w:rsidRPr="00446A7C">
        <w:rPr>
          <w:rFonts w:cs="Times New Roman"/>
          <w:bCs/>
          <w:szCs w:val="24"/>
        </w:rPr>
        <w:t xml:space="preserve"> the flexiblity of the case study allows for the use different of sources of data including interviews, observations and document review (creswell &amp; Poth, 2018). </w:t>
      </w:r>
    </w:p>
    <w:p w14:paraId="2A738C4C" w14:textId="77777777" w:rsidR="00340FEA" w:rsidRPr="00446A7C" w:rsidRDefault="00340FEA" w:rsidP="00B74686">
      <w:pPr>
        <w:pStyle w:val="NoSpacing"/>
      </w:pPr>
    </w:p>
    <w:p w14:paraId="16196139" w14:textId="4E4B5B69" w:rsidR="0008415E" w:rsidRPr="00446A7C" w:rsidRDefault="00000000">
      <w:pPr>
        <w:spacing w:line="480" w:lineRule="auto"/>
        <w:ind w:firstLine="0"/>
        <w:contextualSpacing/>
        <w:jc w:val="both"/>
        <w:rPr>
          <w:rFonts w:cs="Times New Roman"/>
          <w:bCs/>
          <w:szCs w:val="24"/>
        </w:rPr>
      </w:pPr>
      <w:r w:rsidRPr="00446A7C">
        <w:rPr>
          <w:rFonts w:cs="Times New Roman"/>
          <w:bCs/>
          <w:szCs w:val="24"/>
        </w:rPr>
        <w:t>T</w:t>
      </w:r>
      <w:r w:rsidRPr="00446A7C">
        <w:rPr>
          <w:rFonts w:cs="Times New Roman"/>
          <w:bCs/>
          <w:color w:val="000000"/>
          <w:szCs w:val="24"/>
        </w:rPr>
        <w:t xml:space="preserve">he use of these sources was helpful as it enhanced the credibility and validity of the finding through triangulation. These sources also helped in gathering </w:t>
      </w:r>
      <w:r w:rsidR="00340FEA" w:rsidRPr="00446A7C">
        <w:rPr>
          <w:rFonts w:cs="Times New Roman"/>
          <w:bCs/>
          <w:color w:val="000000"/>
          <w:szCs w:val="24"/>
        </w:rPr>
        <w:t>first-hand</w:t>
      </w:r>
      <w:r w:rsidRPr="00446A7C">
        <w:rPr>
          <w:rFonts w:cs="Times New Roman"/>
          <w:bCs/>
          <w:color w:val="000000"/>
          <w:szCs w:val="24"/>
        </w:rPr>
        <w:t xml:space="preserve"> information from the field and they encouraged the specific LEAP beneficiaries targeted for the study to freely share their experiences and perceptions on the role of digital technology in enhancing LEAP within the specific geographical location over a period of time (eg. see, Bryman, 2012). </w:t>
      </w:r>
    </w:p>
    <w:p w14:paraId="11A0082F" w14:textId="77777777" w:rsidR="0008415E" w:rsidRPr="00446A7C" w:rsidRDefault="00000000">
      <w:pPr>
        <w:pStyle w:val="Heading2"/>
        <w:rPr>
          <w:rFonts w:cs="Times New Roman"/>
          <w:szCs w:val="24"/>
        </w:rPr>
      </w:pPr>
      <w:bookmarkStart w:id="109" w:name="_Toc171703230"/>
      <w:r w:rsidRPr="00446A7C">
        <w:rPr>
          <w:rFonts w:cs="Times New Roman"/>
          <w:szCs w:val="24"/>
        </w:rPr>
        <w:t>3.6 Sampling Technique</w:t>
      </w:r>
      <w:bookmarkEnd w:id="109"/>
    </w:p>
    <w:p w14:paraId="4366B7B5"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For the selection of the respondents for this study, I employed a purposive sampling technique. The purposive sampling technique was essential to this study as it allowed for the specific selection of individuals who could provide critical insights into the LEAP programme (see Rai &amp; Thapa, 2015). The selected categories of participants and DSW officials possess in-depth knowledge and direct involvement in the programme, making them invaluable sources of information aligned with the study's objectives. This approach ensured that the research objectives were met efficiently by targeting those who could provide the most informed and relevant data, ultimately saving time and resources. This approach ensured that the study could yield comprehensive and relevant findings.</w:t>
      </w:r>
    </w:p>
    <w:p w14:paraId="56A28347" w14:textId="77777777" w:rsidR="0008415E" w:rsidRPr="00446A7C" w:rsidRDefault="00000000">
      <w:pPr>
        <w:pStyle w:val="Heading2"/>
        <w:rPr>
          <w:rFonts w:cs="Times New Roman"/>
          <w:szCs w:val="24"/>
        </w:rPr>
      </w:pPr>
      <w:bookmarkStart w:id="110" w:name="_Toc171703231"/>
      <w:r w:rsidRPr="00446A7C">
        <w:rPr>
          <w:rFonts w:cs="Times New Roman"/>
          <w:szCs w:val="24"/>
        </w:rPr>
        <w:lastRenderedPageBreak/>
        <w:t>3.7 Data Collection</w:t>
      </w:r>
      <w:bookmarkEnd w:id="110"/>
    </w:p>
    <w:p w14:paraId="3393238B"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Data was gathered on the variations in terms challenges that exist amongst beneficiaries in various categories in accessing the LEAP intervention, the beneficiaries’ perspective on the use of digital technology in the delivery of services of the LEAP programme and the potentials and limits of digital technologies in enhancing the sustainable poverty reduction through the LEAP programme. </w:t>
      </w:r>
    </w:p>
    <w:p w14:paraId="2EC762CA" w14:textId="77777777" w:rsidR="0008415E" w:rsidRPr="00446A7C" w:rsidRDefault="00000000" w:rsidP="00340FEA">
      <w:pPr>
        <w:pStyle w:val="Heading3"/>
      </w:pPr>
      <w:bookmarkStart w:id="111" w:name="_Toc171703232"/>
      <w:r w:rsidRPr="00446A7C">
        <w:t xml:space="preserve">3.7.1 Primary </w:t>
      </w:r>
      <w:r w:rsidRPr="00340FEA">
        <w:t>Data</w:t>
      </w:r>
      <w:r w:rsidRPr="00446A7C">
        <w:t xml:space="preserve"> – Qualitative Interviews</w:t>
      </w:r>
      <w:bookmarkEnd w:id="111"/>
    </w:p>
    <w:p w14:paraId="3225AA50" w14:textId="77777777" w:rsidR="0008415E" w:rsidRPr="00446A7C" w:rsidRDefault="00000000" w:rsidP="00340FEA">
      <w:pPr>
        <w:pStyle w:val="Heading4"/>
      </w:pPr>
      <w:bookmarkStart w:id="112" w:name="_Toc171703233"/>
      <w:r w:rsidRPr="00446A7C">
        <w:t>3.7.1.1 Face-to-Face interviews</w:t>
      </w:r>
      <w:bookmarkEnd w:id="112"/>
    </w:p>
    <w:p w14:paraId="6A038B1D"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I employed face-to-face interview as my major method for the collection of the primary data. Face-to-face interview was conducted with the Head of Department of the LEAP programme and a case worker. Interviews were also conducted with selected beneficiaries (COVCs, PLWD and the Elderly poor) where their responses were elicited. The interviews involved face-to-face conversation between the researcher and the participants. It offered flexibility and allowed the participants to fully express their perspective, experiences on LEAP and how the programme can be enhanced for sustainable poverty reduction. Face-to-face interviews enabled data to be collected on the three research objectives of the study through the use of interview guides that contain open-ended questions. </w:t>
      </w:r>
    </w:p>
    <w:p w14:paraId="24FCBF63" w14:textId="77777777" w:rsidR="0008415E" w:rsidRPr="00446A7C" w:rsidRDefault="00000000" w:rsidP="00340FEA">
      <w:pPr>
        <w:pStyle w:val="Heading4"/>
      </w:pPr>
      <w:bookmarkStart w:id="113" w:name="_Toc171703234"/>
      <w:r w:rsidRPr="00446A7C">
        <w:t>3.7.1.2 Direct observation</w:t>
      </w:r>
      <w:bookmarkEnd w:id="113"/>
    </w:p>
    <w:p w14:paraId="0F47095E" w14:textId="77777777" w:rsidR="0008415E" w:rsidRDefault="00000000">
      <w:pPr>
        <w:spacing w:line="480" w:lineRule="auto"/>
        <w:ind w:firstLine="0"/>
        <w:contextualSpacing/>
        <w:jc w:val="both"/>
        <w:rPr>
          <w:rFonts w:cs="Times New Roman"/>
          <w:bCs/>
          <w:szCs w:val="24"/>
        </w:rPr>
      </w:pPr>
      <w:bookmarkStart w:id="114" w:name="_Toc153171628"/>
      <w:r w:rsidRPr="00446A7C">
        <w:rPr>
          <w:rFonts w:cs="Times New Roman"/>
          <w:bCs/>
          <w:szCs w:val="24"/>
        </w:rPr>
        <w:t xml:space="preserve">Direct observation was used as another method of evidence in the study to obtain data for analysis. Observation allows a researcher to record behaviours and activities as they occur, rather than as a study participant (Ritchie &amp;Lewis 2003:35). In the context of this study direct observation was useful for collecting data on the digital tools used in the delivery of the LEAP programme, and the behaviours and environment of the research participants. During the interview, I casually observed behaviours, activities </w:t>
      </w:r>
      <w:r w:rsidRPr="00446A7C">
        <w:rPr>
          <w:rFonts w:cs="Times New Roman"/>
          <w:bCs/>
          <w:szCs w:val="24"/>
        </w:rPr>
        <w:lastRenderedPageBreak/>
        <w:t xml:space="preserve">especially how beneficiaries use the e-zwitch device. I observed how a beneficiary was paid using the e-zwitch card at the district social welfare office. This enabled me to gather information that I would not have been </w:t>
      </w:r>
      <w:r w:rsidRPr="00446A7C">
        <w:rPr>
          <w:rFonts w:cs="Times New Roman"/>
          <w:bCs/>
          <w:szCs w:val="24"/>
          <w:lang w:val="en-US"/>
        </w:rPr>
        <w:t xml:space="preserve">able to </w:t>
      </w:r>
      <w:r w:rsidRPr="00446A7C">
        <w:rPr>
          <w:rFonts w:cs="Times New Roman"/>
          <w:bCs/>
          <w:szCs w:val="24"/>
        </w:rPr>
        <w:t xml:space="preserve">access through the interviews or documents. A field notebook was used for recording information during the observation. At Guo, upon inspecting the beneficiaries' surroundings, I noticed the absence of a nearby network pole. I accidentally observed a blind beneficiary farming. I was interested in understanding why he engaged in farming activities. He disclosed that, he and his brother were blind and needed to take care of their old mother since the money they received from LEAP was not enough to cater for their household needs. </w:t>
      </w:r>
    </w:p>
    <w:p w14:paraId="7ABD32E4" w14:textId="77777777" w:rsidR="00340FEA" w:rsidRDefault="00340FEA">
      <w:pPr>
        <w:spacing w:line="480" w:lineRule="auto"/>
        <w:ind w:firstLine="0"/>
        <w:contextualSpacing/>
        <w:jc w:val="both"/>
        <w:rPr>
          <w:rFonts w:cs="Times New Roman"/>
          <w:bCs/>
          <w:szCs w:val="24"/>
        </w:rPr>
      </w:pPr>
    </w:p>
    <w:p w14:paraId="1B833DC8" w14:textId="77777777" w:rsidR="00340FEA" w:rsidRDefault="00340FEA">
      <w:pPr>
        <w:spacing w:line="480" w:lineRule="auto"/>
        <w:ind w:firstLine="0"/>
        <w:contextualSpacing/>
        <w:jc w:val="both"/>
        <w:rPr>
          <w:rFonts w:cs="Times New Roman"/>
          <w:bCs/>
          <w:szCs w:val="24"/>
        </w:rPr>
      </w:pPr>
    </w:p>
    <w:p w14:paraId="0BE7F978" w14:textId="77777777" w:rsidR="00340FEA" w:rsidRDefault="00340FEA">
      <w:pPr>
        <w:spacing w:line="480" w:lineRule="auto"/>
        <w:ind w:firstLine="0"/>
        <w:contextualSpacing/>
        <w:jc w:val="both"/>
        <w:rPr>
          <w:rFonts w:cs="Times New Roman"/>
          <w:bCs/>
          <w:szCs w:val="24"/>
        </w:rPr>
      </w:pPr>
    </w:p>
    <w:p w14:paraId="1629C350" w14:textId="77777777" w:rsidR="00340FEA" w:rsidRDefault="00340FEA">
      <w:pPr>
        <w:spacing w:line="480" w:lineRule="auto"/>
        <w:ind w:firstLine="0"/>
        <w:contextualSpacing/>
        <w:jc w:val="both"/>
        <w:rPr>
          <w:rFonts w:cs="Times New Roman"/>
          <w:bCs/>
          <w:szCs w:val="24"/>
        </w:rPr>
      </w:pPr>
    </w:p>
    <w:p w14:paraId="7D6DF301" w14:textId="77777777" w:rsidR="00340FEA" w:rsidRDefault="00340FEA">
      <w:pPr>
        <w:spacing w:line="480" w:lineRule="auto"/>
        <w:ind w:firstLine="0"/>
        <w:contextualSpacing/>
        <w:jc w:val="both"/>
        <w:rPr>
          <w:rFonts w:cs="Times New Roman"/>
          <w:bCs/>
          <w:szCs w:val="24"/>
        </w:rPr>
      </w:pPr>
    </w:p>
    <w:p w14:paraId="753BEA9C" w14:textId="77777777" w:rsidR="00340FEA" w:rsidRDefault="00340FEA">
      <w:pPr>
        <w:spacing w:line="480" w:lineRule="auto"/>
        <w:ind w:firstLine="0"/>
        <w:contextualSpacing/>
        <w:jc w:val="both"/>
        <w:rPr>
          <w:rFonts w:cs="Times New Roman"/>
          <w:bCs/>
          <w:szCs w:val="24"/>
        </w:rPr>
      </w:pPr>
    </w:p>
    <w:p w14:paraId="6D89CD19" w14:textId="77777777" w:rsidR="00340FEA" w:rsidRDefault="00340FEA">
      <w:pPr>
        <w:spacing w:line="480" w:lineRule="auto"/>
        <w:ind w:firstLine="0"/>
        <w:contextualSpacing/>
        <w:jc w:val="both"/>
        <w:rPr>
          <w:rFonts w:cs="Times New Roman"/>
          <w:bCs/>
          <w:szCs w:val="24"/>
        </w:rPr>
      </w:pPr>
    </w:p>
    <w:p w14:paraId="1CE74585" w14:textId="77777777" w:rsidR="00340FEA" w:rsidRDefault="00340FEA">
      <w:pPr>
        <w:spacing w:line="480" w:lineRule="auto"/>
        <w:ind w:firstLine="0"/>
        <w:contextualSpacing/>
        <w:jc w:val="both"/>
        <w:rPr>
          <w:rFonts w:cs="Times New Roman"/>
          <w:bCs/>
          <w:szCs w:val="24"/>
        </w:rPr>
      </w:pPr>
    </w:p>
    <w:p w14:paraId="1E4B8250" w14:textId="77777777" w:rsidR="00340FEA" w:rsidRDefault="00340FEA">
      <w:pPr>
        <w:spacing w:line="480" w:lineRule="auto"/>
        <w:ind w:firstLine="0"/>
        <w:contextualSpacing/>
        <w:jc w:val="both"/>
        <w:rPr>
          <w:rFonts w:cs="Times New Roman"/>
          <w:bCs/>
          <w:szCs w:val="24"/>
        </w:rPr>
      </w:pPr>
    </w:p>
    <w:p w14:paraId="6B3B6D42" w14:textId="77777777" w:rsidR="00340FEA" w:rsidRDefault="00340FEA">
      <w:pPr>
        <w:spacing w:line="480" w:lineRule="auto"/>
        <w:ind w:firstLine="0"/>
        <w:contextualSpacing/>
        <w:jc w:val="both"/>
        <w:rPr>
          <w:rFonts w:cs="Times New Roman"/>
          <w:bCs/>
          <w:szCs w:val="24"/>
        </w:rPr>
      </w:pPr>
    </w:p>
    <w:p w14:paraId="0DA06EA4" w14:textId="77777777" w:rsidR="00340FEA" w:rsidRDefault="00340FEA">
      <w:pPr>
        <w:spacing w:line="480" w:lineRule="auto"/>
        <w:ind w:firstLine="0"/>
        <w:contextualSpacing/>
        <w:jc w:val="both"/>
        <w:rPr>
          <w:rFonts w:cs="Times New Roman"/>
          <w:bCs/>
          <w:szCs w:val="24"/>
        </w:rPr>
      </w:pPr>
    </w:p>
    <w:p w14:paraId="47FD78DA" w14:textId="77777777" w:rsidR="00340FEA" w:rsidRDefault="00340FEA">
      <w:pPr>
        <w:spacing w:line="480" w:lineRule="auto"/>
        <w:ind w:firstLine="0"/>
        <w:contextualSpacing/>
        <w:jc w:val="both"/>
        <w:rPr>
          <w:rFonts w:cs="Times New Roman"/>
          <w:bCs/>
          <w:szCs w:val="24"/>
        </w:rPr>
      </w:pPr>
    </w:p>
    <w:p w14:paraId="4AEE1502" w14:textId="77777777" w:rsidR="00340FEA" w:rsidRDefault="00340FEA">
      <w:pPr>
        <w:spacing w:line="480" w:lineRule="auto"/>
        <w:ind w:firstLine="0"/>
        <w:contextualSpacing/>
        <w:jc w:val="both"/>
        <w:rPr>
          <w:rFonts w:cs="Times New Roman"/>
          <w:bCs/>
          <w:szCs w:val="24"/>
        </w:rPr>
      </w:pPr>
    </w:p>
    <w:p w14:paraId="0CB7F10D" w14:textId="77777777" w:rsidR="00340FEA" w:rsidRDefault="00340FEA">
      <w:pPr>
        <w:spacing w:line="480" w:lineRule="auto"/>
        <w:ind w:firstLine="0"/>
        <w:contextualSpacing/>
        <w:jc w:val="both"/>
        <w:rPr>
          <w:rFonts w:cs="Times New Roman"/>
          <w:bCs/>
          <w:szCs w:val="24"/>
        </w:rPr>
      </w:pPr>
    </w:p>
    <w:p w14:paraId="57D80755" w14:textId="77777777" w:rsidR="00340FEA" w:rsidRDefault="00340FEA">
      <w:pPr>
        <w:spacing w:line="480" w:lineRule="auto"/>
        <w:ind w:firstLine="0"/>
        <w:contextualSpacing/>
        <w:jc w:val="both"/>
        <w:rPr>
          <w:rFonts w:cs="Times New Roman"/>
          <w:bCs/>
          <w:szCs w:val="24"/>
        </w:rPr>
        <w:sectPr w:rsidR="00340FEA" w:rsidSect="00371F7B">
          <w:pgSz w:w="11906" w:h="16838" w:code="9"/>
          <w:pgMar w:top="1440" w:right="1440" w:bottom="1440" w:left="2160" w:header="0" w:footer="720" w:gutter="0"/>
          <w:pgNumType w:start="1"/>
          <w:cols w:space="720"/>
          <w:formProt w:val="0"/>
          <w:docGrid w:linePitch="360"/>
        </w:sectPr>
      </w:pPr>
    </w:p>
    <w:p w14:paraId="333F0ACE" w14:textId="6F811A8C" w:rsidR="0008415E" w:rsidRDefault="00000000" w:rsidP="00C568DD">
      <w:pPr>
        <w:pStyle w:val="Heading6"/>
      </w:pPr>
      <w:bookmarkStart w:id="115" w:name="_Toc161240386"/>
      <w:bookmarkStart w:id="116" w:name="_Toc160947640"/>
      <w:bookmarkStart w:id="117" w:name="_Toc171700078"/>
      <w:r w:rsidRPr="00446A7C">
        <w:lastRenderedPageBreak/>
        <w:t xml:space="preserve">Table </w:t>
      </w:r>
      <w:fldSimple w:instr=" SEQ Table \* ARABIC ">
        <w:r w:rsidR="00986730">
          <w:rPr>
            <w:noProof/>
          </w:rPr>
          <w:t>2</w:t>
        </w:r>
      </w:fldSimple>
      <w:r w:rsidRPr="00446A7C">
        <w:t>: Summary of primary data</w:t>
      </w:r>
      <w:bookmarkEnd w:id="114"/>
      <w:bookmarkEnd w:id="115"/>
      <w:bookmarkEnd w:id="116"/>
      <w:bookmarkEnd w:id="117"/>
    </w:p>
    <w:tbl>
      <w:tblPr>
        <w:tblW w:w="13590" w:type="dxa"/>
        <w:tblInd w:w="-275" w:type="dxa"/>
        <w:tblLayout w:type="fixed"/>
        <w:tblLook w:val="04A0" w:firstRow="1" w:lastRow="0" w:firstColumn="1" w:lastColumn="0" w:noHBand="0" w:noVBand="1"/>
      </w:tblPr>
      <w:tblGrid>
        <w:gridCol w:w="2700"/>
        <w:gridCol w:w="2610"/>
        <w:gridCol w:w="1622"/>
        <w:gridCol w:w="1898"/>
        <w:gridCol w:w="2150"/>
        <w:gridCol w:w="2610"/>
      </w:tblGrid>
      <w:tr w:rsidR="0071194D" w:rsidRPr="0071194D" w14:paraId="22C5D996" w14:textId="77777777" w:rsidTr="00B33E98">
        <w:trPr>
          <w:trHeight w:val="260"/>
        </w:trPr>
        <w:tc>
          <w:tcPr>
            <w:tcW w:w="13590" w:type="dxa"/>
            <w:gridSpan w:val="6"/>
            <w:tcBorders>
              <w:top w:val="single" w:sz="4" w:space="0" w:color="auto"/>
            </w:tcBorders>
            <w:shd w:val="clear" w:color="auto" w:fill="auto"/>
          </w:tcPr>
          <w:p w14:paraId="78BA6BC8"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COMMUNITY LEVEL</w:t>
            </w:r>
          </w:p>
        </w:tc>
      </w:tr>
      <w:tr w:rsidR="0071194D" w:rsidRPr="0071194D" w14:paraId="53C6EFDB" w14:textId="77777777" w:rsidTr="00B33E98">
        <w:trPr>
          <w:trHeight w:val="240"/>
        </w:trPr>
        <w:tc>
          <w:tcPr>
            <w:tcW w:w="2700" w:type="dxa"/>
            <w:vMerge w:val="restart"/>
            <w:tcBorders>
              <w:bottom w:val="single" w:sz="4" w:space="0" w:color="auto"/>
            </w:tcBorders>
          </w:tcPr>
          <w:p w14:paraId="1B3901C6"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COMMUNITY</w:t>
            </w:r>
          </w:p>
        </w:tc>
        <w:tc>
          <w:tcPr>
            <w:tcW w:w="2610" w:type="dxa"/>
            <w:vMerge w:val="restart"/>
            <w:tcBorders>
              <w:bottom w:val="single" w:sz="4" w:space="0" w:color="auto"/>
            </w:tcBorders>
          </w:tcPr>
          <w:p w14:paraId="7505B7D5"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PARTICIPANTS</w:t>
            </w:r>
          </w:p>
        </w:tc>
        <w:tc>
          <w:tcPr>
            <w:tcW w:w="3520" w:type="dxa"/>
            <w:gridSpan w:val="2"/>
          </w:tcPr>
          <w:p w14:paraId="776A5B57"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NUMBERS</w:t>
            </w:r>
          </w:p>
        </w:tc>
        <w:tc>
          <w:tcPr>
            <w:tcW w:w="2150" w:type="dxa"/>
            <w:vMerge w:val="restart"/>
            <w:tcBorders>
              <w:bottom w:val="single" w:sz="4" w:space="0" w:color="auto"/>
            </w:tcBorders>
          </w:tcPr>
          <w:p w14:paraId="463F0746"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METHODS</w:t>
            </w:r>
          </w:p>
        </w:tc>
        <w:tc>
          <w:tcPr>
            <w:tcW w:w="2610" w:type="dxa"/>
            <w:vMerge w:val="restart"/>
            <w:tcBorders>
              <w:bottom w:val="single" w:sz="4" w:space="0" w:color="auto"/>
            </w:tcBorders>
          </w:tcPr>
          <w:p w14:paraId="7B06ED34"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TECHNIQUE</w:t>
            </w:r>
          </w:p>
        </w:tc>
      </w:tr>
      <w:tr w:rsidR="0071194D" w:rsidRPr="0071194D" w14:paraId="07FEE443" w14:textId="77777777" w:rsidTr="00B33E98">
        <w:trPr>
          <w:trHeight w:val="267"/>
        </w:trPr>
        <w:tc>
          <w:tcPr>
            <w:tcW w:w="2700" w:type="dxa"/>
            <w:vMerge/>
            <w:tcBorders>
              <w:bottom w:val="single" w:sz="4" w:space="0" w:color="auto"/>
            </w:tcBorders>
          </w:tcPr>
          <w:p w14:paraId="11EC8A17"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vMerge/>
            <w:tcBorders>
              <w:bottom w:val="single" w:sz="4" w:space="0" w:color="auto"/>
            </w:tcBorders>
          </w:tcPr>
          <w:p w14:paraId="3A7A4C8D"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1622" w:type="dxa"/>
            <w:tcBorders>
              <w:bottom w:val="single" w:sz="4" w:space="0" w:color="auto"/>
            </w:tcBorders>
          </w:tcPr>
          <w:p w14:paraId="00D79FE8"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MALE</w:t>
            </w:r>
          </w:p>
        </w:tc>
        <w:tc>
          <w:tcPr>
            <w:tcW w:w="1898" w:type="dxa"/>
            <w:tcBorders>
              <w:bottom w:val="single" w:sz="4" w:space="0" w:color="auto"/>
            </w:tcBorders>
          </w:tcPr>
          <w:p w14:paraId="6B1E433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FEMALE</w:t>
            </w:r>
          </w:p>
        </w:tc>
        <w:tc>
          <w:tcPr>
            <w:tcW w:w="2150" w:type="dxa"/>
            <w:vMerge/>
            <w:tcBorders>
              <w:bottom w:val="single" w:sz="4" w:space="0" w:color="auto"/>
            </w:tcBorders>
          </w:tcPr>
          <w:p w14:paraId="0305C78A"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vMerge/>
            <w:tcBorders>
              <w:bottom w:val="single" w:sz="4" w:space="0" w:color="auto"/>
            </w:tcBorders>
          </w:tcPr>
          <w:p w14:paraId="0FC4B275" w14:textId="77777777" w:rsidR="0071194D" w:rsidRPr="0071194D" w:rsidRDefault="0071194D" w:rsidP="00C568DD">
            <w:pPr>
              <w:pStyle w:val="NoSpacing"/>
              <w:spacing w:line="276" w:lineRule="auto"/>
              <w:rPr>
                <w:rFonts w:ascii="Times New Roman" w:hAnsi="Times New Roman" w:cs="Times New Roman"/>
                <w:sz w:val="24"/>
                <w:szCs w:val="24"/>
              </w:rPr>
            </w:pPr>
          </w:p>
        </w:tc>
      </w:tr>
      <w:tr w:rsidR="0071194D" w:rsidRPr="0071194D" w14:paraId="341EC932" w14:textId="77777777" w:rsidTr="00B33E98">
        <w:trPr>
          <w:trHeight w:val="349"/>
        </w:trPr>
        <w:tc>
          <w:tcPr>
            <w:tcW w:w="2700" w:type="dxa"/>
            <w:vMerge w:val="restart"/>
            <w:tcBorders>
              <w:top w:val="single" w:sz="4" w:space="0" w:color="auto"/>
            </w:tcBorders>
          </w:tcPr>
          <w:p w14:paraId="588799D5" w14:textId="77777777" w:rsidR="0071194D" w:rsidRPr="0071194D" w:rsidRDefault="0071194D" w:rsidP="00C568DD">
            <w:pPr>
              <w:pStyle w:val="NoSpacing"/>
              <w:spacing w:line="276" w:lineRule="auto"/>
              <w:rPr>
                <w:rFonts w:ascii="Times New Roman" w:hAnsi="Times New Roman" w:cs="Times New Roman"/>
                <w:sz w:val="24"/>
                <w:szCs w:val="24"/>
              </w:rPr>
            </w:pPr>
          </w:p>
          <w:p w14:paraId="652562C2"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GUO</w:t>
            </w:r>
          </w:p>
        </w:tc>
        <w:tc>
          <w:tcPr>
            <w:tcW w:w="2610" w:type="dxa"/>
            <w:tcBorders>
              <w:top w:val="single" w:sz="4" w:space="0" w:color="auto"/>
            </w:tcBorders>
          </w:tcPr>
          <w:p w14:paraId="664A9945"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Elderly poor</w:t>
            </w:r>
          </w:p>
        </w:tc>
        <w:tc>
          <w:tcPr>
            <w:tcW w:w="1622" w:type="dxa"/>
            <w:tcBorders>
              <w:top w:val="single" w:sz="4" w:space="0" w:color="auto"/>
            </w:tcBorders>
          </w:tcPr>
          <w:p w14:paraId="56E6E26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Borders>
              <w:top w:val="single" w:sz="4" w:space="0" w:color="auto"/>
            </w:tcBorders>
          </w:tcPr>
          <w:p w14:paraId="728775C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Borders>
              <w:top w:val="single" w:sz="4" w:space="0" w:color="auto"/>
            </w:tcBorders>
          </w:tcPr>
          <w:p w14:paraId="51BF667B"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Borders>
              <w:top w:val="single" w:sz="4" w:space="0" w:color="auto"/>
            </w:tcBorders>
          </w:tcPr>
          <w:p w14:paraId="36CB6642"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3FB7C064" w14:textId="77777777" w:rsidTr="00B33E98">
        <w:trPr>
          <w:trHeight w:val="349"/>
        </w:trPr>
        <w:tc>
          <w:tcPr>
            <w:tcW w:w="2700" w:type="dxa"/>
            <w:vMerge/>
          </w:tcPr>
          <w:p w14:paraId="1C194720"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10CA66CD"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Covc</w:t>
            </w:r>
          </w:p>
        </w:tc>
        <w:tc>
          <w:tcPr>
            <w:tcW w:w="1622" w:type="dxa"/>
          </w:tcPr>
          <w:p w14:paraId="3FD68796"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241C596A"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6E9EFBC4"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642D7A3F"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7582F60F" w14:textId="77777777" w:rsidTr="00B33E98">
        <w:trPr>
          <w:trHeight w:val="305"/>
        </w:trPr>
        <w:tc>
          <w:tcPr>
            <w:tcW w:w="2700" w:type="dxa"/>
            <w:vMerge/>
          </w:tcPr>
          <w:p w14:paraId="075C9FB0"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0766D0DF"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PLWD</w:t>
            </w:r>
          </w:p>
        </w:tc>
        <w:tc>
          <w:tcPr>
            <w:tcW w:w="1622" w:type="dxa"/>
          </w:tcPr>
          <w:p w14:paraId="0E67BBC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3C9A8C3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10010CAB"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134FBFEF"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3FDDCA2D" w14:textId="77777777" w:rsidTr="00B33E98">
        <w:trPr>
          <w:trHeight w:val="349"/>
        </w:trPr>
        <w:tc>
          <w:tcPr>
            <w:tcW w:w="2700" w:type="dxa"/>
            <w:vMerge w:val="restart"/>
          </w:tcPr>
          <w:p w14:paraId="3C268D2B" w14:textId="77777777" w:rsidR="0071194D" w:rsidRPr="0071194D" w:rsidRDefault="0071194D" w:rsidP="00C568DD">
            <w:pPr>
              <w:pStyle w:val="NoSpacing"/>
              <w:spacing w:line="276" w:lineRule="auto"/>
              <w:rPr>
                <w:rFonts w:ascii="Times New Roman" w:hAnsi="Times New Roman" w:cs="Times New Roman"/>
                <w:sz w:val="24"/>
                <w:szCs w:val="24"/>
              </w:rPr>
            </w:pPr>
          </w:p>
          <w:p w14:paraId="2E027DD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VAAPUO</w:t>
            </w:r>
          </w:p>
        </w:tc>
        <w:tc>
          <w:tcPr>
            <w:tcW w:w="2610" w:type="dxa"/>
          </w:tcPr>
          <w:p w14:paraId="30A37FEC"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Elderly poor</w:t>
            </w:r>
          </w:p>
        </w:tc>
        <w:tc>
          <w:tcPr>
            <w:tcW w:w="1622" w:type="dxa"/>
          </w:tcPr>
          <w:p w14:paraId="0B6F4526"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46BC7010"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4623E490"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6A043E7A"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47E8EB43" w14:textId="77777777" w:rsidTr="00B33E98">
        <w:trPr>
          <w:trHeight w:val="349"/>
        </w:trPr>
        <w:tc>
          <w:tcPr>
            <w:tcW w:w="2700" w:type="dxa"/>
            <w:vMerge/>
          </w:tcPr>
          <w:p w14:paraId="3AA203DA"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747AA46C"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Covc</w:t>
            </w:r>
          </w:p>
        </w:tc>
        <w:tc>
          <w:tcPr>
            <w:tcW w:w="1622" w:type="dxa"/>
          </w:tcPr>
          <w:p w14:paraId="2002C876"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25D108D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5F4D263A"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2DC05E28"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486F1CF5" w14:textId="77777777" w:rsidTr="00B33E98">
        <w:trPr>
          <w:trHeight w:val="129"/>
        </w:trPr>
        <w:tc>
          <w:tcPr>
            <w:tcW w:w="2700" w:type="dxa"/>
            <w:vMerge/>
          </w:tcPr>
          <w:p w14:paraId="4D965529"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1B4DEE5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PLWD</w:t>
            </w:r>
          </w:p>
        </w:tc>
        <w:tc>
          <w:tcPr>
            <w:tcW w:w="1622" w:type="dxa"/>
          </w:tcPr>
          <w:p w14:paraId="17BD87C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5D0DAC2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709291CF"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41F0A823"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34A547A3" w14:textId="77777777" w:rsidTr="00B33E98">
        <w:trPr>
          <w:trHeight w:val="349"/>
        </w:trPr>
        <w:tc>
          <w:tcPr>
            <w:tcW w:w="2700" w:type="dxa"/>
            <w:vMerge w:val="restart"/>
          </w:tcPr>
          <w:p w14:paraId="69B6BF77" w14:textId="77777777" w:rsidR="0071194D" w:rsidRPr="0071194D" w:rsidRDefault="0071194D" w:rsidP="00C568DD">
            <w:pPr>
              <w:pStyle w:val="NoSpacing"/>
              <w:spacing w:line="276" w:lineRule="auto"/>
              <w:rPr>
                <w:rFonts w:ascii="Times New Roman" w:hAnsi="Times New Roman" w:cs="Times New Roman"/>
                <w:sz w:val="24"/>
                <w:szCs w:val="24"/>
              </w:rPr>
            </w:pPr>
          </w:p>
          <w:p w14:paraId="22DC179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MONYUPELLE</w:t>
            </w:r>
          </w:p>
        </w:tc>
        <w:tc>
          <w:tcPr>
            <w:tcW w:w="2610" w:type="dxa"/>
          </w:tcPr>
          <w:p w14:paraId="7082C4A3"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Elderly poor</w:t>
            </w:r>
          </w:p>
        </w:tc>
        <w:tc>
          <w:tcPr>
            <w:tcW w:w="1622" w:type="dxa"/>
          </w:tcPr>
          <w:p w14:paraId="63BEA2EA"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237CD50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07056E93"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766FA8A2"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6CD51C2A" w14:textId="77777777" w:rsidTr="00B33E98">
        <w:trPr>
          <w:trHeight w:val="323"/>
        </w:trPr>
        <w:tc>
          <w:tcPr>
            <w:tcW w:w="2700" w:type="dxa"/>
            <w:vMerge/>
          </w:tcPr>
          <w:p w14:paraId="43BA0A90"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533401B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Covc</w:t>
            </w:r>
          </w:p>
        </w:tc>
        <w:tc>
          <w:tcPr>
            <w:tcW w:w="1622" w:type="dxa"/>
          </w:tcPr>
          <w:p w14:paraId="0D31B2C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46A5319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4A6C8D3A"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4172D152"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4F12E02D" w14:textId="77777777" w:rsidTr="00B33E98">
        <w:trPr>
          <w:trHeight w:val="239"/>
        </w:trPr>
        <w:tc>
          <w:tcPr>
            <w:tcW w:w="2700" w:type="dxa"/>
            <w:vMerge/>
          </w:tcPr>
          <w:p w14:paraId="46A66E3E"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79E02B7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PLWD</w:t>
            </w:r>
          </w:p>
        </w:tc>
        <w:tc>
          <w:tcPr>
            <w:tcW w:w="1622" w:type="dxa"/>
          </w:tcPr>
          <w:p w14:paraId="27EF95F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2D59381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52CA9563"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40D1E389"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652C1F7B" w14:textId="77777777" w:rsidTr="00B33E98">
        <w:trPr>
          <w:trHeight w:val="349"/>
        </w:trPr>
        <w:tc>
          <w:tcPr>
            <w:tcW w:w="2700" w:type="dxa"/>
            <w:vMerge w:val="restart"/>
          </w:tcPr>
          <w:p w14:paraId="222EFD49" w14:textId="77777777" w:rsidR="0071194D" w:rsidRPr="0071194D" w:rsidRDefault="0071194D" w:rsidP="00C568DD">
            <w:pPr>
              <w:pStyle w:val="NoSpacing"/>
              <w:spacing w:line="276" w:lineRule="auto"/>
              <w:rPr>
                <w:rFonts w:ascii="Times New Roman" w:hAnsi="Times New Roman" w:cs="Times New Roman"/>
                <w:sz w:val="24"/>
                <w:szCs w:val="24"/>
              </w:rPr>
            </w:pPr>
          </w:p>
          <w:p w14:paraId="7FB79250"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NABUGANG</w:t>
            </w:r>
          </w:p>
        </w:tc>
        <w:tc>
          <w:tcPr>
            <w:tcW w:w="2610" w:type="dxa"/>
          </w:tcPr>
          <w:p w14:paraId="4074FB20"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Elderly poor</w:t>
            </w:r>
          </w:p>
        </w:tc>
        <w:tc>
          <w:tcPr>
            <w:tcW w:w="1622" w:type="dxa"/>
          </w:tcPr>
          <w:p w14:paraId="62D2E266"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4F4452D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0B2B28F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11CF9FA4"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5E2A828F" w14:textId="77777777" w:rsidTr="00B33E98">
        <w:trPr>
          <w:trHeight w:val="349"/>
        </w:trPr>
        <w:tc>
          <w:tcPr>
            <w:tcW w:w="2700" w:type="dxa"/>
            <w:vMerge/>
          </w:tcPr>
          <w:p w14:paraId="68C0A7C5"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41F11499"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Covc</w:t>
            </w:r>
          </w:p>
        </w:tc>
        <w:tc>
          <w:tcPr>
            <w:tcW w:w="1622" w:type="dxa"/>
          </w:tcPr>
          <w:p w14:paraId="58AFF7DD"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71C4C1A8"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24464B36"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37C00FCA"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08D149CF" w14:textId="77777777" w:rsidTr="00B33E98">
        <w:trPr>
          <w:trHeight w:val="165"/>
        </w:trPr>
        <w:tc>
          <w:tcPr>
            <w:tcW w:w="2700" w:type="dxa"/>
            <w:vMerge/>
          </w:tcPr>
          <w:p w14:paraId="1FDFA169"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613FFD7A"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PLWD</w:t>
            </w:r>
          </w:p>
        </w:tc>
        <w:tc>
          <w:tcPr>
            <w:tcW w:w="1622" w:type="dxa"/>
          </w:tcPr>
          <w:p w14:paraId="6EEC2455"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1898" w:type="dxa"/>
          </w:tcPr>
          <w:p w14:paraId="743ACA1C"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w:t>
            </w:r>
          </w:p>
        </w:tc>
        <w:tc>
          <w:tcPr>
            <w:tcW w:w="2150" w:type="dxa"/>
          </w:tcPr>
          <w:p w14:paraId="0E68907B"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5C7B7F58"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5E08A216" w14:textId="77777777" w:rsidTr="00B33E98">
        <w:trPr>
          <w:trHeight w:val="258"/>
        </w:trPr>
        <w:tc>
          <w:tcPr>
            <w:tcW w:w="13590" w:type="dxa"/>
            <w:gridSpan w:val="6"/>
            <w:shd w:val="clear" w:color="auto" w:fill="auto"/>
          </w:tcPr>
          <w:p w14:paraId="600940D2"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DISTRICT LEVEL</w:t>
            </w:r>
          </w:p>
        </w:tc>
      </w:tr>
      <w:tr w:rsidR="0071194D" w:rsidRPr="0071194D" w14:paraId="034739BD" w14:textId="77777777" w:rsidTr="00B33E98">
        <w:trPr>
          <w:trHeight w:val="258"/>
        </w:trPr>
        <w:tc>
          <w:tcPr>
            <w:tcW w:w="2700" w:type="dxa"/>
            <w:vMerge w:val="restart"/>
          </w:tcPr>
          <w:p w14:paraId="0C3F121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OFFICERS</w:t>
            </w:r>
          </w:p>
        </w:tc>
        <w:tc>
          <w:tcPr>
            <w:tcW w:w="2610" w:type="dxa"/>
          </w:tcPr>
          <w:p w14:paraId="6AA6C07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HOD</w:t>
            </w:r>
          </w:p>
        </w:tc>
        <w:tc>
          <w:tcPr>
            <w:tcW w:w="1622" w:type="dxa"/>
          </w:tcPr>
          <w:p w14:paraId="1A339970"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1</w:t>
            </w:r>
          </w:p>
        </w:tc>
        <w:tc>
          <w:tcPr>
            <w:tcW w:w="1898" w:type="dxa"/>
          </w:tcPr>
          <w:p w14:paraId="4892143C"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150" w:type="dxa"/>
          </w:tcPr>
          <w:p w14:paraId="271F24A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70CCFE5D"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213DE4A5" w14:textId="77777777" w:rsidTr="00B33E98">
        <w:trPr>
          <w:trHeight w:val="235"/>
        </w:trPr>
        <w:tc>
          <w:tcPr>
            <w:tcW w:w="2700" w:type="dxa"/>
            <w:vMerge/>
          </w:tcPr>
          <w:p w14:paraId="5E7EB630"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tcPr>
          <w:p w14:paraId="3E2047ED"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Case Worker</w:t>
            </w:r>
          </w:p>
        </w:tc>
        <w:tc>
          <w:tcPr>
            <w:tcW w:w="1622" w:type="dxa"/>
          </w:tcPr>
          <w:p w14:paraId="77741C92"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1</w:t>
            </w:r>
          </w:p>
        </w:tc>
        <w:tc>
          <w:tcPr>
            <w:tcW w:w="1898" w:type="dxa"/>
          </w:tcPr>
          <w:p w14:paraId="3C790633"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150" w:type="dxa"/>
          </w:tcPr>
          <w:p w14:paraId="09EFA16E"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Interview</w:t>
            </w:r>
          </w:p>
        </w:tc>
        <w:tc>
          <w:tcPr>
            <w:tcW w:w="2610" w:type="dxa"/>
          </w:tcPr>
          <w:p w14:paraId="4910B6B4" w14:textId="77777777" w:rsidR="0071194D" w:rsidRPr="0071194D" w:rsidRDefault="0071194D" w:rsidP="00C568DD">
            <w:pPr>
              <w:pStyle w:val="NoSpacing"/>
              <w:spacing w:line="276" w:lineRule="auto"/>
              <w:ind w:firstLine="436"/>
              <w:rPr>
                <w:rFonts w:ascii="Times New Roman" w:hAnsi="Times New Roman" w:cs="Times New Roman"/>
                <w:sz w:val="24"/>
                <w:szCs w:val="24"/>
              </w:rPr>
            </w:pPr>
            <w:r w:rsidRPr="0071194D">
              <w:rPr>
                <w:rFonts w:ascii="Times New Roman" w:hAnsi="Times New Roman" w:cs="Times New Roman"/>
                <w:sz w:val="24"/>
                <w:szCs w:val="24"/>
              </w:rPr>
              <w:t>Purposive sampling</w:t>
            </w:r>
          </w:p>
        </w:tc>
      </w:tr>
      <w:tr w:rsidR="0071194D" w:rsidRPr="0071194D" w14:paraId="7FACB129" w14:textId="77777777" w:rsidTr="00B33E98">
        <w:trPr>
          <w:trHeight w:val="235"/>
        </w:trPr>
        <w:tc>
          <w:tcPr>
            <w:tcW w:w="2700" w:type="dxa"/>
            <w:shd w:val="clear" w:color="auto" w:fill="auto"/>
          </w:tcPr>
          <w:p w14:paraId="5E794BD5"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Group Total</w:t>
            </w:r>
          </w:p>
        </w:tc>
        <w:tc>
          <w:tcPr>
            <w:tcW w:w="2610" w:type="dxa"/>
            <w:shd w:val="clear" w:color="auto" w:fill="auto"/>
          </w:tcPr>
          <w:p w14:paraId="6E5F0590"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1622" w:type="dxa"/>
            <w:shd w:val="clear" w:color="auto" w:fill="auto"/>
          </w:tcPr>
          <w:p w14:paraId="4E6567B0"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26</w:t>
            </w:r>
          </w:p>
        </w:tc>
        <w:tc>
          <w:tcPr>
            <w:tcW w:w="1898" w:type="dxa"/>
            <w:shd w:val="clear" w:color="auto" w:fill="auto"/>
          </w:tcPr>
          <w:p w14:paraId="2347A6E0"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24</w:t>
            </w:r>
          </w:p>
        </w:tc>
        <w:tc>
          <w:tcPr>
            <w:tcW w:w="2150" w:type="dxa"/>
            <w:shd w:val="clear" w:color="auto" w:fill="auto"/>
          </w:tcPr>
          <w:p w14:paraId="0ED9B459"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2610" w:type="dxa"/>
            <w:shd w:val="clear" w:color="auto" w:fill="auto"/>
          </w:tcPr>
          <w:p w14:paraId="50E86D0F" w14:textId="77777777" w:rsidR="0071194D" w:rsidRPr="0071194D" w:rsidRDefault="0071194D" w:rsidP="00C568DD">
            <w:pPr>
              <w:pStyle w:val="NoSpacing"/>
              <w:spacing w:line="276" w:lineRule="auto"/>
              <w:rPr>
                <w:rFonts w:ascii="Times New Roman" w:hAnsi="Times New Roman" w:cs="Times New Roman"/>
                <w:sz w:val="24"/>
                <w:szCs w:val="24"/>
              </w:rPr>
            </w:pPr>
          </w:p>
        </w:tc>
      </w:tr>
      <w:tr w:rsidR="0071194D" w:rsidRPr="0071194D" w14:paraId="795EB3DF" w14:textId="77777777" w:rsidTr="00B33E98">
        <w:trPr>
          <w:trHeight w:val="168"/>
        </w:trPr>
        <w:tc>
          <w:tcPr>
            <w:tcW w:w="2700" w:type="dxa"/>
            <w:tcBorders>
              <w:bottom w:val="single" w:sz="4" w:space="0" w:color="auto"/>
            </w:tcBorders>
            <w:shd w:val="clear" w:color="auto" w:fill="auto"/>
          </w:tcPr>
          <w:p w14:paraId="1F15747F" w14:textId="77777777" w:rsidR="0071194D" w:rsidRPr="0071194D" w:rsidRDefault="0071194D" w:rsidP="00C568DD">
            <w:pPr>
              <w:pStyle w:val="NoSpacing"/>
              <w:spacing w:line="276" w:lineRule="auto"/>
              <w:rPr>
                <w:rFonts w:ascii="Times New Roman" w:hAnsi="Times New Roman" w:cs="Times New Roman"/>
                <w:sz w:val="24"/>
                <w:szCs w:val="24"/>
              </w:rPr>
            </w:pPr>
          </w:p>
        </w:tc>
        <w:tc>
          <w:tcPr>
            <w:tcW w:w="10890" w:type="dxa"/>
            <w:gridSpan w:val="5"/>
            <w:tcBorders>
              <w:bottom w:val="single" w:sz="4" w:space="0" w:color="auto"/>
            </w:tcBorders>
            <w:shd w:val="clear" w:color="auto" w:fill="auto"/>
          </w:tcPr>
          <w:p w14:paraId="1522F6B1" w14:textId="77777777" w:rsidR="0071194D" w:rsidRPr="0071194D" w:rsidRDefault="0071194D" w:rsidP="00C568DD">
            <w:pPr>
              <w:pStyle w:val="NoSpacing"/>
              <w:spacing w:line="276" w:lineRule="auto"/>
              <w:rPr>
                <w:rFonts w:ascii="Times New Roman" w:hAnsi="Times New Roman" w:cs="Times New Roman"/>
                <w:sz w:val="24"/>
                <w:szCs w:val="24"/>
              </w:rPr>
            </w:pPr>
            <w:r w:rsidRPr="0071194D">
              <w:rPr>
                <w:rFonts w:ascii="Times New Roman" w:hAnsi="Times New Roman" w:cs="Times New Roman"/>
                <w:sz w:val="24"/>
                <w:szCs w:val="24"/>
              </w:rPr>
              <w:t xml:space="preserve">                                     50 Respondents</w:t>
            </w:r>
          </w:p>
        </w:tc>
      </w:tr>
    </w:tbl>
    <w:p w14:paraId="5B6CD1D3" w14:textId="77777777" w:rsidR="0071194D" w:rsidRPr="0071194D" w:rsidRDefault="0071194D" w:rsidP="00372E48">
      <w:pPr>
        <w:pStyle w:val="NoSpacing"/>
      </w:pPr>
    </w:p>
    <w:p w14:paraId="578E2487" w14:textId="77777777" w:rsidR="0008415E" w:rsidRPr="00446A7C" w:rsidRDefault="00000000">
      <w:pPr>
        <w:spacing w:line="480" w:lineRule="auto"/>
        <w:ind w:firstLine="0"/>
        <w:contextualSpacing/>
        <w:jc w:val="both"/>
        <w:rPr>
          <w:rFonts w:cs="Times New Roman"/>
          <w:bCs/>
          <w:szCs w:val="24"/>
        </w:rPr>
      </w:pPr>
      <w:r w:rsidRPr="00446A7C">
        <w:rPr>
          <w:rFonts w:cs="Times New Roman"/>
          <w:b/>
          <w:szCs w:val="24"/>
        </w:rPr>
        <w:t>Source: Author’s Construc</w:t>
      </w:r>
      <w:r w:rsidRPr="00446A7C">
        <w:rPr>
          <w:rFonts w:cs="Times New Roman"/>
          <w:bCs/>
          <w:szCs w:val="24"/>
        </w:rPr>
        <w:t>t</w:t>
      </w:r>
    </w:p>
    <w:p w14:paraId="031C36BF" w14:textId="77777777" w:rsidR="0008415E" w:rsidRPr="00446A7C" w:rsidRDefault="0008415E">
      <w:pPr>
        <w:spacing w:line="480" w:lineRule="auto"/>
        <w:ind w:firstLine="0"/>
        <w:contextualSpacing/>
        <w:jc w:val="both"/>
        <w:rPr>
          <w:rFonts w:cs="Times New Roman"/>
          <w:bCs/>
          <w:szCs w:val="24"/>
        </w:rPr>
      </w:pPr>
    </w:p>
    <w:p w14:paraId="297EADCE" w14:textId="77777777" w:rsidR="00C568DD" w:rsidRDefault="00C568DD">
      <w:pPr>
        <w:spacing w:line="480" w:lineRule="auto"/>
        <w:ind w:firstLine="0"/>
        <w:contextualSpacing/>
        <w:jc w:val="both"/>
        <w:rPr>
          <w:rFonts w:cs="Times New Roman"/>
          <w:bCs/>
          <w:szCs w:val="24"/>
        </w:rPr>
        <w:sectPr w:rsidR="00C568DD" w:rsidSect="00371F7B">
          <w:pgSz w:w="16838" w:h="11906" w:orient="landscape" w:code="9"/>
          <w:pgMar w:top="1890" w:right="1440" w:bottom="1440" w:left="1440" w:header="0" w:footer="720" w:gutter="0"/>
          <w:cols w:space="720"/>
          <w:formProt w:val="0"/>
          <w:docGrid w:linePitch="360"/>
        </w:sectPr>
      </w:pPr>
    </w:p>
    <w:p w14:paraId="2CA00618" w14:textId="2774AA3E" w:rsidR="0008415E" w:rsidRPr="00446A7C" w:rsidRDefault="00000000">
      <w:pPr>
        <w:spacing w:line="480" w:lineRule="auto"/>
        <w:ind w:firstLine="0"/>
        <w:contextualSpacing/>
        <w:jc w:val="both"/>
        <w:rPr>
          <w:rFonts w:cs="Times New Roman"/>
          <w:bCs/>
          <w:szCs w:val="24"/>
        </w:rPr>
      </w:pPr>
      <w:r w:rsidRPr="00446A7C">
        <w:rPr>
          <w:rFonts w:cs="Times New Roman"/>
          <w:bCs/>
          <w:szCs w:val="24"/>
        </w:rPr>
        <w:lastRenderedPageBreak/>
        <w:t xml:space="preserve">The overall sample for the study was 50 respondents. This consists of 16 elderly members between the ages of 60 and 70 years old who were beneficiaries of LEAP, 16 members of People Living with Disability (PLWD) that is blind people as well as people with difficulty walking, 16 care takers of Orphans and Vulnerable Children (OVC), </w:t>
      </w:r>
      <w:r w:rsidRPr="00446A7C">
        <w:rPr>
          <w:rFonts w:cs="Times New Roman"/>
          <w:bCs/>
          <w:szCs w:val="24"/>
          <w:lang w:val="en-US"/>
        </w:rPr>
        <w:t xml:space="preserve">and </w:t>
      </w:r>
      <w:r w:rsidRPr="00446A7C">
        <w:rPr>
          <w:rFonts w:cs="Times New Roman"/>
          <w:bCs/>
          <w:szCs w:val="24"/>
        </w:rPr>
        <w:t xml:space="preserve">2 managers of the LEAP.  Out of the </w:t>
      </w:r>
      <w:r w:rsidRPr="00446A7C">
        <w:rPr>
          <w:rFonts w:cs="Times New Roman"/>
          <w:bCs/>
          <w:szCs w:val="24"/>
          <w:lang w:val="en-US"/>
        </w:rPr>
        <w:t>50</w:t>
      </w:r>
      <w:r w:rsidRPr="00446A7C">
        <w:rPr>
          <w:rFonts w:cs="Times New Roman"/>
          <w:bCs/>
          <w:szCs w:val="24"/>
        </w:rPr>
        <w:t xml:space="preserve"> participants, 12 participants </w:t>
      </w:r>
      <w:r w:rsidRPr="00446A7C">
        <w:rPr>
          <w:rFonts w:cs="Times New Roman"/>
          <w:bCs/>
          <w:szCs w:val="24"/>
          <w:lang w:val="en-US"/>
        </w:rPr>
        <w:t xml:space="preserve">comprising </w:t>
      </w:r>
      <w:r w:rsidRPr="00446A7C">
        <w:rPr>
          <w:rFonts w:cs="Times New Roman"/>
          <w:bCs/>
          <w:szCs w:val="24"/>
        </w:rPr>
        <w:t xml:space="preserve">6 males and 6 females from each community was included in the study. The category of participants for each community members involved in the study included 4 elderly members, 4 members of People Living with Disability (PLWD), and 4 care takers of Orphans and Vulnerable Children (OVC). For each category of beneficiaries, 2 males and 2 females each were involved in the study. For the key informants, two male officers were presented for the study which added up to the total of 50 participants. </w:t>
      </w:r>
    </w:p>
    <w:p w14:paraId="1216A49B" w14:textId="77777777" w:rsidR="0008415E" w:rsidRPr="00446A7C" w:rsidRDefault="00000000" w:rsidP="00C568DD">
      <w:pPr>
        <w:pStyle w:val="Heading3"/>
      </w:pPr>
      <w:bookmarkStart w:id="118" w:name="_Toc171703235"/>
      <w:r w:rsidRPr="00446A7C">
        <w:t xml:space="preserve">3.7.2 Secondary </w:t>
      </w:r>
      <w:r w:rsidRPr="00C568DD">
        <w:t>Data</w:t>
      </w:r>
      <w:bookmarkEnd w:id="118"/>
    </w:p>
    <w:p w14:paraId="09B598A4" w14:textId="77777777" w:rsidR="0008415E" w:rsidRPr="00446A7C" w:rsidRDefault="00000000">
      <w:pPr>
        <w:spacing w:line="480" w:lineRule="auto"/>
        <w:ind w:firstLine="0"/>
        <w:jc w:val="both"/>
        <w:rPr>
          <w:rFonts w:cs="Times New Roman"/>
          <w:bCs/>
          <w:szCs w:val="24"/>
        </w:rPr>
      </w:pPr>
      <w:r w:rsidRPr="00446A7C">
        <w:rPr>
          <w:rFonts w:cs="Times New Roman"/>
          <w:bCs/>
          <w:szCs w:val="24"/>
        </w:rPr>
        <w:t>Secondary data were obtained from two major sources; the official documents from District Social Welfare office and the scientific articles.  Documents sourced from the social welfare comprised newspapers, minutes of meeting and official reports, annual and quarterly report on LEAP operations, the brochures on the programme were obtained, LEAP operations manual, minutes of meetings were obtained from the office. Also, other document on the National Social Protection Framework and Ghana Poverty Reduction Strategy (GPRS) were accessed and reviewed from the records unit of the MoGCSP. These documents offered preliminary understanding of the services and operations of LEAP, and how it all started as well as the LEAP programme performance since its inception. While the scientific articles on the social protection programmes and also scientific research in relation to the research objectives and topic were reviewed mostly from Google scholar, SCI-direct and PDF Drive.</w:t>
      </w:r>
    </w:p>
    <w:p w14:paraId="16AD8640" w14:textId="77777777" w:rsidR="0008415E" w:rsidRPr="00446A7C" w:rsidRDefault="00000000" w:rsidP="00C568DD">
      <w:pPr>
        <w:pStyle w:val="Heading2"/>
      </w:pPr>
      <w:bookmarkStart w:id="119" w:name="_Toc171703236"/>
      <w:r w:rsidRPr="00446A7C">
        <w:lastRenderedPageBreak/>
        <w:t xml:space="preserve">3.8 Data </w:t>
      </w:r>
      <w:r w:rsidRPr="00C568DD">
        <w:t>collection</w:t>
      </w:r>
      <w:r w:rsidRPr="00446A7C">
        <w:t xml:space="preserve"> instrument</w:t>
      </w:r>
      <w:bookmarkEnd w:id="119"/>
    </w:p>
    <w:p w14:paraId="1A040158" w14:textId="4896E42B"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This section outlines how the instrument used for data collection was designed. The data collection instrument was designed by the researcher. Open ended interview guide and key informant interviews guides served as the data-gathering tools. These instruments were used to elicit responses from the various beneficiary categories (OVC’S, PLWD and elderly poor) and the District Social Welfare officers (HOD and Case worker). The open-ended interview guide was used to collect data from the beneficiaries whilst key informant data were gathered using the key informant interview guide. The adoption of these instruments was justified by the fact that the researcher seeks to obtain an in-depth knowledge how technology can be used to enhance the delivery of LEAP for sustainable poverty reduction.  The interview guides contained issues on the beneficiaries’ access to LEAP, the beneficiary’s perspective on the use of digital technology in the delivery of LEAP services and lastly the potential and limits of digital technology towards enhancing LEAP programme. The interview guide was designed by the researcher using the study's objectives as a guide. The interview was conducted in two phases, </w:t>
      </w:r>
      <w:r w:rsidRPr="00446A7C">
        <w:rPr>
          <w:rFonts w:cs="Times New Roman"/>
          <w:bCs/>
          <w:szCs w:val="24"/>
          <w:lang w:val="en-US"/>
        </w:rPr>
        <w:t xml:space="preserve">as indicated </w:t>
      </w:r>
      <w:r w:rsidR="00C568DD" w:rsidRPr="00446A7C">
        <w:rPr>
          <w:rFonts w:cs="Times New Roman"/>
          <w:bCs/>
          <w:szCs w:val="24"/>
          <w:lang w:val="en-US"/>
        </w:rPr>
        <w:t xml:space="preserve">in </w:t>
      </w:r>
      <w:r w:rsidR="00C568DD" w:rsidRPr="00446A7C">
        <w:rPr>
          <w:rFonts w:cs="Times New Roman"/>
          <w:bCs/>
          <w:szCs w:val="24"/>
        </w:rPr>
        <w:t>APPENDIX</w:t>
      </w:r>
      <w:r w:rsidRPr="00446A7C">
        <w:rPr>
          <w:rFonts w:cs="Times New Roman"/>
          <w:bCs/>
          <w:szCs w:val="24"/>
        </w:rPr>
        <w:t xml:space="preserve"> A and APPENDIX B</w:t>
      </w:r>
    </w:p>
    <w:p w14:paraId="26B45A5F" w14:textId="77777777" w:rsidR="0008415E" w:rsidRPr="00446A7C" w:rsidRDefault="00000000" w:rsidP="00C568DD">
      <w:pPr>
        <w:pStyle w:val="Heading2"/>
      </w:pPr>
      <w:bookmarkStart w:id="120" w:name="_Toc171703237"/>
      <w:r w:rsidRPr="00446A7C">
        <w:t>3.9 Pre-</w:t>
      </w:r>
      <w:r w:rsidRPr="00C568DD">
        <w:t>Testing</w:t>
      </w:r>
      <w:bookmarkEnd w:id="120"/>
      <w:r w:rsidRPr="00446A7C">
        <w:t xml:space="preserve"> </w:t>
      </w:r>
    </w:p>
    <w:p w14:paraId="6FFBBA56"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rPr>
        <w:t>The interview guide was pre-tested with some LEAP beneficiaires in different communities thus Bu and Danko. The instrument was administered to beneficiaries in these selected communities to ascertain its appropriateness for the study. Furthermore, the instrument underwent pre-testing to assess content, face, and construct validity in order to ensure its reliability. The pre-testing assisted in re-structuring some the of the questions characterised by ambiguities and deficiencies.</w:t>
      </w:r>
      <w:r w:rsidRPr="00446A7C">
        <w:rPr>
          <w:rFonts w:eastAsia="Times New Roman" w:cs="Times New Roman"/>
          <w:szCs w:val="24"/>
          <w:lang w:val="en-US"/>
        </w:rPr>
        <w:t xml:space="preserve"> </w:t>
      </w:r>
      <w:r w:rsidRPr="00446A7C">
        <w:rPr>
          <w:rFonts w:cs="Times New Roman"/>
          <w:bCs/>
          <w:szCs w:val="24"/>
          <w:lang w:val="en-US"/>
        </w:rPr>
        <w:t xml:space="preserve">The interview schedule included 10 LEAP beneficiaries. Initially, a weakness was found in the questions related to the digital technology being used. The interview guide lacked specific context for the digital </w:t>
      </w:r>
      <w:r w:rsidRPr="00446A7C">
        <w:rPr>
          <w:rFonts w:cs="Times New Roman"/>
          <w:bCs/>
          <w:szCs w:val="24"/>
          <w:lang w:val="en-US"/>
        </w:rPr>
        <w:lastRenderedPageBreak/>
        <w:t>tools. Therefore, this question was modified to include the relevant context of the digital tools being studied, after the pre-testing phase. Additionally, the problem with the challenges question was that it initially allowed for multiple responses. However, it was observed that the respondents did not select most of the given options. Instead, many of them chose the "other specify" category. As a result, the question regarding challenges faced was revised to allow for open responses before the actual administration of the instrument in the study areas.</w:t>
      </w:r>
    </w:p>
    <w:p w14:paraId="27286E8E" w14:textId="77777777" w:rsidR="0008415E" w:rsidRPr="00446A7C" w:rsidRDefault="00000000">
      <w:pPr>
        <w:pStyle w:val="Heading2"/>
        <w:rPr>
          <w:rFonts w:cs="Times New Roman"/>
          <w:szCs w:val="24"/>
        </w:rPr>
      </w:pPr>
      <w:bookmarkStart w:id="121" w:name="_Toc171703238"/>
      <w:r w:rsidRPr="00446A7C">
        <w:rPr>
          <w:rFonts w:cs="Times New Roman"/>
          <w:szCs w:val="24"/>
        </w:rPr>
        <w:t>3.10 Data Validity</w:t>
      </w:r>
      <w:bookmarkEnd w:id="121"/>
    </w:p>
    <w:p w14:paraId="5525F40F"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The validity of qualitative research is based on trustworthiness, utility, and dependability (Zohrabi, 2013). The degree to which the requirements of scientific research methods were followed during the process of generating research findings is referred to as research validity (Oliver, 2010). To ensure validity, the study created an interview guide based on the research objectives which was used to interview both the selected participants and the implement</w:t>
      </w:r>
      <w:r w:rsidRPr="00446A7C">
        <w:rPr>
          <w:rFonts w:cs="Times New Roman"/>
          <w:szCs w:val="24"/>
          <w:lang w:val="en-US"/>
        </w:rPr>
        <w:t>e</w:t>
      </w:r>
      <w:r w:rsidRPr="00446A7C">
        <w:rPr>
          <w:rFonts w:cs="Times New Roman"/>
          <w:szCs w:val="24"/>
        </w:rPr>
        <w:t>rs of LEAP in Nandom district. The participants were asked open-ended questions in Dagaare, the native language spoken by the participants. Moreover, the interview guide was reviewed by the research supervisors and feedback was given which helped streamline the guide. The interview guide was designed in a way that was consistent with the themes identified in literature.</w:t>
      </w:r>
    </w:p>
    <w:p w14:paraId="2C10BF50" w14:textId="77777777" w:rsidR="0008415E" w:rsidRPr="00446A7C" w:rsidRDefault="00000000">
      <w:pPr>
        <w:pStyle w:val="Heading2"/>
        <w:rPr>
          <w:rFonts w:cs="Times New Roman"/>
          <w:szCs w:val="24"/>
        </w:rPr>
      </w:pPr>
      <w:bookmarkStart w:id="122" w:name="_Toc171703239"/>
      <w:r w:rsidRPr="00446A7C">
        <w:rPr>
          <w:rFonts w:cs="Times New Roman"/>
          <w:szCs w:val="24"/>
        </w:rPr>
        <w:t>3.11 Data Reliability</w:t>
      </w:r>
      <w:bookmarkEnd w:id="122"/>
    </w:p>
    <w:p w14:paraId="19882E11"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 xml:space="preserve">To ensure data consistency, purposive sampling technique was employed to select the participants for the study. This strategy targeted specific stakeholders and beneficiaries who were directly relevant to the research topic. Likewise, the research instrument was pre-tested in two distinct communities prior to the main data collection. The pre-testing phase was critical in identifying any potential issues with the questions. For instance, issues regarding the length of questions, clarity and consistency of the instrument. This is </w:t>
      </w:r>
      <w:r w:rsidRPr="00446A7C">
        <w:rPr>
          <w:rFonts w:cs="Times New Roman"/>
          <w:szCs w:val="24"/>
        </w:rPr>
        <w:lastRenderedPageBreak/>
        <w:t xml:space="preserve">in line with the views of Kerlinger </w:t>
      </w:r>
      <w:r w:rsidRPr="00446A7C">
        <w:rPr>
          <w:rFonts w:cs="Times New Roman"/>
          <w:szCs w:val="24"/>
          <w:lang w:val="en-US"/>
        </w:rPr>
        <w:t>(</w:t>
      </w:r>
      <w:r w:rsidRPr="00446A7C">
        <w:rPr>
          <w:rFonts w:cs="Times New Roman"/>
          <w:szCs w:val="24"/>
        </w:rPr>
        <w:t>1964) regarding the research reliability. This procedure allowed for the reworking of questions that were discovered to be difficult to understand, thereby increasing the reliability of the data collection instruments (Creswell &amp; Creswell, 2017). Other ways I ensured reliability included, direct documentation of participants responses to the questions during the field data collection. I used a recorder and field notebook to aid in the documentation process. The recorded data was also transcribed and kept as a file for reference</w:t>
      </w:r>
    </w:p>
    <w:p w14:paraId="185BF907" w14:textId="77777777" w:rsidR="0008415E" w:rsidRPr="00446A7C" w:rsidRDefault="00000000">
      <w:pPr>
        <w:pStyle w:val="Heading2"/>
        <w:rPr>
          <w:rFonts w:cs="Times New Roman"/>
          <w:szCs w:val="24"/>
        </w:rPr>
      </w:pPr>
      <w:bookmarkStart w:id="123" w:name="_Toc171703240"/>
      <w:r w:rsidRPr="00446A7C">
        <w:rPr>
          <w:rFonts w:cs="Times New Roman"/>
          <w:szCs w:val="24"/>
        </w:rPr>
        <w:t>3.12 Actual Field Work</w:t>
      </w:r>
      <w:bookmarkEnd w:id="123"/>
    </w:p>
    <w:p w14:paraId="1B6D3386" w14:textId="77777777" w:rsidR="0008415E" w:rsidRDefault="00000000">
      <w:pPr>
        <w:spacing w:line="480" w:lineRule="auto"/>
        <w:ind w:firstLine="0"/>
        <w:contextualSpacing/>
        <w:jc w:val="both"/>
        <w:rPr>
          <w:rFonts w:cs="Times New Roman"/>
          <w:szCs w:val="24"/>
        </w:rPr>
      </w:pPr>
      <w:r w:rsidRPr="00446A7C">
        <w:rPr>
          <w:rFonts w:cs="Times New Roman"/>
          <w:szCs w:val="24"/>
        </w:rPr>
        <w:t>The collection of data for this study lasted from the 28</w:t>
      </w:r>
      <w:r w:rsidRPr="00446A7C">
        <w:rPr>
          <w:rFonts w:cs="Times New Roman"/>
          <w:szCs w:val="24"/>
          <w:vertAlign w:val="superscript"/>
        </w:rPr>
        <w:t>th</w:t>
      </w:r>
      <w:r w:rsidRPr="00446A7C">
        <w:rPr>
          <w:rFonts w:cs="Times New Roman"/>
          <w:szCs w:val="24"/>
        </w:rPr>
        <w:t xml:space="preserve"> of July to the 15th of August 2023. The interviews were administered by the researcher herself in the four study communities. Also, data was gathered from the key informants which was made up of the two officers in the DSW office in Nandom (HOD and Case worker). The interviews were conducted on scheduled days since most of the beneficiaries were farmers. The first community was Vaapuo where the researcher met with beneficiaries. This happened on the 28th of July 2023. The researcher later visited the community on the 29</w:t>
      </w:r>
      <w:r w:rsidRPr="00446A7C">
        <w:rPr>
          <w:rFonts w:cs="Times New Roman"/>
          <w:szCs w:val="24"/>
          <w:vertAlign w:val="superscript"/>
        </w:rPr>
        <w:t>th</w:t>
      </w:r>
      <w:r w:rsidRPr="00446A7C">
        <w:rPr>
          <w:rFonts w:cs="Times New Roman"/>
          <w:szCs w:val="24"/>
        </w:rPr>
        <w:t xml:space="preserve"> to meet with some beneficiaries who had gone to farm on the scheduled day. On the 30</w:t>
      </w:r>
      <w:r w:rsidRPr="00446A7C">
        <w:rPr>
          <w:rFonts w:cs="Times New Roman"/>
          <w:szCs w:val="24"/>
          <w:vertAlign w:val="superscript"/>
        </w:rPr>
        <w:t>th</w:t>
      </w:r>
      <w:r w:rsidRPr="00446A7C">
        <w:rPr>
          <w:rFonts w:cs="Times New Roman"/>
          <w:szCs w:val="24"/>
        </w:rPr>
        <w:t xml:space="preserve"> of July the researcher met the Assembly member for Munyupelle and scheduled a meeting for the beneficiaries in the community. On the 1</w:t>
      </w:r>
      <w:r w:rsidRPr="00446A7C">
        <w:rPr>
          <w:rFonts w:cs="Times New Roman"/>
          <w:szCs w:val="24"/>
          <w:vertAlign w:val="superscript"/>
        </w:rPr>
        <w:t xml:space="preserve">st </w:t>
      </w:r>
      <w:r w:rsidRPr="00446A7C">
        <w:rPr>
          <w:rFonts w:cs="Times New Roman"/>
          <w:szCs w:val="24"/>
        </w:rPr>
        <w:t>and 2</w:t>
      </w:r>
      <w:r w:rsidRPr="00446A7C">
        <w:rPr>
          <w:rFonts w:cs="Times New Roman"/>
          <w:szCs w:val="24"/>
          <w:vertAlign w:val="superscript"/>
        </w:rPr>
        <w:t>nd</w:t>
      </w:r>
      <w:r w:rsidRPr="00446A7C">
        <w:rPr>
          <w:rFonts w:cs="Times New Roman"/>
          <w:szCs w:val="24"/>
        </w:rPr>
        <w:t xml:space="preserve"> of August 2023, interviews were conducted in Munyupelle and Guo respectively. </w:t>
      </w:r>
    </w:p>
    <w:p w14:paraId="00FE009F" w14:textId="77777777" w:rsidR="00C568DD" w:rsidRPr="00446A7C" w:rsidRDefault="00C568DD" w:rsidP="00B74686">
      <w:pPr>
        <w:pStyle w:val="NoSpacing"/>
      </w:pPr>
    </w:p>
    <w:p w14:paraId="475E5513" w14:textId="77777777" w:rsidR="0008415E" w:rsidRPr="00446A7C" w:rsidRDefault="00000000">
      <w:pPr>
        <w:spacing w:line="480" w:lineRule="auto"/>
        <w:ind w:firstLine="0"/>
        <w:contextualSpacing/>
        <w:jc w:val="both"/>
        <w:rPr>
          <w:rFonts w:cs="Times New Roman"/>
          <w:szCs w:val="24"/>
        </w:rPr>
      </w:pPr>
      <w:r w:rsidRPr="00446A7C">
        <w:rPr>
          <w:rFonts w:cs="Times New Roman"/>
          <w:szCs w:val="24"/>
        </w:rPr>
        <w:t>On 7</w:t>
      </w:r>
      <w:r w:rsidRPr="00446A7C">
        <w:rPr>
          <w:rFonts w:cs="Times New Roman"/>
          <w:szCs w:val="24"/>
          <w:vertAlign w:val="superscript"/>
        </w:rPr>
        <w:t>th</w:t>
      </w:r>
      <w:r w:rsidRPr="00446A7C">
        <w:rPr>
          <w:rFonts w:cs="Times New Roman"/>
          <w:szCs w:val="24"/>
        </w:rPr>
        <w:t xml:space="preserve"> and 14</w:t>
      </w:r>
      <w:r w:rsidRPr="00446A7C">
        <w:rPr>
          <w:rFonts w:cs="Times New Roman"/>
          <w:szCs w:val="24"/>
          <w:vertAlign w:val="superscript"/>
        </w:rPr>
        <w:t>th</w:t>
      </w:r>
      <w:r w:rsidRPr="00446A7C">
        <w:rPr>
          <w:rFonts w:cs="Times New Roman"/>
          <w:szCs w:val="24"/>
        </w:rPr>
        <w:t xml:space="preserve"> of August 2023, the Case worker and Head of Department of the LEAP District Social Welfare office were interviewed respectively. The participants in Nabugang were interviewed on the 10</w:t>
      </w:r>
      <w:r w:rsidRPr="00446A7C">
        <w:rPr>
          <w:rFonts w:cs="Times New Roman"/>
          <w:szCs w:val="24"/>
          <w:vertAlign w:val="superscript"/>
        </w:rPr>
        <w:t>th</w:t>
      </w:r>
      <w:r w:rsidRPr="00446A7C">
        <w:rPr>
          <w:rFonts w:cs="Times New Roman"/>
          <w:szCs w:val="24"/>
        </w:rPr>
        <w:t xml:space="preserve"> of August 2023. Finally, on the 15</w:t>
      </w:r>
      <w:r w:rsidRPr="00446A7C">
        <w:rPr>
          <w:rFonts w:cs="Times New Roman"/>
          <w:szCs w:val="24"/>
          <w:vertAlign w:val="superscript"/>
        </w:rPr>
        <w:t>th</w:t>
      </w:r>
      <w:r w:rsidRPr="00446A7C">
        <w:rPr>
          <w:rFonts w:cs="Times New Roman"/>
          <w:szCs w:val="24"/>
        </w:rPr>
        <w:t xml:space="preserve"> of the August 2023, I went to the District Social Welfare and Community Development office to gather secondary data. I made request for official documents on the programmes, </w:t>
      </w:r>
      <w:r w:rsidRPr="00446A7C">
        <w:rPr>
          <w:rFonts w:cs="Times New Roman"/>
          <w:szCs w:val="24"/>
          <w:lang w:val="en-US"/>
        </w:rPr>
        <w:lastRenderedPageBreak/>
        <w:t xml:space="preserve">brochures </w:t>
      </w:r>
      <w:r w:rsidRPr="00446A7C">
        <w:rPr>
          <w:rFonts w:cs="Times New Roman"/>
          <w:szCs w:val="24"/>
        </w:rPr>
        <w:t>and other relevant document which would help in data analysis and better understanding of the programme.</w:t>
      </w:r>
    </w:p>
    <w:p w14:paraId="08F298FD" w14:textId="77777777" w:rsidR="0008415E" w:rsidRPr="00446A7C" w:rsidRDefault="00000000">
      <w:pPr>
        <w:pStyle w:val="Heading2"/>
        <w:rPr>
          <w:rFonts w:cs="Times New Roman"/>
          <w:szCs w:val="24"/>
        </w:rPr>
      </w:pPr>
      <w:bookmarkStart w:id="124" w:name="_Toc171703241"/>
      <w:r w:rsidRPr="00446A7C">
        <w:rPr>
          <w:rFonts w:cs="Times New Roman"/>
          <w:szCs w:val="24"/>
        </w:rPr>
        <w:t>3.13 Data Analysis and Management</w:t>
      </w:r>
      <w:bookmarkEnd w:id="124"/>
    </w:p>
    <w:p w14:paraId="5DE3E8A4"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Data analysis entails making sense of data gathered from various sources such as face-to-face interviews, focus group discussions, documents, and observations, as well as presenting what the data reveal (Creswell, 2013).</w:t>
      </w:r>
      <w:r w:rsidRPr="00446A7C">
        <w:rPr>
          <w:rFonts w:cs="Times New Roman"/>
          <w:szCs w:val="24"/>
        </w:rPr>
        <w:t xml:space="preserve"> </w:t>
      </w:r>
      <w:r w:rsidRPr="00446A7C">
        <w:rPr>
          <w:rFonts w:cs="Times New Roman"/>
          <w:bCs/>
          <w:szCs w:val="24"/>
        </w:rPr>
        <w:t>Analysis transforms data into findings by bringing order, structure and meaning to the mass of collected data (Patton, 2002; Marshal &amp; Rossman, 1999). This section describes how data collected in the field was analysed, as well as the various processes the data went through before the study reached its conclusions.</w:t>
      </w:r>
    </w:p>
    <w:p w14:paraId="0B60C767" w14:textId="77777777" w:rsidR="0008415E" w:rsidRPr="00446A7C" w:rsidRDefault="0008415E" w:rsidP="00B74686">
      <w:pPr>
        <w:pStyle w:val="NoSpacing"/>
      </w:pPr>
    </w:p>
    <w:p w14:paraId="1ACE7C82" w14:textId="77777777" w:rsidR="0008415E" w:rsidRDefault="00000000">
      <w:pPr>
        <w:spacing w:line="480" w:lineRule="auto"/>
        <w:ind w:firstLine="0"/>
        <w:contextualSpacing/>
        <w:jc w:val="both"/>
        <w:rPr>
          <w:rFonts w:cs="Times New Roman"/>
          <w:bCs/>
          <w:szCs w:val="24"/>
          <w:lang w:val="en-US"/>
        </w:rPr>
      </w:pPr>
      <w:r w:rsidRPr="00446A7C">
        <w:rPr>
          <w:rFonts w:cs="Times New Roman"/>
          <w:bCs/>
          <w:szCs w:val="24"/>
        </w:rPr>
        <w:t xml:space="preserve">Thematic analysis was used to make sense of the data. The presentation of the qualitative results took the form of texts and figures. </w:t>
      </w:r>
      <w:r w:rsidRPr="00446A7C">
        <w:rPr>
          <w:rFonts w:cs="Times New Roman"/>
          <w:bCs/>
          <w:szCs w:val="24"/>
          <w:lang w:val="en-US"/>
        </w:rPr>
        <w:t xml:space="preserve">I initiated the analyses by transcribing the audio recorded interviews. To get familiar with the data, I read each interview transcript line by line, noting down repetitions, commonalities, and disparities that were relevant to the research question. Emerging themes were then written down which represented the preliminary analysis. </w:t>
      </w:r>
      <w:r w:rsidRPr="00446A7C">
        <w:rPr>
          <w:rFonts w:cs="Times New Roman"/>
          <w:szCs w:val="24"/>
        </w:rPr>
        <w:t xml:space="preserve"> </w:t>
      </w:r>
      <w:r w:rsidRPr="00446A7C">
        <w:rPr>
          <w:rFonts w:cs="Times New Roman"/>
          <w:bCs/>
          <w:szCs w:val="24"/>
          <w:lang w:val="en-US"/>
        </w:rPr>
        <w:t>I then examined the themes a second time and then organized them along thematic networks. In the concluding phase, I used the soft copies of the transcripts to pull together the portions of data that represented each theme and developed the qualitative analysis by analyzing in detail the responses of the district managers and the various beneficiary groups that participated in the study. This was all done in relation to the research questions.</w:t>
      </w:r>
      <w:r w:rsidRPr="00446A7C">
        <w:rPr>
          <w:rFonts w:cs="Times New Roman"/>
          <w:szCs w:val="24"/>
        </w:rPr>
        <w:t xml:space="preserve"> </w:t>
      </w:r>
      <w:r w:rsidRPr="00446A7C">
        <w:rPr>
          <w:rFonts w:cs="Times New Roman"/>
          <w:bCs/>
          <w:szCs w:val="24"/>
          <w:lang w:val="en-US"/>
        </w:rPr>
        <w:t xml:space="preserve">The thematic analysis process I employed is the one described by Braun and Clarke (2013).  </w:t>
      </w:r>
    </w:p>
    <w:p w14:paraId="2F68E820" w14:textId="77777777" w:rsidR="00C568DD" w:rsidRDefault="00C568DD">
      <w:pPr>
        <w:spacing w:line="480" w:lineRule="auto"/>
        <w:ind w:firstLine="0"/>
        <w:contextualSpacing/>
        <w:jc w:val="both"/>
        <w:rPr>
          <w:rFonts w:cs="Times New Roman"/>
          <w:bCs/>
          <w:szCs w:val="24"/>
          <w:lang w:val="en-US"/>
        </w:rPr>
      </w:pPr>
    </w:p>
    <w:p w14:paraId="5273DDEF" w14:textId="77777777" w:rsidR="00C568DD" w:rsidRPr="00446A7C" w:rsidRDefault="00C568DD">
      <w:pPr>
        <w:spacing w:line="480" w:lineRule="auto"/>
        <w:ind w:firstLine="0"/>
        <w:contextualSpacing/>
        <w:jc w:val="both"/>
        <w:rPr>
          <w:rFonts w:cs="Times New Roman"/>
          <w:bCs/>
          <w:szCs w:val="24"/>
          <w:lang w:val="en-US"/>
        </w:rPr>
      </w:pPr>
    </w:p>
    <w:p w14:paraId="7E8B42A4" w14:textId="4E25A6BC" w:rsidR="0008415E" w:rsidRPr="00446A7C" w:rsidRDefault="00000000" w:rsidP="00C568DD">
      <w:pPr>
        <w:pStyle w:val="Heading6"/>
      </w:pPr>
      <w:bookmarkStart w:id="125" w:name="_Toc161240387"/>
      <w:bookmarkStart w:id="126" w:name="_Toc171700079"/>
      <w:r w:rsidRPr="00446A7C">
        <w:lastRenderedPageBreak/>
        <w:t xml:space="preserve">Table </w:t>
      </w:r>
      <w:fldSimple w:instr=" SEQ Table \* ARABIC ">
        <w:r w:rsidR="00986730">
          <w:rPr>
            <w:noProof/>
          </w:rPr>
          <w:t>3</w:t>
        </w:r>
      </w:fldSimple>
      <w:r w:rsidRPr="00446A7C">
        <w:t>: Thematic analysis procedure employed in the study</w:t>
      </w:r>
      <w:bookmarkEnd w:id="125"/>
      <w:bookmarkEnd w:id="126"/>
    </w:p>
    <w:tbl>
      <w:tblPr>
        <w:tblStyle w:val="PlainTable51"/>
        <w:tblW w:w="8702" w:type="dxa"/>
        <w:tblLayout w:type="fixed"/>
        <w:tblLook w:val="04A0" w:firstRow="1" w:lastRow="0" w:firstColumn="1" w:lastColumn="0" w:noHBand="0" w:noVBand="1"/>
      </w:tblPr>
      <w:tblGrid>
        <w:gridCol w:w="2495"/>
        <w:gridCol w:w="6207"/>
      </w:tblGrid>
      <w:tr w:rsidR="0008415E" w:rsidRPr="00446A7C" w14:paraId="44B7369C" w14:textId="77777777" w:rsidTr="00372E48">
        <w:trPr>
          <w:cnfStyle w:val="100000000000" w:firstRow="1" w:lastRow="0" w:firstColumn="0" w:lastColumn="0" w:oddVBand="0" w:evenVBand="0" w:oddHBand="0" w:evenHBand="0" w:firstRowFirstColumn="0" w:firstRowLastColumn="0" w:lastRowFirstColumn="0" w:lastRowLastColumn="0"/>
          <w:trHeight w:hRule="exact" w:val="20"/>
        </w:trPr>
        <w:tc>
          <w:tcPr>
            <w:cnfStyle w:val="001000000100" w:firstRow="0" w:lastRow="0" w:firstColumn="1" w:lastColumn="0" w:oddVBand="0" w:evenVBand="0" w:oddHBand="0" w:evenHBand="0" w:firstRowFirstColumn="1" w:firstRowLastColumn="0" w:lastRowFirstColumn="0" w:lastRowLastColumn="0"/>
            <w:tcW w:w="2495" w:type="dxa"/>
            <w:tcBorders>
              <w:bottom w:val="single" w:sz="4" w:space="0" w:color="auto"/>
              <w:right w:val="none" w:sz="0" w:space="0" w:color="auto"/>
            </w:tcBorders>
            <w:shd w:val="clear" w:color="auto" w:fill="auto"/>
          </w:tcPr>
          <w:p w14:paraId="3F888F5B" w14:textId="77777777" w:rsidR="0008415E" w:rsidRPr="00446A7C" w:rsidRDefault="00000000">
            <w:pPr>
              <w:spacing w:line="360" w:lineRule="auto"/>
              <w:ind w:firstLine="0"/>
              <w:jc w:val="both"/>
              <w:rPr>
                <w:rFonts w:eastAsiaTheme="majorEastAsia" w:cs="Times New Roman"/>
                <w:b/>
                <w:bCs/>
                <w:i w:val="0"/>
                <w:iCs/>
                <w:sz w:val="24"/>
                <w:szCs w:val="24"/>
                <w:lang w:val="en-US"/>
              </w:rPr>
            </w:pPr>
            <w:r w:rsidRPr="00446A7C">
              <w:rPr>
                <w:rFonts w:eastAsiaTheme="majorEastAsia" w:cs="Times New Roman"/>
                <w:b/>
                <w:bCs/>
                <w:iCs/>
                <w:sz w:val="24"/>
                <w:szCs w:val="24"/>
                <w:lang w:val="en-US"/>
              </w:rPr>
              <w:t>STAGE</w:t>
            </w:r>
          </w:p>
        </w:tc>
        <w:tc>
          <w:tcPr>
            <w:tcW w:w="6207" w:type="dxa"/>
            <w:tcBorders>
              <w:bottom w:val="single" w:sz="4" w:space="0" w:color="auto"/>
            </w:tcBorders>
            <w:shd w:val="clear" w:color="auto" w:fill="auto"/>
          </w:tcPr>
          <w:p w14:paraId="74F0609C" w14:textId="77777777" w:rsidR="0008415E" w:rsidRPr="00446A7C" w:rsidRDefault="00000000">
            <w:pPr>
              <w:spacing w:line="360" w:lineRule="auto"/>
              <w:ind w:firstLine="0"/>
              <w:jc w:val="both"/>
              <w:cnfStyle w:val="100000000000" w:firstRow="1" w:lastRow="0" w:firstColumn="0" w:lastColumn="0" w:oddVBand="0" w:evenVBand="0" w:oddHBand="0" w:evenHBand="0" w:firstRowFirstColumn="0" w:firstRowLastColumn="0" w:lastRowFirstColumn="0" w:lastRowLastColumn="0"/>
              <w:rPr>
                <w:rFonts w:eastAsiaTheme="majorEastAsia" w:cs="Times New Roman"/>
                <w:b/>
                <w:bCs/>
                <w:i w:val="0"/>
                <w:iCs/>
                <w:sz w:val="24"/>
                <w:szCs w:val="24"/>
                <w:lang w:val="en-US"/>
              </w:rPr>
            </w:pPr>
            <w:r w:rsidRPr="00446A7C">
              <w:rPr>
                <w:rFonts w:eastAsiaTheme="majorEastAsia" w:cs="Times New Roman"/>
                <w:b/>
                <w:bCs/>
                <w:iCs/>
                <w:sz w:val="24"/>
                <w:szCs w:val="24"/>
                <w:lang w:val="en-US"/>
              </w:rPr>
              <w:t>OUTCOME</w:t>
            </w:r>
          </w:p>
        </w:tc>
      </w:tr>
      <w:tr w:rsidR="0008415E" w:rsidRPr="00446A7C" w14:paraId="69C667FA" w14:textId="77777777" w:rsidTr="00372E48">
        <w:trPr>
          <w:trHeight w:val="1229"/>
        </w:trPr>
        <w:tc>
          <w:tcPr>
            <w:cnfStyle w:val="001000000000" w:firstRow="0" w:lastRow="0" w:firstColumn="1" w:lastColumn="0" w:oddVBand="0" w:evenVBand="0" w:oddHBand="0" w:evenHBand="0" w:firstRowFirstColumn="0" w:firstRowLastColumn="0" w:lastRowFirstColumn="0" w:lastRowLastColumn="0"/>
            <w:tcW w:w="2495" w:type="dxa"/>
            <w:tcBorders>
              <w:top w:val="single" w:sz="4" w:space="0" w:color="auto"/>
              <w:right w:val="none" w:sz="0" w:space="0" w:color="auto"/>
            </w:tcBorders>
            <w:shd w:val="clear" w:color="auto" w:fill="auto"/>
          </w:tcPr>
          <w:p w14:paraId="43B6D4EA" w14:textId="77777777" w:rsidR="0008415E" w:rsidRPr="00446A7C" w:rsidRDefault="00000000">
            <w:pPr>
              <w:spacing w:line="360" w:lineRule="auto"/>
              <w:ind w:firstLine="0"/>
              <w:jc w:val="both"/>
              <w:rPr>
                <w:rFonts w:eastAsiaTheme="majorEastAsia" w:cs="Times New Roman"/>
                <w:b/>
                <w:bCs/>
                <w:i w:val="0"/>
                <w:iCs/>
                <w:sz w:val="24"/>
                <w:szCs w:val="24"/>
                <w:lang w:val="en-US"/>
              </w:rPr>
            </w:pPr>
            <w:r w:rsidRPr="00446A7C">
              <w:rPr>
                <w:rFonts w:eastAsiaTheme="majorEastAsia" w:cs="Times New Roman"/>
                <w:b/>
                <w:bCs/>
                <w:iCs/>
                <w:sz w:val="24"/>
                <w:szCs w:val="24"/>
                <w:lang w:val="en-US"/>
              </w:rPr>
              <w:t>Data familiarization</w:t>
            </w:r>
          </w:p>
        </w:tc>
        <w:tc>
          <w:tcPr>
            <w:tcW w:w="6207" w:type="dxa"/>
            <w:tcBorders>
              <w:top w:val="single" w:sz="4" w:space="0" w:color="auto"/>
            </w:tcBorders>
            <w:shd w:val="clear" w:color="auto" w:fill="auto"/>
          </w:tcPr>
          <w:p w14:paraId="5812F178" w14:textId="77777777" w:rsidR="0008415E" w:rsidRPr="00446A7C" w:rsidRDefault="00000000">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446A7C">
              <w:rPr>
                <w:rFonts w:eastAsia="Calibri" w:cs="Times New Roman"/>
                <w:szCs w:val="24"/>
                <w:lang w:val="en-US"/>
              </w:rPr>
              <w:t>This is the first stage where the researcher was read, re-read to become familiar with the data. This involves data collected from the interviews or any other relevant data.</w:t>
            </w:r>
          </w:p>
        </w:tc>
      </w:tr>
      <w:tr w:rsidR="0008415E" w:rsidRPr="00446A7C" w14:paraId="2D800ED9" w14:textId="77777777" w:rsidTr="00372E48">
        <w:trPr>
          <w:trHeight w:val="1280"/>
        </w:trPr>
        <w:tc>
          <w:tcPr>
            <w:cnfStyle w:val="001000000000" w:firstRow="0" w:lastRow="0" w:firstColumn="1" w:lastColumn="0" w:oddVBand="0" w:evenVBand="0" w:oddHBand="0" w:evenHBand="0" w:firstRowFirstColumn="0" w:firstRowLastColumn="0" w:lastRowFirstColumn="0" w:lastRowLastColumn="0"/>
            <w:tcW w:w="2495" w:type="dxa"/>
            <w:tcBorders>
              <w:right w:val="none" w:sz="0" w:space="0" w:color="auto"/>
            </w:tcBorders>
            <w:shd w:val="clear" w:color="auto" w:fill="auto"/>
          </w:tcPr>
          <w:p w14:paraId="7B8FC46C" w14:textId="77777777" w:rsidR="0008415E" w:rsidRPr="00446A7C" w:rsidRDefault="00000000">
            <w:pPr>
              <w:spacing w:line="360" w:lineRule="auto"/>
              <w:ind w:firstLine="0"/>
              <w:jc w:val="both"/>
              <w:rPr>
                <w:rFonts w:eastAsiaTheme="majorEastAsia" w:cs="Times New Roman"/>
                <w:b/>
                <w:bCs/>
                <w:i w:val="0"/>
                <w:iCs/>
                <w:sz w:val="24"/>
                <w:szCs w:val="24"/>
                <w:lang w:val="en-US"/>
              </w:rPr>
            </w:pPr>
            <w:r w:rsidRPr="00446A7C">
              <w:rPr>
                <w:rFonts w:eastAsiaTheme="majorEastAsia" w:cs="Times New Roman"/>
                <w:b/>
                <w:bCs/>
                <w:iCs/>
                <w:sz w:val="24"/>
                <w:szCs w:val="24"/>
                <w:lang w:val="en-US"/>
              </w:rPr>
              <w:t>Code generation</w:t>
            </w:r>
          </w:p>
        </w:tc>
        <w:tc>
          <w:tcPr>
            <w:tcW w:w="6207" w:type="dxa"/>
            <w:shd w:val="clear" w:color="auto" w:fill="auto"/>
          </w:tcPr>
          <w:p w14:paraId="556F64EF" w14:textId="77777777" w:rsidR="0008415E" w:rsidRPr="00446A7C" w:rsidRDefault="00000000">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446A7C">
              <w:rPr>
                <w:rFonts w:eastAsia="Calibri" w:cs="Times New Roman"/>
                <w:szCs w:val="24"/>
                <w:lang w:val="en-US"/>
              </w:rPr>
              <w:t>In the second stage, data is organized in a meaningful and systematic manner. The codes help to reduce the bulky data into small fragments with meaning</w:t>
            </w:r>
          </w:p>
        </w:tc>
      </w:tr>
      <w:tr w:rsidR="0008415E" w:rsidRPr="00446A7C" w14:paraId="5F23B0B7" w14:textId="77777777" w:rsidTr="00372E48">
        <w:trPr>
          <w:trHeight w:val="987"/>
        </w:trPr>
        <w:tc>
          <w:tcPr>
            <w:cnfStyle w:val="001000000000" w:firstRow="0" w:lastRow="0" w:firstColumn="1" w:lastColumn="0" w:oddVBand="0" w:evenVBand="0" w:oddHBand="0" w:evenHBand="0" w:firstRowFirstColumn="0" w:firstRowLastColumn="0" w:lastRowFirstColumn="0" w:lastRowLastColumn="0"/>
            <w:tcW w:w="2495" w:type="dxa"/>
            <w:tcBorders>
              <w:right w:val="none" w:sz="0" w:space="0" w:color="auto"/>
            </w:tcBorders>
            <w:shd w:val="clear" w:color="auto" w:fill="auto"/>
          </w:tcPr>
          <w:p w14:paraId="24C6757F" w14:textId="77777777" w:rsidR="0008415E" w:rsidRPr="00446A7C" w:rsidRDefault="00000000">
            <w:pPr>
              <w:spacing w:line="360" w:lineRule="auto"/>
              <w:ind w:firstLine="0"/>
              <w:jc w:val="both"/>
              <w:rPr>
                <w:rFonts w:eastAsiaTheme="majorEastAsia" w:cs="Times New Roman"/>
                <w:b/>
                <w:bCs/>
                <w:i w:val="0"/>
                <w:iCs/>
                <w:sz w:val="24"/>
                <w:szCs w:val="24"/>
                <w:lang w:val="en-US"/>
              </w:rPr>
            </w:pPr>
            <w:r w:rsidRPr="00446A7C">
              <w:rPr>
                <w:rFonts w:eastAsiaTheme="majorEastAsia" w:cs="Times New Roman"/>
                <w:b/>
                <w:bCs/>
                <w:iCs/>
                <w:sz w:val="24"/>
                <w:szCs w:val="24"/>
                <w:lang w:val="en-US"/>
              </w:rPr>
              <w:t>Search for themes</w:t>
            </w:r>
          </w:p>
        </w:tc>
        <w:tc>
          <w:tcPr>
            <w:tcW w:w="6207" w:type="dxa"/>
            <w:shd w:val="clear" w:color="auto" w:fill="auto"/>
          </w:tcPr>
          <w:p w14:paraId="6C965ABB" w14:textId="77777777" w:rsidR="0008415E" w:rsidRPr="00446A7C" w:rsidRDefault="00000000">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446A7C">
              <w:rPr>
                <w:rFonts w:eastAsia="Calibri" w:cs="Times New Roman"/>
                <w:szCs w:val="24"/>
                <w:lang w:val="en-US"/>
              </w:rPr>
              <w:t>It entails generating themes from the codes (phase 2) by combining codes that indicate the same expression/idea</w:t>
            </w:r>
          </w:p>
        </w:tc>
      </w:tr>
      <w:tr w:rsidR="0008415E" w:rsidRPr="00446A7C" w14:paraId="3C11285C" w14:textId="77777777" w:rsidTr="00372E48">
        <w:trPr>
          <w:trHeight w:val="962"/>
        </w:trPr>
        <w:tc>
          <w:tcPr>
            <w:cnfStyle w:val="001000000000" w:firstRow="0" w:lastRow="0" w:firstColumn="1" w:lastColumn="0" w:oddVBand="0" w:evenVBand="0" w:oddHBand="0" w:evenHBand="0" w:firstRowFirstColumn="0" w:firstRowLastColumn="0" w:lastRowFirstColumn="0" w:lastRowLastColumn="0"/>
            <w:tcW w:w="2495" w:type="dxa"/>
            <w:tcBorders>
              <w:right w:val="none" w:sz="0" w:space="0" w:color="auto"/>
            </w:tcBorders>
            <w:shd w:val="clear" w:color="auto" w:fill="auto"/>
          </w:tcPr>
          <w:p w14:paraId="773F5530" w14:textId="77777777" w:rsidR="0008415E" w:rsidRPr="00446A7C" w:rsidRDefault="00000000">
            <w:pPr>
              <w:spacing w:line="360" w:lineRule="auto"/>
              <w:ind w:firstLine="0"/>
              <w:jc w:val="both"/>
              <w:rPr>
                <w:rFonts w:eastAsiaTheme="majorEastAsia" w:cs="Times New Roman"/>
                <w:b/>
                <w:bCs/>
                <w:i w:val="0"/>
                <w:iCs/>
                <w:sz w:val="24"/>
                <w:szCs w:val="24"/>
                <w:lang w:val="en-US"/>
              </w:rPr>
            </w:pPr>
            <w:r w:rsidRPr="00446A7C">
              <w:rPr>
                <w:rFonts w:eastAsiaTheme="majorEastAsia" w:cs="Times New Roman"/>
                <w:b/>
                <w:bCs/>
                <w:iCs/>
                <w:sz w:val="24"/>
                <w:szCs w:val="24"/>
                <w:lang w:val="en-US"/>
              </w:rPr>
              <w:t>Review themes</w:t>
            </w:r>
          </w:p>
        </w:tc>
        <w:tc>
          <w:tcPr>
            <w:tcW w:w="6207" w:type="dxa"/>
            <w:shd w:val="clear" w:color="auto" w:fill="auto"/>
          </w:tcPr>
          <w:p w14:paraId="53B4042E" w14:textId="77777777" w:rsidR="0008415E" w:rsidRPr="00446A7C" w:rsidRDefault="00000000">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446A7C">
              <w:rPr>
                <w:rFonts w:eastAsia="Calibri" w:cs="Times New Roman"/>
                <w:szCs w:val="24"/>
                <w:lang w:val="en-US"/>
              </w:rPr>
              <w:t>It entails checking the themes to determine whether some data were missing, or irrelevant results were included.</w:t>
            </w:r>
          </w:p>
        </w:tc>
      </w:tr>
      <w:tr w:rsidR="0008415E" w:rsidRPr="00446A7C" w14:paraId="77ADC4DA" w14:textId="77777777" w:rsidTr="00372E48">
        <w:trPr>
          <w:trHeight w:val="953"/>
        </w:trPr>
        <w:tc>
          <w:tcPr>
            <w:cnfStyle w:val="001000000000" w:firstRow="0" w:lastRow="0" w:firstColumn="1" w:lastColumn="0" w:oddVBand="0" w:evenVBand="0" w:oddHBand="0" w:evenHBand="0" w:firstRowFirstColumn="0" w:firstRowLastColumn="0" w:lastRowFirstColumn="0" w:lastRowLastColumn="0"/>
            <w:tcW w:w="2495" w:type="dxa"/>
            <w:tcBorders>
              <w:right w:val="none" w:sz="0" w:space="0" w:color="auto"/>
            </w:tcBorders>
            <w:shd w:val="clear" w:color="auto" w:fill="auto"/>
          </w:tcPr>
          <w:p w14:paraId="79462E7B" w14:textId="77777777" w:rsidR="0008415E" w:rsidRPr="00446A7C" w:rsidRDefault="00000000">
            <w:pPr>
              <w:spacing w:line="360" w:lineRule="auto"/>
              <w:ind w:firstLine="0"/>
              <w:jc w:val="both"/>
              <w:rPr>
                <w:rFonts w:eastAsiaTheme="majorEastAsia" w:cs="Times New Roman"/>
                <w:b/>
                <w:bCs/>
                <w:i w:val="0"/>
                <w:iCs/>
                <w:sz w:val="24"/>
                <w:szCs w:val="24"/>
                <w:lang w:val="en-US"/>
              </w:rPr>
            </w:pPr>
            <w:r w:rsidRPr="00446A7C">
              <w:rPr>
                <w:rFonts w:eastAsiaTheme="majorEastAsia" w:cs="Times New Roman"/>
                <w:b/>
                <w:bCs/>
                <w:iCs/>
                <w:sz w:val="24"/>
                <w:szCs w:val="24"/>
                <w:lang w:val="en-US"/>
              </w:rPr>
              <w:t>Define themes</w:t>
            </w:r>
          </w:p>
        </w:tc>
        <w:tc>
          <w:tcPr>
            <w:tcW w:w="6207" w:type="dxa"/>
            <w:shd w:val="clear" w:color="auto" w:fill="auto"/>
          </w:tcPr>
          <w:p w14:paraId="14721574" w14:textId="77777777" w:rsidR="0008415E" w:rsidRPr="00446A7C" w:rsidRDefault="00000000">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446A7C">
              <w:rPr>
                <w:rFonts w:eastAsia="Calibri" w:cs="Times New Roman"/>
                <w:szCs w:val="24"/>
                <w:lang w:val="en-US"/>
              </w:rPr>
              <w:t>It involves naming the themes based on what they represent and what they are understood to mean.</w:t>
            </w:r>
          </w:p>
        </w:tc>
      </w:tr>
      <w:tr w:rsidR="0008415E" w:rsidRPr="00446A7C" w14:paraId="421AC336" w14:textId="77777777" w:rsidTr="00372E48">
        <w:trPr>
          <w:trHeight w:val="990"/>
        </w:trPr>
        <w:tc>
          <w:tcPr>
            <w:cnfStyle w:val="001000000000" w:firstRow="0" w:lastRow="0" w:firstColumn="1" w:lastColumn="0" w:oddVBand="0" w:evenVBand="0" w:oddHBand="0" w:evenHBand="0" w:firstRowFirstColumn="0" w:firstRowLastColumn="0" w:lastRowFirstColumn="0" w:lastRowLastColumn="0"/>
            <w:tcW w:w="2495" w:type="dxa"/>
            <w:tcBorders>
              <w:bottom w:val="single" w:sz="4" w:space="0" w:color="auto"/>
              <w:right w:val="none" w:sz="0" w:space="0" w:color="auto"/>
            </w:tcBorders>
            <w:shd w:val="clear" w:color="auto" w:fill="auto"/>
          </w:tcPr>
          <w:p w14:paraId="6065C47F" w14:textId="77777777" w:rsidR="0008415E" w:rsidRPr="00446A7C" w:rsidRDefault="00000000">
            <w:pPr>
              <w:spacing w:line="360" w:lineRule="auto"/>
              <w:ind w:firstLine="0"/>
              <w:jc w:val="both"/>
              <w:rPr>
                <w:rFonts w:eastAsiaTheme="majorEastAsia" w:cs="Times New Roman"/>
                <w:b/>
                <w:bCs/>
                <w:i w:val="0"/>
                <w:iCs/>
                <w:sz w:val="24"/>
                <w:szCs w:val="24"/>
                <w:lang w:val="en-US"/>
              </w:rPr>
            </w:pPr>
            <w:r w:rsidRPr="00446A7C">
              <w:rPr>
                <w:rFonts w:eastAsiaTheme="majorEastAsia" w:cs="Times New Roman"/>
                <w:b/>
                <w:bCs/>
                <w:iCs/>
                <w:sz w:val="24"/>
                <w:szCs w:val="24"/>
                <w:lang w:val="en-US"/>
              </w:rPr>
              <w:t>Write- up</w:t>
            </w:r>
          </w:p>
        </w:tc>
        <w:tc>
          <w:tcPr>
            <w:tcW w:w="6207" w:type="dxa"/>
            <w:tcBorders>
              <w:bottom w:val="single" w:sz="4" w:space="0" w:color="auto"/>
            </w:tcBorders>
            <w:shd w:val="clear" w:color="auto" w:fill="auto"/>
          </w:tcPr>
          <w:p w14:paraId="3B302C28" w14:textId="77777777" w:rsidR="0008415E" w:rsidRPr="00446A7C" w:rsidRDefault="00000000">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446A7C">
              <w:rPr>
                <w:rFonts w:eastAsia="Calibri" w:cs="Times New Roman"/>
                <w:szCs w:val="24"/>
                <w:lang w:val="en-US"/>
              </w:rPr>
              <w:t>The results of the study are presented, and the conclusion reached based on what the analysis helped to generate</w:t>
            </w:r>
          </w:p>
        </w:tc>
      </w:tr>
    </w:tbl>
    <w:p w14:paraId="17BFCFCD" w14:textId="77777777" w:rsidR="0008415E" w:rsidRPr="00446A7C" w:rsidRDefault="00000000">
      <w:pPr>
        <w:spacing w:line="480" w:lineRule="auto"/>
        <w:ind w:firstLine="0"/>
        <w:jc w:val="both"/>
        <w:rPr>
          <w:rFonts w:cs="Times New Roman"/>
          <w:b/>
          <w:bCs/>
          <w:szCs w:val="24"/>
        </w:rPr>
      </w:pPr>
      <w:r w:rsidRPr="00446A7C">
        <w:rPr>
          <w:rFonts w:cs="Times New Roman"/>
          <w:b/>
          <w:bCs/>
          <w:szCs w:val="24"/>
        </w:rPr>
        <w:t>Source: Adapted from Braun and Clarke (2006)</w:t>
      </w:r>
    </w:p>
    <w:p w14:paraId="3493B581" w14:textId="77777777" w:rsidR="0008415E" w:rsidRPr="00446A7C" w:rsidRDefault="00000000" w:rsidP="00C568DD">
      <w:pPr>
        <w:pStyle w:val="Heading3"/>
      </w:pPr>
      <w:bookmarkStart w:id="127" w:name="_Toc171703242"/>
      <w:r w:rsidRPr="00446A7C">
        <w:t>3.13.1 Data Coding</w:t>
      </w:r>
      <w:bookmarkEnd w:id="127"/>
    </w:p>
    <w:p w14:paraId="21A6DB06" w14:textId="77777777" w:rsidR="0008415E" w:rsidRDefault="00000000">
      <w:pPr>
        <w:spacing w:line="480" w:lineRule="auto"/>
        <w:ind w:firstLine="0"/>
        <w:contextualSpacing/>
        <w:jc w:val="both"/>
        <w:rPr>
          <w:rFonts w:cs="Times New Roman"/>
          <w:bCs/>
          <w:szCs w:val="24"/>
        </w:rPr>
      </w:pPr>
      <w:r w:rsidRPr="00446A7C">
        <w:rPr>
          <w:rFonts w:cs="Times New Roman"/>
          <w:bCs/>
          <w:szCs w:val="24"/>
        </w:rPr>
        <w:t>According to Creswell (2013), coding entails labelling categorized segmented sentences with a term that is usually based on the participant's actual language.</w:t>
      </w:r>
      <w:r w:rsidRPr="00446A7C">
        <w:rPr>
          <w:rFonts w:cs="Times New Roman"/>
          <w:szCs w:val="24"/>
        </w:rPr>
        <w:t xml:space="preserve"> </w:t>
      </w:r>
      <w:r w:rsidRPr="00446A7C">
        <w:rPr>
          <w:rFonts w:cs="Times New Roman"/>
          <w:bCs/>
          <w:szCs w:val="24"/>
        </w:rPr>
        <w:t>In my study, direct quotations have been used to represent the views of respondents. Likewise, narratives have been used to make meaning of some of the data. Also, respondents' identities were coded using serial numbers to ensure anonymity. I numbered each participants response with an identifiable code. This enabled clearer presentation of data when the themes were described and supported by quotations in the final written thesis.  The table below represents the codes assigned to each participant.</w:t>
      </w:r>
    </w:p>
    <w:p w14:paraId="6403C9BB" w14:textId="77777777" w:rsidR="00C568DD" w:rsidRPr="00446A7C" w:rsidRDefault="00C568DD">
      <w:pPr>
        <w:spacing w:line="480" w:lineRule="auto"/>
        <w:ind w:firstLine="0"/>
        <w:contextualSpacing/>
        <w:jc w:val="both"/>
        <w:rPr>
          <w:rFonts w:cs="Times New Roman"/>
          <w:bCs/>
          <w:szCs w:val="24"/>
        </w:rPr>
      </w:pPr>
    </w:p>
    <w:p w14:paraId="192D41C2" w14:textId="24386FDF" w:rsidR="0008415E" w:rsidRPr="00446A7C" w:rsidRDefault="00000000" w:rsidP="00C568DD">
      <w:pPr>
        <w:pStyle w:val="Heading6"/>
      </w:pPr>
      <w:bookmarkStart w:id="128" w:name="_Toc161240388"/>
      <w:bookmarkStart w:id="129" w:name="_Toc171700080"/>
      <w:r w:rsidRPr="00446A7C">
        <w:lastRenderedPageBreak/>
        <w:t xml:space="preserve">Table </w:t>
      </w:r>
      <w:fldSimple w:instr=" SEQ Table \* ARABIC ">
        <w:r w:rsidR="00986730">
          <w:rPr>
            <w:noProof/>
          </w:rPr>
          <w:t>4</w:t>
        </w:r>
      </w:fldSimple>
      <w:r w:rsidRPr="00446A7C">
        <w:t>: Codes generated for data analysis</w:t>
      </w:r>
      <w:bookmarkEnd w:id="128"/>
      <w:bookmarkEnd w:id="129"/>
    </w:p>
    <w:tbl>
      <w:tblPr>
        <w:tblStyle w:val="TableGrid"/>
        <w:tblW w:w="8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19"/>
        <w:gridCol w:w="4320"/>
      </w:tblGrid>
      <w:tr w:rsidR="0008415E" w:rsidRPr="00446A7C" w14:paraId="4F273ACF" w14:textId="77777777" w:rsidTr="00C568DD">
        <w:trPr>
          <w:trHeight w:val="546"/>
        </w:trPr>
        <w:tc>
          <w:tcPr>
            <w:tcW w:w="4319" w:type="dxa"/>
            <w:tcBorders>
              <w:top w:val="single" w:sz="4" w:space="0" w:color="auto"/>
              <w:bottom w:val="single" w:sz="4" w:space="0" w:color="auto"/>
            </w:tcBorders>
            <w:shd w:val="clear" w:color="auto" w:fill="auto"/>
          </w:tcPr>
          <w:p w14:paraId="78407B60"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PARTICIPANTS</w:t>
            </w:r>
          </w:p>
        </w:tc>
        <w:tc>
          <w:tcPr>
            <w:tcW w:w="4320" w:type="dxa"/>
            <w:tcBorders>
              <w:top w:val="single" w:sz="4" w:space="0" w:color="auto"/>
              <w:bottom w:val="single" w:sz="4" w:space="0" w:color="auto"/>
            </w:tcBorders>
            <w:shd w:val="clear" w:color="auto" w:fill="auto"/>
          </w:tcPr>
          <w:p w14:paraId="5CCA1227"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CODED NAMES</w:t>
            </w:r>
          </w:p>
        </w:tc>
      </w:tr>
      <w:tr w:rsidR="0008415E" w:rsidRPr="00446A7C" w14:paraId="61B3F465" w14:textId="77777777" w:rsidTr="00C568DD">
        <w:trPr>
          <w:trHeight w:val="1107"/>
        </w:trPr>
        <w:tc>
          <w:tcPr>
            <w:tcW w:w="4319" w:type="dxa"/>
            <w:tcBorders>
              <w:top w:val="single" w:sz="4" w:space="0" w:color="auto"/>
            </w:tcBorders>
            <w:shd w:val="clear" w:color="auto" w:fill="auto"/>
          </w:tcPr>
          <w:p w14:paraId="2F07EC78"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Guo</w:t>
            </w:r>
          </w:p>
        </w:tc>
        <w:tc>
          <w:tcPr>
            <w:tcW w:w="4320" w:type="dxa"/>
            <w:tcBorders>
              <w:top w:val="single" w:sz="4" w:space="0" w:color="auto"/>
            </w:tcBorders>
            <w:shd w:val="clear" w:color="auto" w:fill="auto"/>
          </w:tcPr>
          <w:p w14:paraId="5E078631"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GR1, GR2, GR3, GR4, GR5, GR6, GR7, GR8, GR9, GR10, GR11, GR12.</w:t>
            </w:r>
          </w:p>
        </w:tc>
      </w:tr>
      <w:tr w:rsidR="0008415E" w:rsidRPr="00446A7C" w14:paraId="5B2781F8" w14:textId="77777777" w:rsidTr="00C568DD">
        <w:trPr>
          <w:trHeight w:val="1107"/>
        </w:trPr>
        <w:tc>
          <w:tcPr>
            <w:tcW w:w="4319" w:type="dxa"/>
            <w:shd w:val="clear" w:color="auto" w:fill="auto"/>
          </w:tcPr>
          <w:p w14:paraId="4FB3A46D"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Munyupelle</w:t>
            </w:r>
          </w:p>
        </w:tc>
        <w:tc>
          <w:tcPr>
            <w:tcW w:w="4320" w:type="dxa"/>
            <w:shd w:val="clear" w:color="auto" w:fill="auto"/>
          </w:tcPr>
          <w:p w14:paraId="39B7CC5B"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MR1, MR2, MR3, MR4, MR5, MR6, MR7, MR8, MR9, MR10, MR11, MR12.</w:t>
            </w:r>
          </w:p>
        </w:tc>
      </w:tr>
      <w:tr w:rsidR="0008415E" w:rsidRPr="00446A7C" w14:paraId="69C10A0B" w14:textId="77777777" w:rsidTr="00C568DD">
        <w:trPr>
          <w:trHeight w:val="1107"/>
        </w:trPr>
        <w:tc>
          <w:tcPr>
            <w:tcW w:w="4319" w:type="dxa"/>
            <w:shd w:val="clear" w:color="auto" w:fill="auto"/>
          </w:tcPr>
          <w:p w14:paraId="15B1E8CE"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Vaapuo</w:t>
            </w:r>
          </w:p>
        </w:tc>
        <w:tc>
          <w:tcPr>
            <w:tcW w:w="4320" w:type="dxa"/>
            <w:shd w:val="clear" w:color="auto" w:fill="auto"/>
          </w:tcPr>
          <w:p w14:paraId="653CD4EA"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VR1, VR2, VR3, VR4, VR5, VR6, VR7, VR8, VR9, VR10, VR11, VR12.</w:t>
            </w:r>
          </w:p>
        </w:tc>
      </w:tr>
      <w:tr w:rsidR="0008415E" w:rsidRPr="00446A7C" w14:paraId="579C2771" w14:textId="77777777" w:rsidTr="00C568DD">
        <w:trPr>
          <w:trHeight w:val="879"/>
        </w:trPr>
        <w:tc>
          <w:tcPr>
            <w:tcW w:w="4319" w:type="dxa"/>
            <w:shd w:val="clear" w:color="auto" w:fill="auto"/>
          </w:tcPr>
          <w:p w14:paraId="2DAB3D8F"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Nabugang</w:t>
            </w:r>
          </w:p>
        </w:tc>
        <w:tc>
          <w:tcPr>
            <w:tcW w:w="4320" w:type="dxa"/>
            <w:shd w:val="clear" w:color="auto" w:fill="auto"/>
          </w:tcPr>
          <w:p w14:paraId="1D657091"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NR1, NR2, NR3, NR4, NR5, NR6, NR7, NR8, NR9, NR10, NR11, NR12.</w:t>
            </w:r>
          </w:p>
        </w:tc>
      </w:tr>
      <w:tr w:rsidR="0008415E" w:rsidRPr="00446A7C" w14:paraId="4AE42381" w14:textId="77777777" w:rsidTr="00C568DD">
        <w:trPr>
          <w:trHeight w:val="560"/>
        </w:trPr>
        <w:tc>
          <w:tcPr>
            <w:tcW w:w="4319" w:type="dxa"/>
            <w:shd w:val="clear" w:color="auto" w:fill="auto"/>
          </w:tcPr>
          <w:p w14:paraId="1CA1FFCE"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Head of Department (HOD), DSW office</w:t>
            </w:r>
          </w:p>
        </w:tc>
        <w:tc>
          <w:tcPr>
            <w:tcW w:w="4320" w:type="dxa"/>
            <w:shd w:val="clear" w:color="auto" w:fill="auto"/>
          </w:tcPr>
          <w:p w14:paraId="0DDF4EF1"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MG1</w:t>
            </w:r>
          </w:p>
        </w:tc>
      </w:tr>
      <w:tr w:rsidR="0008415E" w:rsidRPr="00446A7C" w14:paraId="6EE1BD34" w14:textId="77777777" w:rsidTr="00C568DD">
        <w:trPr>
          <w:trHeight w:val="546"/>
        </w:trPr>
        <w:tc>
          <w:tcPr>
            <w:tcW w:w="4319" w:type="dxa"/>
            <w:tcBorders>
              <w:bottom w:val="single" w:sz="4" w:space="0" w:color="auto"/>
            </w:tcBorders>
            <w:shd w:val="clear" w:color="auto" w:fill="auto"/>
          </w:tcPr>
          <w:p w14:paraId="2D32EF4B"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Case worker, DSW office</w:t>
            </w:r>
          </w:p>
        </w:tc>
        <w:tc>
          <w:tcPr>
            <w:tcW w:w="4320" w:type="dxa"/>
            <w:tcBorders>
              <w:bottom w:val="single" w:sz="4" w:space="0" w:color="auto"/>
            </w:tcBorders>
            <w:shd w:val="clear" w:color="auto" w:fill="auto"/>
          </w:tcPr>
          <w:p w14:paraId="1612EB83" w14:textId="77777777" w:rsidR="0008415E" w:rsidRPr="00446A7C" w:rsidRDefault="00000000">
            <w:pPr>
              <w:spacing w:line="480" w:lineRule="auto"/>
              <w:ind w:firstLine="0"/>
              <w:contextualSpacing/>
              <w:jc w:val="both"/>
              <w:rPr>
                <w:rFonts w:cs="Times New Roman"/>
                <w:bCs/>
                <w:szCs w:val="24"/>
              </w:rPr>
            </w:pPr>
            <w:r w:rsidRPr="00446A7C">
              <w:rPr>
                <w:rFonts w:eastAsia="Calibri" w:cs="Times New Roman"/>
                <w:bCs/>
                <w:szCs w:val="24"/>
              </w:rPr>
              <w:t>MG2</w:t>
            </w:r>
          </w:p>
        </w:tc>
      </w:tr>
    </w:tbl>
    <w:p w14:paraId="65247211" w14:textId="77777777" w:rsidR="0008415E" w:rsidRPr="00446A7C" w:rsidRDefault="00000000">
      <w:pPr>
        <w:spacing w:line="480" w:lineRule="auto"/>
        <w:ind w:firstLine="0"/>
        <w:contextualSpacing/>
        <w:jc w:val="both"/>
        <w:rPr>
          <w:rFonts w:cs="Times New Roman"/>
          <w:b/>
          <w:szCs w:val="24"/>
        </w:rPr>
      </w:pPr>
      <w:r w:rsidRPr="00446A7C">
        <w:rPr>
          <w:rFonts w:cs="Times New Roman"/>
          <w:b/>
          <w:szCs w:val="24"/>
        </w:rPr>
        <w:t>Source: Author’s Construct.</w:t>
      </w:r>
    </w:p>
    <w:p w14:paraId="4238F1E2" w14:textId="77777777" w:rsidR="0008415E" w:rsidRPr="00446A7C" w:rsidRDefault="00000000">
      <w:pPr>
        <w:pStyle w:val="Heading2"/>
        <w:rPr>
          <w:rFonts w:cs="Times New Roman"/>
          <w:szCs w:val="24"/>
        </w:rPr>
      </w:pPr>
      <w:bookmarkStart w:id="130" w:name="_Toc171703243"/>
      <w:r w:rsidRPr="00446A7C">
        <w:rPr>
          <w:rFonts w:cs="Times New Roman"/>
          <w:szCs w:val="24"/>
        </w:rPr>
        <w:t>3.14 Limitations of the Study</w:t>
      </w:r>
      <w:bookmarkEnd w:id="130"/>
    </w:p>
    <w:p w14:paraId="1DA440AC" w14:textId="77777777" w:rsidR="0008415E" w:rsidRPr="00446A7C" w:rsidRDefault="00000000">
      <w:pPr>
        <w:spacing w:line="480" w:lineRule="auto"/>
        <w:ind w:firstLine="0"/>
        <w:contextualSpacing/>
        <w:jc w:val="both"/>
        <w:rPr>
          <w:rFonts w:cs="Times New Roman"/>
          <w:bCs/>
          <w:szCs w:val="24"/>
          <w:lang w:val="en-US"/>
        </w:rPr>
      </w:pPr>
      <w:r w:rsidRPr="00446A7C">
        <w:rPr>
          <w:rFonts w:cs="Times New Roman"/>
          <w:bCs/>
          <w:szCs w:val="24"/>
        </w:rPr>
        <w:t>The essential strength of any qualitative research is the accuracy of the findings from the perspective of the researcher, the participant, or the readers (Creswell, 2013).</w:t>
      </w:r>
      <w:r w:rsidRPr="00446A7C">
        <w:rPr>
          <w:rFonts w:cs="Times New Roman"/>
          <w:szCs w:val="24"/>
        </w:rPr>
        <w:t xml:space="preserve"> </w:t>
      </w:r>
      <w:r w:rsidRPr="00446A7C">
        <w:rPr>
          <w:rFonts w:cs="Times New Roman"/>
          <w:bCs/>
          <w:szCs w:val="24"/>
        </w:rPr>
        <w:t xml:space="preserve">Limitations are anticipated problems with the study that are beyond the control of the researcher and that could prohibit it from being actively carried out and limit its scope, sample size, and degree of replication of the results. The researcher was unable to influence the respondents' attitudes, which could have influenced the study. Data was also gathered from only four beneficiary communities </w:t>
      </w:r>
      <w:r w:rsidRPr="00446A7C">
        <w:rPr>
          <w:rFonts w:cs="Times New Roman"/>
          <w:bCs/>
          <w:szCs w:val="24"/>
          <w:lang w:val="en-US"/>
        </w:rPr>
        <w:t xml:space="preserve">in </w:t>
      </w:r>
      <w:r w:rsidRPr="00446A7C">
        <w:rPr>
          <w:rFonts w:cs="Times New Roman"/>
          <w:bCs/>
          <w:szCs w:val="24"/>
        </w:rPr>
        <w:t xml:space="preserve">the Nandom </w:t>
      </w:r>
      <w:r w:rsidRPr="00446A7C">
        <w:rPr>
          <w:rFonts w:cs="Times New Roman"/>
          <w:bCs/>
          <w:szCs w:val="24"/>
          <w:lang w:val="en-US"/>
        </w:rPr>
        <w:t xml:space="preserve">District </w:t>
      </w:r>
      <w:r w:rsidRPr="00446A7C">
        <w:rPr>
          <w:rFonts w:cs="Times New Roman"/>
          <w:bCs/>
          <w:szCs w:val="24"/>
        </w:rPr>
        <w:t xml:space="preserve">in the Upper West </w:t>
      </w:r>
      <w:r w:rsidRPr="00446A7C">
        <w:rPr>
          <w:rFonts w:cs="Times New Roman"/>
          <w:bCs/>
          <w:szCs w:val="24"/>
          <w:lang w:val="en-US"/>
        </w:rPr>
        <w:t xml:space="preserve">Region </w:t>
      </w:r>
      <w:r w:rsidRPr="00446A7C">
        <w:rPr>
          <w:rFonts w:cs="Times New Roman"/>
          <w:bCs/>
          <w:szCs w:val="24"/>
        </w:rPr>
        <w:t xml:space="preserve">of Ghana </w:t>
      </w:r>
      <w:r w:rsidRPr="00446A7C">
        <w:rPr>
          <w:rFonts w:cs="Times New Roman"/>
          <w:bCs/>
          <w:szCs w:val="24"/>
          <w:lang w:val="en-US"/>
        </w:rPr>
        <w:t>and as such the findings may not reflect the views of all indigents under the LEAP programme in Ghana and therefore cannot be generalized.</w:t>
      </w:r>
    </w:p>
    <w:p w14:paraId="4151CA98" w14:textId="77777777" w:rsidR="0008415E" w:rsidRPr="00446A7C" w:rsidRDefault="00000000">
      <w:pPr>
        <w:pStyle w:val="Heading2"/>
        <w:rPr>
          <w:rFonts w:cs="Times New Roman"/>
          <w:szCs w:val="24"/>
        </w:rPr>
      </w:pPr>
      <w:bookmarkStart w:id="131" w:name="_Toc171703244"/>
      <w:r w:rsidRPr="00446A7C">
        <w:rPr>
          <w:rFonts w:cs="Times New Roman"/>
          <w:szCs w:val="24"/>
        </w:rPr>
        <w:lastRenderedPageBreak/>
        <w:t>3.15 Ethical Considerations</w:t>
      </w:r>
      <w:bookmarkEnd w:id="131"/>
    </w:p>
    <w:p w14:paraId="79D60753"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According to Yin (2014), when conducting research involving human subjects, ethical considerations must be taken seriously. Some of these ethical considerations may include obtaining informed consent, protecting participants from harm, ensuring privacy and confidentiality, and anonymity. Prior to the start of data collection,</w:t>
      </w:r>
      <w:r w:rsidRPr="00446A7C">
        <w:rPr>
          <w:rFonts w:cs="Times New Roman"/>
          <w:szCs w:val="24"/>
        </w:rPr>
        <w:t xml:space="preserve"> </w:t>
      </w:r>
      <w:r w:rsidRPr="00446A7C">
        <w:rPr>
          <w:rFonts w:cs="Times New Roman"/>
          <w:bCs/>
          <w:szCs w:val="24"/>
        </w:rPr>
        <w:t xml:space="preserve">I sought ethical clearance from the Ethics Review Board of SD Dombo University of Business and Integrated Development Studies. Also, formal request was made to the Nandom District Social Welfare and Community Development (SWCD) office. Similarly, to ensure that the individual respondent's consent was obtained, a letter of consent indicating the objective of the study, its purpose, and a copy of my research protocol was distributed ahead of time to each Community Focal Person (CFP) in all four communities so that they could read and interpret to beneficiaries for their consent. This was done to ensure voluntary participation and to prevent respondents from providing forced responses. The DSW/CD appoints the CFP as a team leader for beneficiaries. He or she acts as a liaison between the office and the beneficiaries. </w:t>
      </w:r>
    </w:p>
    <w:p w14:paraId="22E400C0" w14:textId="77777777" w:rsidR="0008415E" w:rsidRPr="00446A7C" w:rsidRDefault="00000000" w:rsidP="000B2D44">
      <w:pPr>
        <w:pStyle w:val="Heading2"/>
      </w:pPr>
      <w:bookmarkStart w:id="132" w:name="_Toc171703245"/>
      <w:r w:rsidRPr="00446A7C">
        <w:t xml:space="preserve">3.16 Summary and </w:t>
      </w:r>
      <w:r w:rsidRPr="000B2D44">
        <w:t>Conclusion</w:t>
      </w:r>
      <w:bookmarkEnd w:id="132"/>
    </w:p>
    <w:p w14:paraId="1FFD9A7F"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 xml:space="preserve">The preceding chapter discussed the philosophical underpinning of the study and the various methods and strategies used to collect and analyse data. The research was carried out in the Nandom District of Ghana. It used the qualitative method to collect data on how digital technology can be used to improve the LEAP programme for long-term poverty reduction. As previously stated, the qualitative method was most appropriate for this study because I wanted to create an environment in which respondents' opinions, feelings, and emotions could be expressed more freely. The study deployed a case study design to provide the researcher with an opportunity to gain insights and investigate how </w:t>
      </w:r>
      <w:r w:rsidRPr="00446A7C">
        <w:rPr>
          <w:rFonts w:cs="Times New Roman"/>
          <w:bCs/>
          <w:szCs w:val="24"/>
        </w:rPr>
        <w:lastRenderedPageBreak/>
        <w:t>LEAP can be improved through technology for long-term poverty reduction in the region.</w:t>
      </w:r>
    </w:p>
    <w:p w14:paraId="5F1CBE52" w14:textId="77777777" w:rsidR="0008415E" w:rsidRPr="00446A7C" w:rsidRDefault="0008415E" w:rsidP="00372E48">
      <w:pPr>
        <w:pStyle w:val="NoSpacing"/>
      </w:pPr>
    </w:p>
    <w:p w14:paraId="6CBE34DD" w14:textId="77777777" w:rsidR="0008415E" w:rsidRPr="00446A7C" w:rsidRDefault="00000000">
      <w:pPr>
        <w:spacing w:line="480" w:lineRule="auto"/>
        <w:ind w:firstLine="0"/>
        <w:contextualSpacing/>
        <w:jc w:val="both"/>
        <w:rPr>
          <w:rFonts w:cs="Times New Roman"/>
          <w:bCs/>
          <w:szCs w:val="24"/>
        </w:rPr>
      </w:pPr>
      <w:r w:rsidRPr="00446A7C">
        <w:rPr>
          <w:rFonts w:cs="Times New Roman"/>
          <w:bCs/>
          <w:szCs w:val="24"/>
        </w:rPr>
        <w:t>Following the completion of the interviews and discussions, the data was transcribed and analysed using thematic analysis techniques. Both primary and secondary data sources were used. Face-to-face interviews and direct observations were the primary sources of evidence, while secondary sources included documents such as the LEAP annual report, internet publications on LEAP, LEAP operations manual, brochures, and others. In gathering the necessary information on the field, ethical considerations such as informed consent, anonymity, and confidentiality, among others, were adhered to.</w:t>
      </w:r>
      <w:r w:rsidRPr="00446A7C">
        <w:rPr>
          <w:rFonts w:cs="Times New Roman"/>
          <w:szCs w:val="24"/>
        </w:rPr>
        <w:br w:type="page"/>
      </w:r>
    </w:p>
    <w:p w14:paraId="57FF03C3" w14:textId="77777777" w:rsidR="0008415E" w:rsidRDefault="00000000">
      <w:pPr>
        <w:pStyle w:val="Heading1"/>
        <w:spacing w:before="0"/>
      </w:pPr>
      <w:bookmarkStart w:id="133" w:name="_Toc171703246"/>
      <w:r w:rsidRPr="00446A7C">
        <w:lastRenderedPageBreak/>
        <w:t>CHAPTER FOUR</w:t>
      </w:r>
      <w:bookmarkEnd w:id="133"/>
    </w:p>
    <w:p w14:paraId="78E5C28A" w14:textId="77777777" w:rsidR="000B2D44" w:rsidRPr="000B2D44" w:rsidRDefault="000B2D44" w:rsidP="00EA1209">
      <w:pPr>
        <w:pStyle w:val="NoSpacing"/>
      </w:pPr>
    </w:p>
    <w:p w14:paraId="6D4024E2" w14:textId="77777777" w:rsidR="0008415E" w:rsidRPr="00446A7C" w:rsidRDefault="00000000" w:rsidP="000B2D44">
      <w:pPr>
        <w:pStyle w:val="Heading1"/>
      </w:pPr>
      <w:r w:rsidRPr="00446A7C">
        <w:t xml:space="preserve"> </w:t>
      </w:r>
      <w:bookmarkStart w:id="134" w:name="_Toc171703247"/>
      <w:r w:rsidRPr="00446A7C">
        <w:t xml:space="preserve">LEAP SERVICE DELIVERY AND THE ROLE OF DIGITAL </w:t>
      </w:r>
      <w:r w:rsidRPr="00446A7C">
        <w:rPr>
          <w:lang w:val="en-US"/>
        </w:rPr>
        <w:t>TECHNOLOGY</w:t>
      </w:r>
      <w:bookmarkEnd w:id="134"/>
    </w:p>
    <w:p w14:paraId="50D3D229" w14:textId="77777777" w:rsidR="0008415E" w:rsidRPr="00446A7C" w:rsidRDefault="00000000" w:rsidP="000B2D44">
      <w:pPr>
        <w:pStyle w:val="Heading2"/>
      </w:pPr>
      <w:bookmarkStart w:id="135" w:name="_Toc171703248"/>
      <w:r w:rsidRPr="00446A7C">
        <w:t>4.1 Introduction</w:t>
      </w:r>
      <w:bookmarkEnd w:id="135"/>
    </w:p>
    <w:p w14:paraId="693243A3"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 study was conducted to assess the role of digital technology in enhancing LEAP towards sustainable poverty reduction. The study involved 50 respondents from selected households that are beneficiaries of the LEAP programme in Nandom District ranging between the ages of 35 to 70</w:t>
      </w:r>
      <w:r w:rsidRPr="00446A7C">
        <w:rPr>
          <w:rFonts w:eastAsia="Calibri" w:cs="Times New Roman"/>
          <w:kern w:val="2"/>
          <w:szCs w:val="24"/>
          <w:lang w:val="en-US"/>
        </w:rPr>
        <w:t xml:space="preserve"> </w:t>
      </w:r>
      <w:r w:rsidRPr="00446A7C">
        <w:rPr>
          <w:rFonts w:eastAsia="Calibri" w:cs="Times New Roman"/>
          <w:kern w:val="2"/>
          <w:szCs w:val="24"/>
        </w:rPr>
        <w:t xml:space="preserve">years. They were made up of 24 males and 24 females. Two officials in charge of the LEAP programme implementation at the District Assembly were also interviewed. The LEAP beneficiaries selected as part of the research participants were mainly farmers, </w:t>
      </w:r>
      <w:r w:rsidRPr="00446A7C">
        <w:rPr>
          <w:rFonts w:eastAsia="Calibri" w:cs="Times New Roman"/>
          <w:i/>
          <w:iCs/>
          <w:kern w:val="2"/>
          <w:szCs w:val="24"/>
        </w:rPr>
        <w:t>pito</w:t>
      </w:r>
      <w:r w:rsidRPr="00446A7C">
        <w:rPr>
          <w:rStyle w:val="FootnoteReference"/>
          <w:rFonts w:eastAsia="Calibri" w:cs="Times New Roman"/>
          <w:i/>
          <w:iCs/>
          <w:kern w:val="2"/>
          <w:szCs w:val="24"/>
        </w:rPr>
        <w:footnoteReference w:id="2"/>
      </w:r>
      <w:r w:rsidRPr="00446A7C">
        <w:rPr>
          <w:rFonts w:eastAsia="Calibri" w:cs="Times New Roman"/>
          <w:kern w:val="2"/>
          <w:szCs w:val="24"/>
        </w:rPr>
        <w:t xml:space="preserve"> brewers and petty traders. These activities formed a major part of their sources of income and livelihoods. </w:t>
      </w:r>
    </w:p>
    <w:p w14:paraId="339253EB" w14:textId="77777777" w:rsidR="0008415E" w:rsidRPr="00446A7C" w:rsidRDefault="0008415E" w:rsidP="00EA1209">
      <w:pPr>
        <w:pStyle w:val="NoSpacing"/>
      </w:pPr>
    </w:p>
    <w:p w14:paraId="0FAA397D"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bCs/>
          <w:kern w:val="2"/>
          <w:szCs w:val="24"/>
        </w:rPr>
        <w:t>This section presents and discusses the results of the study. For the purpose of making an in-depth assessment, interviews were conducted. Data gathered centred around the research objectives so as to meet the ultimate research goal, which is the role of digital technology in enhancing LEAP for sustainable poverty reduction. These comprise: beneficiary’s access to LEAP’s intervention services, the perspectives of beneficiaries on the use of digital technology for services delivery and the limits and potential of using digital technology towards enhancing LEAP services’ delivery. The findings were presented under the themes that emerged from the study. The theory of technological determinism and the empowerment theory serves as the theoretical framework for the study.</w:t>
      </w:r>
    </w:p>
    <w:p w14:paraId="106C1F18" w14:textId="77777777" w:rsidR="0008415E" w:rsidRPr="00446A7C" w:rsidRDefault="0008415E">
      <w:pPr>
        <w:spacing w:before="240" w:after="0" w:line="480" w:lineRule="auto"/>
        <w:ind w:firstLine="0"/>
        <w:contextualSpacing/>
        <w:jc w:val="both"/>
        <w:rPr>
          <w:rFonts w:eastAsia="Calibri" w:cs="Times New Roman"/>
          <w:kern w:val="2"/>
          <w:szCs w:val="24"/>
        </w:rPr>
      </w:pPr>
    </w:p>
    <w:p w14:paraId="1EF1956A" w14:textId="77777777" w:rsidR="0008415E" w:rsidRPr="00446A7C" w:rsidRDefault="00000000">
      <w:pPr>
        <w:pStyle w:val="Heading2"/>
        <w:rPr>
          <w:rFonts w:cs="Times New Roman"/>
          <w:szCs w:val="24"/>
        </w:rPr>
      </w:pPr>
      <w:bookmarkStart w:id="136" w:name="_Hlk148639541"/>
      <w:bookmarkStart w:id="137" w:name="_Toc171703249"/>
      <w:r w:rsidRPr="00446A7C">
        <w:rPr>
          <w:rFonts w:cs="Times New Roman"/>
          <w:szCs w:val="24"/>
        </w:rPr>
        <w:lastRenderedPageBreak/>
        <w:t>4.2 Beneficiaries Access to LEAP Intervention</w:t>
      </w:r>
      <w:bookmarkEnd w:id="136"/>
      <w:bookmarkEnd w:id="137"/>
    </w:p>
    <w:p w14:paraId="34FDD81A"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As discussed in Chapter Two, access</w:t>
      </w:r>
      <w:r w:rsidRPr="00446A7C">
        <w:rPr>
          <w:rFonts w:cs="Times New Roman"/>
          <w:szCs w:val="24"/>
          <w:lang w:val="en-US"/>
        </w:rPr>
        <w:t xml:space="preserve"> refers to the ability of individuals or groups to obtain or utilize resources, services, or opportunities necessary for their well-being and development (World Health Organization, 2021). In social protection programmes particularly LEAP, access to benefits play a vital role in poverty reduction. Before someone can access and enjoy the full benefits of the intervention (cash transfer and or other complimentary services</w:t>
      </w:r>
      <w:r w:rsidRPr="00446A7C">
        <w:rPr>
          <w:rStyle w:val="FootnoteReference"/>
          <w:rFonts w:cs="Times New Roman"/>
          <w:szCs w:val="24"/>
          <w:lang w:val="en-US"/>
        </w:rPr>
        <w:footnoteReference w:id="3"/>
      </w:r>
      <w:r w:rsidRPr="00446A7C">
        <w:rPr>
          <w:rFonts w:cs="Times New Roman"/>
          <w:szCs w:val="24"/>
          <w:lang w:val="en-US"/>
        </w:rPr>
        <w:t xml:space="preserve">), they must be targeted and enrolled officially. The enrollment is in turn dependent on meeting the selection criteria that come with the implementation of these interventions. </w:t>
      </w:r>
      <w:r w:rsidRPr="00446A7C">
        <w:rPr>
          <w:rFonts w:cs="Times New Roman"/>
          <w:szCs w:val="24"/>
        </w:rPr>
        <w:t xml:space="preserve">As noted by Kind and Lee (2021), </w:t>
      </w:r>
      <w:r w:rsidRPr="00446A7C">
        <w:rPr>
          <w:rFonts w:cs="Times New Roman"/>
          <w:szCs w:val="24"/>
          <w:lang w:val="en-US"/>
        </w:rPr>
        <w:t xml:space="preserve">poverty and vulnerability are avoided and reduced throughout life when people have access to consistent and sufficient social protection payments. This implies that, since LEAP is a social protection intervention, access to the services provided by the programme will go a long way to reduce dependency, increase productivity and acquisition of basic needs which reflects positively in their livelihoods. This consequently promotes growth and reduction in long term poverty. Data from the field revealed how beneficiaries are targeted and enrolled into the LEAP programme as well as their experiences with the LEAP service delivery. </w:t>
      </w:r>
    </w:p>
    <w:p w14:paraId="18B81869" w14:textId="77777777" w:rsidR="0008415E" w:rsidRPr="00446A7C" w:rsidRDefault="00000000" w:rsidP="000B2D44">
      <w:pPr>
        <w:pStyle w:val="Heading3"/>
      </w:pPr>
      <w:bookmarkStart w:id="138" w:name="_Toc171703250"/>
      <w:r w:rsidRPr="00446A7C">
        <w:t>4.2.1 Previous beneficiary selection and recruitment-Targeting</w:t>
      </w:r>
      <w:bookmarkEnd w:id="138"/>
      <w:r w:rsidRPr="00446A7C">
        <w:tab/>
      </w:r>
    </w:p>
    <w:p w14:paraId="698D2824"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rPr>
        <w:t xml:space="preserve">This section presents how LEAP beneficiaries were previously selected and the challenges the system encountered. Targeting is viewed as one of </w:t>
      </w:r>
      <w:r w:rsidRPr="00446A7C">
        <w:rPr>
          <w:rFonts w:eastAsia="Calibri" w:cs="Times New Roman"/>
          <w:kern w:val="2"/>
          <w:szCs w:val="24"/>
          <w:lang w:val="en-US"/>
        </w:rPr>
        <w:t xml:space="preserve">the </w:t>
      </w:r>
      <w:r w:rsidRPr="00446A7C">
        <w:rPr>
          <w:rFonts w:eastAsia="Calibri" w:cs="Times New Roman"/>
          <w:kern w:val="2"/>
          <w:szCs w:val="24"/>
        </w:rPr>
        <w:t>most important components in the implementation of the LEAP programme.</w:t>
      </w:r>
      <w:r w:rsidRPr="00446A7C">
        <w:rPr>
          <w:rFonts w:eastAsia="Times New Roman" w:cs="Times New Roman"/>
          <w:szCs w:val="24"/>
          <w:lang w:val="en-US"/>
        </w:rPr>
        <w:t xml:space="preserve"> </w:t>
      </w:r>
      <w:r w:rsidRPr="00446A7C">
        <w:rPr>
          <w:rFonts w:eastAsia="Calibri" w:cs="Times New Roman"/>
          <w:kern w:val="2"/>
          <w:szCs w:val="24"/>
          <w:lang w:val="en-US"/>
        </w:rPr>
        <w:t xml:space="preserve">The targeting of potential beneficiaries has undergone several stages since the programme began in 2008. The first stage involves geographical targeting, which means choosing the poorest areas, including </w:t>
      </w:r>
      <w:r w:rsidRPr="00446A7C">
        <w:rPr>
          <w:rFonts w:eastAsia="Calibri" w:cs="Times New Roman"/>
          <w:kern w:val="2"/>
          <w:szCs w:val="24"/>
          <w:lang w:val="en-US"/>
        </w:rPr>
        <w:lastRenderedPageBreak/>
        <w:t>regions, districts, and communities, for the programme. The Ghana Statistical Service (GSS) and the National Development Planning Commission (NDPC) use the country's poverty map to identify these areas. Poverty indicators, such as access to good roads, clean water, and students' performance in the Basic Education Certificate Examination (BECE), are used to identify these areas. Additionally, a community-based targeting approach was used to select potential beneficiaries who met the LEAP eligibility criteria, such as orphans, severely disabled individuals, and elderly individuals without economic support (NSPS, 2015).</w:t>
      </w:r>
    </w:p>
    <w:p w14:paraId="6749EF87" w14:textId="77777777" w:rsidR="0008415E" w:rsidRPr="00446A7C" w:rsidRDefault="0008415E" w:rsidP="00EA1209">
      <w:pPr>
        <w:pStyle w:val="NoSpacing"/>
      </w:pPr>
    </w:p>
    <w:p w14:paraId="1A76F0F3"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The LEAP programme utilizes another targeting method known as the Proxy Means Test. This method involves the distribution of questionnaires to potential beneficiaries who have been selected by committees from various districts </w:t>
      </w:r>
      <w:r w:rsidRPr="00446A7C">
        <w:rPr>
          <w:rFonts w:eastAsia="Calibri" w:cs="Times New Roman"/>
          <w:bCs/>
          <w:kern w:val="2"/>
          <w:szCs w:val="24"/>
          <w:lang w:val="en-US"/>
        </w:rPr>
        <w:t>(NSPS, 2015).</w:t>
      </w:r>
      <w:r w:rsidRPr="00446A7C">
        <w:rPr>
          <w:rFonts w:eastAsia="Calibri" w:cs="Times New Roman"/>
          <w:kern w:val="2"/>
          <w:szCs w:val="24"/>
          <w:lang w:val="en-US"/>
        </w:rPr>
        <w:t xml:space="preserve"> The objective is to prioritize the most eligible individuals for participation in the programme, considering the limited resources available. The final stage that LEAP programme employs is community validation as a targeting approach. This entails sharing a final list of selected individuals with their respective communities, allowing community members to validate the selection based on the programme's eligibility criteria </w:t>
      </w:r>
      <w:r w:rsidRPr="00446A7C">
        <w:rPr>
          <w:rFonts w:eastAsia="Calibri" w:cs="Times New Roman"/>
          <w:bCs/>
          <w:kern w:val="2"/>
          <w:szCs w:val="24"/>
          <w:lang w:val="en-US"/>
        </w:rPr>
        <w:t>(NSPS, 2015).</w:t>
      </w:r>
      <w:r w:rsidRPr="00446A7C">
        <w:rPr>
          <w:rFonts w:eastAsia="Calibri" w:cs="Times New Roman"/>
          <w:kern w:val="2"/>
          <w:szCs w:val="24"/>
          <w:lang w:val="en-US"/>
        </w:rPr>
        <w:t xml:space="preserve"> During this process, community members can express their agreement or disagreement with the chosen individuals. Once the community has validated the list of beneficiaries, their names are then forwarded to the DSW office for registration, verification, and enrollment in the programme.</w:t>
      </w:r>
    </w:p>
    <w:p w14:paraId="60066B20" w14:textId="77777777" w:rsidR="0008415E" w:rsidRPr="00446A7C" w:rsidRDefault="0008415E" w:rsidP="00EA1209">
      <w:pPr>
        <w:pStyle w:val="NoSpacing"/>
      </w:pPr>
    </w:p>
    <w:p w14:paraId="71488416" w14:textId="77777777" w:rsidR="0008415E" w:rsidRPr="00446A7C" w:rsidRDefault="00000000">
      <w:pPr>
        <w:spacing w:before="240" w:after="0" w:line="480" w:lineRule="auto"/>
        <w:ind w:firstLine="0"/>
        <w:contextualSpacing/>
        <w:jc w:val="both"/>
        <w:rPr>
          <w:rStyle w:val="CommentReference"/>
          <w:rFonts w:cs="Times New Roman"/>
          <w:sz w:val="24"/>
          <w:szCs w:val="24"/>
        </w:rPr>
      </w:pPr>
      <w:r w:rsidRPr="00446A7C">
        <w:rPr>
          <w:rFonts w:eastAsia="Calibri" w:cs="Times New Roman"/>
          <w:kern w:val="2"/>
          <w:szCs w:val="24"/>
        </w:rPr>
        <w:t>However, it was highlighted by the key informants that using community-based targeting and proxy means test approaches created biases posing challenges to the programme implementation. For instance, one key informant during an interview asserted that:</w:t>
      </w:r>
      <w:r w:rsidRPr="00446A7C">
        <w:rPr>
          <w:rStyle w:val="CommentReference"/>
          <w:rFonts w:cs="Times New Roman"/>
          <w:sz w:val="24"/>
          <w:szCs w:val="24"/>
        </w:rPr>
        <w:t xml:space="preserve"> </w:t>
      </w:r>
    </w:p>
    <w:p w14:paraId="51F957EE" w14:textId="55A29BB5" w:rsidR="0008415E" w:rsidRPr="00446A7C" w:rsidRDefault="00000000" w:rsidP="00BD41E4">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lastRenderedPageBreak/>
        <w:t xml:space="preserve">“The community-based selection was not a very effective form of targeting; it </w:t>
      </w:r>
      <w:r w:rsidR="00BD41E4">
        <w:rPr>
          <w:rFonts w:eastAsia="Calibri" w:cs="Times New Roman"/>
          <w:i/>
          <w:iCs/>
          <w:kern w:val="2"/>
          <w:szCs w:val="24"/>
        </w:rPr>
        <w:tab/>
      </w:r>
      <w:r w:rsidRPr="00446A7C">
        <w:rPr>
          <w:rFonts w:eastAsia="Calibri" w:cs="Times New Roman"/>
          <w:i/>
          <w:iCs/>
          <w:kern w:val="2"/>
          <w:szCs w:val="24"/>
        </w:rPr>
        <w:t>created a lot of biases. People who were not qualified were enrol</w:t>
      </w:r>
      <w:r w:rsidRPr="00446A7C">
        <w:rPr>
          <w:rFonts w:eastAsia="Calibri" w:cs="Times New Roman"/>
          <w:i/>
          <w:iCs/>
          <w:kern w:val="2"/>
          <w:szCs w:val="24"/>
          <w:lang w:val="en-US"/>
        </w:rPr>
        <w:t>l</w:t>
      </w:r>
      <w:r w:rsidRPr="00446A7C">
        <w:rPr>
          <w:rFonts w:eastAsia="Calibri" w:cs="Times New Roman"/>
          <w:i/>
          <w:iCs/>
          <w:kern w:val="2"/>
          <w:szCs w:val="24"/>
        </w:rPr>
        <w:t xml:space="preserve">ed because </w:t>
      </w:r>
      <w:r w:rsidR="00BD41E4">
        <w:rPr>
          <w:rFonts w:eastAsia="Calibri" w:cs="Times New Roman"/>
          <w:i/>
          <w:iCs/>
          <w:kern w:val="2"/>
          <w:szCs w:val="24"/>
        </w:rPr>
        <w:tab/>
      </w:r>
      <w:r w:rsidRPr="00446A7C">
        <w:rPr>
          <w:rFonts w:eastAsia="Calibri" w:cs="Times New Roman"/>
          <w:i/>
          <w:iCs/>
          <w:kern w:val="2"/>
          <w:szCs w:val="24"/>
        </w:rPr>
        <w:t xml:space="preserve">their friends and families will vouch for them. The proxy means testing also </w:t>
      </w:r>
      <w:r w:rsidR="00BD41E4">
        <w:rPr>
          <w:rFonts w:eastAsia="Calibri" w:cs="Times New Roman"/>
          <w:i/>
          <w:iCs/>
          <w:kern w:val="2"/>
          <w:szCs w:val="24"/>
        </w:rPr>
        <w:tab/>
      </w:r>
      <w:r w:rsidRPr="00446A7C">
        <w:rPr>
          <w:rFonts w:eastAsia="Calibri" w:cs="Times New Roman"/>
          <w:i/>
          <w:iCs/>
          <w:kern w:val="2"/>
          <w:szCs w:val="24"/>
        </w:rPr>
        <w:t xml:space="preserve">posed challenges because some beneficiaries gave responses that will put them in </w:t>
      </w:r>
      <w:r w:rsidR="00BD41E4">
        <w:rPr>
          <w:rFonts w:eastAsia="Calibri" w:cs="Times New Roman"/>
          <w:i/>
          <w:iCs/>
          <w:kern w:val="2"/>
          <w:szCs w:val="24"/>
        </w:rPr>
        <w:tab/>
      </w:r>
      <w:r w:rsidRPr="00446A7C">
        <w:rPr>
          <w:rFonts w:eastAsia="Calibri" w:cs="Times New Roman"/>
          <w:i/>
          <w:iCs/>
          <w:kern w:val="2"/>
          <w:szCs w:val="24"/>
        </w:rPr>
        <w:t xml:space="preserve">the beneficiary categories. This led to inclusion and exclusion errors.” (MG1, </w:t>
      </w:r>
      <w:r w:rsidR="00BD41E4">
        <w:rPr>
          <w:rFonts w:eastAsia="Calibri" w:cs="Times New Roman"/>
          <w:i/>
          <w:iCs/>
          <w:kern w:val="2"/>
          <w:szCs w:val="24"/>
        </w:rPr>
        <w:tab/>
      </w:r>
      <w:r w:rsidRPr="00446A7C">
        <w:rPr>
          <w:rFonts w:eastAsia="Calibri" w:cs="Times New Roman"/>
          <w:i/>
          <w:iCs/>
          <w:kern w:val="2"/>
          <w:szCs w:val="24"/>
        </w:rPr>
        <w:t>2023)</w:t>
      </w:r>
    </w:p>
    <w:p w14:paraId="65AF18C7" w14:textId="77777777" w:rsidR="0008415E" w:rsidRPr="00EA1209" w:rsidRDefault="0008415E" w:rsidP="00BD41E4">
      <w:pPr>
        <w:pStyle w:val="NoSpacing"/>
        <w:rPr>
          <w:rStyle w:val="BookTitle"/>
        </w:rPr>
      </w:pPr>
    </w:p>
    <w:p w14:paraId="095689E6" w14:textId="77777777" w:rsidR="0008415E"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 key informant in emphasising the challenges encountered during the previous targeting processes added:</w:t>
      </w:r>
    </w:p>
    <w:p w14:paraId="2FC0B689" w14:textId="77777777" w:rsidR="00BD41E4" w:rsidRDefault="00BD41E4" w:rsidP="00BD41E4">
      <w:pPr>
        <w:pStyle w:val="NoSpacing"/>
      </w:pPr>
    </w:p>
    <w:p w14:paraId="57F4FCD8" w14:textId="3DDC8BEA" w:rsidR="0008415E" w:rsidRPr="00446A7C" w:rsidRDefault="00000000" w:rsidP="00BD41E4">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‘’See, when we did the targeting and expansion around 2016 and 2017, I had to </w:t>
      </w:r>
      <w:r w:rsidR="00BD41E4">
        <w:rPr>
          <w:rFonts w:eastAsia="Calibri" w:cs="Times New Roman"/>
          <w:i/>
          <w:iCs/>
          <w:kern w:val="2"/>
          <w:szCs w:val="24"/>
        </w:rPr>
        <w:tab/>
      </w:r>
      <w:r w:rsidRPr="00446A7C">
        <w:rPr>
          <w:rFonts w:eastAsia="Calibri" w:cs="Times New Roman"/>
          <w:i/>
          <w:iCs/>
          <w:kern w:val="2"/>
          <w:szCs w:val="24"/>
        </w:rPr>
        <w:t>carry my questioners in a ‘Ghana must go</w:t>
      </w:r>
      <w:r w:rsidRPr="00446A7C">
        <w:rPr>
          <w:rStyle w:val="FootnoteReference"/>
          <w:rFonts w:eastAsia="Calibri" w:cs="Times New Roman"/>
          <w:i/>
          <w:iCs/>
          <w:kern w:val="2"/>
          <w:szCs w:val="24"/>
        </w:rPr>
        <w:footnoteReference w:id="4"/>
      </w:r>
      <w:r w:rsidRPr="00446A7C">
        <w:rPr>
          <w:rFonts w:eastAsia="Calibri" w:cs="Times New Roman"/>
          <w:i/>
          <w:iCs/>
          <w:kern w:val="2"/>
          <w:szCs w:val="24"/>
        </w:rPr>
        <w:t xml:space="preserve">’ to the LEAP management secretariat </w:t>
      </w:r>
      <w:r w:rsidR="00BD41E4">
        <w:rPr>
          <w:rFonts w:eastAsia="Calibri" w:cs="Times New Roman"/>
          <w:i/>
          <w:iCs/>
          <w:kern w:val="2"/>
          <w:szCs w:val="24"/>
        </w:rPr>
        <w:tab/>
      </w:r>
      <w:r w:rsidRPr="00446A7C">
        <w:rPr>
          <w:rFonts w:eastAsia="Calibri" w:cs="Times New Roman"/>
          <w:i/>
          <w:iCs/>
          <w:kern w:val="2"/>
          <w:szCs w:val="24"/>
        </w:rPr>
        <w:t xml:space="preserve">in Accra. I slept </w:t>
      </w:r>
      <w:r w:rsidRPr="00446A7C">
        <w:rPr>
          <w:rFonts w:eastAsia="Calibri" w:cs="Times New Roman"/>
          <w:i/>
          <w:iCs/>
          <w:kern w:val="2"/>
          <w:szCs w:val="24"/>
          <w:lang w:val="en-US"/>
        </w:rPr>
        <w:t>in</w:t>
      </w:r>
      <w:r w:rsidRPr="00446A7C">
        <w:rPr>
          <w:rFonts w:eastAsia="Calibri" w:cs="Times New Roman"/>
          <w:i/>
          <w:iCs/>
          <w:kern w:val="2"/>
          <w:szCs w:val="24"/>
        </w:rPr>
        <w:t xml:space="preserve"> Accra for one week before my data</w:t>
      </w:r>
      <w:r w:rsidRPr="00446A7C">
        <w:rPr>
          <w:rFonts w:eastAsia="Calibri" w:cs="Times New Roman"/>
          <w:i/>
          <w:iCs/>
          <w:kern w:val="2"/>
          <w:szCs w:val="24"/>
          <w:lang w:val="en-US"/>
        </w:rPr>
        <w:t xml:space="preserve"> was then updated</w:t>
      </w:r>
      <w:r w:rsidRPr="00446A7C">
        <w:rPr>
          <w:rFonts w:eastAsia="Calibri" w:cs="Times New Roman"/>
          <w:i/>
          <w:iCs/>
          <w:kern w:val="2"/>
          <w:szCs w:val="24"/>
        </w:rPr>
        <w:t xml:space="preserve"> into the </w:t>
      </w:r>
      <w:r w:rsidR="00BD41E4">
        <w:rPr>
          <w:rFonts w:eastAsia="Calibri" w:cs="Times New Roman"/>
          <w:i/>
          <w:iCs/>
          <w:kern w:val="2"/>
          <w:szCs w:val="24"/>
        </w:rPr>
        <w:tab/>
      </w:r>
      <w:r w:rsidRPr="00446A7C">
        <w:rPr>
          <w:rFonts w:eastAsia="Calibri" w:cs="Times New Roman"/>
          <w:i/>
          <w:iCs/>
          <w:kern w:val="2"/>
          <w:szCs w:val="24"/>
        </w:rPr>
        <w:t xml:space="preserve">system. But now I just sit in my office and enter the data and all I have to do is </w:t>
      </w:r>
      <w:r w:rsidR="00BD41E4">
        <w:rPr>
          <w:rFonts w:eastAsia="Calibri" w:cs="Times New Roman"/>
          <w:i/>
          <w:iCs/>
          <w:kern w:val="2"/>
          <w:szCs w:val="24"/>
        </w:rPr>
        <w:tab/>
      </w:r>
      <w:r w:rsidRPr="00446A7C">
        <w:rPr>
          <w:rFonts w:eastAsia="Calibri" w:cs="Times New Roman"/>
          <w:i/>
          <w:iCs/>
          <w:kern w:val="2"/>
          <w:szCs w:val="24"/>
        </w:rPr>
        <w:t>synchronize to the server.’’ (MG1, 2023)</w:t>
      </w:r>
    </w:p>
    <w:p w14:paraId="215BA676" w14:textId="77777777" w:rsidR="0008415E" w:rsidRPr="00446A7C" w:rsidRDefault="0008415E" w:rsidP="00EA1209">
      <w:pPr>
        <w:pStyle w:val="NoSpacing"/>
      </w:pPr>
    </w:p>
    <w:p w14:paraId="540DBE6E"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 findings acknowledged different stages in the targeting process of LEAP programme. It also revealed a number of challenges. In the case of community- based selection (self- targeting), there was the evidence of biases resulting from individuals who were not genuinely qualified enlisting and confirming their eligibility to be enro</w:t>
      </w:r>
      <w:r w:rsidRPr="00446A7C">
        <w:rPr>
          <w:rFonts w:eastAsia="Calibri" w:cs="Times New Roman"/>
          <w:kern w:val="2"/>
          <w:szCs w:val="24"/>
          <w:lang w:val="en-US"/>
        </w:rPr>
        <w:t>l</w:t>
      </w:r>
      <w:r w:rsidRPr="00446A7C">
        <w:rPr>
          <w:rFonts w:eastAsia="Calibri" w:cs="Times New Roman"/>
          <w:kern w:val="2"/>
          <w:szCs w:val="24"/>
        </w:rPr>
        <w:t xml:space="preserve">led. Likewise, the Proxy means testing introduced inaccurate responses that placed some people into beneficiary categories they did not belong. The manual system of targeting was also seen to be time consuming and hectic acknowledging the need for an alternative targeting mechanism for an effective LEAP implementation. </w:t>
      </w:r>
    </w:p>
    <w:p w14:paraId="2E4F5954" w14:textId="77777777" w:rsidR="0008415E" w:rsidRPr="00446A7C" w:rsidRDefault="00000000" w:rsidP="000B2D44">
      <w:pPr>
        <w:pStyle w:val="Heading3"/>
      </w:pPr>
      <w:bookmarkStart w:id="139" w:name="_Toc171703251"/>
      <w:r w:rsidRPr="00446A7C">
        <w:lastRenderedPageBreak/>
        <w:t>4.1.2 Current beneficiary selection and recruitment</w:t>
      </w:r>
      <w:bookmarkEnd w:id="139"/>
    </w:p>
    <w:p w14:paraId="3522BD6A" w14:textId="77777777" w:rsidR="0008415E" w:rsidRPr="00446A7C" w:rsidRDefault="00000000" w:rsidP="00EA1209">
      <w:pPr>
        <w:spacing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The current beneficiary selection involves a more systematic approach in the beneficiary selection process. Even though this current process still incorporates some manual approaches to target and enrol eligible beneficiaries, it has a more digitised component to it. A review of the MoGCSP and NSPS documents showed that, beneficiaries of the programme are currently targeted through the Ghana National Household Register (GNHR). </w:t>
      </w:r>
      <w:r w:rsidRPr="00446A7C">
        <w:rPr>
          <w:rFonts w:eastAsia="Calibri" w:cs="Times New Roman"/>
          <w:kern w:val="2"/>
          <w:szCs w:val="24"/>
          <w:lang w:val="en-US"/>
        </w:rPr>
        <w:t xml:space="preserve">The Ministry of Gender, Children and Social Protection (MoGCSP) received funding from the World Bank to establish the Ghana National Household Registry (GNHR) to provide a common targeting mechanism that can assist social protection programmes in Ghana to identify, prioritize, and select households living in vulnerable conditions to ensure that different social protection programmes effectively reach them </w:t>
      </w:r>
      <w:r w:rsidRPr="00446A7C">
        <w:rPr>
          <w:rFonts w:eastAsia="Calibri" w:cs="Times New Roman"/>
          <w:kern w:val="2"/>
          <w:szCs w:val="24"/>
        </w:rPr>
        <w:t xml:space="preserve">(MoGCSP, 2024).  </w:t>
      </w:r>
    </w:p>
    <w:p w14:paraId="10C95371" w14:textId="77777777" w:rsidR="0008415E" w:rsidRPr="00446A7C" w:rsidRDefault="0008415E" w:rsidP="00EA1209">
      <w:pPr>
        <w:pStyle w:val="NoSpacing"/>
      </w:pPr>
    </w:p>
    <w:p w14:paraId="1692D7EA"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The GNHR project aims to register households and collect basic information regarding their socio-economic status in a common register. This is achieved through the administration of a data intake questionnaire to every household. Since its inception in August 2016, the GNHR project unit has implemented systems and delivery mechanisms that have contributed to the successful implementation of the project in the Upper West, Upper East, Northern, Savannah, and North East Regions of Ghana (GNHR, 2023).</w:t>
      </w:r>
      <w:bookmarkStart w:id="140" w:name="_Hlk160547073"/>
      <w:r w:rsidRPr="00446A7C">
        <w:rPr>
          <w:rFonts w:eastAsia="Calibri" w:cs="Times New Roman"/>
          <w:kern w:val="2"/>
          <w:szCs w:val="24"/>
        </w:rPr>
        <w:t xml:space="preserve"> </w:t>
      </w:r>
      <w:bookmarkEnd w:id="140"/>
      <w:r w:rsidRPr="00446A7C">
        <w:rPr>
          <w:rFonts w:eastAsia="Calibri" w:cs="Times New Roman"/>
          <w:kern w:val="2"/>
          <w:szCs w:val="24"/>
          <w:lang w:val="en-US"/>
        </w:rPr>
        <w:t xml:space="preserve">This approach involves using digital data collection and skilled enumerators. Their main roles are to identify potential beneficiaries, ensure transparency in the data collected, and facilitate efficient data processing and management. The establishment of the GNHR aims to enhance the targeting system in Ghana by utilizing the same Proxy Mean Test indicators (Common Targeting Mechanism) to identify potential beneficiaries for social </w:t>
      </w:r>
      <w:r w:rsidRPr="00446A7C">
        <w:rPr>
          <w:rFonts w:eastAsia="Calibri" w:cs="Times New Roman"/>
          <w:kern w:val="2"/>
          <w:szCs w:val="24"/>
          <w:lang w:val="en-US"/>
        </w:rPr>
        <w:lastRenderedPageBreak/>
        <w:t xml:space="preserve">protection interventions. This transition </w:t>
      </w:r>
      <w:r w:rsidRPr="00446A7C">
        <w:rPr>
          <w:rFonts w:eastAsia="Calibri" w:cs="Times New Roman"/>
          <w:kern w:val="2"/>
          <w:szCs w:val="24"/>
        </w:rPr>
        <w:t>was confirmed by a key informant during an interview. He stated:</w:t>
      </w:r>
    </w:p>
    <w:p w14:paraId="1A71F8E3"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“Now the beneficiaries are enro</w:t>
      </w:r>
      <w:r w:rsidRPr="00446A7C">
        <w:rPr>
          <w:rFonts w:eastAsia="Calibri" w:cs="Times New Roman"/>
          <w:i/>
          <w:iCs/>
          <w:kern w:val="2"/>
          <w:szCs w:val="24"/>
          <w:lang w:val="en-US"/>
        </w:rPr>
        <w:t>l</w:t>
      </w:r>
      <w:r w:rsidRPr="00446A7C">
        <w:rPr>
          <w:rFonts w:eastAsia="Calibri" w:cs="Times New Roman"/>
          <w:i/>
          <w:iCs/>
          <w:kern w:val="2"/>
          <w:szCs w:val="24"/>
        </w:rPr>
        <w:t xml:space="preserve">led through the National Household Register (NHR) Data, with this, the team went to every household in the communities in Ghana and collated data. Ahaa [a confirmation sigh], instead of the LEAP management </w:t>
      </w:r>
      <w:r w:rsidRPr="00446A7C">
        <w:rPr>
          <w:rFonts w:eastAsia="Calibri" w:cs="Times New Roman"/>
          <w:i/>
          <w:iCs/>
          <w:kern w:val="2"/>
          <w:szCs w:val="24"/>
          <w:lang w:val="en-US"/>
        </w:rPr>
        <w:t>secretariat</w:t>
      </w:r>
      <w:r w:rsidRPr="00446A7C">
        <w:rPr>
          <w:rFonts w:eastAsia="Calibri" w:cs="Times New Roman"/>
          <w:i/>
          <w:iCs/>
          <w:kern w:val="2"/>
          <w:szCs w:val="24"/>
        </w:rPr>
        <w:t xml:space="preserve"> going to the field with the PMT questioner again to collect data, we always use the NHR (National Household Register) data to identify beneficiaries. The poverty indicators are already there so we always match the people with the indicators and sieve out the eligible beneficiaries. Straight away, they [referring to the LEAP central administration] will just send us [District level implementation officers] the data of the qualified beneficiaries in the various LEAP communities in the district.  We then laisse with the private financial service providers (PFP) to enrol the eligible beneficiaries into the LEAP programme.” (MG2, 2023)</w:t>
      </w:r>
    </w:p>
    <w:p w14:paraId="2165DDE1" w14:textId="77777777" w:rsidR="0008415E" w:rsidRPr="00446A7C" w:rsidRDefault="0008415E" w:rsidP="00EA1209">
      <w:pPr>
        <w:pStyle w:val="NoSpacing"/>
      </w:pPr>
    </w:p>
    <w:p w14:paraId="5BFDCA2B"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In support of this claim, another key informant emphasized the shift to a more systematic approach in selecting beneficiaries:</w:t>
      </w:r>
    </w:p>
    <w:p w14:paraId="3241ADC3" w14:textId="58F420DA" w:rsidR="0008415E" w:rsidRPr="00446A7C" w:rsidRDefault="00000000" w:rsidP="000B2D44">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“Oh, now we have gone digital, recently we did the LEAP reassessment and </w:t>
      </w:r>
      <w:r w:rsidR="000B2D44">
        <w:rPr>
          <w:rFonts w:eastAsia="Calibri" w:cs="Times New Roman"/>
          <w:i/>
          <w:iCs/>
          <w:kern w:val="2"/>
          <w:szCs w:val="24"/>
        </w:rPr>
        <w:tab/>
      </w:r>
      <w:r w:rsidRPr="00446A7C">
        <w:rPr>
          <w:rFonts w:eastAsia="Calibri" w:cs="Times New Roman"/>
          <w:i/>
          <w:iCs/>
          <w:kern w:val="2"/>
          <w:szCs w:val="24"/>
        </w:rPr>
        <w:t xml:space="preserve">created portals, and all the enumerators were trained to do updates and identify </w:t>
      </w:r>
      <w:r w:rsidR="000B2D44">
        <w:rPr>
          <w:rFonts w:eastAsia="Calibri" w:cs="Times New Roman"/>
          <w:i/>
          <w:iCs/>
          <w:kern w:val="2"/>
          <w:szCs w:val="24"/>
        </w:rPr>
        <w:tab/>
      </w:r>
      <w:r w:rsidRPr="00446A7C">
        <w:rPr>
          <w:rFonts w:eastAsia="Calibri" w:cs="Times New Roman"/>
          <w:i/>
          <w:iCs/>
          <w:kern w:val="2"/>
          <w:szCs w:val="24"/>
        </w:rPr>
        <w:t xml:space="preserve">potential beneficiaries. When the data is collected it will be synced to the server. </w:t>
      </w:r>
      <w:r w:rsidR="000B2D44">
        <w:rPr>
          <w:rFonts w:eastAsia="Calibri" w:cs="Times New Roman"/>
          <w:i/>
          <w:iCs/>
          <w:kern w:val="2"/>
          <w:szCs w:val="24"/>
        </w:rPr>
        <w:tab/>
      </w:r>
      <w:r w:rsidRPr="00446A7C">
        <w:rPr>
          <w:rFonts w:eastAsia="Calibri" w:cs="Times New Roman"/>
          <w:i/>
          <w:iCs/>
          <w:kern w:val="2"/>
          <w:szCs w:val="24"/>
        </w:rPr>
        <w:t xml:space="preserve">This is the last stage we are now. These people are now given e-zwitch cards after </w:t>
      </w:r>
      <w:r w:rsidR="000B2D44">
        <w:rPr>
          <w:rFonts w:eastAsia="Calibri" w:cs="Times New Roman"/>
          <w:i/>
          <w:iCs/>
          <w:kern w:val="2"/>
          <w:szCs w:val="24"/>
        </w:rPr>
        <w:tab/>
      </w:r>
      <w:r w:rsidRPr="00446A7C">
        <w:rPr>
          <w:rFonts w:eastAsia="Calibri" w:cs="Times New Roman"/>
          <w:i/>
          <w:iCs/>
          <w:kern w:val="2"/>
          <w:szCs w:val="24"/>
        </w:rPr>
        <w:t>we verify them to be able to assess their money.” (MG1, 2023)</w:t>
      </w:r>
    </w:p>
    <w:p w14:paraId="1CB3D906" w14:textId="77777777" w:rsidR="0008415E" w:rsidRPr="00446A7C" w:rsidRDefault="0008415E">
      <w:pPr>
        <w:spacing w:before="240" w:after="0" w:line="480" w:lineRule="auto"/>
        <w:ind w:firstLine="0"/>
        <w:contextualSpacing/>
        <w:jc w:val="both"/>
        <w:rPr>
          <w:rFonts w:eastAsia="Calibri" w:cs="Times New Roman"/>
          <w:kern w:val="2"/>
          <w:szCs w:val="24"/>
        </w:rPr>
      </w:pPr>
    </w:p>
    <w:p w14:paraId="3A998416"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The findings imply the targeting and enrolment of beneficiaries have now transitioned to a digitized system. This new re-imagining of the programme will increase accessibility </w:t>
      </w:r>
      <w:r w:rsidRPr="00446A7C">
        <w:rPr>
          <w:rFonts w:eastAsia="Calibri" w:cs="Times New Roman"/>
          <w:kern w:val="2"/>
          <w:szCs w:val="24"/>
        </w:rPr>
        <w:lastRenderedPageBreak/>
        <w:t>to the programme. Based on this, the digital revolution of using the GNHR data to target eligible beneficiaries will ensure the right people are enro</w:t>
      </w:r>
      <w:r w:rsidRPr="00446A7C">
        <w:rPr>
          <w:rFonts w:eastAsia="Calibri" w:cs="Times New Roman"/>
          <w:kern w:val="2"/>
          <w:szCs w:val="24"/>
          <w:lang w:val="en-US"/>
        </w:rPr>
        <w:t>l</w:t>
      </w:r>
      <w:r w:rsidRPr="00446A7C">
        <w:rPr>
          <w:rFonts w:eastAsia="Calibri" w:cs="Times New Roman"/>
          <w:kern w:val="2"/>
          <w:szCs w:val="24"/>
        </w:rPr>
        <w:t xml:space="preserve">led into the programme which can lead to reduction in vulnerability. The is confirmed by </w:t>
      </w:r>
      <w:r w:rsidRPr="00446A7C">
        <w:rPr>
          <w:rFonts w:eastAsia="Calibri" w:cs="Times New Roman"/>
          <w:kern w:val="2"/>
          <w:szCs w:val="24"/>
          <w:lang w:val="en-US"/>
        </w:rPr>
        <w:t xml:space="preserve">Osei (2011), where he said “effectiveness in reducing poverty will depend on among other factors, the nature of the targeting used to reach beneficiaries” (Osei, 2011:16). </w:t>
      </w:r>
      <w:r w:rsidRPr="00446A7C">
        <w:rPr>
          <w:rFonts w:eastAsia="Calibri" w:cs="Times New Roman"/>
          <w:kern w:val="2"/>
          <w:szCs w:val="24"/>
        </w:rPr>
        <w:t>The findings also show that, there is now a digital system in place to verify beneficiaries once they are enro</w:t>
      </w:r>
      <w:r w:rsidRPr="00446A7C">
        <w:rPr>
          <w:rFonts w:eastAsia="Calibri" w:cs="Times New Roman"/>
          <w:kern w:val="2"/>
          <w:szCs w:val="24"/>
          <w:lang w:val="en-US"/>
        </w:rPr>
        <w:t>l</w:t>
      </w:r>
      <w:r w:rsidRPr="00446A7C">
        <w:rPr>
          <w:rFonts w:eastAsia="Calibri" w:cs="Times New Roman"/>
          <w:kern w:val="2"/>
          <w:szCs w:val="24"/>
        </w:rPr>
        <w:t>led in to the programme. These beneficiaries are then given e-zwitch card</w:t>
      </w:r>
      <w:r w:rsidRPr="00446A7C">
        <w:rPr>
          <w:rFonts w:eastAsia="Calibri" w:cs="Times New Roman"/>
          <w:kern w:val="2"/>
          <w:szCs w:val="24"/>
          <w:lang w:val="en-US"/>
        </w:rPr>
        <w:t>s</w:t>
      </w:r>
      <w:r w:rsidRPr="00446A7C">
        <w:rPr>
          <w:rFonts w:eastAsia="Calibri" w:cs="Times New Roman"/>
          <w:kern w:val="2"/>
          <w:szCs w:val="24"/>
        </w:rPr>
        <w:t xml:space="preserve"> through which they can receive their bi-monthly payment. This corroborates the view of Barnwal (2014) who argued that the utilization of digital identity systems enables better identification and targeting of beneficiaries, ensuring that support reaches those who need it the most.</w:t>
      </w:r>
    </w:p>
    <w:p w14:paraId="2E6D0FB8" w14:textId="77777777" w:rsidR="0008415E" w:rsidRPr="00446A7C" w:rsidRDefault="0008415E" w:rsidP="00EA1209">
      <w:pPr>
        <w:pStyle w:val="NoSpacing"/>
      </w:pPr>
    </w:p>
    <w:p w14:paraId="2900C383"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This shift from manual targeting to a more digitized system through the use of the NHR data acknowledges the views of the theory of technological determinism. The theory argues that technology propels</w:t>
      </w:r>
      <w:r w:rsidRPr="00446A7C">
        <w:rPr>
          <w:rFonts w:eastAsia="Calibri" w:cs="Times New Roman"/>
          <w:bCs/>
          <w:kern w:val="2"/>
          <w:szCs w:val="24"/>
        </w:rPr>
        <w:t xml:space="preserve"> social change, recognizing its ability to shape behaviours, norms, and institutions (Van, 2021). This implies that, by embracing technological advancements the LEAP programme can streamline its operations. These transitions will not only enhance the efficiency of the programme, but also prompt the institutions </w:t>
      </w:r>
      <w:r w:rsidRPr="00446A7C">
        <w:rPr>
          <w:rFonts w:eastAsia="Calibri" w:cs="Times New Roman"/>
          <w:bCs/>
          <w:kern w:val="2"/>
          <w:szCs w:val="24"/>
          <w:lang w:val="en-US"/>
        </w:rPr>
        <w:t xml:space="preserve">to </w:t>
      </w:r>
      <w:r w:rsidRPr="00446A7C">
        <w:rPr>
          <w:rFonts w:eastAsia="Calibri" w:cs="Times New Roman"/>
          <w:bCs/>
          <w:kern w:val="2"/>
          <w:szCs w:val="24"/>
        </w:rPr>
        <w:t>adapt their structures</w:t>
      </w:r>
      <w:r w:rsidRPr="00446A7C">
        <w:rPr>
          <w:rFonts w:eastAsia="Calibri" w:cs="Times New Roman"/>
          <w:bCs/>
          <w:kern w:val="2"/>
          <w:szCs w:val="24"/>
          <w:lang w:val="en-US"/>
        </w:rPr>
        <w:t>,</w:t>
      </w:r>
      <w:r w:rsidRPr="00446A7C">
        <w:rPr>
          <w:rFonts w:eastAsia="Calibri" w:cs="Times New Roman"/>
          <w:bCs/>
          <w:kern w:val="2"/>
          <w:szCs w:val="24"/>
        </w:rPr>
        <w:t xml:space="preserve"> policies and practices. </w:t>
      </w:r>
    </w:p>
    <w:p w14:paraId="1D593EE0" w14:textId="77777777" w:rsidR="0008415E" w:rsidRPr="00446A7C" w:rsidRDefault="00000000" w:rsidP="000B2D44">
      <w:pPr>
        <w:pStyle w:val="Heading3"/>
      </w:pPr>
      <w:bookmarkStart w:id="141" w:name="_Toc171703252"/>
      <w:r w:rsidRPr="00446A7C">
        <w:t>4.1.3 LEAP service package</w:t>
      </w:r>
      <w:bookmarkEnd w:id="141"/>
    </w:p>
    <w:p w14:paraId="03CDD964" w14:textId="77777777" w:rsidR="0008415E" w:rsidRDefault="00000000">
      <w:pPr>
        <w:spacing w:line="480" w:lineRule="auto"/>
        <w:ind w:firstLine="0"/>
        <w:contextualSpacing/>
        <w:jc w:val="both"/>
        <w:rPr>
          <w:rFonts w:cs="Times New Roman"/>
          <w:szCs w:val="24"/>
          <w:lang w:val="en-US"/>
        </w:rPr>
      </w:pPr>
      <w:r w:rsidRPr="00446A7C">
        <w:rPr>
          <w:rFonts w:cs="Times New Roman"/>
          <w:szCs w:val="24"/>
          <w:lang w:val="en-US"/>
        </w:rPr>
        <w:t xml:space="preserve">Evidence from the study areas showed that once beneficiaries are targeted and enrolled into the LEAP programme, they primarily receive cash transfers as a form of support. These cash transfers aim to provide financial assistance to vulnerable households, helping them meet their basic needs and improve their overall well-being. Additionally, beneficiaries are offered complementary services, such as enrollment in the National Health Insurance Scheme (NHIS) and renewal of NHIS cards. This initiative ensures that </w:t>
      </w:r>
      <w:r w:rsidRPr="00446A7C">
        <w:rPr>
          <w:rFonts w:cs="Times New Roman"/>
          <w:szCs w:val="24"/>
          <w:lang w:val="en-US"/>
        </w:rPr>
        <w:lastRenderedPageBreak/>
        <w:t xml:space="preserve">beneficiaries have access to essential healthcare services without facing financial barriers. This proactive approach ensures continuous access to food, productive assets, and healthcare services, contributing to enhanced living standards, human capital development and better health outcomes. By combining cash transfers with access to healthcare through the NHIS, the programme addresses both immediate financial needs and health security for vulnerable households. This is confirmed by a 60-year-old farmer who revealed during an interview session in Vaapuo that: </w:t>
      </w:r>
    </w:p>
    <w:p w14:paraId="63BC81B4" w14:textId="77777777" w:rsidR="00BD41E4" w:rsidRPr="00BD41E4" w:rsidRDefault="00BD41E4" w:rsidP="00BD41E4">
      <w:pPr>
        <w:pStyle w:val="NoSpacing"/>
        <w:rPr>
          <w:sz w:val="4"/>
          <w:szCs w:val="4"/>
        </w:rPr>
      </w:pPr>
    </w:p>
    <w:p w14:paraId="0B1985C8" w14:textId="77777777" w:rsidR="0008415E" w:rsidRPr="00446A7C" w:rsidRDefault="00000000">
      <w:pPr>
        <w:tabs>
          <w:tab w:val="center" w:pos="90"/>
          <w:tab w:val="left" w:pos="1188"/>
          <w:tab w:val="left" w:pos="1620"/>
          <w:tab w:val="left" w:pos="1890"/>
        </w:tabs>
        <w:spacing w:before="240" w:after="0" w:line="480" w:lineRule="auto"/>
        <w:ind w:left="630" w:firstLine="0"/>
        <w:contextualSpacing/>
        <w:jc w:val="both"/>
        <w:rPr>
          <w:rFonts w:eastAsia="Calibri" w:cs="Times New Roman"/>
          <w:i/>
          <w:iCs/>
          <w:kern w:val="2"/>
          <w:szCs w:val="24"/>
        </w:rPr>
      </w:pPr>
      <w:r w:rsidRPr="00446A7C">
        <w:rPr>
          <w:rFonts w:eastAsia="Calibri" w:cs="Times New Roman"/>
          <w:kern w:val="2"/>
          <w:szCs w:val="24"/>
        </w:rPr>
        <w:t>“</w:t>
      </w:r>
      <w:r w:rsidRPr="00446A7C">
        <w:rPr>
          <w:rFonts w:eastAsia="Calibri" w:cs="Times New Roman"/>
          <w:i/>
          <w:iCs/>
          <w:kern w:val="2"/>
          <w:szCs w:val="24"/>
        </w:rPr>
        <w:t>I don’t receive any other services except the money they [LEAP officials] give when there is payment; they give us money and also pay for our insurance [NHIS]. This year I used some of the money to buy fertilizer for my maize farm.” (Elderly poor, 2023).</w:t>
      </w:r>
    </w:p>
    <w:p w14:paraId="6D2E02D3" w14:textId="77777777" w:rsidR="0008415E" w:rsidRPr="00446A7C" w:rsidRDefault="0008415E" w:rsidP="00EA1209">
      <w:pPr>
        <w:pStyle w:val="NoSpacing"/>
      </w:pPr>
    </w:p>
    <w:p w14:paraId="192F4933" w14:textId="77777777" w:rsidR="0008415E" w:rsidRPr="00446A7C" w:rsidRDefault="00000000">
      <w:pPr>
        <w:tabs>
          <w:tab w:val="left" w:pos="1440"/>
          <w:tab w:val="left" w:pos="1800"/>
        </w:tabs>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Another beneficiary (30-year-old blind farmer) in Nabugang confirmed by stating: </w:t>
      </w:r>
    </w:p>
    <w:p w14:paraId="4617D669" w14:textId="77777777" w:rsidR="0008415E" w:rsidRPr="00446A7C" w:rsidRDefault="0008415E" w:rsidP="00EA1209">
      <w:pPr>
        <w:pStyle w:val="NoSpacing"/>
      </w:pPr>
    </w:p>
    <w:p w14:paraId="1B894C6B" w14:textId="5B79E546" w:rsidR="0008415E" w:rsidRDefault="00000000" w:rsidP="000B2D44">
      <w:pPr>
        <w:spacing w:before="240" w:after="0" w:line="480" w:lineRule="auto"/>
        <w:contextualSpacing/>
        <w:jc w:val="both"/>
        <w:rPr>
          <w:rFonts w:eastAsia="Calibri" w:cs="Times New Roman"/>
          <w:i/>
          <w:iCs/>
          <w:kern w:val="2"/>
          <w:szCs w:val="24"/>
        </w:rPr>
      </w:pPr>
      <w:r w:rsidRPr="00446A7C">
        <w:rPr>
          <w:rFonts w:eastAsia="Calibri" w:cs="Times New Roman"/>
          <w:kern w:val="2"/>
          <w:szCs w:val="24"/>
        </w:rPr>
        <w:t>“</w:t>
      </w:r>
      <w:r w:rsidRPr="00446A7C">
        <w:rPr>
          <w:rFonts w:eastAsia="Calibri" w:cs="Times New Roman"/>
          <w:i/>
          <w:iCs/>
          <w:kern w:val="2"/>
          <w:szCs w:val="24"/>
        </w:rPr>
        <w:t xml:space="preserve">When they [LEAP officials] came to the village and selected us, they started </w:t>
      </w:r>
      <w:r w:rsidR="000B2D44">
        <w:rPr>
          <w:rFonts w:eastAsia="Calibri" w:cs="Times New Roman"/>
          <w:i/>
          <w:iCs/>
          <w:kern w:val="2"/>
          <w:szCs w:val="24"/>
        </w:rPr>
        <w:tab/>
      </w:r>
      <w:r w:rsidRPr="00446A7C">
        <w:rPr>
          <w:rFonts w:eastAsia="Calibri" w:cs="Times New Roman"/>
          <w:i/>
          <w:iCs/>
          <w:kern w:val="2"/>
          <w:szCs w:val="24"/>
        </w:rPr>
        <w:t xml:space="preserve">giving us money. Sometimes I get GHS 80 or GHS 90 cedi’s which I use to </w:t>
      </w:r>
      <w:r w:rsidR="000B2D44">
        <w:rPr>
          <w:rFonts w:eastAsia="Calibri" w:cs="Times New Roman"/>
          <w:i/>
          <w:iCs/>
          <w:kern w:val="2"/>
          <w:szCs w:val="24"/>
        </w:rPr>
        <w:tab/>
      </w:r>
      <w:r w:rsidRPr="00446A7C">
        <w:rPr>
          <w:rFonts w:eastAsia="Calibri" w:cs="Times New Roman"/>
          <w:i/>
          <w:iCs/>
          <w:kern w:val="2"/>
          <w:szCs w:val="24"/>
        </w:rPr>
        <w:t xml:space="preserve">support my family and then when my card [NHIS] expired, they renewed it for </w:t>
      </w:r>
      <w:r w:rsidR="000B2D44">
        <w:rPr>
          <w:rFonts w:eastAsia="Calibri" w:cs="Times New Roman"/>
          <w:i/>
          <w:iCs/>
          <w:kern w:val="2"/>
          <w:szCs w:val="24"/>
        </w:rPr>
        <w:tab/>
      </w:r>
      <w:r w:rsidRPr="00446A7C">
        <w:rPr>
          <w:rFonts w:eastAsia="Calibri" w:cs="Times New Roman"/>
          <w:i/>
          <w:iCs/>
          <w:kern w:val="2"/>
          <w:szCs w:val="24"/>
        </w:rPr>
        <w:t>me.’’ (PLWD,2023)</w:t>
      </w:r>
    </w:p>
    <w:p w14:paraId="59F47735" w14:textId="77777777" w:rsidR="00BD41E4" w:rsidRPr="00BD41E4" w:rsidRDefault="00BD41E4" w:rsidP="00BD41E4">
      <w:pPr>
        <w:pStyle w:val="NoSpacing"/>
        <w:rPr>
          <w:sz w:val="16"/>
          <w:szCs w:val="16"/>
        </w:rPr>
      </w:pPr>
    </w:p>
    <w:p w14:paraId="7D456947" w14:textId="77777777" w:rsidR="0008415E" w:rsidRPr="00446A7C" w:rsidRDefault="00000000">
      <w:pPr>
        <w:tabs>
          <w:tab w:val="left" w:pos="1440"/>
          <w:tab w:val="left" w:pos="1800"/>
        </w:tabs>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From the quotations above, the LEAP programme takes a comprehensive approach to addressing poverty and promoting the well-being of beneficiaries by </w:t>
      </w:r>
      <w:r w:rsidRPr="00446A7C">
        <w:rPr>
          <w:rFonts w:eastAsia="Calibri" w:cs="Times New Roman"/>
          <w:kern w:val="2"/>
          <w:szCs w:val="24"/>
          <w:lang w:val="en-US"/>
        </w:rPr>
        <w:t xml:space="preserve">primarily providing financial assistance to beneficiaries and insurance under the National Health Insurance Scheme (NHIS) for beneficiaries. </w:t>
      </w:r>
      <w:r w:rsidRPr="00446A7C">
        <w:rPr>
          <w:rFonts w:eastAsia="Calibri" w:cs="Times New Roman"/>
          <w:kern w:val="2"/>
          <w:szCs w:val="24"/>
        </w:rPr>
        <w:t xml:space="preserve">The financial support aids in meeting the basic needs of beneficiaries and investing in income-generating activities such as supporting families and agricultural activities. Likewise, the provision of the NHIS ensures continued and </w:t>
      </w:r>
      <w:r w:rsidRPr="00446A7C">
        <w:rPr>
          <w:rFonts w:eastAsia="Calibri" w:cs="Times New Roman"/>
          <w:kern w:val="2"/>
          <w:szCs w:val="24"/>
        </w:rPr>
        <w:lastRenderedPageBreak/>
        <w:t xml:space="preserve">affordable access to healthcare services. The cash transfers provided to beneficiaries align with the empowerment theory's emphasis on resource provision (e.g. see Zimmerman, 2000). By offering financial resources, the LEAP programme aims to enhance the economic capabilities of beneficiaries. Additionally, including NHIS enrolment as part of the service package is a proactive step toward empowering beneficiaries in terms of their health and well-being. Access to healthcare is a fundamental aspect of individual well-being, and NHIS enrolment can empower beneficiaries by providing them with access to necessary medical services. </w:t>
      </w:r>
    </w:p>
    <w:p w14:paraId="6AE4C2C6" w14:textId="77777777" w:rsidR="0008415E" w:rsidRPr="00446A7C" w:rsidRDefault="0008415E" w:rsidP="00EA1209">
      <w:pPr>
        <w:pStyle w:val="NoSpacing"/>
      </w:pPr>
    </w:p>
    <w:p w14:paraId="65111B0A" w14:textId="77777777" w:rsidR="0008415E" w:rsidRPr="00446A7C" w:rsidRDefault="00000000">
      <w:pPr>
        <w:tabs>
          <w:tab w:val="left" w:pos="1440"/>
          <w:tab w:val="left" w:pos="1800"/>
        </w:tabs>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Nonetheless, the findings reveal an inconsistency in the amount received by some beneficiaries. This contradicts the amount stipulated in the 83</w:t>
      </w:r>
      <w:r w:rsidRPr="00446A7C">
        <w:rPr>
          <w:rFonts w:eastAsia="Calibri" w:cs="Times New Roman"/>
          <w:kern w:val="2"/>
          <w:szCs w:val="24"/>
          <w:vertAlign w:val="superscript"/>
        </w:rPr>
        <w:t>rd</w:t>
      </w:r>
      <w:r w:rsidRPr="00446A7C">
        <w:rPr>
          <w:rFonts w:eastAsia="Calibri" w:cs="Times New Roman"/>
          <w:kern w:val="2"/>
          <w:szCs w:val="24"/>
        </w:rPr>
        <w:t xml:space="preserve"> and 84</w:t>
      </w:r>
      <w:r w:rsidRPr="00446A7C">
        <w:rPr>
          <w:rFonts w:eastAsia="Calibri" w:cs="Times New Roman"/>
          <w:kern w:val="2"/>
          <w:szCs w:val="24"/>
          <w:vertAlign w:val="superscript"/>
        </w:rPr>
        <w:t>th</w:t>
      </w:r>
      <w:r w:rsidRPr="00446A7C">
        <w:rPr>
          <w:rFonts w:eastAsia="Calibri" w:cs="Times New Roman"/>
          <w:kern w:val="2"/>
          <w:szCs w:val="24"/>
        </w:rPr>
        <w:t xml:space="preserve"> payment cycle. This difference I believe may be due to beneficiaries’ lack of knowledge with the Ghanaian currency or administrative malpractices on the part of the implement</w:t>
      </w:r>
      <w:r w:rsidRPr="00446A7C">
        <w:rPr>
          <w:rFonts w:eastAsia="Calibri" w:cs="Times New Roman"/>
          <w:kern w:val="2"/>
          <w:szCs w:val="24"/>
          <w:lang w:val="en-US"/>
        </w:rPr>
        <w:t>e</w:t>
      </w:r>
      <w:r w:rsidRPr="00446A7C">
        <w:rPr>
          <w:rFonts w:eastAsia="Calibri" w:cs="Times New Roman"/>
          <w:kern w:val="2"/>
          <w:szCs w:val="24"/>
        </w:rPr>
        <w:t xml:space="preserve">rs since beneficiaries are unaware of how much they are entitled to. Receiving less than their full benefits can significantly limit their access to basic needs which perpetuate poverty. </w:t>
      </w:r>
    </w:p>
    <w:p w14:paraId="5C474B3D" w14:textId="77777777" w:rsidR="0008415E" w:rsidRPr="00446A7C" w:rsidRDefault="00000000" w:rsidP="000B2D44">
      <w:pPr>
        <w:pStyle w:val="Heading3"/>
      </w:pPr>
      <w:bookmarkStart w:id="142" w:name="_Toc171703253"/>
      <w:r w:rsidRPr="00446A7C">
        <w:t xml:space="preserve">4.1.4 </w:t>
      </w:r>
      <w:r w:rsidRPr="000B2D44">
        <w:t>Variations</w:t>
      </w:r>
      <w:r w:rsidRPr="00446A7C">
        <w:t xml:space="preserve"> in LEAP services delivery</w:t>
      </w:r>
      <w:bookmarkEnd w:id="142"/>
    </w:p>
    <w:p w14:paraId="361E3F9F" w14:textId="77777777" w:rsidR="0008415E" w:rsidRPr="00446A7C" w:rsidRDefault="00000000" w:rsidP="00EA1209">
      <w:pPr>
        <w:spacing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Anderson and Patel (2021) emphasized that resource allocation in poverty alleviation programmes should be equitably distributed to achieve sustainable outcomes and avoid exacerbating existing inequalities. Variation in poverty alleviation programmes is arguably influenced by a complex interplay of economic, geographic, political, social and or administrative factors. Access to livelihood empowerment programmes often vary based on economic disparities among beneficiaries. Low-income households may face more significant barriers in accessing these services, as they lack the financial resources to meet programme requirements or invest in income-generating activities (Devereux &amp; Sabates-Wheeler, 2004). It therefore needs to be considered that, building economic </w:t>
      </w:r>
      <w:r w:rsidRPr="00446A7C">
        <w:rPr>
          <w:rFonts w:eastAsia="Calibri" w:cs="Times New Roman"/>
          <w:kern w:val="2"/>
          <w:szCs w:val="24"/>
        </w:rPr>
        <w:lastRenderedPageBreak/>
        <w:t>security,</w:t>
      </w:r>
      <w:r w:rsidRPr="00446A7C">
        <w:rPr>
          <w:rFonts w:cs="Times New Roman"/>
          <w:szCs w:val="24"/>
        </w:rPr>
        <w:t xml:space="preserve"> </w:t>
      </w:r>
      <w:r w:rsidRPr="00446A7C">
        <w:rPr>
          <w:rFonts w:eastAsia="Calibri" w:cs="Times New Roman"/>
          <w:kern w:val="2"/>
          <w:szCs w:val="24"/>
        </w:rPr>
        <w:t>among the poor by addressing health risks, economic shocks, natural disasters, and violence has the potential of reducing vulnerability amongst beneficiaries (World Bank, 2000).</w:t>
      </w:r>
    </w:p>
    <w:p w14:paraId="417B9625" w14:textId="77777777" w:rsidR="0008415E" w:rsidRPr="00446A7C" w:rsidRDefault="0008415E" w:rsidP="00EA1209">
      <w:pPr>
        <w:pStyle w:val="NoSpacing"/>
      </w:pPr>
    </w:p>
    <w:p w14:paraId="3D3BEC0C"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lang w:val="en-US"/>
        </w:rPr>
        <w:t>In relation to the disparities in accessing LEAP intervention, the interviewer inquired about potential discrepancies in the allocation or accessibility of LEAP's intervention services among beneficiaries. This inquiry aimed to ascertain whether there existed any discriminatory practices in the distribution of supplementary intervention support for the participants. In response to this question, all respondents from the Guo and Munyupelle communities denied such discrepancies. However, the case was quite different in other communities. For example, some respondents from the Nabugang alleged that while some beneficiaries received pigs for rearing, they were not provided with this additional benefit.</w:t>
      </w:r>
      <w:r w:rsidRPr="00446A7C">
        <w:rPr>
          <w:rFonts w:eastAsia="Calibri" w:cs="Times New Roman"/>
          <w:kern w:val="2"/>
          <w:szCs w:val="24"/>
        </w:rPr>
        <w:t xml:space="preserve"> For instance, A 35-year-old blind farmer asserted that:</w:t>
      </w:r>
    </w:p>
    <w:p w14:paraId="3EDB63B3" w14:textId="77777777" w:rsidR="0008415E" w:rsidRPr="00446A7C" w:rsidRDefault="0008415E" w:rsidP="00BD41E4">
      <w:pPr>
        <w:pStyle w:val="NoSpacing"/>
      </w:pPr>
    </w:p>
    <w:p w14:paraId="018C8D9E"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“They [LEAP officials] gave some people pigs to rare but they didn’t give me.”</w:t>
      </w:r>
      <w:r w:rsidRPr="00446A7C">
        <w:rPr>
          <w:rFonts w:cs="Times New Roman"/>
          <w:szCs w:val="24"/>
        </w:rPr>
        <w:t xml:space="preserve"> </w:t>
      </w:r>
      <w:r w:rsidRPr="00446A7C">
        <w:rPr>
          <w:rFonts w:eastAsia="Calibri" w:cs="Times New Roman"/>
          <w:i/>
          <w:iCs/>
          <w:kern w:val="2"/>
          <w:szCs w:val="24"/>
        </w:rPr>
        <w:t xml:space="preserve">(NR2-PLWD, 2023) </w:t>
      </w:r>
    </w:p>
    <w:p w14:paraId="082193BC" w14:textId="77777777" w:rsidR="0008415E" w:rsidRPr="00BD41E4" w:rsidRDefault="0008415E" w:rsidP="00BD41E4">
      <w:pPr>
        <w:pStyle w:val="NoSpacing"/>
      </w:pPr>
    </w:p>
    <w:p w14:paraId="0B2D42A8"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Supporting this claim was his partially blind 40-year brother, who alleged that:</w:t>
      </w:r>
    </w:p>
    <w:p w14:paraId="6262DE37"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 xml:space="preserve">“Some of the beneficiaries in this community [Nabugang] were given pigs to rears while I was not given, But I don’t think of it as anything since we receive money for free’’ </w:t>
      </w:r>
      <w:r w:rsidRPr="00446A7C">
        <w:rPr>
          <w:rFonts w:cs="Times New Roman"/>
          <w:szCs w:val="24"/>
        </w:rPr>
        <w:t>(</w:t>
      </w:r>
      <w:r w:rsidRPr="00446A7C">
        <w:rPr>
          <w:rFonts w:eastAsia="Calibri" w:cs="Times New Roman"/>
          <w:i/>
          <w:iCs/>
          <w:kern w:val="2"/>
          <w:szCs w:val="24"/>
        </w:rPr>
        <w:t>NR8-PLWD-2023).</w:t>
      </w:r>
    </w:p>
    <w:p w14:paraId="05F3C880" w14:textId="77777777" w:rsidR="0008415E" w:rsidRPr="00446A7C" w:rsidRDefault="0008415E" w:rsidP="00EA1209">
      <w:pPr>
        <w:pStyle w:val="NoSpacing"/>
      </w:pPr>
    </w:p>
    <w:p w14:paraId="745F907E"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lang w:val="en-US"/>
        </w:rPr>
        <w:t xml:space="preserve">These findings indicate that while the programme provides cash and NHIS to beneficiaries, other supplementary services aimed at enhancing their livelihoods were provided. Contrary to the views of beneficiaries that the LEAP provided animals to some </w:t>
      </w:r>
      <w:r w:rsidRPr="00446A7C">
        <w:rPr>
          <w:rFonts w:eastAsia="Calibri" w:cs="Times New Roman"/>
          <w:kern w:val="2"/>
          <w:szCs w:val="24"/>
          <w:lang w:val="en-US"/>
        </w:rPr>
        <w:lastRenderedPageBreak/>
        <w:t>beneficiaries, a follow up with the key informant at the DSW office confirmed that, the pigs given was an initiative of the Labor-Intensive Public Works (LIPW)</w:t>
      </w:r>
      <w:r w:rsidRPr="00446A7C">
        <w:rPr>
          <w:rStyle w:val="FootnoteReference"/>
          <w:rFonts w:eastAsia="Calibri" w:cs="Times New Roman"/>
          <w:kern w:val="2"/>
          <w:szCs w:val="24"/>
          <w:lang w:val="en-US"/>
        </w:rPr>
        <w:footnoteReference w:id="5"/>
      </w:r>
      <w:r w:rsidRPr="00446A7C">
        <w:rPr>
          <w:rFonts w:eastAsia="Calibri" w:cs="Times New Roman"/>
          <w:kern w:val="2"/>
          <w:szCs w:val="24"/>
          <w:lang w:val="en-US"/>
        </w:rPr>
        <w:t xml:space="preserve"> under the MoGCSP. This initiative was targeted at LEAP beneficiaries. However, the project is said to be in pilot phase and hence only a few communities and a hand full of beneficiaries were selected for the test phase. Based on this I concluded that, there were no discrepancies in the LEAP programme. Beneficiaries got the cash transfers they were entitled to and the NHIS enrolment. </w:t>
      </w:r>
    </w:p>
    <w:p w14:paraId="0B2970BB" w14:textId="77777777" w:rsidR="0008415E" w:rsidRPr="00446A7C" w:rsidRDefault="00000000">
      <w:pPr>
        <w:pStyle w:val="Heading3"/>
      </w:pPr>
      <w:bookmarkStart w:id="143" w:name="_Toc171703254"/>
      <w:r w:rsidRPr="00446A7C">
        <w:t>4.1.5 Challenges in accessing LEAP services</w:t>
      </w:r>
      <w:bookmarkEnd w:id="143"/>
    </w:p>
    <w:p w14:paraId="4FD65EFE" w14:textId="77777777" w:rsidR="0008415E" w:rsidRDefault="00000000" w:rsidP="000B2D44">
      <w:pPr>
        <w:spacing w:after="0" w:line="480" w:lineRule="auto"/>
        <w:ind w:firstLine="0"/>
        <w:contextualSpacing/>
        <w:jc w:val="both"/>
        <w:rPr>
          <w:rFonts w:eastAsia="Calibri" w:cs="Times New Roman"/>
          <w:kern w:val="2"/>
          <w:szCs w:val="24"/>
        </w:rPr>
      </w:pPr>
      <w:r w:rsidRPr="00446A7C">
        <w:rPr>
          <w:rFonts w:eastAsia="Calibri" w:cs="Times New Roman"/>
          <w:kern w:val="2"/>
          <w:szCs w:val="24"/>
          <w:lang w:val="en-US"/>
        </w:rPr>
        <w:t>start</w:t>
      </w:r>
      <w:r w:rsidRPr="00446A7C">
        <w:rPr>
          <w:rFonts w:eastAsia="Calibri" w:cs="Times New Roman"/>
          <w:kern w:val="2"/>
          <w:szCs w:val="24"/>
        </w:rPr>
        <w:t xml:space="preserve">The implementation of social protection programmes, particularly the LEAP programme in Ghana has been characterised by varied challenges which affects the effectiveness of the programme. The long-term </w:t>
      </w:r>
      <w:r w:rsidRPr="00446A7C">
        <w:rPr>
          <w:rFonts w:eastAsia="Calibri" w:cs="Times New Roman"/>
          <w:kern w:val="2"/>
          <w:szCs w:val="24"/>
          <w:lang w:val="en-US"/>
        </w:rPr>
        <w:t>e</w:t>
      </w:r>
      <w:r w:rsidRPr="00446A7C">
        <w:rPr>
          <w:rFonts w:eastAsia="Calibri" w:cs="Times New Roman"/>
          <w:kern w:val="2"/>
          <w:szCs w:val="24"/>
        </w:rPr>
        <w:t>ffect is usually on those directly and indirectly benefiting from these programmes, that is</w:t>
      </w:r>
      <w:r w:rsidRPr="00446A7C">
        <w:rPr>
          <w:rFonts w:eastAsia="Calibri" w:cs="Times New Roman"/>
          <w:kern w:val="2"/>
          <w:szCs w:val="24"/>
          <w:lang w:val="en-US"/>
        </w:rPr>
        <w:t>,</w:t>
      </w:r>
      <w:r w:rsidRPr="00446A7C">
        <w:rPr>
          <w:rFonts w:eastAsia="Calibri" w:cs="Times New Roman"/>
          <w:kern w:val="2"/>
          <w:szCs w:val="24"/>
        </w:rPr>
        <w:t xml:space="preserve"> the beneficiaries and their </w:t>
      </w:r>
      <w:r w:rsidRPr="00446A7C">
        <w:rPr>
          <w:rFonts w:eastAsia="Calibri" w:cs="Times New Roman"/>
          <w:kern w:val="2"/>
          <w:szCs w:val="24"/>
          <w:lang w:val="en-US"/>
        </w:rPr>
        <w:t>dependents</w:t>
      </w:r>
      <w:r w:rsidRPr="00446A7C">
        <w:rPr>
          <w:rFonts w:eastAsia="Calibri" w:cs="Times New Roman"/>
          <w:kern w:val="2"/>
          <w:szCs w:val="24"/>
        </w:rPr>
        <w:t xml:space="preserve">, thus undermining the long-term goal for which these services are provided. Beneficiaries rely on the cash transfers provided by the LEAP programme to meet their basic needs such </w:t>
      </w:r>
      <w:r w:rsidRPr="00446A7C">
        <w:rPr>
          <w:rFonts w:eastAsia="Calibri" w:cs="Times New Roman"/>
          <w:kern w:val="2"/>
          <w:szCs w:val="24"/>
          <w:lang w:val="en-US"/>
        </w:rPr>
        <w:t xml:space="preserve">as </w:t>
      </w:r>
      <w:r w:rsidRPr="00446A7C">
        <w:rPr>
          <w:rFonts w:eastAsia="Calibri" w:cs="Times New Roman"/>
          <w:kern w:val="2"/>
          <w:szCs w:val="24"/>
        </w:rPr>
        <w:t>food, shelter and water. They also transform these cash transfers into productive activities like investing in their farms and local business</w:t>
      </w:r>
      <w:r w:rsidRPr="00446A7C">
        <w:rPr>
          <w:rFonts w:eastAsia="Calibri" w:cs="Times New Roman"/>
          <w:kern w:val="2"/>
          <w:szCs w:val="24"/>
          <w:lang w:val="en-US"/>
        </w:rPr>
        <w:t>es</w:t>
      </w:r>
      <w:r w:rsidRPr="00446A7C">
        <w:rPr>
          <w:rFonts w:eastAsia="Calibri" w:cs="Times New Roman"/>
          <w:kern w:val="2"/>
          <w:szCs w:val="24"/>
        </w:rPr>
        <w:t xml:space="preserve"> which helps in asset accumulation. These activities in the long run builds their resilience to shocks and consequently moves them above the poverty line. Therefore, any hindrances that impedes on their access to the benefits from the LEAP programme has both short term and long-term implication on beneficiaries in terms of escaping the malicious spanks of poverty. This subsection discusses the challenges beneficiaries encounter in accessing the LEAP programme.</w:t>
      </w:r>
    </w:p>
    <w:p w14:paraId="5F771B41" w14:textId="77777777" w:rsidR="00EA1209" w:rsidRPr="00446A7C" w:rsidRDefault="00EA1209" w:rsidP="00EA1209">
      <w:pPr>
        <w:pStyle w:val="NoSpacing"/>
      </w:pPr>
    </w:p>
    <w:p w14:paraId="231B5684" w14:textId="527B021A" w:rsidR="0008415E"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rPr>
        <w:lastRenderedPageBreak/>
        <w:t xml:space="preserve">The challenges that beneficiaries face in accessing LEAP cash transfer were found to be in the form of delays in payment, uncertainties in when payment will be made and a weak feedback structure. More than 50% </w:t>
      </w:r>
      <w:r w:rsidRPr="00446A7C">
        <w:rPr>
          <w:rFonts w:eastAsia="Calibri" w:cs="Times New Roman"/>
          <w:kern w:val="2"/>
          <w:szCs w:val="24"/>
          <w:lang w:val="en-US"/>
        </w:rPr>
        <w:t xml:space="preserve">of the respondents interviewed for this study admitted to these challenges. </w:t>
      </w:r>
      <w:r w:rsidRPr="00446A7C">
        <w:rPr>
          <w:rFonts w:eastAsia="Calibri" w:cs="Times New Roman"/>
          <w:kern w:val="2"/>
          <w:szCs w:val="24"/>
        </w:rPr>
        <w:t>These challenges potentially affect the ability of beneficiaries to escape poverty</w:t>
      </w:r>
      <w:r w:rsidRPr="00446A7C">
        <w:rPr>
          <w:rFonts w:eastAsia="Calibri" w:cs="Times New Roman"/>
          <w:kern w:val="2"/>
          <w:szCs w:val="24"/>
          <w:lang w:val="en-US"/>
        </w:rPr>
        <w:t>. The following quotes are indicative of their views on the nature of challenges they encounter in accessing the programme benefits.</w:t>
      </w:r>
    </w:p>
    <w:p w14:paraId="328EC4EC" w14:textId="77777777" w:rsidR="00EA1209" w:rsidRPr="00446A7C" w:rsidRDefault="00EA1209" w:rsidP="00EA1209">
      <w:pPr>
        <w:pStyle w:val="NoSpacing"/>
      </w:pPr>
    </w:p>
    <w:p w14:paraId="6AD2C69D"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“I went to receive my money and they [LEAP officials] said it was not in yet. I had to wait for more than three months before I was able to receive the money [referring to the LEAP stipends].” (a care giver of OVC, 2023).</w:t>
      </w:r>
    </w:p>
    <w:p w14:paraId="331A6BDF" w14:textId="77777777" w:rsidR="0008415E" w:rsidRPr="00446A7C" w:rsidRDefault="0008415E" w:rsidP="00EA1209">
      <w:pPr>
        <w:pStyle w:val="NoSpacing"/>
      </w:pPr>
    </w:p>
    <w:p w14:paraId="17A92726"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“My daughter, my legs are not as strong as they used to be, but there are a number of occasions whenever I go to take my money, they tell me to come later and check because the money was not ready.” (65-year-old widow, 2023).</w:t>
      </w:r>
    </w:p>
    <w:p w14:paraId="4F4FAE2D" w14:textId="77777777" w:rsidR="0008415E" w:rsidRPr="00446A7C" w:rsidRDefault="0008415E" w:rsidP="00EA1209">
      <w:pPr>
        <w:pStyle w:val="NoSpacing"/>
      </w:pPr>
    </w:p>
    <w:p w14:paraId="3ED9D83A" w14:textId="77777777" w:rsidR="0008415E" w:rsidRPr="00446A7C" w:rsidRDefault="00000000">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“It is almost a year today since I last received my payment.” (PLWD, 2023).</w:t>
      </w:r>
    </w:p>
    <w:p w14:paraId="464907C8" w14:textId="77777777" w:rsidR="0008415E" w:rsidRPr="00446A7C" w:rsidRDefault="0008415E" w:rsidP="00EA1209">
      <w:pPr>
        <w:pStyle w:val="NoSpacing"/>
      </w:pPr>
    </w:p>
    <w:p w14:paraId="7ABC4DE8" w14:textId="77777777" w:rsidR="0008415E"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“For one year now, I have not received any money yet. I have gone to complain a number of times and they always say they are working on it.” (Vaapuo-COVC,2023)</w:t>
      </w:r>
    </w:p>
    <w:p w14:paraId="2C1FA5EF" w14:textId="77777777" w:rsidR="00EA1209" w:rsidRPr="00446A7C" w:rsidRDefault="00EA1209" w:rsidP="00EA1209">
      <w:pPr>
        <w:pStyle w:val="NoSpacing"/>
      </w:pPr>
    </w:p>
    <w:p w14:paraId="2505BDB6" w14:textId="77777777" w:rsidR="0008415E" w:rsidRDefault="00000000">
      <w:pPr>
        <w:spacing w:before="240" w:after="0" w:line="480" w:lineRule="auto"/>
        <w:ind w:left="720" w:firstLine="0"/>
        <w:contextualSpacing/>
        <w:rPr>
          <w:rFonts w:eastAsia="Calibri" w:cs="Times New Roman"/>
          <w:i/>
          <w:iCs/>
          <w:kern w:val="2"/>
          <w:szCs w:val="24"/>
        </w:rPr>
      </w:pPr>
      <w:r w:rsidRPr="00446A7C">
        <w:rPr>
          <w:rFonts w:eastAsia="Calibri" w:cs="Times New Roman"/>
          <w:i/>
          <w:iCs/>
          <w:kern w:val="2"/>
          <w:szCs w:val="24"/>
        </w:rPr>
        <w:t xml:space="preserve">“As you can see, I am blind, so if I have any issue with my payment, I have to move from the village to office to give a complain because I don’t have mobile phone to call. Sometimes I have to follow up a number of times to get feedback. </w:t>
      </w:r>
      <w:r w:rsidRPr="00446A7C">
        <w:rPr>
          <w:rFonts w:eastAsia="Calibri" w:cs="Times New Roman"/>
          <w:i/>
          <w:iCs/>
          <w:kern w:val="2"/>
          <w:szCs w:val="24"/>
        </w:rPr>
        <w:lastRenderedPageBreak/>
        <w:t>But if the office could call us to give the feedback it will be helpful.” (PLWD, 2023)</w:t>
      </w:r>
    </w:p>
    <w:p w14:paraId="12EE0121" w14:textId="77777777" w:rsidR="007A2394" w:rsidRPr="00446A7C" w:rsidRDefault="007A2394" w:rsidP="007A2394">
      <w:pPr>
        <w:pStyle w:val="NoSpacing"/>
      </w:pPr>
    </w:p>
    <w:p w14:paraId="684BAF7A" w14:textId="7F7E6134"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lang w:val="en-US"/>
        </w:rPr>
        <w:t xml:space="preserve">These findings denote that, irregularities, and delays in the receipt of funds exist in the LEAP programme. While this finding is not new in the literature on LEAP (e.g. Fuseini, 2021; Jaha &amp; Sika-Bright, 2015; Perprem, 2020; </w:t>
      </w:r>
      <w:r w:rsidRPr="00446A7C">
        <w:rPr>
          <w:rFonts w:eastAsia="Calibri" w:cs="Times New Roman"/>
          <w:kern w:val="2"/>
          <w:szCs w:val="24"/>
        </w:rPr>
        <w:t xml:space="preserve">Salifu &amp; Kufoalor, 2022), it raises concerns about the effectiveness of the implementation of the programme. The delays and uncertainties in payments pose a threat to beneficiaries and their livelihoods. Beneficiaries rely on these stipends to access basic needs such as food, water and also pay for health care services. Hence any implementation challenge significantly disrupts their </w:t>
      </w:r>
      <w:r w:rsidR="000B2D44" w:rsidRPr="00446A7C">
        <w:rPr>
          <w:rFonts w:eastAsia="Calibri" w:cs="Times New Roman"/>
          <w:kern w:val="2"/>
          <w:szCs w:val="24"/>
        </w:rPr>
        <w:t>livelihoods,</w:t>
      </w:r>
      <w:r w:rsidRPr="00446A7C">
        <w:rPr>
          <w:rFonts w:eastAsia="Calibri" w:cs="Times New Roman"/>
          <w:kern w:val="2"/>
          <w:szCs w:val="24"/>
        </w:rPr>
        <w:t xml:space="preserve"> therefore, exaggerating the levels of poverty</w:t>
      </w:r>
      <w:r w:rsidRPr="00446A7C">
        <w:rPr>
          <w:rFonts w:eastAsia="Calibri" w:cs="Times New Roman"/>
          <w:kern w:val="2"/>
          <w:szCs w:val="24"/>
          <w:lang w:val="en-US"/>
        </w:rPr>
        <w:t xml:space="preserve">. </w:t>
      </w:r>
      <w:r w:rsidRPr="00446A7C">
        <w:rPr>
          <w:rFonts w:eastAsia="Calibri" w:cs="Times New Roman"/>
          <w:kern w:val="2"/>
          <w:szCs w:val="24"/>
        </w:rPr>
        <w:t xml:space="preserve">The delays and uncertainties in LEAP payments contradicts the empowerment theory by impeding beneficiaries' ability to exercise autonomy, control, access resources, and enhance their capabilities (see </w:t>
      </w:r>
      <w:r w:rsidRPr="00446A7C">
        <w:rPr>
          <w:rFonts w:eastAsia="Calibri" w:cs="Times New Roman"/>
          <w:bCs/>
          <w:kern w:val="2"/>
          <w:szCs w:val="24"/>
        </w:rPr>
        <w:t>Narayan et al., 2000)</w:t>
      </w:r>
      <w:r w:rsidRPr="00446A7C">
        <w:rPr>
          <w:rFonts w:eastAsia="Calibri" w:cs="Times New Roman"/>
          <w:kern w:val="2"/>
          <w:szCs w:val="24"/>
        </w:rPr>
        <w:t>, thereby perpetuating rather than alleviating poverty and disempowerment.</w:t>
      </w:r>
    </w:p>
    <w:p w14:paraId="3A97DCA6" w14:textId="77777777" w:rsidR="0008415E" w:rsidRPr="00446A7C" w:rsidRDefault="0008415E" w:rsidP="00EA1209">
      <w:pPr>
        <w:pStyle w:val="NoSpacing"/>
      </w:pPr>
    </w:p>
    <w:p w14:paraId="6EF89369"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rPr>
        <w:t>Al</w:t>
      </w:r>
      <w:r w:rsidRPr="00446A7C">
        <w:rPr>
          <w:rFonts w:cs="Times New Roman"/>
          <w:szCs w:val="24"/>
        </w:rPr>
        <w:t>so, the weak feedback mechanisms of the LEAP revealed in the findings also pose a significant threat in terms of beneficiary access to LEAP services. The findings however suggest that, beneficiaries are aware of some form of channels that they can send their grievances to, however, this system seems to be ineffective. This was also found to be the case in Wa West and Wa East when Fuseini (2021) explored the diff</w:t>
      </w:r>
      <w:r w:rsidRPr="00446A7C">
        <w:rPr>
          <w:rFonts w:cs="Times New Roman"/>
          <w:szCs w:val="24"/>
          <w:lang w:val="en-US"/>
        </w:rPr>
        <w:t>iculties</w:t>
      </w:r>
      <w:r w:rsidRPr="00446A7C">
        <w:rPr>
          <w:rFonts w:cs="Times New Roman"/>
          <w:szCs w:val="24"/>
        </w:rPr>
        <w:t xml:space="preserve"> and grievance</w:t>
      </w:r>
      <w:r w:rsidRPr="00446A7C">
        <w:rPr>
          <w:rFonts w:cs="Times New Roman"/>
          <w:szCs w:val="24"/>
          <w:lang w:val="en-US"/>
        </w:rPr>
        <w:t>s</w:t>
      </w:r>
      <w:r w:rsidRPr="00446A7C">
        <w:rPr>
          <w:rFonts w:cs="Times New Roman"/>
          <w:szCs w:val="24"/>
        </w:rPr>
        <w:t xml:space="preserve"> mechanisms of LEAP. The implication of this on beneficiaries is that it hinders their ability to voice their concerns and needs and to access effective services. Beneficiaries also tend to lose trust in the programme administration hindering their potential for empowerment and socio-economic development.  Fiszbein and Schady </w:t>
      </w:r>
      <w:r w:rsidRPr="00446A7C">
        <w:rPr>
          <w:rFonts w:cs="Times New Roman"/>
          <w:szCs w:val="24"/>
        </w:rPr>
        <w:lastRenderedPageBreak/>
        <w:t>(2009), ague in line with the findings from this section by proposing that, leveraging on digital</w:t>
      </w:r>
      <w:r w:rsidRPr="00446A7C">
        <w:rPr>
          <w:rFonts w:eastAsia="Calibri" w:cs="Times New Roman"/>
          <w:kern w:val="2"/>
          <w:szCs w:val="24"/>
          <w:lang w:val="en-US"/>
        </w:rPr>
        <w:t xml:space="preserve"> platforms can facilitate the effective transfer of benefits, reducing transaction costs and delays while improving accuracy and accountability. </w:t>
      </w:r>
    </w:p>
    <w:p w14:paraId="078FE843" w14:textId="77777777" w:rsidR="0008415E" w:rsidRPr="00446A7C" w:rsidRDefault="00000000">
      <w:pPr>
        <w:pStyle w:val="Heading2"/>
        <w:rPr>
          <w:rFonts w:cs="Times New Roman"/>
          <w:szCs w:val="24"/>
        </w:rPr>
      </w:pPr>
      <w:bookmarkStart w:id="144" w:name="_Toc171703255"/>
      <w:r w:rsidRPr="00446A7C">
        <w:rPr>
          <w:rFonts w:cs="Times New Roman"/>
          <w:szCs w:val="24"/>
        </w:rPr>
        <w:t xml:space="preserve">4.3 Beneficiary Perspectives on </w:t>
      </w:r>
      <w:r w:rsidRPr="00446A7C">
        <w:rPr>
          <w:rFonts w:cs="Times New Roman"/>
          <w:szCs w:val="24"/>
          <w:lang w:val="en-US"/>
        </w:rPr>
        <w:t>t</w:t>
      </w:r>
      <w:r w:rsidRPr="00446A7C">
        <w:rPr>
          <w:rFonts w:cs="Times New Roman"/>
          <w:szCs w:val="24"/>
        </w:rPr>
        <w:t xml:space="preserve">he Use of Digital Technology in </w:t>
      </w:r>
      <w:r w:rsidRPr="00446A7C">
        <w:rPr>
          <w:rFonts w:cs="Times New Roman"/>
          <w:szCs w:val="24"/>
          <w:lang w:val="en-US"/>
        </w:rPr>
        <w:t>t</w:t>
      </w:r>
      <w:r w:rsidRPr="00446A7C">
        <w:rPr>
          <w:rFonts w:cs="Times New Roman"/>
          <w:szCs w:val="24"/>
        </w:rPr>
        <w:t>he Delivery LEAP Cash Transfers</w:t>
      </w:r>
      <w:bookmarkEnd w:id="144"/>
    </w:p>
    <w:p w14:paraId="36CE0FA2"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 introduction of digital technology in the delivery of social protection programmes has a great potential in ensuring its effectiveness (</w:t>
      </w:r>
      <w:r w:rsidRPr="00446A7C">
        <w:rPr>
          <w:rFonts w:eastAsia="Calibri" w:cs="Times New Roman"/>
          <w:bCs/>
          <w:kern w:val="2"/>
          <w:szCs w:val="24"/>
        </w:rPr>
        <w:t>Handayani et al., 2017</w:t>
      </w:r>
      <w:r w:rsidRPr="00446A7C">
        <w:rPr>
          <w:rFonts w:cs="Times New Roman"/>
          <w:bCs/>
          <w:szCs w:val="24"/>
        </w:rPr>
        <w:t xml:space="preserve">; ILO, 2020; </w:t>
      </w:r>
      <w:r w:rsidRPr="00446A7C">
        <w:rPr>
          <w:rFonts w:eastAsia="Calibri" w:cs="Times New Roman"/>
          <w:bCs/>
          <w:kern w:val="2"/>
          <w:szCs w:val="24"/>
        </w:rPr>
        <w:t>Lowe et al., 2023)</w:t>
      </w:r>
      <w:r w:rsidRPr="00446A7C">
        <w:rPr>
          <w:rFonts w:eastAsia="Calibri" w:cs="Times New Roman"/>
          <w:kern w:val="2"/>
          <w:szCs w:val="24"/>
        </w:rPr>
        <w:t xml:space="preserve">. </w:t>
      </w:r>
      <w:r w:rsidRPr="00446A7C">
        <w:rPr>
          <w:rFonts w:eastAsia="Calibri" w:cs="Times New Roman"/>
          <w:bCs/>
          <w:kern w:val="2"/>
          <w:szCs w:val="24"/>
        </w:rPr>
        <w:t xml:space="preserve">Digital technology includes a wide range of tools, systems and applications that use digital information and communication processes to enable a variety of functions and activities (Tulinayo et al., 2018). </w:t>
      </w:r>
      <w:r w:rsidRPr="00446A7C">
        <w:rPr>
          <w:rFonts w:eastAsia="Calibri" w:cs="Times New Roman"/>
          <w:kern w:val="2"/>
          <w:szCs w:val="24"/>
        </w:rPr>
        <w:t>These digital devices such as mobile devices and online portals can be used to provide information, enable application processes, and access to services, making it easier for individuals to interact with social protection programmes and receive timely interventions (World Bank, 2021).</w:t>
      </w:r>
    </w:p>
    <w:p w14:paraId="1A3A83A9" w14:textId="77777777" w:rsidR="0008415E" w:rsidRPr="00446A7C" w:rsidRDefault="0008415E" w:rsidP="00EA1209">
      <w:pPr>
        <w:pStyle w:val="NoSpacing"/>
      </w:pPr>
    </w:p>
    <w:p w14:paraId="51D99AA6" w14:textId="77777777" w:rsidR="0008415E" w:rsidRPr="00446A7C" w:rsidRDefault="00000000">
      <w:pPr>
        <w:spacing w:before="240" w:after="0" w:line="480" w:lineRule="auto"/>
        <w:ind w:firstLine="0"/>
        <w:contextualSpacing/>
        <w:jc w:val="both"/>
        <w:rPr>
          <w:rFonts w:eastAsia="Calibri" w:cs="Times New Roman"/>
          <w:bCs/>
          <w:kern w:val="2"/>
          <w:szCs w:val="24"/>
        </w:rPr>
      </w:pPr>
      <w:r w:rsidRPr="00446A7C">
        <w:rPr>
          <w:rFonts w:eastAsia="Calibri" w:cs="Times New Roman"/>
          <w:kern w:val="2"/>
          <w:szCs w:val="24"/>
        </w:rPr>
        <w:t>As discussed in Chapter Two, subsection 2.3.5, beneficiaries’ perspectives, be it positive or negative, play a crucial role in social protection services (Ahmed et al., 2020). The perspectives of beneficiaries influence the way they interact with these interventions geared towards poverty reduction. Therefore, understanding the experiences and perceptions of programme beneficiaries especially in cash transfers such as the LEAP programme is crucial for designing and implementing effective policy interventions and achieving sustainable poverty reduction goals. Therefore, beneficiary perception on the use of digital technology in the delivery of LEAP scheme can be said to hold a great potential in determining how they interact with the programme. Through their perspective, they are able to</w:t>
      </w:r>
      <w:r w:rsidRPr="00446A7C">
        <w:rPr>
          <w:rFonts w:eastAsia="Calibri" w:cs="Times New Roman"/>
          <w:bCs/>
          <w:kern w:val="2"/>
          <w:szCs w:val="24"/>
        </w:rPr>
        <w:t xml:space="preserve"> provide valuable insights, highlighting areas of success, </w:t>
      </w:r>
      <w:r w:rsidRPr="00446A7C">
        <w:rPr>
          <w:rFonts w:eastAsia="Calibri" w:cs="Times New Roman"/>
          <w:bCs/>
          <w:kern w:val="2"/>
          <w:szCs w:val="24"/>
        </w:rPr>
        <w:lastRenderedPageBreak/>
        <w:t xml:space="preserve">challenges, and areas for improvement which ultimately leads to programme effectiveness (Mendoza et al., 2017). </w:t>
      </w:r>
    </w:p>
    <w:p w14:paraId="240EAB3F" w14:textId="77777777" w:rsidR="0008415E" w:rsidRPr="00446A7C" w:rsidRDefault="0008415E">
      <w:pPr>
        <w:spacing w:before="240" w:after="0" w:line="480" w:lineRule="auto"/>
        <w:ind w:firstLine="0"/>
        <w:contextualSpacing/>
        <w:jc w:val="both"/>
        <w:rPr>
          <w:rFonts w:eastAsia="Calibri" w:cs="Times New Roman"/>
          <w:bCs/>
          <w:kern w:val="2"/>
          <w:szCs w:val="24"/>
        </w:rPr>
      </w:pPr>
    </w:p>
    <w:p w14:paraId="61CC5AAA" w14:textId="77777777" w:rsidR="0008415E" w:rsidRPr="00446A7C" w:rsidRDefault="00000000">
      <w:pPr>
        <w:spacing w:before="240" w:after="0" w:line="480" w:lineRule="auto"/>
        <w:ind w:firstLine="0"/>
        <w:contextualSpacing/>
        <w:jc w:val="both"/>
        <w:rPr>
          <w:rFonts w:eastAsiaTheme="majorEastAsia" w:cs="Times New Roman"/>
          <w:bCs/>
          <w:szCs w:val="24"/>
        </w:rPr>
      </w:pPr>
      <w:r w:rsidRPr="00446A7C">
        <w:rPr>
          <w:rFonts w:eastAsiaTheme="majorEastAsia" w:cs="Times New Roman"/>
          <w:bCs/>
          <w:szCs w:val="24"/>
        </w:rPr>
        <w:t xml:space="preserve">This section presents the key findings on the second objective of this study: beneficiaries’ perspective on the integration of digital technology within the Livelihood Empowerment Against Poverty (LEAP) programme. This section is discussed under two main themes: one is, digital technology and beneficiary experience and two: education and training. These themes emerged during the interviews with beneficiaries. </w:t>
      </w:r>
    </w:p>
    <w:p w14:paraId="77BF103C" w14:textId="77777777" w:rsidR="0008415E" w:rsidRPr="00446A7C" w:rsidRDefault="00000000">
      <w:pPr>
        <w:pStyle w:val="Heading3"/>
      </w:pPr>
      <w:bookmarkStart w:id="145" w:name="_Hlk150578848"/>
      <w:bookmarkStart w:id="146" w:name="_Toc171703256"/>
      <w:r w:rsidRPr="00446A7C">
        <w:t>4.3.1 Digital technology and impact on beneficiary experience</w:t>
      </w:r>
      <w:bookmarkEnd w:id="146"/>
    </w:p>
    <w:p w14:paraId="77DEBDE3" w14:textId="77777777" w:rsidR="0008415E" w:rsidRPr="00446A7C" w:rsidRDefault="00000000">
      <w:pPr>
        <w:spacing w:line="480" w:lineRule="auto"/>
        <w:ind w:firstLine="0"/>
        <w:jc w:val="both"/>
        <w:rPr>
          <w:rFonts w:cs="Times New Roman"/>
          <w:szCs w:val="24"/>
          <w:lang w:val="en-US"/>
        </w:rPr>
      </w:pPr>
      <w:r w:rsidRPr="00446A7C">
        <w:rPr>
          <w:rFonts w:cs="Times New Roman"/>
          <w:bCs/>
          <w:szCs w:val="24"/>
        </w:rPr>
        <w:t xml:space="preserve">Smith and &amp; Osborn (2015) defined experience as the subjective knowledge, understanding, and insight gained through direct involvement or exposure to specific events, situations, or activities. With regards to LEAP and digital technology, experiences will be the personal encounters and lived realities of the beneficiaries which seeps into how they perceive and interact </w:t>
      </w:r>
      <w:r w:rsidRPr="00446A7C">
        <w:rPr>
          <w:rFonts w:cs="Times New Roman"/>
          <w:bCs/>
          <w:szCs w:val="24"/>
          <w:lang w:val="en-US"/>
        </w:rPr>
        <w:t xml:space="preserve">with </w:t>
      </w:r>
      <w:r w:rsidRPr="00446A7C">
        <w:rPr>
          <w:rFonts w:cs="Times New Roman"/>
          <w:bCs/>
          <w:szCs w:val="24"/>
        </w:rPr>
        <w:t xml:space="preserve">the programme. </w:t>
      </w:r>
      <w:bookmarkEnd w:id="145"/>
      <w:r w:rsidRPr="00446A7C">
        <w:rPr>
          <w:rFonts w:eastAsia="Calibri" w:cs="Times New Roman"/>
          <w:kern w:val="2"/>
          <w:szCs w:val="24"/>
        </w:rPr>
        <w:t>This subsection discusses how digital technology affects beneficiaries’ experiences in accessing LEAP intervention. It is divided into two parts. The first part discusses the manual delivery system which emerged from the study and the second part continues with the transition to digital delivery and how it has transformed beneficiaries’ perspective</w:t>
      </w:r>
      <w:r w:rsidRPr="00446A7C">
        <w:rPr>
          <w:rFonts w:eastAsia="Calibri" w:cs="Times New Roman"/>
          <w:kern w:val="2"/>
          <w:szCs w:val="24"/>
          <w:lang w:val="en-US"/>
        </w:rPr>
        <w:t>.</w:t>
      </w:r>
    </w:p>
    <w:p w14:paraId="3727A37A" w14:textId="77777777" w:rsidR="0008415E" w:rsidRPr="00446A7C" w:rsidRDefault="00000000">
      <w:pPr>
        <w:pStyle w:val="Heading4"/>
        <w:rPr>
          <w:rFonts w:cs="Times New Roman"/>
          <w:szCs w:val="24"/>
        </w:rPr>
      </w:pPr>
      <w:bookmarkStart w:id="147" w:name="_Toc171703257"/>
      <w:r w:rsidRPr="00446A7C">
        <w:rPr>
          <w:rFonts w:cs="Times New Roman"/>
          <w:szCs w:val="24"/>
        </w:rPr>
        <w:t>4.3.1.1 Manual delivery mode</w:t>
      </w:r>
      <w:bookmarkEnd w:id="147"/>
    </w:p>
    <w:p w14:paraId="06B75C76" w14:textId="77777777" w:rsidR="0008415E" w:rsidRPr="00446A7C" w:rsidRDefault="00000000" w:rsidP="000B2D44">
      <w:pPr>
        <w:spacing w:after="0" w:line="480" w:lineRule="auto"/>
        <w:ind w:firstLine="0"/>
        <w:contextualSpacing/>
        <w:jc w:val="both"/>
        <w:rPr>
          <w:rFonts w:eastAsia="Calibri" w:cs="Times New Roman"/>
          <w:kern w:val="2"/>
          <w:szCs w:val="24"/>
        </w:rPr>
      </w:pPr>
      <w:r w:rsidRPr="00446A7C">
        <w:rPr>
          <w:rFonts w:eastAsia="Calibri" w:cs="Times New Roman"/>
          <w:kern w:val="2"/>
          <w:szCs w:val="24"/>
        </w:rPr>
        <w:t>It was confirmed that the manual payment mode was fraud with the issues of corruption and transparency which led to the introduction of the digital payment method. This was revealed in the interviews conducted with beneficiaries. A participant from Nabugang stated in an interview that:</w:t>
      </w:r>
    </w:p>
    <w:p w14:paraId="4362C5E0" w14:textId="77777777" w:rsidR="0008415E" w:rsidRPr="00446A7C" w:rsidRDefault="00000000">
      <w:pPr>
        <w:spacing w:before="240" w:after="0" w:line="480" w:lineRule="auto"/>
        <w:ind w:left="720" w:firstLine="0"/>
        <w:contextualSpacing/>
        <w:jc w:val="both"/>
        <w:rPr>
          <w:rFonts w:eastAsia="Calibri" w:cs="Times New Roman"/>
          <w:kern w:val="2"/>
          <w:szCs w:val="24"/>
        </w:rPr>
      </w:pPr>
      <w:r w:rsidRPr="00446A7C">
        <w:rPr>
          <w:rFonts w:eastAsia="Calibri" w:cs="Times New Roman"/>
          <w:i/>
          <w:iCs/>
          <w:kern w:val="2"/>
          <w:szCs w:val="24"/>
        </w:rPr>
        <w:t xml:space="preserve">“In the past [referring to the manual payment system], they [Ghana post and District LEAP officers] use to bring the money in a bag to share to us. Sometimes </w:t>
      </w:r>
      <w:r w:rsidRPr="00446A7C">
        <w:rPr>
          <w:rFonts w:eastAsia="Calibri" w:cs="Times New Roman"/>
          <w:i/>
          <w:iCs/>
          <w:kern w:val="2"/>
          <w:szCs w:val="24"/>
        </w:rPr>
        <w:lastRenderedPageBreak/>
        <w:t xml:space="preserve">if I am not able to </w:t>
      </w:r>
      <w:r w:rsidRPr="00446A7C">
        <w:rPr>
          <w:rFonts w:eastAsia="Calibri" w:cs="Times New Roman"/>
          <w:i/>
          <w:iCs/>
          <w:kern w:val="2"/>
          <w:szCs w:val="24"/>
          <w:lang w:val="en-US"/>
        </w:rPr>
        <w:t xml:space="preserve">go </w:t>
      </w:r>
      <w:r w:rsidRPr="00446A7C">
        <w:rPr>
          <w:rFonts w:eastAsia="Calibri" w:cs="Times New Roman"/>
          <w:i/>
          <w:iCs/>
          <w:kern w:val="2"/>
          <w:szCs w:val="24"/>
        </w:rPr>
        <w:t>and collect my money, it would take a very long time to trace the money. So, sometimes we would leave the money with them. But because of the usage of card in these modern times, even if we go to farm and they come to the village, we are not always afraid because we know we could always send the card to the office and withdraw money.” (GR 1-Elderly poor, 2023)</w:t>
      </w:r>
      <w:r w:rsidRPr="00446A7C">
        <w:rPr>
          <w:rFonts w:eastAsia="Calibri" w:cs="Times New Roman"/>
          <w:kern w:val="2"/>
          <w:szCs w:val="24"/>
        </w:rPr>
        <w:t>.</w:t>
      </w:r>
    </w:p>
    <w:p w14:paraId="3F4E0641"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Another participant added in relation to how the manual payment affected her:</w:t>
      </w:r>
    </w:p>
    <w:p w14:paraId="2F52CA53"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“We waste time at the place. Sometimes when I go in the morning, I will come home in the evening and I still have to cook for my children.” (COVC, 2023).</w:t>
      </w:r>
    </w:p>
    <w:p w14:paraId="16289C69" w14:textId="77777777" w:rsidR="0008415E" w:rsidRPr="00446A7C" w:rsidRDefault="0008415E" w:rsidP="00EA1209">
      <w:pPr>
        <w:pStyle w:val="NoSpacing"/>
      </w:pPr>
    </w:p>
    <w:p w14:paraId="2F051BD9"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 concerns raised by beneficiaries with the manual payment implies that the manual payment made it difficult for them to access their benefits. This assertion was confirmed by one of the key informants who was interviewed at the DSW office.</w:t>
      </w:r>
    </w:p>
    <w:p w14:paraId="720A140B"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“Previously, the payment was done face to face when the money was delivered to the beneficiaries. The money was handled by the Ghana post and not the LEAP implement</w:t>
      </w:r>
      <w:r w:rsidRPr="00446A7C">
        <w:rPr>
          <w:rFonts w:eastAsia="Calibri" w:cs="Times New Roman"/>
          <w:i/>
          <w:iCs/>
          <w:kern w:val="2"/>
          <w:szCs w:val="24"/>
          <w:lang w:val="en-US"/>
        </w:rPr>
        <w:t>e</w:t>
      </w:r>
      <w:r w:rsidRPr="00446A7C">
        <w:rPr>
          <w:rFonts w:eastAsia="Calibri" w:cs="Times New Roman"/>
          <w:i/>
          <w:iCs/>
          <w:kern w:val="2"/>
          <w:szCs w:val="24"/>
        </w:rPr>
        <w:t>rs. When payment is due, we plan with community focal persons (CFP)</w:t>
      </w:r>
      <w:r w:rsidRPr="00446A7C">
        <w:rPr>
          <w:rStyle w:val="FootnoteReference"/>
          <w:rFonts w:eastAsia="Calibri" w:cs="Times New Roman"/>
          <w:i/>
          <w:iCs/>
          <w:kern w:val="2"/>
          <w:szCs w:val="24"/>
        </w:rPr>
        <w:footnoteReference w:id="6"/>
      </w:r>
      <w:r w:rsidRPr="00446A7C">
        <w:rPr>
          <w:rFonts w:eastAsia="Calibri" w:cs="Times New Roman"/>
          <w:i/>
          <w:iCs/>
          <w:kern w:val="2"/>
          <w:szCs w:val="24"/>
        </w:rPr>
        <w:t xml:space="preserve"> to assemble the beneficiaries where the beneficiaries would thumbprint and receive their money at the payment points. The problem comes when the post man leaves with the money from the payment centre and the beneficiaries who could not pick their monies come to the office, they have to do a series of follow-ups which led some to frustrations so they leave the money. The question is what happens to those monies?” (Key informant, 2023).</w:t>
      </w:r>
    </w:p>
    <w:p w14:paraId="00CCEE51" w14:textId="77777777" w:rsidR="0008415E" w:rsidRPr="00446A7C" w:rsidRDefault="0008415E" w:rsidP="00EA1209">
      <w:pPr>
        <w:pStyle w:val="NoSpacing"/>
      </w:pPr>
    </w:p>
    <w:p w14:paraId="50DF5A9D"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lastRenderedPageBreak/>
        <w:t>These findings imply that, the LEAP programme from its time of inception was using manual modes to deliver beneficiary’s stipends. This method of payment involved handing physical cash to beneficiaries. The Ghana post in collaboration with the LEAP implement</w:t>
      </w:r>
      <w:r w:rsidRPr="00446A7C">
        <w:rPr>
          <w:rFonts w:eastAsia="Calibri" w:cs="Times New Roman"/>
          <w:kern w:val="2"/>
          <w:szCs w:val="24"/>
          <w:lang w:val="en-US"/>
        </w:rPr>
        <w:t>e</w:t>
      </w:r>
      <w:r w:rsidRPr="00446A7C">
        <w:rPr>
          <w:rFonts w:eastAsia="Calibri" w:cs="Times New Roman"/>
          <w:kern w:val="2"/>
          <w:szCs w:val="24"/>
        </w:rPr>
        <w:t xml:space="preserve">rs would send cash to payment points on the scheduled payment dates to deliver to beneficiaries. The CFP members would communicate the payment dates to the beneficiaries at their various communities so they can avail themselves at the payment points on that day. Before </w:t>
      </w:r>
      <w:r w:rsidRPr="00446A7C">
        <w:rPr>
          <w:rFonts w:eastAsia="Calibri" w:cs="Times New Roman"/>
          <w:kern w:val="2"/>
          <w:szCs w:val="24"/>
          <w:lang w:val="en-US"/>
        </w:rPr>
        <w:t>beneficiaries</w:t>
      </w:r>
      <w:r w:rsidRPr="00446A7C">
        <w:rPr>
          <w:rFonts w:eastAsia="Calibri" w:cs="Times New Roman"/>
          <w:kern w:val="2"/>
          <w:szCs w:val="24"/>
        </w:rPr>
        <w:t xml:space="preserve"> are able to receive their stipends, they are verified using a valid identification (ID) card by the district social welfare officer. The concerns expressed by the research participants indicated that, this mode of payment posed some challenges. The manual payment has the disadvantage of making beneficiaries wait in line for longer hours to receive their stipends which affects other productive activities they could be engaging in.</w:t>
      </w:r>
      <w:r w:rsidRPr="00446A7C">
        <w:rPr>
          <w:rFonts w:eastAsia="Times New Roman" w:cs="Times New Roman"/>
          <w:szCs w:val="24"/>
          <w:lang w:val="en-US"/>
        </w:rPr>
        <w:t xml:space="preserve"> </w:t>
      </w:r>
    </w:p>
    <w:p w14:paraId="23A413ED" w14:textId="77777777" w:rsidR="0008415E" w:rsidRPr="00446A7C" w:rsidRDefault="0008415E" w:rsidP="00EA1209">
      <w:pPr>
        <w:pStyle w:val="NoSpacing"/>
      </w:pPr>
    </w:p>
    <w:p w14:paraId="689D36B3" w14:textId="1BA2887E"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Challenges related to transparency and traceability were also identified in the manual payment system. </w:t>
      </w:r>
      <w:r w:rsidRPr="00446A7C">
        <w:rPr>
          <w:rFonts w:cs="Times New Roman"/>
          <w:color w:val="000000"/>
          <w:kern w:val="2"/>
          <w:szCs w:val="24"/>
          <w:lang w:val="en-US"/>
        </w:rPr>
        <w:t>This was consistent with the findings of the World Bank (2022b), were they found that, the use of manual methods in delivering social protection programmes, especially cash transfers resulted in a total household loss of approximately US$1.9billion.</w:t>
      </w:r>
      <w:r w:rsidRPr="00446A7C">
        <w:rPr>
          <w:rFonts w:eastAsia="Calibri" w:cs="Times New Roman"/>
          <w:kern w:val="2"/>
          <w:szCs w:val="24"/>
          <w:lang w:val="en-US"/>
        </w:rPr>
        <w:t xml:space="preserve"> </w:t>
      </w:r>
      <w:r w:rsidRPr="00446A7C">
        <w:rPr>
          <w:rFonts w:eastAsia="Calibri" w:cs="Times New Roman"/>
          <w:kern w:val="2"/>
          <w:szCs w:val="24"/>
        </w:rPr>
        <w:t xml:space="preserve">These challenges affect the experiences of the LEAP programme </w:t>
      </w:r>
      <w:r w:rsidRPr="00446A7C">
        <w:rPr>
          <w:rFonts w:eastAsia="Calibri" w:cs="Times New Roman"/>
          <w:kern w:val="2"/>
          <w:szCs w:val="24"/>
          <w:lang w:val="en-US"/>
        </w:rPr>
        <w:t>beneficiaries</w:t>
      </w:r>
      <w:r w:rsidRPr="00446A7C">
        <w:rPr>
          <w:rFonts w:eastAsia="Calibri" w:cs="Times New Roman"/>
          <w:kern w:val="2"/>
          <w:szCs w:val="24"/>
        </w:rPr>
        <w:t xml:space="preserve">. This result of beneficiaries lacking control over their resources affects decision making and planning. These </w:t>
      </w:r>
      <w:r w:rsidRPr="00446A7C">
        <w:rPr>
          <w:rFonts w:eastAsia="Calibri" w:cs="Times New Roman"/>
          <w:kern w:val="2"/>
          <w:szCs w:val="24"/>
          <w:lang w:val="en-US"/>
        </w:rPr>
        <w:t>hindrances</w:t>
      </w:r>
      <w:r w:rsidRPr="00446A7C">
        <w:rPr>
          <w:rFonts w:eastAsia="Calibri" w:cs="Times New Roman"/>
          <w:kern w:val="2"/>
          <w:szCs w:val="24"/>
        </w:rPr>
        <w:t xml:space="preserve"> have a direct implication on poverty reduction as it undermines </w:t>
      </w:r>
      <w:r w:rsidRPr="00446A7C">
        <w:rPr>
          <w:rFonts w:eastAsia="Calibri" w:cs="Times New Roman"/>
          <w:kern w:val="2"/>
          <w:szCs w:val="24"/>
          <w:lang w:val="en-US"/>
        </w:rPr>
        <w:t>theory of empowerment which was rightly criticized by</w:t>
      </w:r>
      <w:r w:rsidRPr="00446A7C">
        <w:rPr>
          <w:rFonts w:cs="Times New Roman"/>
          <w:bCs/>
          <w:szCs w:val="24"/>
        </w:rPr>
        <w:t xml:space="preserve"> </w:t>
      </w:r>
      <w:r w:rsidRPr="00446A7C">
        <w:rPr>
          <w:rFonts w:eastAsia="Calibri" w:cs="Times New Roman"/>
          <w:bCs/>
          <w:kern w:val="2"/>
          <w:szCs w:val="24"/>
        </w:rPr>
        <w:t xml:space="preserve">Maton (2008). </w:t>
      </w:r>
      <w:r w:rsidRPr="00446A7C">
        <w:rPr>
          <w:rFonts w:eastAsia="Calibri" w:cs="Times New Roman"/>
          <w:kern w:val="2"/>
          <w:szCs w:val="24"/>
          <w:lang w:val="en-US"/>
        </w:rPr>
        <w:t>Although Adato</w:t>
      </w:r>
      <w:r w:rsidRPr="00446A7C">
        <w:rPr>
          <w:rFonts w:eastAsia="Calibri" w:cs="Times New Roman"/>
          <w:bCs/>
          <w:kern w:val="2"/>
          <w:szCs w:val="24"/>
        </w:rPr>
        <w:t xml:space="preserve"> and Roopnaraine (2014) and Bastagli et al. (2016) </w:t>
      </w:r>
      <w:r w:rsidRPr="00446A7C">
        <w:rPr>
          <w:rFonts w:eastAsia="Calibri" w:cs="Times New Roman"/>
          <w:kern w:val="2"/>
          <w:szCs w:val="24"/>
          <w:lang w:val="en-US"/>
        </w:rPr>
        <w:t xml:space="preserve">presents a compelling argument for the role of cash transfers in building autonomy and access to resources, it is important to consider alternative perspectives that eases access to these transfers which is a digital payment system. </w:t>
      </w:r>
    </w:p>
    <w:p w14:paraId="5C024615" w14:textId="77777777" w:rsidR="0008415E" w:rsidRPr="00446A7C" w:rsidRDefault="00000000">
      <w:pPr>
        <w:pStyle w:val="Heading4"/>
        <w:rPr>
          <w:rFonts w:cs="Times New Roman"/>
          <w:szCs w:val="24"/>
        </w:rPr>
      </w:pPr>
      <w:bookmarkStart w:id="148" w:name="_Toc171703258"/>
      <w:r w:rsidRPr="00446A7C">
        <w:rPr>
          <w:rFonts w:cs="Times New Roman"/>
          <w:szCs w:val="24"/>
        </w:rPr>
        <w:lastRenderedPageBreak/>
        <w:t>4.3.1.2 Digital delivery mode</w:t>
      </w:r>
      <w:bookmarkEnd w:id="148"/>
    </w:p>
    <w:p w14:paraId="5E478DD6" w14:textId="77777777" w:rsidR="0008415E" w:rsidRPr="00446A7C" w:rsidRDefault="00000000" w:rsidP="000B2D44">
      <w:pPr>
        <w:spacing w:after="0" w:line="480" w:lineRule="auto"/>
        <w:ind w:firstLine="0"/>
        <w:contextualSpacing/>
        <w:jc w:val="both"/>
        <w:rPr>
          <w:rFonts w:eastAsia="Calibri" w:cs="Times New Roman"/>
          <w:kern w:val="2"/>
          <w:szCs w:val="24"/>
        </w:rPr>
      </w:pPr>
      <w:r w:rsidRPr="00446A7C">
        <w:rPr>
          <w:rFonts w:eastAsia="Calibri" w:cs="Times New Roman"/>
          <w:bCs/>
          <w:kern w:val="2"/>
          <w:szCs w:val="24"/>
        </w:rPr>
        <w:t xml:space="preserve">Gronbach (2020) highlights that, the delivery of social interventions have now moved from manual delivery to a more digitised system. The LEAP programme has since 2015 joined this race of transitioning from the manual delivery of cash to the incorporation of digital technology to disburse stipends to beneficiaries. </w:t>
      </w:r>
      <w:r w:rsidRPr="00446A7C">
        <w:rPr>
          <w:rFonts w:eastAsia="Calibri" w:cs="Times New Roman"/>
          <w:kern w:val="2"/>
          <w:szCs w:val="24"/>
        </w:rPr>
        <w:t xml:space="preserve"> </w:t>
      </w:r>
      <w:r w:rsidRPr="00446A7C">
        <w:rPr>
          <w:rFonts w:eastAsia="Calibri" w:cs="Times New Roman"/>
          <w:kern w:val="2"/>
          <w:szCs w:val="24"/>
          <w:lang w:val="en-US"/>
        </w:rPr>
        <w:t>Lowe et al. (2023) argued that the incorporation of digital technology has significantly transformed social intervention programmes, enhancing their efficiency, transparency, and accessibility. In the digital system of LEAP service delivery, beneficiaries once enrolled and verified into the system are provided with e-zwitch cards through which they access their stipends. This was brought to light in an interview with some beneficiaries.</w:t>
      </w:r>
      <w:r w:rsidRPr="00446A7C">
        <w:rPr>
          <w:rFonts w:eastAsia="Calibri" w:cs="Times New Roman"/>
          <w:kern w:val="2"/>
          <w:szCs w:val="24"/>
        </w:rPr>
        <w:t xml:space="preserve"> For example, a respondent from Guo, asserted that:</w:t>
      </w:r>
    </w:p>
    <w:p w14:paraId="7A192E65" w14:textId="357134BF"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“When I was selected for the programme, the officers gave me a card [e-zwitch] </w:t>
      </w:r>
      <w:r w:rsidR="002F0643">
        <w:rPr>
          <w:rFonts w:eastAsia="Calibri" w:cs="Times New Roman"/>
          <w:i/>
          <w:iCs/>
          <w:kern w:val="2"/>
          <w:szCs w:val="24"/>
        </w:rPr>
        <w:tab/>
      </w:r>
      <w:r w:rsidRPr="00446A7C">
        <w:rPr>
          <w:rFonts w:eastAsia="Calibri" w:cs="Times New Roman"/>
          <w:i/>
          <w:iCs/>
          <w:kern w:val="2"/>
          <w:szCs w:val="24"/>
        </w:rPr>
        <w:t xml:space="preserve">like my insurance. But with this one, the officer will take my card and insert it </w:t>
      </w:r>
      <w:r w:rsidR="002F0643">
        <w:rPr>
          <w:rFonts w:eastAsia="Calibri" w:cs="Times New Roman"/>
          <w:i/>
          <w:iCs/>
          <w:kern w:val="2"/>
          <w:szCs w:val="24"/>
        </w:rPr>
        <w:tab/>
      </w:r>
      <w:r w:rsidRPr="00446A7C">
        <w:rPr>
          <w:rFonts w:eastAsia="Calibri" w:cs="Times New Roman"/>
          <w:i/>
          <w:iCs/>
          <w:kern w:val="2"/>
          <w:szCs w:val="24"/>
        </w:rPr>
        <w:t xml:space="preserve">into a machine and then I also put my finger on the machine [biometric </w:t>
      </w:r>
      <w:r w:rsidR="002F0643">
        <w:rPr>
          <w:rFonts w:eastAsia="Calibri" w:cs="Times New Roman"/>
          <w:i/>
          <w:iCs/>
          <w:kern w:val="2"/>
          <w:szCs w:val="24"/>
        </w:rPr>
        <w:tab/>
      </w:r>
      <w:r w:rsidRPr="00446A7C">
        <w:rPr>
          <w:rFonts w:eastAsia="Calibri" w:cs="Times New Roman"/>
          <w:i/>
          <w:iCs/>
          <w:kern w:val="2"/>
          <w:szCs w:val="24"/>
        </w:rPr>
        <w:t xml:space="preserve">machine]. When the machine recognises my finger, they then print a paper </w:t>
      </w:r>
      <w:r w:rsidR="002F0643">
        <w:rPr>
          <w:rFonts w:eastAsia="Calibri" w:cs="Times New Roman"/>
          <w:i/>
          <w:iCs/>
          <w:kern w:val="2"/>
          <w:szCs w:val="24"/>
        </w:rPr>
        <w:tab/>
      </w:r>
      <w:r w:rsidRPr="00446A7C">
        <w:rPr>
          <w:rFonts w:eastAsia="Calibri" w:cs="Times New Roman"/>
          <w:i/>
          <w:iCs/>
          <w:kern w:val="2"/>
          <w:szCs w:val="24"/>
        </w:rPr>
        <w:t>[receipts] and add to my money for me.” (60-year-old man, 2023)</w:t>
      </w:r>
    </w:p>
    <w:p w14:paraId="3315C8DC" w14:textId="77777777" w:rsidR="0008415E" w:rsidRPr="00446A7C" w:rsidRDefault="0008415E" w:rsidP="00EA1209">
      <w:pPr>
        <w:pStyle w:val="NoSpacing"/>
      </w:pPr>
    </w:p>
    <w:p w14:paraId="65C7769D"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Another beneficiary from Munyupelle confirmed this in an interview:</w:t>
      </w:r>
    </w:p>
    <w:p w14:paraId="301E44F2" w14:textId="27F44F52"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“When I go to collect my money, they make me put my thumb on the machine and </w:t>
      </w:r>
      <w:r w:rsidR="002F0643">
        <w:rPr>
          <w:rFonts w:eastAsia="Calibri" w:cs="Times New Roman"/>
          <w:i/>
          <w:iCs/>
          <w:kern w:val="2"/>
          <w:szCs w:val="24"/>
        </w:rPr>
        <w:tab/>
      </w:r>
      <w:r w:rsidRPr="00446A7C">
        <w:rPr>
          <w:rFonts w:eastAsia="Calibri" w:cs="Times New Roman"/>
          <w:i/>
          <w:iCs/>
          <w:kern w:val="2"/>
          <w:szCs w:val="24"/>
        </w:rPr>
        <w:t>after that they will give me my money.” (PLWD, 2023)</w:t>
      </w:r>
    </w:p>
    <w:p w14:paraId="1447BE93" w14:textId="77777777" w:rsidR="0008415E" w:rsidRPr="00446A7C" w:rsidRDefault="0008415E" w:rsidP="00EA1209">
      <w:pPr>
        <w:pStyle w:val="NoSpacing"/>
      </w:pPr>
    </w:p>
    <w:p w14:paraId="1F66CBE5"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rPr>
        <w:t>These findings suggest the transition from a manual payment system to a digital payment system.</w:t>
      </w:r>
      <w:r w:rsidRPr="00446A7C">
        <w:rPr>
          <w:rFonts w:eastAsia="Calibri" w:cs="Times New Roman"/>
          <w:kern w:val="2"/>
          <w:szCs w:val="24"/>
          <w:lang w:val="en-US"/>
        </w:rPr>
        <w:t xml:space="preserve"> These statements were corroborated by the head of the district social welfare office when he said:</w:t>
      </w:r>
    </w:p>
    <w:p w14:paraId="45A8D666" w14:textId="7E915199"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lastRenderedPageBreak/>
        <w:t xml:space="preserve">“We now use the e-zwitch card to pay beneficiaries their bi-monthly stipends. </w:t>
      </w:r>
      <w:r w:rsidR="002F0643">
        <w:rPr>
          <w:rFonts w:eastAsia="Calibri" w:cs="Times New Roman"/>
          <w:i/>
          <w:iCs/>
          <w:kern w:val="2"/>
          <w:szCs w:val="24"/>
        </w:rPr>
        <w:tab/>
      </w:r>
      <w:r w:rsidRPr="00446A7C">
        <w:rPr>
          <w:rFonts w:eastAsia="Calibri" w:cs="Times New Roman"/>
          <w:i/>
          <w:iCs/>
          <w:kern w:val="2"/>
          <w:szCs w:val="24"/>
        </w:rPr>
        <w:t xml:space="preserve">When it is time for payment, we go to the payment points at the various </w:t>
      </w:r>
      <w:r w:rsidR="002F0643">
        <w:rPr>
          <w:rFonts w:eastAsia="Calibri" w:cs="Times New Roman"/>
          <w:i/>
          <w:iCs/>
          <w:kern w:val="2"/>
          <w:szCs w:val="24"/>
        </w:rPr>
        <w:tab/>
      </w:r>
      <w:r w:rsidRPr="00446A7C">
        <w:rPr>
          <w:rFonts w:eastAsia="Calibri" w:cs="Times New Roman"/>
          <w:i/>
          <w:iCs/>
          <w:kern w:val="2"/>
          <w:szCs w:val="24"/>
        </w:rPr>
        <w:t xml:space="preserve">communities with the money and verification machines and then make the </w:t>
      </w:r>
      <w:r w:rsidR="002F0643">
        <w:rPr>
          <w:rFonts w:eastAsia="Calibri" w:cs="Times New Roman"/>
          <w:i/>
          <w:iCs/>
          <w:kern w:val="2"/>
          <w:szCs w:val="24"/>
        </w:rPr>
        <w:tab/>
      </w:r>
      <w:r w:rsidRPr="00446A7C">
        <w:rPr>
          <w:rFonts w:eastAsia="Calibri" w:cs="Times New Roman"/>
          <w:i/>
          <w:iCs/>
          <w:kern w:val="2"/>
          <w:szCs w:val="24"/>
        </w:rPr>
        <w:t>payments.” (Key informant, 2023).</w:t>
      </w:r>
    </w:p>
    <w:p w14:paraId="7935E875" w14:textId="77777777" w:rsidR="0008415E" w:rsidRPr="00446A7C" w:rsidRDefault="0008415E">
      <w:pPr>
        <w:spacing w:before="240" w:after="0" w:line="480" w:lineRule="auto"/>
        <w:ind w:left="1440" w:firstLine="0"/>
        <w:contextualSpacing/>
        <w:jc w:val="both"/>
        <w:rPr>
          <w:rFonts w:eastAsia="Calibri" w:cs="Times New Roman"/>
          <w:i/>
          <w:iCs/>
          <w:kern w:val="2"/>
          <w:szCs w:val="24"/>
        </w:rPr>
      </w:pPr>
    </w:p>
    <w:p w14:paraId="2423D5CE"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rPr>
        <w:t>Beneficiaires also shared their experiences with regards to the use of the digital approach to payment. About 70% of the participants interviewed were satisfied with the new payment methods.  Below are some views expressed by participants sharing their experiences with the digital payment system:</w:t>
      </w:r>
    </w:p>
    <w:p w14:paraId="0DCDF8B6" w14:textId="3A39D2EE"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“Using the card [e-zwitch card] has changed a lot of things, now I can walk with </w:t>
      </w:r>
      <w:r w:rsidR="002F0643">
        <w:rPr>
          <w:rFonts w:eastAsia="Calibri" w:cs="Times New Roman"/>
          <w:i/>
          <w:iCs/>
          <w:kern w:val="2"/>
          <w:szCs w:val="24"/>
        </w:rPr>
        <w:tab/>
      </w:r>
      <w:r w:rsidRPr="00446A7C">
        <w:rPr>
          <w:rFonts w:eastAsia="Calibri" w:cs="Times New Roman"/>
          <w:i/>
          <w:iCs/>
          <w:kern w:val="2"/>
          <w:szCs w:val="24"/>
        </w:rPr>
        <w:t>my card anytime and withdraw my money.” (MR 7-Covc, 2023)</w:t>
      </w:r>
    </w:p>
    <w:p w14:paraId="31CB0C6D" w14:textId="77777777" w:rsidR="0008415E" w:rsidRPr="00446A7C" w:rsidRDefault="0008415E" w:rsidP="00EA1209">
      <w:pPr>
        <w:pStyle w:val="NoSpacing"/>
      </w:pPr>
    </w:p>
    <w:p w14:paraId="55A86ED0" w14:textId="468C1CF4" w:rsidR="0008415E"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The machine is very good. If they call us for the money and we are not able to go </w:t>
      </w:r>
      <w:r w:rsidR="002F0643">
        <w:rPr>
          <w:rFonts w:eastAsia="Calibri" w:cs="Times New Roman"/>
          <w:i/>
          <w:iCs/>
          <w:kern w:val="2"/>
          <w:szCs w:val="24"/>
        </w:rPr>
        <w:tab/>
      </w:r>
      <w:r w:rsidRPr="00446A7C">
        <w:rPr>
          <w:rFonts w:eastAsia="Calibri" w:cs="Times New Roman"/>
          <w:i/>
          <w:iCs/>
          <w:kern w:val="2"/>
          <w:szCs w:val="24"/>
        </w:rPr>
        <w:t xml:space="preserve">on time, we always go to the office anytime and still get the money.” (Elderly </w:t>
      </w:r>
      <w:r w:rsidR="002F0643">
        <w:rPr>
          <w:rFonts w:eastAsia="Calibri" w:cs="Times New Roman"/>
          <w:i/>
          <w:iCs/>
          <w:kern w:val="2"/>
          <w:szCs w:val="24"/>
        </w:rPr>
        <w:tab/>
      </w:r>
      <w:r w:rsidRPr="00446A7C">
        <w:rPr>
          <w:rFonts w:eastAsia="Calibri" w:cs="Times New Roman"/>
          <w:i/>
          <w:iCs/>
          <w:kern w:val="2"/>
          <w:szCs w:val="24"/>
        </w:rPr>
        <w:t>poor, 2023)</w:t>
      </w:r>
    </w:p>
    <w:p w14:paraId="7FB00114" w14:textId="77777777" w:rsidR="000B2D44" w:rsidRPr="00EA1209" w:rsidRDefault="000B2D44" w:rsidP="00EA1209">
      <w:pPr>
        <w:pStyle w:val="NoSpacing"/>
      </w:pPr>
    </w:p>
    <w:p w14:paraId="39B00AC3"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rPr>
        <w:t xml:space="preserve">The responses observed indicated that LEAP programme has now moved to using digital technology to enhance its cash delivery to beneficiaries. The use of electronic means </w:t>
      </w:r>
      <w:r w:rsidRPr="00446A7C">
        <w:rPr>
          <w:rFonts w:eastAsia="Calibri" w:cs="Times New Roman"/>
          <w:kern w:val="2"/>
          <w:szCs w:val="24"/>
          <w:lang w:val="en-US"/>
        </w:rPr>
        <w:t xml:space="preserve">has streamed lined the payment process reducing physical cash transportation to the payment points hence the risk of leakages and traceability issues at the district level is marginally reduced. The e-zwitch card and biometric verification used to deliver LEAP cash benefits are depicted in fig 4 and 5 respectively. Beneficiaries now have the luxury to use their cards to access their stipends anytime they want regardless of whether its payment day or not. This increase beneficiary’s autonomy and expands their choice. For instances, </w:t>
      </w:r>
      <w:r w:rsidRPr="00446A7C">
        <w:rPr>
          <w:rFonts w:eastAsia="Calibri" w:cs="Times New Roman"/>
          <w:kern w:val="2"/>
          <w:szCs w:val="24"/>
          <w:lang w:val="en-US"/>
        </w:rPr>
        <w:lastRenderedPageBreak/>
        <w:t xml:space="preserve">beneficiaries can withdraw only the amount they need from their e-zwitch cards and leave the rest as savings which was not possible in the manual payment mode. </w:t>
      </w:r>
    </w:p>
    <w:p w14:paraId="3199B594" w14:textId="77777777" w:rsidR="0008415E" w:rsidRPr="00446A7C" w:rsidRDefault="0008415E" w:rsidP="00EA1209">
      <w:pPr>
        <w:pStyle w:val="NoSpacing"/>
      </w:pPr>
    </w:p>
    <w:p w14:paraId="70D7C754"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The use of e-zwitch cards for payment also empowers beneficiaries by providing them with direct access to their stipends. This helps decrease their reliance on intermediaries created by the manual delivery system. This aligns with the focus of empowerment theory, which aims to enhance individuals' control over their resources and decision-making </w:t>
      </w:r>
      <w:r w:rsidRPr="00446A7C">
        <w:rPr>
          <w:rFonts w:eastAsia="Calibri" w:cs="Times New Roman"/>
          <w:bCs/>
          <w:kern w:val="2"/>
          <w:szCs w:val="24"/>
        </w:rPr>
        <w:t>(Zimmerman, 1995)</w:t>
      </w:r>
      <w:r w:rsidRPr="00446A7C">
        <w:rPr>
          <w:rFonts w:eastAsia="Calibri" w:cs="Times New Roman"/>
          <w:kern w:val="2"/>
          <w:szCs w:val="24"/>
          <w:lang w:val="en-US"/>
        </w:rPr>
        <w:t xml:space="preserve">. Also, the adoption of e-zwitch reflects how technology influences social structures and behaviours. Transitioning to electronic payment methods highlights how technology shapes economic transactions, replacing traditional cash-based systems with digital alternatives </w:t>
      </w:r>
      <w:r w:rsidRPr="00446A7C">
        <w:rPr>
          <w:rFonts w:eastAsia="Calibri" w:cs="Times New Roman"/>
          <w:bCs/>
          <w:kern w:val="2"/>
          <w:szCs w:val="24"/>
        </w:rPr>
        <w:t>(Hauer, 2017; Van, 2021)</w:t>
      </w:r>
      <w:r w:rsidRPr="00446A7C">
        <w:rPr>
          <w:rFonts w:eastAsia="Calibri" w:cs="Times New Roman"/>
          <w:kern w:val="2"/>
          <w:szCs w:val="24"/>
          <w:lang w:val="en-US"/>
        </w:rPr>
        <w:t>. The use of verification machines demonstrates how technological infrastructure determines payment processes, impacting financial interactions within the community.</w:t>
      </w:r>
    </w:p>
    <w:p w14:paraId="2106D62E" w14:textId="77777777" w:rsidR="0008415E" w:rsidRPr="00446A7C" w:rsidRDefault="0008415E" w:rsidP="00EA1209">
      <w:pPr>
        <w:pStyle w:val="NoSpacing"/>
      </w:pPr>
    </w:p>
    <w:p w14:paraId="1E537582"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cs="Times New Roman"/>
          <w:noProof/>
          <w:szCs w:val="24"/>
        </w:rPr>
        <w:drawing>
          <wp:inline distT="0" distB="0" distL="0" distR="0">
            <wp:extent cx="3523615" cy="2658110"/>
            <wp:effectExtent l="0" t="0" r="0" b="0"/>
            <wp:docPr id="8"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
                    <pic:cNvPicPr>
                      <a:picLocks noChangeAspect="1" noChangeArrowheads="1"/>
                    </pic:cNvPicPr>
                  </pic:nvPicPr>
                  <pic:blipFill>
                    <a:blip r:embed="rId22"/>
                    <a:stretch>
                      <a:fillRect/>
                    </a:stretch>
                  </pic:blipFill>
                  <pic:spPr bwMode="auto">
                    <a:xfrm>
                      <a:off x="0" y="0"/>
                      <a:ext cx="3523615" cy="2658110"/>
                    </a:xfrm>
                    <a:prstGeom prst="rect">
                      <a:avLst/>
                    </a:prstGeom>
                  </pic:spPr>
                </pic:pic>
              </a:graphicData>
            </a:graphic>
          </wp:inline>
        </w:drawing>
      </w:r>
    </w:p>
    <w:p w14:paraId="02CFCB0E" w14:textId="5E85C5EE" w:rsidR="0008415E" w:rsidRPr="00446A7C" w:rsidRDefault="00000000" w:rsidP="000B2D44">
      <w:pPr>
        <w:pStyle w:val="Heading5"/>
      </w:pPr>
      <w:bookmarkStart w:id="149" w:name="_Toc153173230"/>
      <w:bookmarkStart w:id="150" w:name="_Toc153172786"/>
      <w:bookmarkStart w:id="151" w:name="_Toc153173695"/>
      <w:bookmarkStart w:id="152" w:name="_Toc171701585"/>
      <w:r w:rsidRPr="00446A7C">
        <w:t>Figure</w:t>
      </w:r>
      <w:r w:rsidR="00124D74">
        <w:t xml:space="preserve"> 5</w:t>
      </w:r>
      <w:r w:rsidRPr="00446A7C">
        <w:t>: LEAP beneficiary e-zwitch card</w:t>
      </w:r>
      <w:bookmarkEnd w:id="149"/>
      <w:bookmarkEnd w:id="150"/>
      <w:bookmarkEnd w:id="151"/>
      <w:bookmarkEnd w:id="152"/>
    </w:p>
    <w:p w14:paraId="78AD8EDB" w14:textId="77777777" w:rsidR="0008415E" w:rsidRPr="00446A7C" w:rsidRDefault="0008415E">
      <w:pPr>
        <w:spacing w:before="240" w:after="0" w:line="480" w:lineRule="auto"/>
        <w:ind w:firstLine="0"/>
        <w:contextualSpacing/>
        <w:jc w:val="both"/>
        <w:rPr>
          <w:rFonts w:eastAsia="Calibri" w:cs="Times New Roman"/>
          <w:kern w:val="2"/>
          <w:szCs w:val="24"/>
        </w:rPr>
      </w:pPr>
    </w:p>
    <w:p w14:paraId="354E5F4C"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cs="Times New Roman"/>
          <w:noProof/>
          <w:szCs w:val="24"/>
        </w:rPr>
        <w:lastRenderedPageBreak/>
        <w:drawing>
          <wp:inline distT="0" distB="0" distL="0" distR="0">
            <wp:extent cx="4486910" cy="2713355"/>
            <wp:effectExtent l="0" t="0" r="0" b="0"/>
            <wp:docPr id="9"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
                    <pic:cNvPicPr>
                      <a:picLocks noChangeAspect="1" noChangeArrowheads="1"/>
                    </pic:cNvPicPr>
                  </pic:nvPicPr>
                  <pic:blipFill>
                    <a:blip r:embed="rId23"/>
                    <a:stretch>
                      <a:fillRect/>
                    </a:stretch>
                  </pic:blipFill>
                  <pic:spPr bwMode="auto">
                    <a:xfrm>
                      <a:off x="0" y="0"/>
                      <a:ext cx="4486910" cy="2713355"/>
                    </a:xfrm>
                    <a:prstGeom prst="rect">
                      <a:avLst/>
                    </a:prstGeom>
                  </pic:spPr>
                </pic:pic>
              </a:graphicData>
            </a:graphic>
          </wp:inline>
        </w:drawing>
      </w:r>
    </w:p>
    <w:p w14:paraId="1AAABB35" w14:textId="6C08A88F" w:rsidR="0008415E" w:rsidRDefault="00000000" w:rsidP="000B2D44">
      <w:pPr>
        <w:pStyle w:val="Heading5"/>
      </w:pPr>
      <w:bookmarkStart w:id="153" w:name="_Toc171701586"/>
      <w:r w:rsidRPr="00446A7C">
        <w:t>Figure</w:t>
      </w:r>
      <w:r w:rsidR="00124D74">
        <w:t xml:space="preserve"> 6</w:t>
      </w:r>
      <w:r w:rsidRPr="00446A7C">
        <w:t>: Biometric Verification machine</w:t>
      </w:r>
      <w:bookmarkEnd w:id="153"/>
    </w:p>
    <w:p w14:paraId="265D64FD" w14:textId="77777777" w:rsidR="000B2D44" w:rsidRPr="000B2D44" w:rsidRDefault="000B2D44" w:rsidP="000B2D44">
      <w:pPr>
        <w:rPr>
          <w:lang w:val="en-US"/>
        </w:rPr>
      </w:pPr>
    </w:p>
    <w:p w14:paraId="22DC9681" w14:textId="77777777" w:rsidR="0008415E" w:rsidRPr="00446A7C" w:rsidRDefault="00000000">
      <w:pPr>
        <w:pStyle w:val="Heading3"/>
      </w:pPr>
      <w:bookmarkStart w:id="154" w:name="_Toc171703259"/>
      <w:r w:rsidRPr="00446A7C">
        <w:t>4.3.2 Awareness and Training</w:t>
      </w:r>
      <w:bookmarkEnd w:id="154"/>
      <w:r w:rsidRPr="00446A7C">
        <w:tab/>
      </w:r>
    </w:p>
    <w:p w14:paraId="038699D3" w14:textId="77777777" w:rsidR="0008415E" w:rsidRPr="00446A7C" w:rsidRDefault="00000000" w:rsidP="000B2D44">
      <w:pPr>
        <w:spacing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Research shows that digital illiteracy can impede the utilization of available resources (Endert, 2018; Lee et al., 2022) in social protection programmes. As stated by Mansell and Hwa (2015), if individuals lack the necessary skills and knowledge to use digital technology effectively, its potential benefits may not be fully realized.  For instance, lack of digital literacy may lead to a poor understanding of how to utilize available resources optimally, including accessing benefits, submitting required documentation, or engaging with support services. Digital illiteracy can also contribute to communication barriers between beneficiaries and programme administrators, making it difficult to address inquiries, provide assistance, or disseminate important information effectively. Choudhury et al (2019) and World Bank </w:t>
      </w:r>
      <w:r w:rsidRPr="00446A7C">
        <w:rPr>
          <w:rFonts w:eastAsia="Calibri" w:cs="Times New Roman"/>
          <w:kern w:val="2"/>
          <w:szCs w:val="24"/>
          <w:lang w:val="en-US"/>
        </w:rPr>
        <w:t>(</w:t>
      </w:r>
      <w:r w:rsidRPr="00446A7C">
        <w:rPr>
          <w:rFonts w:eastAsia="Calibri" w:cs="Times New Roman"/>
          <w:kern w:val="2"/>
          <w:szCs w:val="24"/>
        </w:rPr>
        <w:t>2020</w:t>
      </w:r>
      <w:r w:rsidRPr="00446A7C">
        <w:rPr>
          <w:rFonts w:eastAsia="Calibri" w:cs="Times New Roman"/>
          <w:kern w:val="2"/>
          <w:szCs w:val="24"/>
          <w:lang w:val="en-US"/>
        </w:rPr>
        <w:t>)</w:t>
      </w:r>
      <w:r w:rsidRPr="00446A7C">
        <w:rPr>
          <w:rFonts w:eastAsia="Calibri" w:cs="Times New Roman"/>
          <w:kern w:val="2"/>
          <w:szCs w:val="24"/>
        </w:rPr>
        <w:t xml:space="preserve"> recognises the significance of digital literacy in programme implementation.</w:t>
      </w:r>
    </w:p>
    <w:p w14:paraId="5DC7E7A7" w14:textId="77777777" w:rsidR="0008415E" w:rsidRPr="00446A7C" w:rsidRDefault="0008415E" w:rsidP="00EA1209">
      <w:pPr>
        <w:pStyle w:val="NoSpacing"/>
      </w:pPr>
    </w:p>
    <w:p w14:paraId="590ECDC1" w14:textId="77777777" w:rsidR="0008415E"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About 70% of the study participants revealed that they had no knowledge with regards to the role </w:t>
      </w:r>
      <w:r w:rsidRPr="00446A7C">
        <w:rPr>
          <w:rFonts w:eastAsia="Calibri" w:cs="Times New Roman"/>
          <w:kern w:val="2"/>
          <w:szCs w:val="24"/>
          <w:lang w:val="en-US"/>
        </w:rPr>
        <w:t xml:space="preserve">of </w:t>
      </w:r>
      <w:r w:rsidRPr="00446A7C">
        <w:rPr>
          <w:rFonts w:eastAsia="Calibri" w:cs="Times New Roman"/>
          <w:kern w:val="2"/>
          <w:szCs w:val="24"/>
        </w:rPr>
        <w:t xml:space="preserve">digital technology in LEAP service delivery. This finding came to light when </w:t>
      </w:r>
      <w:r w:rsidRPr="00446A7C">
        <w:rPr>
          <w:rFonts w:eastAsia="Calibri" w:cs="Times New Roman"/>
          <w:kern w:val="2"/>
          <w:szCs w:val="24"/>
        </w:rPr>
        <w:lastRenderedPageBreak/>
        <w:t>the respondents were questioned about their thoughts on the use of digital technology in LEAP. For instance, a 60-year farmer stated that:</w:t>
      </w:r>
    </w:p>
    <w:p w14:paraId="214C1B0E" w14:textId="77777777" w:rsidR="007A2394" w:rsidRPr="00446A7C" w:rsidRDefault="007A2394" w:rsidP="007A2394">
      <w:pPr>
        <w:pStyle w:val="NoSpacing"/>
      </w:pPr>
    </w:p>
    <w:p w14:paraId="27F84805" w14:textId="77777777" w:rsidR="0008415E" w:rsidRPr="00446A7C" w:rsidRDefault="00000000">
      <w:pPr>
        <w:spacing w:before="240" w:after="0" w:line="480" w:lineRule="auto"/>
        <w:ind w:left="720" w:firstLine="0"/>
        <w:contextualSpacing/>
        <w:jc w:val="both"/>
        <w:rPr>
          <w:rFonts w:eastAsia="Calibri" w:cs="Times New Roman"/>
          <w:i/>
          <w:iCs/>
          <w:kern w:val="2"/>
          <w:szCs w:val="24"/>
        </w:rPr>
      </w:pPr>
      <w:r w:rsidRPr="00446A7C">
        <w:rPr>
          <w:rFonts w:eastAsia="Calibri" w:cs="Times New Roman"/>
          <w:i/>
          <w:iCs/>
          <w:kern w:val="2"/>
          <w:szCs w:val="24"/>
        </w:rPr>
        <w:t>“As for me, I don’t know much about this computer things.’’ (VR9-elderly poor, 2023).</w:t>
      </w:r>
    </w:p>
    <w:p w14:paraId="7AEFB8A9" w14:textId="77777777" w:rsidR="0008415E" w:rsidRPr="00446A7C" w:rsidRDefault="0008415E" w:rsidP="00EA1209">
      <w:pPr>
        <w:pStyle w:val="NoSpacing"/>
      </w:pPr>
    </w:p>
    <w:p w14:paraId="598C2B39"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Other respondents also asserted that they were less knowledgeable on issues regarding the use of digital technology.  A 50-year widow in particular confirmed with this statement:</w:t>
      </w:r>
    </w:p>
    <w:p w14:paraId="7162FF0C" w14:textId="53014F23"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“Hmm, I don’t know a lot about this computer things. So, if they can give us </w:t>
      </w:r>
      <w:r w:rsidR="002F0643">
        <w:rPr>
          <w:rFonts w:eastAsia="Calibri" w:cs="Times New Roman"/>
          <w:i/>
          <w:iCs/>
          <w:kern w:val="2"/>
          <w:szCs w:val="24"/>
        </w:rPr>
        <w:tab/>
      </w:r>
      <w:r w:rsidRPr="00446A7C">
        <w:rPr>
          <w:rFonts w:eastAsia="Calibri" w:cs="Times New Roman"/>
          <w:i/>
          <w:iCs/>
          <w:kern w:val="2"/>
          <w:szCs w:val="24"/>
        </w:rPr>
        <w:t>training so that we can understand how to use them better.” (GR3-Covc, 2023)</w:t>
      </w:r>
    </w:p>
    <w:p w14:paraId="7DDF6B4A" w14:textId="77777777" w:rsidR="0008415E" w:rsidRPr="00EA1209" w:rsidRDefault="0008415E" w:rsidP="00EA1209">
      <w:pPr>
        <w:pStyle w:val="NoSpacing"/>
        <w:rPr>
          <w:sz w:val="12"/>
          <w:szCs w:val="12"/>
        </w:rPr>
      </w:pPr>
    </w:p>
    <w:p w14:paraId="7F23E081"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These findings depict the low level of awareness in digitizing the LEAP programme. The responses, especially from elderly beneficiaries, highlight the presence of a digital divide, indicating variations in access to and utilization of digital technologies. This can be attributed to a number of factors such as generational differences, limited exposure to technology, or personal preferences. Elderly individuals, often facing challenges related to technological adaptation and access, may struggle to fully engage with digital platforms and services offered by the LEAP programme. Moreover, the digital divide can lead to socio-economic repercussions, as digital illiteracy limits job opportunities and access to quality employment (Setiadi et al., 2023) especially amongst the younger </w:t>
      </w:r>
      <w:r w:rsidRPr="00446A7C">
        <w:rPr>
          <w:rFonts w:eastAsia="Calibri" w:cs="Times New Roman"/>
          <w:kern w:val="2"/>
          <w:szCs w:val="24"/>
          <w:lang w:val="en-US"/>
        </w:rPr>
        <w:t>beneficiaries</w:t>
      </w:r>
      <w:r w:rsidRPr="00446A7C">
        <w:rPr>
          <w:rFonts w:eastAsia="Calibri" w:cs="Times New Roman"/>
          <w:kern w:val="2"/>
          <w:szCs w:val="24"/>
        </w:rPr>
        <w:t xml:space="preserve"> of LEAP programme. which may exacerbate the consequences of poverty. </w:t>
      </w:r>
    </w:p>
    <w:p w14:paraId="1E68A0FD" w14:textId="77777777" w:rsidR="0008415E" w:rsidRPr="00446A7C" w:rsidRDefault="0008415E" w:rsidP="00EA1209">
      <w:pPr>
        <w:pStyle w:val="NoSpacing"/>
      </w:pPr>
    </w:p>
    <w:p w14:paraId="2EF4C195"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To explore the reason behind the lack of familiarity with digital technology, the beneficiaries were asked if they were given training with regards to the use digital tools in accessing LEAP services. Majority of the respondents asserted they were not trained </w:t>
      </w:r>
      <w:r w:rsidRPr="00446A7C">
        <w:rPr>
          <w:rFonts w:eastAsia="Calibri" w:cs="Times New Roman"/>
          <w:kern w:val="2"/>
          <w:szCs w:val="24"/>
        </w:rPr>
        <w:lastRenderedPageBreak/>
        <w:t>in any form except that they were called for verification and given e-zwitch cards to be used any</w:t>
      </w:r>
      <w:r w:rsidRPr="00446A7C">
        <w:rPr>
          <w:rFonts w:eastAsia="Calibri" w:cs="Times New Roman"/>
          <w:kern w:val="2"/>
          <w:szCs w:val="24"/>
          <w:lang w:val="en-US"/>
        </w:rPr>
        <w:t xml:space="preserve"> </w:t>
      </w:r>
      <w:r w:rsidRPr="00446A7C">
        <w:rPr>
          <w:rFonts w:eastAsia="Calibri" w:cs="Times New Roman"/>
          <w:kern w:val="2"/>
          <w:szCs w:val="24"/>
        </w:rPr>
        <w:t xml:space="preserve">time they are to receive payments. Other beneficiaries asserted they were cautioned to always keep their cards on them and to ensure </w:t>
      </w:r>
      <w:r w:rsidRPr="00446A7C">
        <w:rPr>
          <w:rFonts w:eastAsia="Calibri" w:cs="Times New Roman"/>
          <w:kern w:val="2"/>
          <w:szCs w:val="24"/>
          <w:lang w:val="en-US"/>
        </w:rPr>
        <w:t xml:space="preserve">that </w:t>
      </w:r>
      <w:r w:rsidRPr="00446A7C">
        <w:rPr>
          <w:rFonts w:eastAsia="Calibri" w:cs="Times New Roman"/>
          <w:kern w:val="2"/>
          <w:szCs w:val="24"/>
        </w:rPr>
        <w:t xml:space="preserve">they </w:t>
      </w:r>
      <w:r w:rsidRPr="00446A7C">
        <w:rPr>
          <w:rFonts w:eastAsia="Calibri" w:cs="Times New Roman"/>
          <w:kern w:val="2"/>
          <w:szCs w:val="24"/>
          <w:lang w:val="en-US"/>
        </w:rPr>
        <w:t xml:space="preserve">are </w:t>
      </w:r>
      <w:r w:rsidRPr="00446A7C">
        <w:rPr>
          <w:rFonts w:eastAsia="Calibri" w:cs="Times New Roman"/>
          <w:kern w:val="2"/>
          <w:szCs w:val="24"/>
        </w:rPr>
        <w:t xml:space="preserve">kept in safe places. The e-zwitch cards are requested by the payment’s agents as ways of validating beneficiaries’ identities for payments. In line with this claim, a </w:t>
      </w:r>
      <w:r w:rsidRPr="00446A7C">
        <w:rPr>
          <w:rFonts w:eastAsia="Calibri" w:cs="Times New Roman"/>
          <w:i/>
          <w:iCs/>
          <w:kern w:val="2"/>
          <w:szCs w:val="24"/>
        </w:rPr>
        <w:t>pito</w:t>
      </w:r>
      <w:r w:rsidRPr="00446A7C">
        <w:rPr>
          <w:rFonts w:eastAsia="Calibri" w:cs="Times New Roman"/>
          <w:kern w:val="2"/>
          <w:szCs w:val="24"/>
        </w:rPr>
        <w:t xml:space="preserve"> brewer from Munyupelle confirms by stating that:</w:t>
      </w:r>
    </w:p>
    <w:p w14:paraId="7EB34964" w14:textId="77777777" w:rsidR="0008415E" w:rsidRPr="002F0643" w:rsidRDefault="0008415E" w:rsidP="002F0643">
      <w:pPr>
        <w:pStyle w:val="NoSpacing"/>
      </w:pPr>
    </w:p>
    <w:p w14:paraId="3F13807B" w14:textId="384ACDF8"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When they gave us the card [e-zwitch cards], they [District LEAP officials] told </w:t>
      </w:r>
      <w:r w:rsidR="002F0643">
        <w:rPr>
          <w:rFonts w:eastAsia="Calibri" w:cs="Times New Roman"/>
          <w:i/>
          <w:iCs/>
          <w:kern w:val="2"/>
          <w:szCs w:val="24"/>
        </w:rPr>
        <w:tab/>
      </w:r>
      <w:r w:rsidRPr="00446A7C">
        <w:rPr>
          <w:rFonts w:eastAsia="Calibri" w:cs="Times New Roman"/>
          <w:i/>
          <w:iCs/>
          <w:kern w:val="2"/>
          <w:szCs w:val="24"/>
        </w:rPr>
        <w:t xml:space="preserve">us that we should keep it well and anytime we are coming for the money we </w:t>
      </w:r>
      <w:r w:rsidR="002F0643">
        <w:rPr>
          <w:rFonts w:eastAsia="Calibri" w:cs="Times New Roman"/>
          <w:i/>
          <w:iCs/>
          <w:kern w:val="2"/>
          <w:szCs w:val="24"/>
        </w:rPr>
        <w:tab/>
      </w:r>
      <w:r w:rsidRPr="00446A7C">
        <w:rPr>
          <w:rFonts w:eastAsia="Calibri" w:cs="Times New Roman"/>
          <w:i/>
          <w:iCs/>
          <w:kern w:val="2"/>
          <w:szCs w:val="24"/>
        </w:rPr>
        <w:t>should bring it along.” (MR3-Covc, 2023)</w:t>
      </w:r>
    </w:p>
    <w:p w14:paraId="6A34D1F6" w14:textId="77777777" w:rsidR="0008415E" w:rsidRPr="00446A7C" w:rsidRDefault="0008415E" w:rsidP="00EA1209">
      <w:pPr>
        <w:pStyle w:val="NoSpacing"/>
      </w:pPr>
    </w:p>
    <w:p w14:paraId="0767BE0F" w14:textId="77777777" w:rsidR="0008415E" w:rsidRPr="00446A7C" w:rsidRDefault="00000000">
      <w:pPr>
        <w:spacing w:before="240" w:after="0" w:line="480" w:lineRule="auto"/>
        <w:ind w:firstLine="0"/>
        <w:contextualSpacing/>
        <w:jc w:val="both"/>
        <w:rPr>
          <w:rFonts w:cs="Times New Roman"/>
          <w:szCs w:val="24"/>
        </w:rPr>
      </w:pPr>
      <w:r w:rsidRPr="00446A7C">
        <w:rPr>
          <w:rFonts w:cs="Times New Roman"/>
          <w:szCs w:val="24"/>
        </w:rPr>
        <w:t>Contrary to this statement, the HOD of the DSW confirmed that, the office in collaboration with the CFP organise awareness champagnes at the various communities to enlighten beneficiaries on the introduction and incorporation of digital tools within the LEAP programme</w:t>
      </w:r>
      <w:r w:rsidRPr="00446A7C">
        <w:rPr>
          <w:rFonts w:cs="Times New Roman"/>
          <w:szCs w:val="24"/>
          <w:lang w:val="en-US"/>
        </w:rPr>
        <w:t xml:space="preserve">. </w:t>
      </w:r>
      <w:r w:rsidRPr="00446A7C">
        <w:rPr>
          <w:rFonts w:cs="Times New Roman"/>
          <w:szCs w:val="24"/>
        </w:rPr>
        <w:t xml:space="preserve">The responses observed overall show inadequate training on the use of digital technologies to access the LEAP programme. </w:t>
      </w:r>
      <w:r w:rsidRPr="00446A7C">
        <w:rPr>
          <w:rFonts w:eastAsia="Calibri" w:cs="Times New Roman"/>
          <w:kern w:val="2"/>
          <w:szCs w:val="24"/>
        </w:rPr>
        <w:t>The responses also indicate a lack of awareness about the potential benefits of digital technology among beneficiaries interviewed. This ignorance was informed partly by the fact that the beneficiaries lack adequate education on the new digital tools introduced into the programme. In the context of digital technology and cash transfers, training beneficiaries on digital technology as well as awareness creation will build their agency which is emphasised by the empowerment theory (Zimmerman, 2000).</w:t>
      </w:r>
    </w:p>
    <w:p w14:paraId="31F30A4F" w14:textId="77777777" w:rsidR="0008415E" w:rsidRPr="00446A7C" w:rsidRDefault="00000000">
      <w:pPr>
        <w:pStyle w:val="Heading2"/>
        <w:rPr>
          <w:rFonts w:cs="Times New Roman"/>
          <w:szCs w:val="24"/>
        </w:rPr>
      </w:pPr>
      <w:bookmarkStart w:id="155" w:name="_Toc171703260"/>
      <w:r w:rsidRPr="00446A7C">
        <w:rPr>
          <w:rFonts w:cs="Times New Roman"/>
          <w:szCs w:val="24"/>
        </w:rPr>
        <w:t>4.4 Limitation and Potentials of Digital Technologies: Towards Enhancing the LEAP Programme</w:t>
      </w:r>
      <w:bookmarkEnd w:id="155"/>
    </w:p>
    <w:p w14:paraId="53DF4FC4" w14:textId="77777777" w:rsidR="0008415E" w:rsidRPr="00446A7C" w:rsidRDefault="00000000">
      <w:pPr>
        <w:spacing w:line="480" w:lineRule="auto"/>
        <w:ind w:firstLine="0"/>
        <w:contextualSpacing/>
        <w:jc w:val="both"/>
        <w:rPr>
          <w:rFonts w:cs="Times New Roman"/>
          <w:bCs/>
          <w:szCs w:val="24"/>
        </w:rPr>
      </w:pPr>
      <w:r w:rsidRPr="00446A7C">
        <w:rPr>
          <w:rFonts w:cs="Times New Roman"/>
          <w:szCs w:val="24"/>
        </w:rPr>
        <w:t xml:space="preserve">In Chapter One and Two, the discussions on the challenges of social protection programmes were made explicit. The LEAP programme is not without its own share of </w:t>
      </w:r>
      <w:r w:rsidRPr="00446A7C">
        <w:rPr>
          <w:rFonts w:cs="Times New Roman"/>
          <w:szCs w:val="24"/>
        </w:rPr>
        <w:lastRenderedPageBreak/>
        <w:t xml:space="preserve">challenges since its inception. </w:t>
      </w:r>
      <w:r w:rsidRPr="00446A7C">
        <w:rPr>
          <w:rFonts w:cs="Times New Roman"/>
          <w:bCs/>
          <w:szCs w:val="24"/>
        </w:rPr>
        <w:t>Studies on digital technology in cash transfer interventions revealed that, digital technology holds greater potential in transforming these interventions as observed in the findings in objective two of this study. However, the digitization of the LEAP cash transfers has come with its own limitations. This section presents the challenges found in the field despite the observed potential of this change and also outline the ways to enhance its potential towards sustainable poverty reduction. This subsection is presented under four themes based on the finding of the study: technological challenges, structural barriers, administrative challenges and logistical inadequacies. Based on the findings, the sections end with the way forward to making the digitization of the programme a success for both beneficiaries and programme implement</w:t>
      </w:r>
      <w:r w:rsidRPr="00446A7C">
        <w:rPr>
          <w:rFonts w:cs="Times New Roman"/>
          <w:bCs/>
          <w:szCs w:val="24"/>
          <w:lang w:val="en-US"/>
        </w:rPr>
        <w:t>e</w:t>
      </w:r>
      <w:r w:rsidRPr="00446A7C">
        <w:rPr>
          <w:rFonts w:cs="Times New Roman"/>
          <w:bCs/>
          <w:szCs w:val="24"/>
        </w:rPr>
        <w:t>rs in the Nandom District.</w:t>
      </w:r>
    </w:p>
    <w:p w14:paraId="3903EE97" w14:textId="77777777" w:rsidR="0008415E" w:rsidRPr="00446A7C" w:rsidRDefault="00000000">
      <w:pPr>
        <w:pStyle w:val="Heading3"/>
      </w:pPr>
      <w:bookmarkStart w:id="156" w:name="_Toc171703261"/>
      <w:r w:rsidRPr="00446A7C">
        <w:t>4.4.1 Technological factors</w:t>
      </w:r>
      <w:bookmarkEnd w:id="156"/>
    </w:p>
    <w:p w14:paraId="66E4EF45" w14:textId="77777777" w:rsidR="0008415E" w:rsidRDefault="00000000">
      <w:pPr>
        <w:spacing w:after="0" w:line="480" w:lineRule="auto"/>
        <w:ind w:firstLine="0"/>
        <w:contextualSpacing/>
        <w:jc w:val="both"/>
        <w:rPr>
          <w:rFonts w:cs="Times New Roman"/>
          <w:szCs w:val="24"/>
        </w:rPr>
      </w:pPr>
      <w:r w:rsidRPr="00446A7C">
        <w:rPr>
          <w:rFonts w:cs="Times New Roman"/>
          <w:szCs w:val="24"/>
        </w:rPr>
        <w:t xml:space="preserve">In order to understand the challenges posed by the digitization of the LEAP programme, participants were asked about the challenges they face in using the electronic payment system to receive their stipends. Participants reported they have encountered challenges with verification and network. With regards to verification, the biometric machine sometimes fails to detect the fingerprints of beneficiaries which means that they may not be verified. Some beneficiaries in an interview expressed their frustrations: </w:t>
      </w:r>
    </w:p>
    <w:p w14:paraId="12DCEA76" w14:textId="77777777" w:rsidR="007A2394" w:rsidRPr="00446A7C" w:rsidRDefault="007A2394" w:rsidP="007A2394">
      <w:pPr>
        <w:pStyle w:val="NoSpacing"/>
      </w:pPr>
    </w:p>
    <w:p w14:paraId="77BC10CA" w14:textId="3E7012B8" w:rsidR="0008415E" w:rsidRPr="00446A7C" w:rsidRDefault="00000000" w:rsidP="002F0643">
      <w:pPr>
        <w:spacing w:after="0" w:line="480" w:lineRule="auto"/>
        <w:contextualSpacing/>
        <w:jc w:val="both"/>
        <w:rPr>
          <w:rFonts w:cs="Times New Roman"/>
          <w:i/>
          <w:iCs/>
          <w:szCs w:val="24"/>
        </w:rPr>
      </w:pPr>
      <w:r w:rsidRPr="00446A7C">
        <w:rPr>
          <w:rFonts w:cs="Times New Roman"/>
          <w:i/>
          <w:iCs/>
          <w:szCs w:val="24"/>
        </w:rPr>
        <w:t xml:space="preserve">“Sometimes when I put my thumb on the machine, it takes a lot of attempts before </w:t>
      </w:r>
      <w:r w:rsidR="002F0643">
        <w:rPr>
          <w:rFonts w:cs="Times New Roman"/>
          <w:i/>
          <w:iCs/>
          <w:szCs w:val="24"/>
        </w:rPr>
        <w:tab/>
      </w:r>
      <w:r w:rsidRPr="00446A7C">
        <w:rPr>
          <w:rFonts w:cs="Times New Roman"/>
          <w:i/>
          <w:iCs/>
          <w:szCs w:val="24"/>
        </w:rPr>
        <w:t xml:space="preserve">the machine [verification machine] can recognize my fingers, and sometimes it’s </w:t>
      </w:r>
      <w:r w:rsidR="002F0643">
        <w:rPr>
          <w:rFonts w:cs="Times New Roman"/>
          <w:i/>
          <w:iCs/>
          <w:szCs w:val="24"/>
        </w:rPr>
        <w:tab/>
      </w:r>
      <w:r w:rsidRPr="00446A7C">
        <w:rPr>
          <w:rFonts w:cs="Times New Roman"/>
          <w:i/>
          <w:iCs/>
          <w:szCs w:val="24"/>
        </w:rPr>
        <w:t>frustrating.” (a 58-year-old farmer, 2023)</w:t>
      </w:r>
    </w:p>
    <w:p w14:paraId="2757C994" w14:textId="77777777" w:rsidR="002F0643" w:rsidRDefault="002F0643" w:rsidP="002F0643">
      <w:pPr>
        <w:spacing w:after="0" w:line="480" w:lineRule="auto"/>
        <w:contextualSpacing/>
        <w:jc w:val="both"/>
        <w:rPr>
          <w:rFonts w:cs="Times New Roman"/>
          <w:i/>
          <w:iCs/>
          <w:szCs w:val="24"/>
        </w:rPr>
      </w:pPr>
    </w:p>
    <w:p w14:paraId="04DD16B7" w14:textId="4D454226" w:rsidR="0008415E" w:rsidRPr="00446A7C" w:rsidRDefault="00000000" w:rsidP="002F0643">
      <w:pPr>
        <w:spacing w:after="0" w:line="480" w:lineRule="auto"/>
        <w:contextualSpacing/>
        <w:jc w:val="both"/>
        <w:rPr>
          <w:rFonts w:cs="Times New Roman"/>
          <w:i/>
          <w:iCs/>
          <w:szCs w:val="24"/>
        </w:rPr>
      </w:pPr>
      <w:r w:rsidRPr="00446A7C">
        <w:rPr>
          <w:rFonts w:cs="Times New Roman"/>
          <w:i/>
          <w:iCs/>
          <w:szCs w:val="24"/>
        </w:rPr>
        <w:t xml:space="preserve">“My daughter, at first, I will go and collect my money and head home [referring </w:t>
      </w:r>
      <w:r w:rsidR="002F0643">
        <w:rPr>
          <w:rFonts w:cs="Times New Roman"/>
          <w:i/>
          <w:iCs/>
          <w:szCs w:val="24"/>
        </w:rPr>
        <w:tab/>
      </w:r>
      <w:r w:rsidRPr="00446A7C">
        <w:rPr>
          <w:rFonts w:cs="Times New Roman"/>
          <w:i/>
          <w:iCs/>
          <w:szCs w:val="24"/>
        </w:rPr>
        <w:t xml:space="preserve">to manual payment system], but now, because of the machine, I have to put my </w:t>
      </w:r>
      <w:r w:rsidR="002F0643">
        <w:rPr>
          <w:rFonts w:cs="Times New Roman"/>
          <w:i/>
          <w:iCs/>
          <w:szCs w:val="24"/>
        </w:rPr>
        <w:lastRenderedPageBreak/>
        <w:tab/>
      </w:r>
      <w:r w:rsidRPr="00446A7C">
        <w:rPr>
          <w:rFonts w:cs="Times New Roman"/>
          <w:i/>
          <w:iCs/>
          <w:szCs w:val="24"/>
        </w:rPr>
        <w:t xml:space="preserve">fingers before I can take my money, the officers will turn my fingers several time </w:t>
      </w:r>
      <w:r w:rsidR="002F0643">
        <w:rPr>
          <w:rFonts w:cs="Times New Roman"/>
          <w:i/>
          <w:iCs/>
          <w:szCs w:val="24"/>
        </w:rPr>
        <w:tab/>
      </w:r>
      <w:r w:rsidRPr="00446A7C">
        <w:rPr>
          <w:rFonts w:cs="Times New Roman"/>
          <w:i/>
          <w:iCs/>
          <w:szCs w:val="24"/>
        </w:rPr>
        <w:t xml:space="preserve">before they say it has been verified. Sometimes I have to go home and come’’ (a </w:t>
      </w:r>
      <w:r w:rsidR="002F0643">
        <w:rPr>
          <w:rFonts w:cs="Times New Roman"/>
          <w:i/>
          <w:iCs/>
          <w:szCs w:val="24"/>
        </w:rPr>
        <w:tab/>
      </w:r>
      <w:r w:rsidRPr="00446A7C">
        <w:rPr>
          <w:rFonts w:cs="Times New Roman"/>
          <w:i/>
          <w:iCs/>
          <w:szCs w:val="24"/>
        </w:rPr>
        <w:t>pito brewer, 2023).</w:t>
      </w:r>
    </w:p>
    <w:p w14:paraId="30BD0B60" w14:textId="77777777" w:rsidR="0008415E" w:rsidRPr="00446A7C" w:rsidRDefault="0008415E" w:rsidP="00EA1209">
      <w:pPr>
        <w:pStyle w:val="NoSpacing"/>
      </w:pPr>
    </w:p>
    <w:p w14:paraId="5F6A31BF" w14:textId="77777777" w:rsidR="0008415E" w:rsidRPr="00446A7C" w:rsidRDefault="00000000">
      <w:pPr>
        <w:spacing w:after="0" w:line="480" w:lineRule="auto"/>
        <w:ind w:firstLine="0"/>
        <w:contextualSpacing/>
        <w:jc w:val="both"/>
        <w:rPr>
          <w:rFonts w:cs="Times New Roman"/>
          <w:szCs w:val="24"/>
        </w:rPr>
      </w:pPr>
      <w:r w:rsidRPr="00446A7C">
        <w:rPr>
          <w:rFonts w:cs="Times New Roman"/>
          <w:szCs w:val="24"/>
        </w:rPr>
        <w:t>These challenges expressed by the beneficiaries were confirmed by the District LEAP implementation officer. He stated in an interview that:</w:t>
      </w:r>
    </w:p>
    <w:p w14:paraId="08035E5B" w14:textId="27F3D5C4" w:rsidR="0008415E" w:rsidRPr="00446A7C" w:rsidRDefault="00000000" w:rsidP="002F0643">
      <w:pPr>
        <w:spacing w:after="0" w:line="480" w:lineRule="auto"/>
        <w:contextualSpacing/>
        <w:jc w:val="both"/>
        <w:rPr>
          <w:rFonts w:cs="Times New Roman"/>
          <w:i/>
          <w:iCs/>
          <w:szCs w:val="24"/>
        </w:rPr>
      </w:pPr>
      <w:r w:rsidRPr="00446A7C">
        <w:rPr>
          <w:rFonts w:cs="Times New Roman"/>
          <w:i/>
          <w:iCs/>
          <w:szCs w:val="24"/>
        </w:rPr>
        <w:t xml:space="preserve">“Digital technology has the potential of enhancing this programme. For </w:t>
      </w:r>
      <w:r w:rsidR="002F0643">
        <w:rPr>
          <w:rFonts w:cs="Times New Roman"/>
          <w:i/>
          <w:iCs/>
          <w:szCs w:val="24"/>
        </w:rPr>
        <w:tab/>
      </w:r>
      <w:r w:rsidRPr="00446A7C">
        <w:rPr>
          <w:rFonts w:cs="Times New Roman"/>
          <w:i/>
          <w:iCs/>
          <w:szCs w:val="24"/>
        </w:rPr>
        <w:t xml:space="preserve">example, the cards that have been issued has really reduced the issues of stolen </w:t>
      </w:r>
      <w:r w:rsidR="002F0643">
        <w:rPr>
          <w:rFonts w:cs="Times New Roman"/>
          <w:i/>
          <w:iCs/>
          <w:szCs w:val="24"/>
        </w:rPr>
        <w:tab/>
      </w:r>
      <w:r w:rsidRPr="00446A7C">
        <w:rPr>
          <w:rFonts w:cs="Times New Roman"/>
          <w:i/>
          <w:iCs/>
          <w:szCs w:val="24"/>
        </w:rPr>
        <w:t xml:space="preserve">money. However, our challenge is that, sometimes fingerprints cannot be </w:t>
      </w:r>
      <w:r w:rsidR="002F0643">
        <w:rPr>
          <w:rFonts w:cs="Times New Roman"/>
          <w:i/>
          <w:iCs/>
          <w:szCs w:val="24"/>
        </w:rPr>
        <w:tab/>
      </w:r>
      <w:r w:rsidRPr="00446A7C">
        <w:rPr>
          <w:rFonts w:cs="Times New Roman"/>
          <w:i/>
          <w:iCs/>
          <w:szCs w:val="24"/>
        </w:rPr>
        <w:t>verified.” (Key informant, 2023)</w:t>
      </w:r>
    </w:p>
    <w:p w14:paraId="0447871A" w14:textId="77777777" w:rsidR="0008415E" w:rsidRPr="00446A7C" w:rsidRDefault="0008415E" w:rsidP="00EA1209">
      <w:pPr>
        <w:pStyle w:val="NoSpacing"/>
      </w:pPr>
    </w:p>
    <w:p w14:paraId="4716B335" w14:textId="77777777" w:rsidR="0008415E" w:rsidRDefault="00000000">
      <w:pPr>
        <w:spacing w:after="0" w:line="480" w:lineRule="auto"/>
        <w:ind w:firstLine="0"/>
        <w:contextualSpacing/>
        <w:jc w:val="both"/>
        <w:rPr>
          <w:rFonts w:cs="Times New Roman"/>
          <w:szCs w:val="24"/>
        </w:rPr>
      </w:pPr>
      <w:r w:rsidRPr="00446A7C">
        <w:rPr>
          <w:rFonts w:cs="Times New Roman"/>
          <w:szCs w:val="24"/>
        </w:rPr>
        <w:t xml:space="preserve">The findings revealed challenges with undetectable fingerprints making it difficult for beneficiaries to access their funds. This causes frustrations in the beneficiaries and also waste their productive time since they have to either go back home and return later or wait in line until they are verified. Upon probing why this particular challenge existed, it was observed that, most </w:t>
      </w:r>
      <w:r w:rsidRPr="00446A7C">
        <w:rPr>
          <w:rFonts w:cs="Times New Roman"/>
          <w:szCs w:val="24"/>
          <w:lang w:val="en-US"/>
        </w:rPr>
        <w:t xml:space="preserve">of </w:t>
      </w:r>
      <w:r w:rsidRPr="00446A7C">
        <w:rPr>
          <w:rFonts w:cs="Times New Roman"/>
          <w:szCs w:val="24"/>
        </w:rPr>
        <w:t xml:space="preserve">the male beneficiaries were farmers, some were also into wood carving, and the women were also mostly engaged in charcoal burning, </w:t>
      </w:r>
      <w:r w:rsidRPr="00446A7C">
        <w:rPr>
          <w:rFonts w:cs="Times New Roman"/>
          <w:i/>
          <w:iCs/>
          <w:szCs w:val="24"/>
        </w:rPr>
        <w:t>pito</w:t>
      </w:r>
      <w:r w:rsidRPr="00446A7C">
        <w:rPr>
          <w:rFonts w:cs="Times New Roman"/>
          <w:szCs w:val="24"/>
        </w:rPr>
        <w:t xml:space="preserve"> brewing and farming. These productive activities led to the formations of calluses on their palms and fingers which makes it difficult for the machine to read their thumb or fingerprints. The challenges faced by beneficiaries with fingerprint recognition and card-related issues suggest that programme administrators need to consider the diverse needs and abilities of beneficiaries when implementing digital systems. </w:t>
      </w:r>
    </w:p>
    <w:p w14:paraId="2E1E02EA" w14:textId="77777777" w:rsidR="00EA1209" w:rsidRPr="00446A7C" w:rsidRDefault="00EA1209" w:rsidP="00EA1209">
      <w:pPr>
        <w:pStyle w:val="NoSpacing"/>
      </w:pPr>
    </w:p>
    <w:p w14:paraId="4CE5CC06" w14:textId="50629AD8" w:rsidR="0008415E" w:rsidRPr="00446A7C" w:rsidRDefault="00000000">
      <w:pPr>
        <w:spacing w:after="0" w:line="480" w:lineRule="auto"/>
        <w:ind w:firstLine="0"/>
        <w:contextualSpacing/>
        <w:jc w:val="both"/>
        <w:rPr>
          <w:rFonts w:cs="Times New Roman"/>
          <w:szCs w:val="24"/>
        </w:rPr>
      </w:pPr>
      <w:r w:rsidRPr="00446A7C">
        <w:rPr>
          <w:rFonts w:cs="Times New Roman"/>
          <w:szCs w:val="24"/>
        </w:rPr>
        <w:t>Poor network connection is another challenge reported to have been faced in incorporating digital technology in implementation of the LEAP programme. A participant in Guo spoke in relation to the bad network which affects his ability to receive his stipends in time:</w:t>
      </w:r>
    </w:p>
    <w:p w14:paraId="26D0DEDE" w14:textId="08B72A64" w:rsidR="0008415E" w:rsidRPr="00446A7C" w:rsidRDefault="00000000" w:rsidP="002F0643">
      <w:pPr>
        <w:spacing w:after="0" w:line="480" w:lineRule="auto"/>
        <w:contextualSpacing/>
        <w:jc w:val="both"/>
        <w:rPr>
          <w:rFonts w:cs="Times New Roman"/>
          <w:i/>
          <w:iCs/>
          <w:szCs w:val="24"/>
        </w:rPr>
      </w:pPr>
      <w:r w:rsidRPr="00446A7C">
        <w:rPr>
          <w:rFonts w:cs="Times New Roman"/>
          <w:i/>
          <w:iCs/>
          <w:szCs w:val="24"/>
        </w:rPr>
        <w:lastRenderedPageBreak/>
        <w:t>“Sometimes the network is very bad so when this happens, we can spend about 6</w:t>
      </w:r>
      <w:r w:rsidRPr="00446A7C">
        <w:rPr>
          <w:rFonts w:cs="Times New Roman"/>
          <w:i/>
          <w:iCs/>
          <w:szCs w:val="24"/>
          <w:lang w:val="en-US"/>
        </w:rPr>
        <w:t xml:space="preserve"> </w:t>
      </w:r>
      <w:r w:rsidR="002F0643">
        <w:rPr>
          <w:rFonts w:cs="Times New Roman"/>
          <w:i/>
          <w:iCs/>
          <w:szCs w:val="24"/>
          <w:lang w:val="en-US"/>
        </w:rPr>
        <w:tab/>
      </w:r>
      <w:r w:rsidRPr="00446A7C">
        <w:rPr>
          <w:rFonts w:cs="Times New Roman"/>
          <w:i/>
          <w:iCs/>
          <w:szCs w:val="24"/>
        </w:rPr>
        <w:t xml:space="preserve">hours waiting for the money, but I belief if they work on the network, it will be </w:t>
      </w:r>
      <w:r w:rsidR="002F0643">
        <w:rPr>
          <w:rFonts w:cs="Times New Roman"/>
          <w:i/>
          <w:iCs/>
          <w:szCs w:val="24"/>
        </w:rPr>
        <w:tab/>
      </w:r>
      <w:r w:rsidRPr="00446A7C">
        <w:rPr>
          <w:rFonts w:cs="Times New Roman"/>
          <w:i/>
          <w:iCs/>
          <w:szCs w:val="24"/>
        </w:rPr>
        <w:t>very good” (GR8-Elderly poor, 2023).</w:t>
      </w:r>
    </w:p>
    <w:p w14:paraId="3602B893" w14:textId="77777777" w:rsidR="0008415E" w:rsidRPr="00446A7C" w:rsidRDefault="0008415E" w:rsidP="00EA1209">
      <w:pPr>
        <w:pStyle w:val="NoSpacing"/>
      </w:pPr>
    </w:p>
    <w:p w14:paraId="216FB5A6" w14:textId="77777777" w:rsidR="0008415E" w:rsidRPr="00446A7C" w:rsidRDefault="00000000">
      <w:pPr>
        <w:spacing w:after="0" w:line="480" w:lineRule="auto"/>
        <w:ind w:firstLine="0"/>
        <w:contextualSpacing/>
        <w:jc w:val="both"/>
        <w:rPr>
          <w:rFonts w:cs="Times New Roman"/>
          <w:szCs w:val="24"/>
        </w:rPr>
      </w:pPr>
      <w:r w:rsidRPr="00446A7C">
        <w:rPr>
          <w:rFonts w:cs="Times New Roman"/>
          <w:szCs w:val="24"/>
        </w:rPr>
        <w:t>Also, a pito brewer in Vaapuo mentioned how the network failure interferes with her business:</w:t>
      </w:r>
    </w:p>
    <w:p w14:paraId="55985767" w14:textId="78FA9283" w:rsidR="0008415E" w:rsidRPr="00446A7C" w:rsidRDefault="00000000" w:rsidP="002F0643">
      <w:pPr>
        <w:spacing w:after="0" w:line="480" w:lineRule="auto"/>
        <w:contextualSpacing/>
        <w:jc w:val="both"/>
        <w:rPr>
          <w:rFonts w:cs="Times New Roman"/>
          <w:i/>
          <w:iCs/>
          <w:szCs w:val="24"/>
        </w:rPr>
      </w:pPr>
      <w:r w:rsidRPr="00446A7C">
        <w:rPr>
          <w:rFonts w:cs="Times New Roman"/>
          <w:i/>
          <w:iCs/>
          <w:szCs w:val="24"/>
        </w:rPr>
        <w:t xml:space="preserve">“When LEAP people [payment officials] come to pay us and there is a funeral at </w:t>
      </w:r>
      <w:r w:rsidR="002F0643">
        <w:rPr>
          <w:rFonts w:cs="Times New Roman"/>
          <w:i/>
          <w:iCs/>
          <w:szCs w:val="24"/>
        </w:rPr>
        <w:tab/>
      </w:r>
      <w:r w:rsidRPr="00446A7C">
        <w:rPr>
          <w:rFonts w:cs="Times New Roman"/>
          <w:i/>
          <w:iCs/>
          <w:szCs w:val="24"/>
        </w:rPr>
        <w:t xml:space="preserve">the village I don’t go. Because you will go there and they will say the network is </w:t>
      </w:r>
      <w:r w:rsidR="002F0643">
        <w:rPr>
          <w:rFonts w:cs="Times New Roman"/>
          <w:i/>
          <w:iCs/>
          <w:szCs w:val="24"/>
        </w:rPr>
        <w:tab/>
      </w:r>
      <w:r w:rsidRPr="00446A7C">
        <w:rPr>
          <w:rFonts w:cs="Times New Roman"/>
          <w:i/>
          <w:iCs/>
          <w:szCs w:val="24"/>
        </w:rPr>
        <w:t>bad. So, we have to wait and I also have to sell my pito.” (COV, 2023)</w:t>
      </w:r>
    </w:p>
    <w:p w14:paraId="505DE9CD" w14:textId="77777777" w:rsidR="0008415E" w:rsidRPr="00446A7C" w:rsidRDefault="0008415E" w:rsidP="00EA1209">
      <w:pPr>
        <w:pStyle w:val="NoSpacing"/>
      </w:pPr>
    </w:p>
    <w:p w14:paraId="3DDF4014" w14:textId="77777777" w:rsidR="0008415E" w:rsidRPr="00446A7C" w:rsidRDefault="00000000">
      <w:pPr>
        <w:spacing w:after="0" w:line="480" w:lineRule="auto"/>
        <w:ind w:firstLine="0"/>
        <w:contextualSpacing/>
        <w:jc w:val="both"/>
        <w:rPr>
          <w:rFonts w:cs="Times New Roman"/>
          <w:szCs w:val="24"/>
          <w:lang w:val="en-US"/>
        </w:rPr>
      </w:pPr>
      <w:r w:rsidRPr="00446A7C">
        <w:rPr>
          <w:rFonts w:cs="Times New Roman"/>
          <w:szCs w:val="24"/>
        </w:rPr>
        <w:t xml:space="preserve">The participants expressed that; the network challenges interfere with the ease with which they </w:t>
      </w:r>
      <w:r w:rsidRPr="00446A7C">
        <w:rPr>
          <w:rFonts w:cs="Times New Roman"/>
          <w:szCs w:val="24"/>
          <w:lang w:val="en-US"/>
        </w:rPr>
        <w:t xml:space="preserve">are </w:t>
      </w:r>
      <w:r w:rsidRPr="00446A7C">
        <w:rPr>
          <w:rFonts w:cs="Times New Roman"/>
          <w:szCs w:val="24"/>
        </w:rPr>
        <w:t xml:space="preserve">able to access their fund. When the network gets slow, beneficiaries can spend up to 6 hours waiting in turn to receive their stipends. This time wasted at the payment centres affects other productive activities they engage in. </w:t>
      </w:r>
      <w:r w:rsidRPr="00446A7C">
        <w:rPr>
          <w:rFonts w:cs="Times New Roman"/>
          <w:szCs w:val="24"/>
          <w:lang w:val="en-US"/>
        </w:rPr>
        <w:t>The report on the poor nature of the network by the beneficiaries were also corroborated by the officers at the DWS. The case worker had this to say in connection with the network challenge:</w:t>
      </w:r>
    </w:p>
    <w:p w14:paraId="38AA1A9B" w14:textId="77777777" w:rsidR="0008415E" w:rsidRPr="00446A7C" w:rsidRDefault="0008415E" w:rsidP="00004537">
      <w:pPr>
        <w:pStyle w:val="NoSpacing"/>
      </w:pPr>
    </w:p>
    <w:p w14:paraId="70CB6FE4" w14:textId="58856601" w:rsidR="0008415E" w:rsidRDefault="00000000" w:rsidP="002F0643">
      <w:pPr>
        <w:spacing w:after="0" w:line="480" w:lineRule="auto"/>
        <w:contextualSpacing/>
        <w:jc w:val="both"/>
        <w:rPr>
          <w:rFonts w:cs="Times New Roman"/>
          <w:i/>
          <w:iCs/>
          <w:szCs w:val="24"/>
        </w:rPr>
      </w:pPr>
      <w:r w:rsidRPr="00446A7C">
        <w:rPr>
          <w:rFonts w:cs="Times New Roman"/>
          <w:i/>
          <w:iCs/>
          <w:szCs w:val="24"/>
        </w:rPr>
        <w:t xml:space="preserve">‘’Poor mobile network and difficulty in verifying some of the beneficiaries is a </w:t>
      </w:r>
      <w:r w:rsidR="002F0643">
        <w:rPr>
          <w:rFonts w:cs="Times New Roman"/>
          <w:i/>
          <w:iCs/>
          <w:szCs w:val="24"/>
        </w:rPr>
        <w:tab/>
      </w:r>
      <w:r w:rsidRPr="00446A7C">
        <w:rPr>
          <w:rFonts w:cs="Times New Roman"/>
          <w:i/>
          <w:iCs/>
          <w:szCs w:val="24"/>
        </w:rPr>
        <w:t>major challenge for us in this office with this current services.</w:t>
      </w:r>
      <w:r w:rsidRPr="00446A7C">
        <w:rPr>
          <w:rFonts w:cs="Times New Roman"/>
          <w:szCs w:val="24"/>
        </w:rPr>
        <w:t xml:space="preserve"> </w:t>
      </w:r>
      <w:r w:rsidRPr="00446A7C">
        <w:rPr>
          <w:rFonts w:cs="Times New Roman"/>
          <w:i/>
          <w:iCs/>
          <w:szCs w:val="24"/>
        </w:rPr>
        <w:t xml:space="preserve">The network </w:t>
      </w:r>
      <w:r w:rsidR="002F0643">
        <w:rPr>
          <w:rFonts w:cs="Times New Roman"/>
          <w:i/>
          <w:iCs/>
          <w:szCs w:val="24"/>
        </w:rPr>
        <w:tab/>
      </w:r>
      <w:r w:rsidRPr="00446A7C">
        <w:rPr>
          <w:rFonts w:cs="Times New Roman"/>
          <w:i/>
          <w:iCs/>
          <w:szCs w:val="24"/>
        </w:rPr>
        <w:t xml:space="preserve">connection is very poor even in this municipal assembly. This affects our work in </w:t>
      </w:r>
      <w:r w:rsidR="002F0643">
        <w:rPr>
          <w:rFonts w:cs="Times New Roman"/>
          <w:i/>
          <w:iCs/>
          <w:szCs w:val="24"/>
        </w:rPr>
        <w:tab/>
      </w:r>
      <w:r w:rsidRPr="00446A7C">
        <w:rPr>
          <w:rFonts w:cs="Times New Roman"/>
          <w:i/>
          <w:iCs/>
          <w:szCs w:val="24"/>
        </w:rPr>
        <w:t>the office.’’ (Key informant, 2023).</w:t>
      </w:r>
    </w:p>
    <w:p w14:paraId="4002DA54" w14:textId="77777777" w:rsidR="00EA1209" w:rsidRPr="00446A7C" w:rsidRDefault="00EA1209" w:rsidP="00EA1209">
      <w:pPr>
        <w:pStyle w:val="NoSpacing"/>
      </w:pPr>
    </w:p>
    <w:p w14:paraId="479077E3" w14:textId="77777777" w:rsidR="0008415E" w:rsidRPr="00446A7C" w:rsidRDefault="00000000">
      <w:pPr>
        <w:spacing w:after="0" w:line="480" w:lineRule="auto"/>
        <w:ind w:firstLine="0"/>
        <w:contextualSpacing/>
        <w:jc w:val="both"/>
        <w:rPr>
          <w:rFonts w:cs="Times New Roman"/>
          <w:bCs/>
          <w:szCs w:val="24"/>
        </w:rPr>
      </w:pPr>
      <w:r w:rsidRPr="00446A7C">
        <w:rPr>
          <w:rFonts w:cs="Times New Roman"/>
          <w:bCs/>
          <w:szCs w:val="24"/>
        </w:rPr>
        <w:t xml:space="preserve">From the findings the network challenges cause frustrations and delays in performing administrative tasks and verifying beneficiaries. This affects the implementation of the LEAP programme thus, influencing beneficiary experiences and programme outcome in a negative way. These findings however challenge the view that digital platforms can facilitate the efficient transfer of benefits, reducing transaction costs and delays while </w:t>
      </w:r>
      <w:r w:rsidRPr="00446A7C">
        <w:rPr>
          <w:rFonts w:cs="Times New Roman"/>
          <w:bCs/>
          <w:szCs w:val="24"/>
        </w:rPr>
        <w:lastRenderedPageBreak/>
        <w:t>improving accuracy as a</w:t>
      </w:r>
      <w:r w:rsidRPr="00446A7C">
        <w:rPr>
          <w:rFonts w:cs="Times New Roman"/>
          <w:bCs/>
          <w:szCs w:val="24"/>
          <w:lang w:val="en-US"/>
        </w:rPr>
        <w:t>r</w:t>
      </w:r>
      <w:r w:rsidRPr="00446A7C">
        <w:rPr>
          <w:rFonts w:cs="Times New Roman"/>
          <w:bCs/>
          <w:szCs w:val="24"/>
        </w:rPr>
        <w:t>gued by Hare and Parekh (2020). This is because, the poor network affects the performance of programme implement</w:t>
      </w:r>
      <w:r w:rsidRPr="00446A7C">
        <w:rPr>
          <w:rFonts w:cs="Times New Roman"/>
          <w:bCs/>
          <w:szCs w:val="24"/>
          <w:lang w:val="en-US"/>
        </w:rPr>
        <w:t>e</w:t>
      </w:r>
      <w:r w:rsidRPr="00446A7C">
        <w:rPr>
          <w:rFonts w:cs="Times New Roman"/>
          <w:bCs/>
          <w:szCs w:val="24"/>
        </w:rPr>
        <w:t>rs and waste the time of beneficiaries. These delays affect and slow down other activities beneficiaries and implement</w:t>
      </w:r>
      <w:r w:rsidRPr="00446A7C">
        <w:rPr>
          <w:rFonts w:cs="Times New Roman"/>
          <w:bCs/>
          <w:szCs w:val="24"/>
          <w:lang w:val="en-US"/>
        </w:rPr>
        <w:t>e</w:t>
      </w:r>
      <w:r w:rsidRPr="00446A7C">
        <w:rPr>
          <w:rFonts w:cs="Times New Roman"/>
          <w:bCs/>
          <w:szCs w:val="24"/>
        </w:rPr>
        <w:t xml:space="preserve">rs could be doing to yield income and attend to other official duties respectively. </w:t>
      </w:r>
    </w:p>
    <w:p w14:paraId="0C541543" w14:textId="77777777" w:rsidR="0008415E" w:rsidRPr="00446A7C" w:rsidRDefault="0008415E" w:rsidP="00004537">
      <w:pPr>
        <w:pStyle w:val="NoSpacing"/>
      </w:pPr>
    </w:p>
    <w:p w14:paraId="10C05DFF" w14:textId="77777777" w:rsidR="0008415E" w:rsidRPr="00446A7C" w:rsidRDefault="00000000">
      <w:pPr>
        <w:spacing w:after="0" w:line="480" w:lineRule="auto"/>
        <w:ind w:firstLine="0"/>
        <w:contextualSpacing/>
        <w:jc w:val="both"/>
        <w:rPr>
          <w:rFonts w:cs="Times New Roman"/>
          <w:szCs w:val="24"/>
        </w:rPr>
      </w:pPr>
      <w:r w:rsidRPr="00446A7C">
        <w:rPr>
          <w:rFonts w:cs="Times New Roman"/>
          <w:bCs/>
          <w:szCs w:val="24"/>
        </w:rPr>
        <w:t xml:space="preserve">The findings are however consistent with the views of ADB (2015), Endert (2018) and Lee et al (2022) that poor technological infrastructure and limited internet connectivity pose significant challenges in the adoption of digital technology in delivery of social intervention programme. </w:t>
      </w:r>
      <w:r w:rsidRPr="00446A7C">
        <w:rPr>
          <w:rFonts w:cs="Times New Roman"/>
          <w:szCs w:val="24"/>
        </w:rPr>
        <w:t xml:space="preserve">It is evident from the findings presented in this section that the introduction of digital technology alone cannot effectively ensure the success of LEAP programme as proclaimed by the theory of technological determinism. It is important therefore to take into account other contextual factors as stipulated in the study’s conceptual framework. For example, beneficiaries background and needs, the availability of supporting infrastructure, such as reliable electricity, internet connectivity are critical for effective utilization of digital technology in enhancing livelihood empowerment programmes and in this case LEAP. </w:t>
      </w:r>
    </w:p>
    <w:p w14:paraId="3EE2AB05" w14:textId="77777777" w:rsidR="0008415E" w:rsidRPr="00446A7C" w:rsidRDefault="00000000">
      <w:pPr>
        <w:pStyle w:val="Heading3"/>
      </w:pPr>
      <w:bookmarkStart w:id="157" w:name="_Toc171703262"/>
      <w:r w:rsidRPr="00446A7C">
        <w:t>4.4.2 Structural barriers</w:t>
      </w:r>
      <w:bookmarkEnd w:id="157"/>
      <w:r w:rsidRPr="00446A7C">
        <w:t xml:space="preserve"> </w:t>
      </w:r>
    </w:p>
    <w:p w14:paraId="18C7BF2D" w14:textId="77777777" w:rsidR="0008415E" w:rsidRPr="00446A7C" w:rsidRDefault="00000000" w:rsidP="00004537">
      <w:pPr>
        <w:spacing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The findings highlight structural barriers hindering beneficiaries access to include distances beneficiaries have to cover to get to the nearest financial provider to resolve issues related to e-zwitch cards and also limited branches of banks providing LEAP services. In terms of distance to the nearest bank to resolve e-zwitch related issue, the only banks responsible for resolving card issues or replacement for beneficiaries in Nandom is the Ghana Commercial Bank. Thus, all beneficiaries who have to resolve card issues have to travel long distances to either Lawra or Wa, where there is a Ghana Commercial Bank. The beneficiaries especially the aged and PLWDs blamed the </w:t>
      </w:r>
      <w:r w:rsidRPr="00446A7C">
        <w:rPr>
          <w:rFonts w:eastAsia="Calibri" w:cs="Times New Roman"/>
          <w:kern w:val="2"/>
          <w:szCs w:val="24"/>
        </w:rPr>
        <w:lastRenderedPageBreak/>
        <w:t>distance for impeding access to the financial service they receive from LEAP.  The following interviews sum the participants perception on the geographical factor that impede their access to LEAP services:</w:t>
      </w:r>
    </w:p>
    <w:p w14:paraId="41FDEB74" w14:textId="5F531A0B"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“My card was spoiled so I went and reported at the office [DSW office]. </w:t>
      </w:r>
      <w:r w:rsidR="002F0643">
        <w:rPr>
          <w:rFonts w:eastAsia="Calibri" w:cs="Times New Roman"/>
          <w:i/>
          <w:iCs/>
          <w:kern w:val="2"/>
          <w:szCs w:val="24"/>
        </w:rPr>
        <w:tab/>
      </w:r>
      <w:r w:rsidRPr="00446A7C">
        <w:rPr>
          <w:rFonts w:eastAsia="Calibri" w:cs="Times New Roman"/>
          <w:i/>
          <w:iCs/>
          <w:kern w:val="2"/>
          <w:szCs w:val="24"/>
        </w:rPr>
        <w:t xml:space="preserve">They[officers] gave me a letter to send to Wa [commercial Bank in Wa]. When I </w:t>
      </w:r>
      <w:r w:rsidR="002F0643">
        <w:rPr>
          <w:rFonts w:eastAsia="Calibri" w:cs="Times New Roman"/>
          <w:i/>
          <w:iCs/>
          <w:kern w:val="2"/>
          <w:szCs w:val="24"/>
        </w:rPr>
        <w:tab/>
      </w:r>
      <w:r w:rsidRPr="00446A7C">
        <w:rPr>
          <w:rFonts w:eastAsia="Calibri" w:cs="Times New Roman"/>
          <w:i/>
          <w:iCs/>
          <w:kern w:val="2"/>
          <w:szCs w:val="24"/>
        </w:rPr>
        <w:t xml:space="preserve">went to Wa, they didn’t work on the card, so I had to return to Nandom empty </w:t>
      </w:r>
      <w:r w:rsidR="002F0643">
        <w:rPr>
          <w:rFonts w:eastAsia="Calibri" w:cs="Times New Roman"/>
          <w:i/>
          <w:iCs/>
          <w:kern w:val="2"/>
          <w:szCs w:val="24"/>
        </w:rPr>
        <w:tab/>
      </w:r>
      <w:r w:rsidRPr="00446A7C">
        <w:rPr>
          <w:rFonts w:eastAsia="Calibri" w:cs="Times New Roman"/>
          <w:i/>
          <w:iCs/>
          <w:kern w:val="2"/>
          <w:szCs w:val="24"/>
        </w:rPr>
        <w:t>handed.’’ (Covc, 2023)</w:t>
      </w:r>
    </w:p>
    <w:p w14:paraId="453E8D45" w14:textId="77777777" w:rsidR="0008415E" w:rsidRPr="00EA1209" w:rsidRDefault="0008415E" w:rsidP="00EA1209">
      <w:pPr>
        <w:pStyle w:val="NoSpacing"/>
      </w:pPr>
    </w:p>
    <w:p w14:paraId="0BBE5887" w14:textId="2F7FE79F" w:rsidR="0008415E" w:rsidRPr="00446A7C"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“My card fell into the fire and now I cannot receive my money. I have gone to the </w:t>
      </w:r>
      <w:r w:rsidR="002F0643">
        <w:rPr>
          <w:rFonts w:eastAsia="Calibri" w:cs="Times New Roman"/>
          <w:i/>
          <w:iCs/>
          <w:kern w:val="2"/>
          <w:szCs w:val="24"/>
        </w:rPr>
        <w:tab/>
      </w:r>
      <w:r w:rsidRPr="00446A7C">
        <w:rPr>
          <w:rFonts w:eastAsia="Calibri" w:cs="Times New Roman"/>
          <w:i/>
          <w:iCs/>
          <w:kern w:val="2"/>
          <w:szCs w:val="24"/>
        </w:rPr>
        <w:t xml:space="preserve">office to report this but I have not received any new card yet.” (Elderly poor, </w:t>
      </w:r>
      <w:r w:rsidR="002F0643">
        <w:rPr>
          <w:rFonts w:eastAsia="Calibri" w:cs="Times New Roman"/>
          <w:i/>
          <w:iCs/>
          <w:kern w:val="2"/>
          <w:szCs w:val="24"/>
        </w:rPr>
        <w:tab/>
      </w:r>
      <w:r w:rsidRPr="00446A7C">
        <w:rPr>
          <w:rFonts w:eastAsia="Calibri" w:cs="Times New Roman"/>
          <w:i/>
          <w:iCs/>
          <w:kern w:val="2"/>
          <w:szCs w:val="24"/>
        </w:rPr>
        <w:t>2023)</w:t>
      </w:r>
    </w:p>
    <w:p w14:paraId="2056D8F5" w14:textId="77777777" w:rsidR="0008415E" w:rsidRPr="00446A7C" w:rsidRDefault="0008415E" w:rsidP="00EA1209">
      <w:pPr>
        <w:pStyle w:val="NoSpacing"/>
      </w:pPr>
    </w:p>
    <w:p w14:paraId="3ECE0566"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Key informants interviewed for this study admitted that, the distance between the beneficiary residences and the nearest bank is causing a challenge to beneficiaries. An informant in the DSW office reported:</w:t>
      </w:r>
    </w:p>
    <w:p w14:paraId="00B1DE18" w14:textId="32A67085" w:rsidR="0008415E" w:rsidRDefault="00000000" w:rsidP="002F0643">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“Currently it is only the Ghana Commercial Bank (GCB) that issues the e-zwitch </w:t>
      </w:r>
      <w:r w:rsidR="002F0643">
        <w:rPr>
          <w:rFonts w:eastAsia="Calibri" w:cs="Times New Roman"/>
          <w:i/>
          <w:iCs/>
          <w:kern w:val="2"/>
          <w:szCs w:val="24"/>
        </w:rPr>
        <w:tab/>
      </w:r>
      <w:r w:rsidRPr="00446A7C">
        <w:rPr>
          <w:rFonts w:eastAsia="Calibri" w:cs="Times New Roman"/>
          <w:i/>
          <w:iCs/>
          <w:kern w:val="2"/>
          <w:szCs w:val="24"/>
        </w:rPr>
        <w:t xml:space="preserve">card for our beneficiaries, so when there is any issue with card, the beneficiary </w:t>
      </w:r>
      <w:r w:rsidR="002F0643">
        <w:rPr>
          <w:rFonts w:eastAsia="Calibri" w:cs="Times New Roman"/>
          <w:i/>
          <w:iCs/>
          <w:kern w:val="2"/>
          <w:szCs w:val="24"/>
        </w:rPr>
        <w:tab/>
      </w:r>
      <w:r w:rsidRPr="00446A7C">
        <w:rPr>
          <w:rFonts w:eastAsia="Calibri" w:cs="Times New Roman"/>
          <w:i/>
          <w:iCs/>
          <w:kern w:val="2"/>
          <w:szCs w:val="24"/>
        </w:rPr>
        <w:t xml:space="preserve">has to travel to Wa or Lawra to work on the card. But in many cases, the banks </w:t>
      </w:r>
      <w:r w:rsidR="002F0643">
        <w:rPr>
          <w:rFonts w:eastAsia="Calibri" w:cs="Times New Roman"/>
          <w:i/>
          <w:iCs/>
          <w:kern w:val="2"/>
          <w:szCs w:val="24"/>
        </w:rPr>
        <w:tab/>
      </w:r>
      <w:r w:rsidRPr="00446A7C">
        <w:rPr>
          <w:rFonts w:eastAsia="Calibri" w:cs="Times New Roman"/>
          <w:i/>
          <w:iCs/>
          <w:kern w:val="2"/>
          <w:szCs w:val="24"/>
        </w:rPr>
        <w:t xml:space="preserve">put them on hold with the claim that, they have limited staff so they cannot attend </w:t>
      </w:r>
      <w:r w:rsidR="002F0643">
        <w:rPr>
          <w:rFonts w:eastAsia="Calibri" w:cs="Times New Roman"/>
          <w:i/>
          <w:iCs/>
          <w:kern w:val="2"/>
          <w:szCs w:val="24"/>
        </w:rPr>
        <w:tab/>
      </w:r>
      <w:r w:rsidRPr="00446A7C">
        <w:rPr>
          <w:rFonts w:eastAsia="Calibri" w:cs="Times New Roman"/>
          <w:i/>
          <w:iCs/>
          <w:kern w:val="2"/>
          <w:szCs w:val="24"/>
        </w:rPr>
        <w:t xml:space="preserve">to LEAP beneficiaries. Now even Lawra commercial bank no longer attends to </w:t>
      </w:r>
      <w:r w:rsidR="002F0643">
        <w:rPr>
          <w:rFonts w:eastAsia="Calibri" w:cs="Times New Roman"/>
          <w:i/>
          <w:iCs/>
          <w:kern w:val="2"/>
          <w:szCs w:val="24"/>
        </w:rPr>
        <w:tab/>
      </w:r>
      <w:r w:rsidRPr="00446A7C">
        <w:rPr>
          <w:rFonts w:eastAsia="Calibri" w:cs="Times New Roman"/>
          <w:i/>
          <w:iCs/>
          <w:kern w:val="2"/>
          <w:szCs w:val="24"/>
        </w:rPr>
        <w:t>our LEAP beneficiaries so the beneficiary has to travel to Wa.” (MG1, 2023)</w:t>
      </w:r>
    </w:p>
    <w:p w14:paraId="0668C678" w14:textId="77777777" w:rsidR="002F0643" w:rsidRPr="00446A7C" w:rsidRDefault="002F0643" w:rsidP="002F0643">
      <w:pPr>
        <w:pStyle w:val="NoSpacing"/>
      </w:pPr>
    </w:p>
    <w:p w14:paraId="596DBE7E"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The key informants pointed out that beneficiaries often face difficulties when they need assistance with their cards. The challenge is, there is no bank in Nandom that issues card or replaces them. This often compel beneficiaries to travel to Wa about 113.3km from </w:t>
      </w:r>
      <w:r w:rsidRPr="00446A7C">
        <w:rPr>
          <w:rFonts w:eastAsia="Calibri" w:cs="Times New Roman"/>
          <w:kern w:val="2"/>
          <w:szCs w:val="24"/>
        </w:rPr>
        <w:lastRenderedPageBreak/>
        <w:t>Nandom or Lawra about 9.3km</w:t>
      </w:r>
      <w:r w:rsidRPr="00446A7C">
        <w:rPr>
          <w:rFonts w:eastAsia="Calibri" w:cs="Times New Roman"/>
          <w:kern w:val="2"/>
          <w:szCs w:val="24"/>
          <w:lang w:val="en-US"/>
        </w:rPr>
        <w:t xml:space="preserve"> </w:t>
      </w:r>
      <w:r w:rsidRPr="00446A7C">
        <w:rPr>
          <w:rFonts w:eastAsia="Calibri" w:cs="Times New Roman"/>
          <w:kern w:val="2"/>
          <w:szCs w:val="24"/>
        </w:rPr>
        <w:t>from Nandom to address card-related issues</w:t>
      </w:r>
      <w:r w:rsidRPr="00446A7C">
        <w:rPr>
          <w:rFonts w:eastAsia="Calibri" w:cs="Times New Roman"/>
          <w:kern w:val="2"/>
          <w:szCs w:val="24"/>
          <w:lang w:val="en-US"/>
        </w:rPr>
        <w:t>.</w:t>
      </w:r>
      <w:r w:rsidRPr="00446A7C">
        <w:rPr>
          <w:rFonts w:eastAsia="Calibri" w:cs="Times New Roman"/>
          <w:kern w:val="2"/>
          <w:szCs w:val="24"/>
        </w:rPr>
        <w:t xml:space="preserve"> Additionally, even when they travel to the capital city of the region (Wa) or the nearby town (Lawra), the banks may not always provide prompt assistance due to staff limitations. This tends to cause delays and inconveniences for beneficiaries. These beneficiaries incur extra cost, such as the cost of transportation, feeding and accommodation in the case of overnight stay outside of their home. Currently, the lorry fare from Nandom to Lawra is GHS 18 (1.41$) and Nandom to Wa is GHS 38 (2.98$). For individuals already experiencing limited financial resources and their economically disadvantaged background, these extra expenses could pose significant burden on their livelihoods and pushing them further into poverty given the amounts they are receiving from the programme is already inadequate to meet their basic needs.</w:t>
      </w:r>
    </w:p>
    <w:p w14:paraId="6231C788" w14:textId="77777777" w:rsidR="0008415E" w:rsidRPr="00446A7C" w:rsidRDefault="0008415E" w:rsidP="00004537">
      <w:pPr>
        <w:pStyle w:val="NoSpacing"/>
      </w:pPr>
    </w:p>
    <w:p w14:paraId="2AC08B7E"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These findings prompt critical examination of how empowerment principles are being applied in practice, particularly in ensuring equitable access to essential services and opportunities for individuals facing structural challenges (see</w:t>
      </w:r>
      <w:r w:rsidRPr="00446A7C">
        <w:rPr>
          <w:rFonts w:cs="Times New Roman"/>
          <w:bCs/>
          <w:szCs w:val="24"/>
        </w:rPr>
        <w:t xml:space="preserve"> </w:t>
      </w:r>
      <w:r w:rsidRPr="00446A7C">
        <w:rPr>
          <w:rFonts w:eastAsia="Calibri" w:cs="Times New Roman"/>
          <w:bCs/>
          <w:kern w:val="2"/>
          <w:szCs w:val="24"/>
        </w:rPr>
        <w:t>Nelson &amp; Prilletensky, 2010;</w:t>
      </w:r>
      <w:r w:rsidRPr="00446A7C">
        <w:rPr>
          <w:rFonts w:eastAsia="Calibri" w:cs="Times New Roman"/>
          <w:kern w:val="2"/>
          <w:szCs w:val="24"/>
        </w:rPr>
        <w:t xml:space="preserve"> </w:t>
      </w:r>
      <w:r w:rsidRPr="00446A7C">
        <w:rPr>
          <w:rFonts w:eastAsia="Calibri" w:cs="Times New Roman"/>
          <w:bCs/>
          <w:kern w:val="2"/>
          <w:szCs w:val="24"/>
        </w:rPr>
        <w:t>Alsop &amp; Heinsohn, 2005).</w:t>
      </w:r>
      <w:r w:rsidRPr="00446A7C">
        <w:rPr>
          <w:rFonts w:eastAsia="Calibri" w:cs="Times New Roman"/>
          <w:kern w:val="2"/>
          <w:szCs w:val="24"/>
        </w:rPr>
        <w:t xml:space="preserve"> It underscores the need to address systemic barriers and empower beneficiaries to overcome obstacle in acquiring administrative services.</w:t>
      </w:r>
    </w:p>
    <w:p w14:paraId="37B42782" w14:textId="77777777" w:rsidR="0008415E" w:rsidRPr="00446A7C" w:rsidRDefault="00000000">
      <w:pPr>
        <w:pStyle w:val="Heading3"/>
      </w:pPr>
      <w:bookmarkStart w:id="158" w:name="_Toc171703263"/>
      <w:r w:rsidRPr="00446A7C">
        <w:t>4.4.3 Administrative factors</w:t>
      </w:r>
      <w:bookmarkEnd w:id="158"/>
    </w:p>
    <w:p w14:paraId="155C6BB0" w14:textId="77777777" w:rsidR="0008415E" w:rsidRPr="00446A7C" w:rsidRDefault="00000000">
      <w:pPr>
        <w:spacing w:line="480" w:lineRule="auto"/>
        <w:ind w:firstLine="0"/>
        <w:contextualSpacing/>
        <w:jc w:val="both"/>
        <w:rPr>
          <w:rFonts w:cs="Times New Roman"/>
          <w:szCs w:val="24"/>
          <w:lang w:val="en-US"/>
        </w:rPr>
      </w:pPr>
      <w:r w:rsidRPr="00446A7C">
        <w:rPr>
          <w:rFonts w:eastAsia="Calibri" w:cs="Times New Roman"/>
          <w:szCs w:val="24"/>
          <w:lang w:val="en-US"/>
        </w:rPr>
        <w:t xml:space="preserve">Challenges with targeting, centralized administrative activities and weak feedback structure were found with the digitization of LEAP programme. </w:t>
      </w:r>
      <w:r w:rsidRPr="00446A7C">
        <w:rPr>
          <w:rFonts w:cs="Times New Roman"/>
          <w:szCs w:val="24"/>
          <w:lang w:val="en-US"/>
        </w:rPr>
        <w:t xml:space="preserve"> The HOD during an interview revealed that:</w:t>
      </w:r>
    </w:p>
    <w:p w14:paraId="159C0107" w14:textId="4E6EEB10" w:rsidR="0008415E" w:rsidRPr="00446A7C" w:rsidRDefault="00000000" w:rsidP="007A2394">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“Even though the digital system is easy and convenient, the challenge we had </w:t>
      </w:r>
      <w:r w:rsidR="007A2394">
        <w:rPr>
          <w:rFonts w:eastAsia="Calibri" w:cs="Times New Roman"/>
          <w:i/>
          <w:iCs/>
          <w:kern w:val="2"/>
          <w:szCs w:val="24"/>
        </w:rPr>
        <w:tab/>
      </w:r>
      <w:r w:rsidRPr="00446A7C">
        <w:rPr>
          <w:rFonts w:eastAsia="Calibri" w:cs="Times New Roman"/>
          <w:i/>
          <w:iCs/>
          <w:kern w:val="2"/>
          <w:szCs w:val="24"/>
        </w:rPr>
        <w:t xml:space="preserve">with targeting the beneficiaries is that, when we were doing the re-assessment, </w:t>
      </w:r>
      <w:r w:rsidR="007A2394">
        <w:rPr>
          <w:rFonts w:eastAsia="Calibri" w:cs="Times New Roman"/>
          <w:i/>
          <w:iCs/>
          <w:kern w:val="2"/>
          <w:szCs w:val="24"/>
        </w:rPr>
        <w:tab/>
      </w:r>
      <w:r w:rsidRPr="00446A7C">
        <w:rPr>
          <w:rFonts w:eastAsia="Calibri" w:cs="Times New Roman"/>
          <w:i/>
          <w:iCs/>
          <w:kern w:val="2"/>
          <w:szCs w:val="24"/>
        </w:rPr>
        <w:t xml:space="preserve">one enumerator can input the data of one household and another enumerator will </w:t>
      </w:r>
      <w:r w:rsidR="007A2394">
        <w:rPr>
          <w:rFonts w:eastAsia="Calibri" w:cs="Times New Roman"/>
          <w:i/>
          <w:iCs/>
          <w:kern w:val="2"/>
          <w:szCs w:val="24"/>
        </w:rPr>
        <w:tab/>
      </w:r>
      <w:r w:rsidRPr="00446A7C">
        <w:rPr>
          <w:rFonts w:eastAsia="Calibri" w:cs="Times New Roman"/>
          <w:i/>
          <w:iCs/>
          <w:kern w:val="2"/>
          <w:szCs w:val="24"/>
        </w:rPr>
        <w:t xml:space="preserve">also go and input the same household but the system is unable to detect that there </w:t>
      </w:r>
      <w:r w:rsidR="007A2394">
        <w:rPr>
          <w:rFonts w:eastAsia="Calibri" w:cs="Times New Roman"/>
          <w:i/>
          <w:iCs/>
          <w:kern w:val="2"/>
          <w:szCs w:val="24"/>
        </w:rPr>
        <w:lastRenderedPageBreak/>
        <w:tab/>
      </w:r>
      <w:r w:rsidRPr="00446A7C">
        <w:rPr>
          <w:rFonts w:eastAsia="Calibri" w:cs="Times New Roman"/>
          <w:i/>
          <w:iCs/>
          <w:kern w:val="2"/>
          <w:szCs w:val="24"/>
        </w:rPr>
        <w:t xml:space="preserve">has been a duplication. So, we even complained to the secretariat so that they </w:t>
      </w:r>
      <w:r w:rsidR="007A2394">
        <w:rPr>
          <w:rFonts w:eastAsia="Calibri" w:cs="Times New Roman"/>
          <w:i/>
          <w:iCs/>
          <w:kern w:val="2"/>
          <w:szCs w:val="24"/>
        </w:rPr>
        <w:tab/>
      </w:r>
      <w:r w:rsidRPr="00446A7C">
        <w:rPr>
          <w:rFonts w:eastAsia="Calibri" w:cs="Times New Roman"/>
          <w:i/>
          <w:iCs/>
          <w:kern w:val="2"/>
          <w:szCs w:val="24"/>
        </w:rPr>
        <w:t xml:space="preserve">will work on it. If not that, we will have duplicated information and one </w:t>
      </w:r>
      <w:r w:rsidR="007A2394">
        <w:rPr>
          <w:rFonts w:eastAsia="Calibri" w:cs="Times New Roman"/>
          <w:i/>
          <w:iCs/>
          <w:kern w:val="2"/>
          <w:szCs w:val="24"/>
        </w:rPr>
        <w:tab/>
      </w:r>
      <w:r w:rsidRPr="00446A7C">
        <w:rPr>
          <w:rFonts w:eastAsia="Calibri" w:cs="Times New Roman"/>
          <w:i/>
          <w:iCs/>
          <w:kern w:val="2"/>
          <w:szCs w:val="24"/>
        </w:rPr>
        <w:t>household can be enro</w:t>
      </w:r>
      <w:r w:rsidRPr="00446A7C">
        <w:rPr>
          <w:rFonts w:eastAsia="Calibri" w:cs="Times New Roman"/>
          <w:i/>
          <w:iCs/>
          <w:kern w:val="2"/>
          <w:szCs w:val="24"/>
          <w:lang w:val="en-US"/>
        </w:rPr>
        <w:t>l</w:t>
      </w:r>
      <w:r w:rsidRPr="00446A7C">
        <w:rPr>
          <w:rFonts w:eastAsia="Calibri" w:cs="Times New Roman"/>
          <w:i/>
          <w:iCs/>
          <w:kern w:val="2"/>
          <w:szCs w:val="24"/>
        </w:rPr>
        <w:t>led twice.” (Key informant. 2023)</w:t>
      </w:r>
    </w:p>
    <w:p w14:paraId="1CE024F7" w14:textId="77777777" w:rsidR="0008415E" w:rsidRPr="00446A7C" w:rsidRDefault="0008415E" w:rsidP="00004537">
      <w:pPr>
        <w:pStyle w:val="NoSpacing"/>
      </w:pPr>
    </w:p>
    <w:p w14:paraId="5DF6CCC7"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Another officer in an interview added that: </w:t>
      </w:r>
    </w:p>
    <w:p w14:paraId="601ADF35" w14:textId="71060E45" w:rsidR="0008415E" w:rsidRDefault="00000000" w:rsidP="007A2394">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“Currently we do not do updates and data processing at our level. If we have </w:t>
      </w:r>
      <w:r w:rsidR="007A2394">
        <w:rPr>
          <w:rFonts w:eastAsia="Calibri" w:cs="Times New Roman"/>
          <w:i/>
          <w:iCs/>
          <w:kern w:val="2"/>
          <w:szCs w:val="24"/>
        </w:rPr>
        <w:tab/>
      </w:r>
      <w:r w:rsidRPr="00446A7C">
        <w:rPr>
          <w:rFonts w:eastAsia="Calibri" w:cs="Times New Roman"/>
          <w:i/>
          <w:iCs/>
          <w:kern w:val="2"/>
          <w:szCs w:val="24"/>
        </w:rPr>
        <w:t xml:space="preserve">beneficiaries that needs to be taken out or replaced especially those who passed </w:t>
      </w:r>
      <w:r w:rsidR="007A2394">
        <w:rPr>
          <w:rFonts w:eastAsia="Calibri" w:cs="Times New Roman"/>
          <w:i/>
          <w:iCs/>
          <w:kern w:val="2"/>
          <w:szCs w:val="24"/>
        </w:rPr>
        <w:tab/>
      </w:r>
      <w:r w:rsidRPr="00446A7C">
        <w:rPr>
          <w:rFonts w:eastAsia="Calibri" w:cs="Times New Roman"/>
          <w:i/>
          <w:iCs/>
          <w:kern w:val="2"/>
          <w:szCs w:val="24"/>
        </w:rPr>
        <w:t xml:space="preserve">away, we send that information to the office but the challenge we have here is </w:t>
      </w:r>
      <w:r w:rsidR="007A2394">
        <w:rPr>
          <w:rFonts w:eastAsia="Calibri" w:cs="Times New Roman"/>
          <w:i/>
          <w:iCs/>
          <w:kern w:val="2"/>
          <w:szCs w:val="24"/>
        </w:rPr>
        <w:tab/>
      </w:r>
      <w:r w:rsidRPr="00446A7C">
        <w:rPr>
          <w:rFonts w:eastAsia="Calibri" w:cs="Times New Roman"/>
          <w:i/>
          <w:iCs/>
          <w:kern w:val="2"/>
          <w:szCs w:val="24"/>
        </w:rPr>
        <w:t xml:space="preserve">that, when we send the information, it takes a really long time for feedback. The </w:t>
      </w:r>
      <w:r w:rsidR="007A2394">
        <w:rPr>
          <w:rFonts w:eastAsia="Calibri" w:cs="Times New Roman"/>
          <w:i/>
          <w:iCs/>
          <w:kern w:val="2"/>
          <w:szCs w:val="24"/>
        </w:rPr>
        <w:tab/>
      </w:r>
      <w:r w:rsidRPr="00446A7C">
        <w:rPr>
          <w:rFonts w:eastAsia="Calibri" w:cs="Times New Roman"/>
          <w:i/>
          <w:iCs/>
          <w:kern w:val="2"/>
          <w:szCs w:val="24"/>
        </w:rPr>
        <w:t xml:space="preserve">community focal person serves as our eyes and ears on the ground so that when a </w:t>
      </w:r>
      <w:r w:rsidR="007A2394">
        <w:rPr>
          <w:rFonts w:eastAsia="Calibri" w:cs="Times New Roman"/>
          <w:i/>
          <w:iCs/>
          <w:kern w:val="2"/>
          <w:szCs w:val="24"/>
        </w:rPr>
        <w:tab/>
      </w:r>
      <w:r w:rsidRPr="00446A7C">
        <w:rPr>
          <w:rFonts w:eastAsia="Calibri" w:cs="Times New Roman"/>
          <w:i/>
          <w:iCs/>
          <w:kern w:val="2"/>
          <w:szCs w:val="24"/>
        </w:rPr>
        <w:t xml:space="preserve">person dies and or is no longer eligible, we send the data to our secretariate for </w:t>
      </w:r>
      <w:r w:rsidR="007A2394">
        <w:rPr>
          <w:rFonts w:eastAsia="Calibri" w:cs="Times New Roman"/>
          <w:i/>
          <w:iCs/>
          <w:kern w:val="2"/>
          <w:szCs w:val="24"/>
        </w:rPr>
        <w:tab/>
      </w:r>
      <w:r w:rsidRPr="00446A7C">
        <w:rPr>
          <w:rFonts w:eastAsia="Calibri" w:cs="Times New Roman"/>
          <w:i/>
          <w:iCs/>
          <w:kern w:val="2"/>
          <w:szCs w:val="24"/>
        </w:rPr>
        <w:t xml:space="preserve">them to update. We cannot replace or put someone in the system at our level.’’ </w:t>
      </w:r>
      <w:r w:rsidR="007A2394">
        <w:rPr>
          <w:rFonts w:eastAsia="Calibri" w:cs="Times New Roman"/>
          <w:i/>
          <w:iCs/>
          <w:kern w:val="2"/>
          <w:szCs w:val="24"/>
        </w:rPr>
        <w:tab/>
      </w:r>
      <w:r w:rsidRPr="00446A7C">
        <w:rPr>
          <w:rFonts w:eastAsia="Calibri" w:cs="Times New Roman"/>
          <w:i/>
          <w:iCs/>
          <w:kern w:val="2"/>
          <w:szCs w:val="24"/>
        </w:rPr>
        <w:t>(key informant, 2023)</w:t>
      </w:r>
    </w:p>
    <w:p w14:paraId="411CE0B4" w14:textId="77777777" w:rsidR="00004537" w:rsidRPr="00446A7C" w:rsidRDefault="00004537" w:rsidP="00004537">
      <w:pPr>
        <w:pStyle w:val="NoSpacing"/>
      </w:pPr>
    </w:p>
    <w:p w14:paraId="01F1EA32"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These results show that, though the incorporation of digital technology has made significant impact in the implementation of LEAP, there are some administrative challenges that comes with the system. The findings show that, the challenges in targeting arose because the system failed to detect duplicated data entries. This means that, some individuals or households stand the chances of being enro</w:t>
      </w:r>
      <w:r w:rsidRPr="00446A7C">
        <w:rPr>
          <w:rFonts w:eastAsia="Calibri" w:cs="Times New Roman"/>
          <w:kern w:val="2"/>
          <w:szCs w:val="24"/>
          <w:lang w:val="en-US"/>
        </w:rPr>
        <w:t>l</w:t>
      </w:r>
      <w:r w:rsidRPr="00446A7C">
        <w:rPr>
          <w:rFonts w:eastAsia="Calibri" w:cs="Times New Roman"/>
          <w:kern w:val="2"/>
          <w:szCs w:val="24"/>
        </w:rPr>
        <w:t xml:space="preserve">led into the system more than once. These deficiencies in targeting could undermine the programme’s effectiveness in reaching those who are in most need potentially perpetuating poverty. Contrary to this finding, a study on social protection interventions in Vietnam and the Philippines showed that, digital platforms that are employed in database management helped address inclusion and exclusion errors, and allowed for greater transparency in the beneficiary lists of social protection programmes (Handayani et al., 2017). </w:t>
      </w:r>
    </w:p>
    <w:p w14:paraId="26E432B8"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lastRenderedPageBreak/>
        <w:t xml:space="preserve">This contradiction can be attributed to a number of factors such as government policies, private sector investment, infrastructural development as well as social and economic development compared to Nandom and similar rural areas in Ghana. Addressing these factors can help improve the adoption </w:t>
      </w:r>
      <w:r w:rsidRPr="00446A7C">
        <w:rPr>
          <w:rFonts w:eastAsia="Calibri" w:cs="Times New Roman"/>
          <w:kern w:val="2"/>
          <w:szCs w:val="24"/>
          <w:lang w:val="en-US"/>
        </w:rPr>
        <w:t xml:space="preserve">of </w:t>
      </w:r>
      <w:r w:rsidRPr="00446A7C">
        <w:rPr>
          <w:rFonts w:eastAsia="Calibri" w:cs="Times New Roman"/>
          <w:kern w:val="2"/>
          <w:szCs w:val="24"/>
        </w:rPr>
        <w:t xml:space="preserve">effective digital systems in rural areas like Nandom. It is also evident that, the major activities including beneficiary replacement and updates are still done at the central administrations. This centralised system creates bureaucratic delays and insufficiencies. Decision making may be slow and unresponsive to the local context and needs leading to delays in beneficiary registration, payments of stipends and feedback. </w:t>
      </w:r>
    </w:p>
    <w:p w14:paraId="1B7A951D" w14:textId="77777777" w:rsidR="0008415E" w:rsidRPr="00446A7C" w:rsidRDefault="00000000">
      <w:pPr>
        <w:pStyle w:val="Heading3"/>
      </w:pPr>
      <w:bookmarkStart w:id="159" w:name="_Toc171703264"/>
      <w:r w:rsidRPr="00446A7C">
        <w:t>4.4.4 Logistical inadequacies</w:t>
      </w:r>
      <w:bookmarkEnd w:id="159"/>
    </w:p>
    <w:p w14:paraId="48B72BF6" w14:textId="7957015F" w:rsidR="0008415E" w:rsidRPr="00446A7C" w:rsidRDefault="00000000" w:rsidP="00004537">
      <w:pPr>
        <w:spacing w:after="0" w:line="480" w:lineRule="auto"/>
        <w:ind w:firstLine="0"/>
        <w:contextualSpacing/>
        <w:jc w:val="both"/>
        <w:rPr>
          <w:rFonts w:eastAsia="Calibri" w:cs="Times New Roman"/>
          <w:kern w:val="2"/>
          <w:szCs w:val="24"/>
        </w:rPr>
      </w:pPr>
      <w:r w:rsidRPr="00446A7C">
        <w:rPr>
          <w:rFonts w:eastAsia="Calibri" w:cs="Times New Roman"/>
          <w:kern w:val="2"/>
          <w:szCs w:val="24"/>
        </w:rPr>
        <w:t>Limited data collection tools were also one challenge reported which impedes on digitizing the LEAP programme. The findings showed that one tablet was available at the district office which was used by four LEAP officials. A key informant stated in an interview that:</w:t>
      </w:r>
    </w:p>
    <w:p w14:paraId="361E5F93" w14:textId="3C8E9627" w:rsidR="0008415E" w:rsidRPr="00446A7C" w:rsidRDefault="00000000" w:rsidP="007A2394">
      <w:pPr>
        <w:spacing w:before="240" w:after="0" w:line="480" w:lineRule="auto"/>
        <w:contextualSpacing/>
        <w:jc w:val="both"/>
        <w:rPr>
          <w:rFonts w:eastAsia="Calibri" w:cs="Times New Roman"/>
          <w:i/>
          <w:iCs/>
          <w:kern w:val="2"/>
          <w:szCs w:val="24"/>
        </w:rPr>
      </w:pPr>
      <w:r w:rsidRPr="00446A7C">
        <w:rPr>
          <w:rFonts w:eastAsia="Calibri" w:cs="Times New Roman"/>
          <w:i/>
          <w:iCs/>
          <w:kern w:val="2"/>
          <w:szCs w:val="24"/>
        </w:rPr>
        <w:t xml:space="preserve">“Currently, we are four officers here in this office using one tablet. We use this </w:t>
      </w:r>
      <w:r w:rsidR="007A2394">
        <w:rPr>
          <w:rFonts w:eastAsia="Calibri" w:cs="Times New Roman"/>
          <w:i/>
          <w:iCs/>
          <w:kern w:val="2"/>
          <w:szCs w:val="24"/>
        </w:rPr>
        <w:tab/>
      </w:r>
      <w:r w:rsidRPr="00446A7C">
        <w:rPr>
          <w:rFonts w:eastAsia="Calibri" w:cs="Times New Roman"/>
          <w:i/>
          <w:iCs/>
          <w:kern w:val="2"/>
          <w:szCs w:val="24"/>
        </w:rPr>
        <w:t>table</w:t>
      </w:r>
      <w:r w:rsidRPr="00446A7C">
        <w:rPr>
          <w:rFonts w:eastAsia="Calibri" w:cs="Times New Roman"/>
          <w:i/>
          <w:iCs/>
          <w:kern w:val="2"/>
          <w:szCs w:val="24"/>
          <w:lang w:val="en-US"/>
        </w:rPr>
        <w:t>t</w:t>
      </w:r>
      <w:r w:rsidRPr="00446A7C">
        <w:rPr>
          <w:rFonts w:eastAsia="Calibri" w:cs="Times New Roman"/>
          <w:i/>
          <w:iCs/>
          <w:kern w:val="2"/>
          <w:szCs w:val="24"/>
        </w:rPr>
        <w:t xml:space="preserve"> for monitoring and evaluation and to also collect data. Imagine Four </w:t>
      </w:r>
      <w:r w:rsidR="007A2394">
        <w:rPr>
          <w:rFonts w:eastAsia="Calibri" w:cs="Times New Roman"/>
          <w:i/>
          <w:iCs/>
          <w:kern w:val="2"/>
          <w:szCs w:val="24"/>
        </w:rPr>
        <w:tab/>
      </w:r>
      <w:r w:rsidRPr="00446A7C">
        <w:rPr>
          <w:rFonts w:eastAsia="Calibri" w:cs="Times New Roman"/>
          <w:i/>
          <w:iCs/>
          <w:kern w:val="2"/>
          <w:szCs w:val="24"/>
        </w:rPr>
        <w:t xml:space="preserve">people sharing one computer. When we go to the field for monitoring and data </w:t>
      </w:r>
      <w:r w:rsidR="007A2394">
        <w:rPr>
          <w:rFonts w:eastAsia="Calibri" w:cs="Times New Roman"/>
          <w:i/>
          <w:iCs/>
          <w:kern w:val="2"/>
          <w:szCs w:val="24"/>
        </w:rPr>
        <w:tab/>
      </w:r>
      <w:r w:rsidRPr="00446A7C">
        <w:rPr>
          <w:rFonts w:eastAsia="Calibri" w:cs="Times New Roman"/>
          <w:i/>
          <w:iCs/>
          <w:kern w:val="2"/>
          <w:szCs w:val="24"/>
        </w:rPr>
        <w:t xml:space="preserve">updates, we spend a lot of time since one officer has to finish their work and hand </w:t>
      </w:r>
      <w:r w:rsidR="007A2394">
        <w:rPr>
          <w:rFonts w:eastAsia="Calibri" w:cs="Times New Roman"/>
          <w:i/>
          <w:iCs/>
          <w:kern w:val="2"/>
          <w:szCs w:val="24"/>
        </w:rPr>
        <w:tab/>
      </w:r>
      <w:r w:rsidRPr="00446A7C">
        <w:rPr>
          <w:rFonts w:eastAsia="Calibri" w:cs="Times New Roman"/>
          <w:i/>
          <w:iCs/>
          <w:kern w:val="2"/>
          <w:szCs w:val="24"/>
        </w:rPr>
        <w:t>the tablet to another officer.’’ (Key informant, 2023)</w:t>
      </w:r>
    </w:p>
    <w:p w14:paraId="464550C3" w14:textId="77777777" w:rsidR="0008415E" w:rsidRPr="00446A7C" w:rsidRDefault="0008415E" w:rsidP="00004537">
      <w:pPr>
        <w:pStyle w:val="NoSpacing"/>
      </w:pPr>
    </w:p>
    <w:p w14:paraId="6C3811D1"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 xml:space="preserve">This finding highlights an </w:t>
      </w:r>
      <w:r w:rsidRPr="00446A7C">
        <w:rPr>
          <w:rFonts w:eastAsia="Calibri" w:cs="Times New Roman"/>
          <w:kern w:val="2"/>
          <w:szCs w:val="24"/>
          <w:lang w:val="en-US"/>
        </w:rPr>
        <w:t xml:space="preserve">inadequacy in digital logistics for monitoring and beneficiary updates. Without the proper logistical support, the LEAP officials may resort back to the manual data collection which affects data quality by producing errors, bias and inconsistency which undermines the reliability of monitoring and evaluation outcomes. Another implication of the findings is that, the logistical challenge may limit the </w:t>
      </w:r>
      <w:r w:rsidRPr="00446A7C">
        <w:rPr>
          <w:rFonts w:eastAsia="Calibri" w:cs="Times New Roman"/>
          <w:kern w:val="2"/>
          <w:szCs w:val="24"/>
          <w:lang w:val="en-US"/>
        </w:rPr>
        <w:lastRenderedPageBreak/>
        <w:t>coverage and scope of monitoring and evaluation activities undermining the programme’s ability to capture the holistic picture of the impact and effectiveness of the programme.</w:t>
      </w:r>
      <w:r w:rsidRPr="00446A7C">
        <w:rPr>
          <w:rFonts w:eastAsia="Calibri" w:cs="Times New Roman"/>
          <w:kern w:val="2"/>
          <w:szCs w:val="24"/>
        </w:rPr>
        <w:t xml:space="preserve"> </w:t>
      </w:r>
    </w:p>
    <w:p w14:paraId="3E107BFB" w14:textId="77777777" w:rsidR="0008415E" w:rsidRPr="00446A7C" w:rsidRDefault="0008415E" w:rsidP="00004537">
      <w:pPr>
        <w:pStyle w:val="NoSpacing"/>
      </w:pPr>
    </w:p>
    <w:p w14:paraId="19712C2B" w14:textId="77777777" w:rsidR="0008415E" w:rsidRPr="00446A7C" w:rsidRDefault="00000000">
      <w:pPr>
        <w:spacing w:before="240" w:after="0" w:line="480" w:lineRule="auto"/>
        <w:ind w:firstLine="0"/>
        <w:contextualSpacing/>
        <w:jc w:val="both"/>
        <w:rPr>
          <w:rFonts w:eastAsia="Calibri" w:cs="Times New Roman"/>
          <w:kern w:val="2"/>
          <w:szCs w:val="24"/>
        </w:rPr>
      </w:pPr>
      <w:r w:rsidRPr="00446A7C">
        <w:rPr>
          <w:rFonts w:eastAsia="Calibri" w:cs="Times New Roman"/>
          <w:kern w:val="2"/>
          <w:szCs w:val="24"/>
        </w:rPr>
        <w:t>These findings</w:t>
      </w:r>
      <w:r w:rsidRPr="00446A7C">
        <w:rPr>
          <w:rFonts w:eastAsia="Calibri" w:cs="Times New Roman"/>
          <w:kern w:val="2"/>
          <w:szCs w:val="24"/>
          <w:lang w:val="en-US"/>
        </w:rPr>
        <w:t xml:space="preserve"> challenge the empowerment theory </w:t>
      </w:r>
      <w:r w:rsidRPr="00446A7C">
        <w:rPr>
          <w:rFonts w:eastAsia="Calibri" w:cs="Times New Roman"/>
          <w:bCs/>
          <w:kern w:val="2"/>
          <w:szCs w:val="24"/>
        </w:rPr>
        <w:t xml:space="preserve">(see Zimmerman, 1995; Maton, 2008) </w:t>
      </w:r>
      <w:r w:rsidRPr="00446A7C">
        <w:rPr>
          <w:rFonts w:eastAsia="Calibri" w:cs="Times New Roman"/>
          <w:kern w:val="2"/>
          <w:szCs w:val="24"/>
          <w:lang w:val="en-US"/>
        </w:rPr>
        <w:t xml:space="preserve">by suggesting that the programme's logistical shortcomings maintain a disempowering environment for beneficiaries. Insufficient support for data collection and M&amp;E may strengthen existing power imbalances, restricting beneficiaries' ability and independence in influencing programme outcomes and policies. The findings also confirm the conceptual framework of the study </w:t>
      </w:r>
      <w:r w:rsidRPr="00446A7C">
        <w:rPr>
          <w:rFonts w:eastAsia="Calibri" w:cs="Times New Roman"/>
          <w:kern w:val="2"/>
          <w:szCs w:val="24"/>
        </w:rPr>
        <w:t>by highlighting the influence of non-technological factors (contextual factors) on programme outcomes. Logistical inadequacies, such as infrastructure constraints or inadequate resources, demonstrate how social, economic, and organizational factors shape the adoption and utilization of technology within the programme, rather than technology alone determining programme outcomes as a</w:t>
      </w:r>
      <w:r w:rsidRPr="00446A7C">
        <w:rPr>
          <w:rFonts w:eastAsia="Calibri" w:cs="Times New Roman"/>
          <w:kern w:val="2"/>
          <w:szCs w:val="24"/>
          <w:lang w:val="en-US"/>
        </w:rPr>
        <w:t>r</w:t>
      </w:r>
      <w:r w:rsidRPr="00446A7C">
        <w:rPr>
          <w:rFonts w:eastAsia="Calibri" w:cs="Times New Roman"/>
          <w:kern w:val="2"/>
          <w:szCs w:val="24"/>
        </w:rPr>
        <w:t>gued by the theory of technological determinism (</w:t>
      </w:r>
      <w:r w:rsidRPr="00446A7C">
        <w:rPr>
          <w:rFonts w:eastAsia="Calibri" w:cs="Times New Roman"/>
          <w:bCs/>
          <w:kern w:val="2"/>
          <w:szCs w:val="24"/>
        </w:rPr>
        <w:t>Hauer, 2017)</w:t>
      </w:r>
      <w:r w:rsidRPr="00446A7C">
        <w:rPr>
          <w:rFonts w:eastAsia="Calibri" w:cs="Times New Roman"/>
          <w:kern w:val="2"/>
          <w:szCs w:val="24"/>
        </w:rPr>
        <w:t>.</w:t>
      </w:r>
    </w:p>
    <w:p w14:paraId="25B83B40" w14:textId="77777777" w:rsidR="0008415E" w:rsidRPr="00EA1209" w:rsidRDefault="0008415E" w:rsidP="00004537">
      <w:pPr>
        <w:pStyle w:val="NoSpacing"/>
        <w:rPr>
          <w:sz w:val="2"/>
          <w:szCs w:val="2"/>
        </w:rPr>
      </w:pPr>
    </w:p>
    <w:p w14:paraId="27C5C09F" w14:textId="77777777" w:rsidR="0008415E" w:rsidRPr="00446A7C" w:rsidRDefault="00000000">
      <w:pPr>
        <w:pStyle w:val="Heading2"/>
        <w:rPr>
          <w:rFonts w:cs="Times New Roman"/>
          <w:szCs w:val="24"/>
        </w:rPr>
      </w:pPr>
      <w:bookmarkStart w:id="160" w:name="_Toc171703265"/>
      <w:r w:rsidRPr="00446A7C">
        <w:rPr>
          <w:rFonts w:cs="Times New Roman"/>
          <w:szCs w:val="24"/>
        </w:rPr>
        <w:t>4.5 Way Forward</w:t>
      </w:r>
      <w:bookmarkEnd w:id="160"/>
    </w:p>
    <w:p w14:paraId="687B5A58" w14:textId="77777777" w:rsidR="0008415E" w:rsidRPr="00446A7C" w:rsidRDefault="00000000">
      <w:pPr>
        <w:spacing w:line="480" w:lineRule="auto"/>
        <w:ind w:firstLine="0"/>
        <w:contextualSpacing/>
        <w:jc w:val="both"/>
        <w:rPr>
          <w:rFonts w:cs="Times New Roman"/>
          <w:szCs w:val="24"/>
          <w:lang w:val="en-US"/>
        </w:rPr>
      </w:pPr>
      <w:r w:rsidRPr="00446A7C">
        <w:rPr>
          <w:rFonts w:cs="Times New Roman"/>
          <w:szCs w:val="24"/>
          <w:lang w:val="en-US"/>
        </w:rPr>
        <w:t>This subsection presents the ways to enhance the LEAP programme. It offers practical solutions from the views of beneficiaries and implementers to enhance the full incorporation of digital technology in the delivery of LEAP services. The solutions are presented under two themes: alternative service delivery to address the cash transfer component of the programme and the administrative restructuring which will provide insights from the implementers view on how to enhance the implementation of the programme in Nandom District.</w:t>
      </w:r>
    </w:p>
    <w:p w14:paraId="5F45BFDA" w14:textId="77777777" w:rsidR="0008415E" w:rsidRPr="00446A7C" w:rsidRDefault="00000000">
      <w:pPr>
        <w:pStyle w:val="Heading3"/>
      </w:pPr>
      <w:bookmarkStart w:id="161" w:name="_Toc171703266"/>
      <w:r w:rsidRPr="00446A7C">
        <w:lastRenderedPageBreak/>
        <w:t>4.5.1 Alternative service delivery</w:t>
      </w:r>
      <w:bookmarkEnd w:id="161"/>
    </w:p>
    <w:p w14:paraId="11DDFEE4" w14:textId="77777777" w:rsidR="0008415E" w:rsidRDefault="00000000" w:rsidP="00004537">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According to the world Bank, sustainable poverty reduction is a long-term and inclusive approach aimed at alleviating poverty and improving the well-being of individuals and communities in a way that is environmentally, socially, and economically sustainable (World Bank, 2018). It has prevailed in literature that cash transfers have a potential of developing long term human capital and alleviating poverty. Since LEAP primarily provides cash, it is important to make these services as easy to access as possible for the beneficiaries. Based on the previous chapters, the study found challenges with the use of digital system in the delivery and implementation of LEAP to beneficiaries. These challenges limit beneficiaries’ access to the intervention thereby undermining the long-term impact of the programme. To reiterate these challenges, they include: unrecognizable finger print, misplaced and spoilt e-zwitch cards and limited bank branches in Nandom to replace and issue cards. </w:t>
      </w:r>
    </w:p>
    <w:p w14:paraId="06CCDF90" w14:textId="77777777" w:rsidR="00EA1209" w:rsidRPr="00EA1209" w:rsidRDefault="00EA1209" w:rsidP="00EA1209">
      <w:pPr>
        <w:pStyle w:val="NoSpacing"/>
        <w:rPr>
          <w:sz w:val="14"/>
          <w:szCs w:val="14"/>
        </w:rPr>
      </w:pPr>
    </w:p>
    <w:p w14:paraId="5EF98997" w14:textId="77777777" w:rsidR="0008415E" w:rsidRPr="00446A7C" w:rsidRDefault="00000000">
      <w:pPr>
        <w:spacing w:before="240"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In this section, I discuss the alternative modes of payment from the</w:t>
      </w:r>
      <w:r w:rsidRPr="00446A7C">
        <w:rPr>
          <w:rFonts w:eastAsia="Calibri" w:cs="Times New Roman"/>
          <w:kern w:val="2"/>
          <w:szCs w:val="24"/>
        </w:rPr>
        <w:t xml:space="preserve"> beneficiaries and LEAP implement</w:t>
      </w:r>
      <w:r w:rsidRPr="00446A7C">
        <w:rPr>
          <w:rFonts w:eastAsia="Calibri" w:cs="Times New Roman"/>
          <w:kern w:val="2"/>
          <w:szCs w:val="24"/>
          <w:lang w:val="en-US"/>
        </w:rPr>
        <w:t>e</w:t>
      </w:r>
      <w:r w:rsidRPr="00446A7C">
        <w:rPr>
          <w:rFonts w:eastAsia="Calibri" w:cs="Times New Roman"/>
          <w:kern w:val="2"/>
          <w:szCs w:val="24"/>
        </w:rPr>
        <w:t>rs perspective</w:t>
      </w:r>
      <w:r w:rsidRPr="00446A7C">
        <w:rPr>
          <w:rFonts w:eastAsia="Calibri" w:cs="Times New Roman"/>
          <w:kern w:val="2"/>
          <w:szCs w:val="24"/>
          <w:lang w:val="en-US"/>
        </w:rPr>
        <w:t>s</w:t>
      </w:r>
      <w:r w:rsidRPr="00446A7C">
        <w:rPr>
          <w:rFonts w:eastAsia="Calibri" w:cs="Times New Roman"/>
          <w:kern w:val="2"/>
          <w:szCs w:val="24"/>
        </w:rPr>
        <w:t xml:space="preserve">. These findings provide solutions to abate the challenges and to ensure easy and convenient access to funds. About 70% of Beneficiaries proposed the integration of mobile money as an alternative payment mode through which beneficiaries receive their bi-monthly transfers. The remaining 30% were either neutral, or did not possess mobile phones through which they could access mobile money. The use of mobile money as an alternative payment mode reduces the need for beneficiaries to travel long distances to access their payments. </w:t>
      </w:r>
      <w:r w:rsidRPr="00446A7C">
        <w:rPr>
          <w:rFonts w:eastAsia="Calibri" w:cs="Times New Roman"/>
          <w:kern w:val="2"/>
          <w:szCs w:val="24"/>
          <w:lang w:val="en-US"/>
        </w:rPr>
        <w:t xml:space="preserve">For example, in Bangladesh, a trial of mobile payments was conducted as part of the </w:t>
      </w:r>
      <w:r w:rsidRPr="00446A7C">
        <w:rPr>
          <w:rFonts w:eastAsia="Calibri" w:cs="Times New Roman"/>
          <w:kern w:val="2"/>
          <w:szCs w:val="24"/>
        </w:rPr>
        <w:t>Primary Education Stipend Project</w:t>
      </w:r>
      <w:r w:rsidRPr="00446A7C">
        <w:rPr>
          <w:rFonts w:eastAsia="Calibri" w:cs="Times New Roman"/>
          <w:kern w:val="2"/>
          <w:szCs w:val="24"/>
          <w:lang w:val="en-US"/>
        </w:rPr>
        <w:t xml:space="preserve"> (PESP) scheme. The trial revealed that 79% of participating mothers </w:t>
      </w:r>
      <w:r w:rsidRPr="00446A7C">
        <w:rPr>
          <w:rFonts w:eastAsia="Calibri" w:cs="Times New Roman"/>
          <w:kern w:val="2"/>
          <w:szCs w:val="24"/>
          <w:lang w:val="en-US"/>
        </w:rPr>
        <w:lastRenderedPageBreak/>
        <w:t>preferred this approach. They found that it not only reduced travel and expanded withdrawal options but also made the registration process easier (Gelb et al., 2019).</w:t>
      </w:r>
    </w:p>
    <w:p w14:paraId="2620599F" w14:textId="77777777" w:rsidR="0008415E" w:rsidRPr="00EA1209" w:rsidRDefault="0008415E" w:rsidP="00EA1209">
      <w:pPr>
        <w:pStyle w:val="NoSpacing"/>
        <w:rPr>
          <w:sz w:val="14"/>
          <w:szCs w:val="14"/>
        </w:rPr>
      </w:pPr>
    </w:p>
    <w:p w14:paraId="421AF497" w14:textId="77777777" w:rsidR="0008415E" w:rsidRDefault="00000000">
      <w:pPr>
        <w:spacing w:before="240" w:after="0" w:line="480" w:lineRule="auto"/>
        <w:ind w:firstLine="0"/>
        <w:contextualSpacing/>
        <w:jc w:val="both"/>
        <w:rPr>
          <w:rFonts w:eastAsia="Calibri" w:cs="Times New Roman"/>
          <w:bCs/>
          <w:kern w:val="2"/>
          <w:szCs w:val="24"/>
        </w:rPr>
      </w:pPr>
      <w:r w:rsidRPr="00446A7C">
        <w:rPr>
          <w:rFonts w:eastAsia="Calibri" w:cs="Times New Roman"/>
          <w:kern w:val="2"/>
          <w:szCs w:val="24"/>
        </w:rPr>
        <w:t xml:space="preserve">Even though social protection interventions across the many developing countries are using other forms of payment modes such as smart cards, ID cards, </w:t>
      </w:r>
      <w:r w:rsidRPr="00446A7C">
        <w:rPr>
          <w:rFonts w:eastAsia="Calibri" w:cs="Times New Roman"/>
          <w:bCs/>
          <w:kern w:val="2"/>
          <w:szCs w:val="24"/>
        </w:rPr>
        <w:t>direct bank transfer and ATM to transfer cash, the only means of transfers that was suggested by the participants of this study was mobile money. This could be linked to the fact that; Participants are familiar with mobile money operations especially since most of these beneficiaires receive money from family members and friend outside the district through mobile money. The use of mobile money as an alternative payment mode is seen in countries like Kenya, India, Cambodia and Colombia where mobile banking is rapidly being used to facilitate transfer of cash to beneficiaries (Una et al., 2020).</w:t>
      </w:r>
    </w:p>
    <w:p w14:paraId="6C85393B" w14:textId="77777777" w:rsidR="00004537" w:rsidRPr="00EA1209" w:rsidRDefault="00004537" w:rsidP="00004537">
      <w:pPr>
        <w:pStyle w:val="NoSpacing"/>
        <w:rPr>
          <w:sz w:val="10"/>
          <w:szCs w:val="10"/>
        </w:rPr>
      </w:pPr>
    </w:p>
    <w:p w14:paraId="136BF03D" w14:textId="5E66CCDA" w:rsidR="0008415E" w:rsidRPr="00446A7C" w:rsidRDefault="00000000">
      <w:pPr>
        <w:spacing w:before="240" w:after="0" w:line="480" w:lineRule="auto"/>
        <w:ind w:firstLine="0"/>
        <w:contextualSpacing/>
        <w:jc w:val="both"/>
        <w:rPr>
          <w:rFonts w:eastAsia="Calibri" w:cs="Times New Roman"/>
          <w:i/>
          <w:iCs/>
          <w:kern w:val="2"/>
          <w:szCs w:val="24"/>
        </w:rPr>
      </w:pPr>
      <w:r w:rsidRPr="00446A7C">
        <w:rPr>
          <w:rFonts w:eastAsia="Calibri" w:cs="Times New Roman"/>
          <w:kern w:val="2"/>
          <w:szCs w:val="24"/>
        </w:rPr>
        <w:t xml:space="preserve">The use of mobile money enables beneficiaries to receive funds directly into their mobile wallets, promoting financial inclusion (Mas et al.,2019) and minimizing the need for physical cash distribution and its associated risks of corruption and leakages (Khando et al., 2023). This highlights the principles of empowerment theory were taking the needs and aspirations of individuals coupled with financial inclusion promotes inclusions and reduces poverty in the long run (see </w:t>
      </w:r>
      <w:r w:rsidRPr="00446A7C">
        <w:rPr>
          <w:rFonts w:eastAsia="Calibri" w:cs="Times New Roman"/>
          <w:bCs/>
          <w:kern w:val="2"/>
          <w:szCs w:val="24"/>
        </w:rPr>
        <w:t>Haque &amp; Sweetman, 2015)</w:t>
      </w:r>
      <w:r w:rsidRPr="00446A7C">
        <w:rPr>
          <w:rFonts w:eastAsia="Calibri" w:cs="Times New Roman"/>
          <w:kern w:val="2"/>
          <w:szCs w:val="24"/>
        </w:rPr>
        <w:t xml:space="preserve">. Key informants also suggest a decentralised banking service to enable beneficiaires easy and convenient access to LEAP services. This suggestion was made in line with the long-distance beneficiaries have to travel to renew or replace their cards. The Nandom Rural Bank could be made to handle the card related issues instead of beneficiaries traveling to Lawra or Wa to resolve these issues. </w:t>
      </w:r>
    </w:p>
    <w:p w14:paraId="2EEC02B1" w14:textId="77777777" w:rsidR="0008415E" w:rsidRPr="00446A7C" w:rsidRDefault="00000000" w:rsidP="00004537">
      <w:pPr>
        <w:pStyle w:val="Heading3"/>
      </w:pPr>
      <w:bookmarkStart w:id="162" w:name="_Toc171703267"/>
      <w:r w:rsidRPr="00446A7C">
        <w:lastRenderedPageBreak/>
        <w:t xml:space="preserve">4.5.2 </w:t>
      </w:r>
      <w:r w:rsidRPr="00004537">
        <w:t>Administrative</w:t>
      </w:r>
      <w:r w:rsidRPr="00446A7C">
        <w:t xml:space="preserve"> restructuring</w:t>
      </w:r>
      <w:bookmarkEnd w:id="162"/>
    </w:p>
    <w:p w14:paraId="2F30126C" w14:textId="77777777" w:rsidR="0008415E" w:rsidRPr="00446A7C" w:rsidRDefault="00000000">
      <w:pPr>
        <w:spacing w:line="480" w:lineRule="auto"/>
        <w:ind w:firstLine="0"/>
        <w:contextualSpacing/>
        <w:jc w:val="both"/>
        <w:rPr>
          <w:rFonts w:eastAsia="Calibri" w:cs="Times New Roman"/>
          <w:kern w:val="2"/>
          <w:szCs w:val="24"/>
        </w:rPr>
      </w:pPr>
      <w:r w:rsidRPr="00446A7C">
        <w:rPr>
          <w:rFonts w:cs="Times New Roman"/>
          <w:szCs w:val="24"/>
          <w:lang w:val="en-US"/>
        </w:rPr>
        <w:t xml:space="preserve">The findings from the study revealed the administrative challenges hindering the full incorporation of technology into the LEAP programme. Key informants mentioned that there are network challenges, centralized administrative activities and limited digital logistics which impedes on their performance at the district level. From the perspective of the district level LEAP implementation officers, the network challenges cause delays in payment of stipend. Beneficiaries must wait in line for longer hours for the network before they can be verified. Beside this, when there is the need to work online at the office, the network challenges impede on their performance. Key informants therefore suggest that the internet connectivity should be made a priority in digitizing the programme. Also, the findings reveal that, </w:t>
      </w:r>
      <w:r w:rsidRPr="00446A7C">
        <w:rPr>
          <w:rFonts w:eastAsia="Calibri" w:cs="Times New Roman"/>
          <w:kern w:val="2"/>
          <w:szCs w:val="24"/>
        </w:rPr>
        <w:t>there is the need for the LEAP programme to take a critical look at providing adequate digital logistics if sustainability of the programme is to be achieved and the long term of poverty alleviation realised.</w:t>
      </w:r>
      <w:r w:rsidRPr="00446A7C">
        <w:rPr>
          <w:rFonts w:cs="Times New Roman"/>
          <w:szCs w:val="24"/>
        </w:rPr>
        <w:br w:type="page"/>
      </w:r>
    </w:p>
    <w:p w14:paraId="623F9612" w14:textId="77777777" w:rsidR="0008415E" w:rsidRDefault="00000000">
      <w:pPr>
        <w:pStyle w:val="Heading1"/>
        <w:spacing w:before="0"/>
      </w:pPr>
      <w:bookmarkStart w:id="163" w:name="_Toc171703268"/>
      <w:r w:rsidRPr="00446A7C">
        <w:lastRenderedPageBreak/>
        <w:t>CHAPTER FIVE</w:t>
      </w:r>
      <w:bookmarkEnd w:id="163"/>
    </w:p>
    <w:p w14:paraId="74A0BFBA" w14:textId="77777777" w:rsidR="00004537" w:rsidRPr="00004537" w:rsidRDefault="00004537" w:rsidP="00EA1209">
      <w:pPr>
        <w:pStyle w:val="NoSpacing"/>
      </w:pPr>
    </w:p>
    <w:p w14:paraId="3C6D0C67" w14:textId="77777777" w:rsidR="0008415E" w:rsidRPr="00446A7C" w:rsidRDefault="00000000">
      <w:pPr>
        <w:pStyle w:val="Heading1"/>
      </w:pPr>
      <w:bookmarkStart w:id="164" w:name="_Toc126283515"/>
      <w:bookmarkStart w:id="165" w:name="_Toc171703269"/>
      <w:r w:rsidRPr="00446A7C">
        <w:t>SUMMARY, CONCLUSIONS, AND RECOMMENDATIONS</w:t>
      </w:r>
      <w:bookmarkEnd w:id="164"/>
      <w:bookmarkEnd w:id="165"/>
      <w:r w:rsidRPr="00446A7C">
        <w:t xml:space="preserve"> </w:t>
      </w:r>
    </w:p>
    <w:p w14:paraId="3E81996B" w14:textId="77777777" w:rsidR="0008415E" w:rsidRPr="00446A7C" w:rsidRDefault="00000000">
      <w:pPr>
        <w:pStyle w:val="Heading2"/>
        <w:rPr>
          <w:rFonts w:cs="Times New Roman"/>
          <w:szCs w:val="24"/>
        </w:rPr>
      </w:pPr>
      <w:bookmarkStart w:id="166" w:name="_Toc126283516"/>
      <w:bookmarkStart w:id="167" w:name="_Toc171703270"/>
      <w:r w:rsidRPr="00446A7C">
        <w:rPr>
          <w:rFonts w:cs="Times New Roman"/>
          <w:szCs w:val="24"/>
        </w:rPr>
        <w:t>5.1 Introduction</w:t>
      </w:r>
      <w:bookmarkEnd w:id="166"/>
      <w:bookmarkEnd w:id="167"/>
    </w:p>
    <w:p w14:paraId="0CE77B16" w14:textId="779B1DCF"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The study's final chapter provides a summary of the research processes and major findings, as well as the conclusions drawn from these findings. It also makes recommendations based on the study's findings about the role of digital technology in enhancing the Livelihood Empowerment Against Poverty (LEAP) programme for long-term poverty reduction. It again emphasizes the research contribution to knowledge, as well as the suggestions for future research.</w:t>
      </w:r>
    </w:p>
    <w:p w14:paraId="2769ACF9" w14:textId="77777777" w:rsidR="0008415E" w:rsidRPr="00446A7C" w:rsidRDefault="00000000">
      <w:pPr>
        <w:pStyle w:val="Heading2"/>
        <w:rPr>
          <w:rFonts w:cs="Times New Roman"/>
          <w:szCs w:val="24"/>
        </w:rPr>
      </w:pPr>
      <w:bookmarkStart w:id="168" w:name="_Toc126283517"/>
      <w:bookmarkStart w:id="169" w:name="_Toc171703271"/>
      <w:r w:rsidRPr="00446A7C">
        <w:rPr>
          <w:rFonts w:cs="Times New Roman"/>
          <w:szCs w:val="24"/>
        </w:rPr>
        <w:t>5.2 Summary</w:t>
      </w:r>
      <w:bookmarkEnd w:id="168"/>
      <w:bookmarkEnd w:id="169"/>
      <w:r w:rsidRPr="00446A7C">
        <w:rPr>
          <w:rFonts w:cs="Times New Roman"/>
          <w:szCs w:val="24"/>
        </w:rPr>
        <w:t xml:space="preserve"> </w:t>
      </w:r>
    </w:p>
    <w:p w14:paraId="1C1D85DB"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 xml:space="preserve">The study explored the role of digital technology in enhancing LEAP programme for long term poverty reduction. To achieve this, the study sought </w:t>
      </w:r>
      <w:bookmarkStart w:id="170" w:name="_Hlk144840550"/>
      <w:r w:rsidRPr="00446A7C">
        <w:rPr>
          <w:rFonts w:ascii="Times New Roman" w:hAnsi="Times New Roman" w:cs="Times New Roman"/>
          <w:sz w:val="24"/>
          <w:szCs w:val="24"/>
        </w:rPr>
        <w:t xml:space="preserve">to examine firstly beneficiaries’ access to LEAP intervention </w:t>
      </w:r>
      <w:bookmarkEnd w:id="170"/>
      <w:r w:rsidRPr="00446A7C">
        <w:rPr>
          <w:rFonts w:ascii="Times New Roman" w:hAnsi="Times New Roman" w:cs="Times New Roman"/>
          <w:sz w:val="24"/>
          <w:szCs w:val="24"/>
        </w:rPr>
        <w:t xml:space="preserve">services, secondly, to analyze beneficiary perspective on the use of digital technology in the delivery of services of the LEAP programme and lastly to assess the potentials and limits of digital technologies towards enhancing the sustainable poverty reduction through the LEAP programme. These objectives provided a guide for the research. The study reviewed relevant literature around social protection programmes and cash transfer programmes to help put the research into perspective. Two theories were explored to provide the theoretical foundation of the study, namely the empowerment theory and the theory of technological determinism. </w:t>
      </w:r>
    </w:p>
    <w:p w14:paraId="7A91587D" w14:textId="77777777" w:rsidR="00004537" w:rsidRPr="00004537" w:rsidRDefault="00004537" w:rsidP="00004537">
      <w:pPr>
        <w:pStyle w:val="NoSpacing"/>
      </w:pPr>
    </w:p>
    <w:p w14:paraId="567D1FE3" w14:textId="71CA8861"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 xml:space="preserve">The empowerment theory provides a significant structure for understanding and addressing the multifaceted factors that contribute to poverty and inequality (Perkins &amp; Zimmerman, 1995). According to Zimmerman, (2000), the empowerment theory </w:t>
      </w:r>
      <w:r w:rsidRPr="00446A7C">
        <w:rPr>
          <w:rFonts w:ascii="Times New Roman" w:hAnsi="Times New Roman" w:cs="Times New Roman"/>
          <w:sz w:val="24"/>
          <w:szCs w:val="24"/>
        </w:rPr>
        <w:lastRenderedPageBreak/>
        <w:t xml:space="preserve">emphasizes the importance of empowering individuals to take control of their own lives, make informed decisions, and actively participate in shaping their livelihoods. The second theory which also provides a theoretical ground for this research is the theory of technological determinism. The theory recognizes the power </w:t>
      </w:r>
      <w:r w:rsidR="00004537" w:rsidRPr="00446A7C">
        <w:rPr>
          <w:rFonts w:ascii="Times New Roman" w:hAnsi="Times New Roman" w:cs="Times New Roman"/>
          <w:sz w:val="24"/>
          <w:szCs w:val="24"/>
        </w:rPr>
        <w:t>of digital</w:t>
      </w:r>
      <w:r w:rsidRPr="00446A7C">
        <w:rPr>
          <w:rFonts w:ascii="Times New Roman" w:hAnsi="Times New Roman" w:cs="Times New Roman"/>
          <w:sz w:val="24"/>
          <w:szCs w:val="24"/>
        </w:rPr>
        <w:t xml:space="preserve"> technology in transforming human society in this modern era. In relation to the LEAP programme, adopting and integrating digital technology into its operations have the potential to enhance the programme’s effectiveness and reaching its long-term goal of poverty reduction (e.g. see Kaplinsky, 2011).</w:t>
      </w:r>
    </w:p>
    <w:p w14:paraId="5BE55FF8" w14:textId="77777777" w:rsidR="0008415E" w:rsidRPr="00004537" w:rsidRDefault="0008415E" w:rsidP="00004537">
      <w:pPr>
        <w:pStyle w:val="NoSpacing"/>
      </w:pPr>
    </w:p>
    <w:p w14:paraId="099F8EE1" w14:textId="77777777" w:rsidR="0008415E" w:rsidRPr="00446A7C" w:rsidRDefault="00000000">
      <w:pPr>
        <w:spacing w:line="480" w:lineRule="auto"/>
        <w:ind w:firstLine="0"/>
        <w:contextualSpacing/>
        <w:jc w:val="both"/>
        <w:rPr>
          <w:rFonts w:cs="Times New Roman"/>
          <w:kern w:val="2"/>
          <w:szCs w:val="24"/>
          <w:lang w:val="en-US"/>
        </w:rPr>
      </w:pPr>
      <w:r w:rsidRPr="00446A7C">
        <w:rPr>
          <w:rFonts w:cs="Times New Roman"/>
          <w:kern w:val="2"/>
          <w:szCs w:val="24"/>
          <w:lang w:val="en-US"/>
        </w:rPr>
        <w:t xml:space="preserve">A qualitative research approach was adopted for the study while the case study design was employed to guide the study. The purposive sampling technique was employed to select the research participants </w:t>
      </w:r>
      <w:r w:rsidRPr="00446A7C">
        <w:rPr>
          <w:rFonts w:cs="Times New Roman"/>
          <w:szCs w:val="24"/>
        </w:rPr>
        <w:t>wh</w:t>
      </w:r>
      <w:r w:rsidRPr="00446A7C">
        <w:rPr>
          <w:rFonts w:cs="Times New Roman"/>
          <w:szCs w:val="24"/>
          <w:lang w:val="en-US"/>
        </w:rPr>
        <w:t>o</w:t>
      </w:r>
      <w:r w:rsidRPr="00446A7C">
        <w:rPr>
          <w:rFonts w:cs="Times New Roman"/>
          <w:szCs w:val="24"/>
        </w:rPr>
        <w:t xml:space="preserve"> were divided into two groups: the beneficiaries of the LEAP programme (OVCs, elderly poor and PLWD) and the LEAP implementing officers (the head of department of the social welfare and community development and the case worker). The LEAP implementing officers served as the key informants for the study. This is because they possess ample knowledge with regards to the implementation of the programme since its inception in the Nandom district. </w:t>
      </w:r>
      <w:r w:rsidRPr="00446A7C">
        <w:rPr>
          <w:rFonts w:cs="Times New Roman"/>
          <w:kern w:val="2"/>
          <w:szCs w:val="24"/>
          <w:lang w:val="en-US"/>
        </w:rPr>
        <w:t xml:space="preserve">Data </w:t>
      </w:r>
      <w:r w:rsidRPr="00446A7C">
        <w:rPr>
          <w:rFonts w:cs="Times New Roman"/>
          <w:szCs w:val="24"/>
        </w:rPr>
        <w:t xml:space="preserve">was collected using interview guide for both groups. Since the study adopted the qualitative approach, the analysis was done through thematic analysis using the </w:t>
      </w:r>
      <w:r w:rsidRPr="00446A7C">
        <w:rPr>
          <w:rFonts w:cs="Times New Roman"/>
          <w:kern w:val="2"/>
          <w:szCs w:val="24"/>
          <w:lang w:val="en-US"/>
        </w:rPr>
        <w:t xml:space="preserve">six-step data analysis process by Braun and Clarke (2013). </w:t>
      </w:r>
    </w:p>
    <w:p w14:paraId="493902CA" w14:textId="77777777" w:rsidR="0008415E" w:rsidRPr="00446A7C" w:rsidRDefault="00000000">
      <w:pPr>
        <w:pStyle w:val="Heading2"/>
        <w:rPr>
          <w:rFonts w:cs="Times New Roman"/>
          <w:szCs w:val="24"/>
        </w:rPr>
      </w:pPr>
      <w:bookmarkStart w:id="171" w:name="_Toc126283518"/>
      <w:bookmarkStart w:id="172" w:name="_Toc171703272"/>
      <w:r w:rsidRPr="00446A7C">
        <w:rPr>
          <w:rFonts w:cs="Times New Roman"/>
          <w:szCs w:val="24"/>
        </w:rPr>
        <w:t>5.3 Key Findings of the Study</w:t>
      </w:r>
      <w:bookmarkEnd w:id="171"/>
      <w:bookmarkEnd w:id="172"/>
    </w:p>
    <w:p w14:paraId="704BCBC2" w14:textId="77777777" w:rsidR="0008415E" w:rsidRPr="00446A7C" w:rsidRDefault="00000000">
      <w:pPr>
        <w:spacing w:after="0" w:line="480" w:lineRule="auto"/>
        <w:ind w:firstLine="0"/>
        <w:contextualSpacing/>
        <w:jc w:val="both"/>
        <w:rPr>
          <w:rFonts w:cs="Times New Roman"/>
          <w:szCs w:val="24"/>
        </w:rPr>
      </w:pPr>
      <w:r w:rsidRPr="00446A7C">
        <w:rPr>
          <w:rFonts w:cs="Times New Roman"/>
          <w:szCs w:val="24"/>
        </w:rPr>
        <w:t>The key findings based on the objectives of the study are thus presented based on the study's analysis, results, and discussion. These findings have a profound implication on the development of policies for developing countries particularly in Ghana w</w:t>
      </w:r>
      <w:r w:rsidRPr="00446A7C">
        <w:rPr>
          <w:rFonts w:cs="Times New Roman"/>
          <w:szCs w:val="24"/>
          <w:lang w:val="en-US"/>
        </w:rPr>
        <w:t>h</w:t>
      </w:r>
      <w:r w:rsidRPr="00446A7C">
        <w:rPr>
          <w:rFonts w:cs="Times New Roman"/>
          <w:szCs w:val="24"/>
        </w:rPr>
        <w:t>ere the LEAP programme as a poverty reduction measure over the years ha</w:t>
      </w:r>
      <w:r w:rsidRPr="00446A7C">
        <w:rPr>
          <w:rFonts w:cs="Times New Roman"/>
          <w:szCs w:val="24"/>
          <w:lang w:val="en-US"/>
        </w:rPr>
        <w:t>s</w:t>
      </w:r>
      <w:r w:rsidRPr="00446A7C">
        <w:rPr>
          <w:rFonts w:cs="Times New Roman"/>
          <w:szCs w:val="24"/>
        </w:rPr>
        <w:t xml:space="preserve"> failed to achieve its desired outcome. </w:t>
      </w:r>
    </w:p>
    <w:p w14:paraId="4CED186C" w14:textId="77777777" w:rsidR="0008415E" w:rsidRPr="00446A7C" w:rsidRDefault="00000000">
      <w:pPr>
        <w:spacing w:after="0" w:line="480" w:lineRule="auto"/>
        <w:ind w:firstLine="0"/>
        <w:contextualSpacing/>
        <w:jc w:val="both"/>
        <w:rPr>
          <w:rFonts w:cs="Times New Roman"/>
          <w:szCs w:val="24"/>
        </w:rPr>
      </w:pPr>
      <w:r w:rsidRPr="00446A7C">
        <w:rPr>
          <w:rFonts w:cs="Times New Roman"/>
          <w:szCs w:val="24"/>
        </w:rPr>
        <w:lastRenderedPageBreak/>
        <w:t xml:space="preserve">With regards to </w:t>
      </w:r>
      <w:bookmarkStart w:id="173" w:name="_Hlk159341315"/>
      <w:r w:rsidRPr="00446A7C">
        <w:rPr>
          <w:rFonts w:cs="Times New Roman"/>
          <w:szCs w:val="24"/>
        </w:rPr>
        <w:t xml:space="preserve">beneficiary access to the Livelihood Empowerment Against Poverty (LEAP) </w:t>
      </w:r>
      <w:bookmarkEnd w:id="173"/>
      <w:r w:rsidRPr="00446A7C">
        <w:rPr>
          <w:rFonts w:cs="Times New Roman"/>
          <w:szCs w:val="24"/>
        </w:rPr>
        <w:t xml:space="preserve">programme, it became evident that beneficiaries had to undergo a targeting process prior to their enrolment in the programme. Beneficiaries </w:t>
      </w:r>
      <w:r w:rsidRPr="00446A7C">
        <w:rPr>
          <w:rFonts w:cs="Times New Roman"/>
          <w:szCs w:val="24"/>
          <w:lang w:val="en-US"/>
        </w:rPr>
        <w:t>we</w:t>
      </w:r>
      <w:r w:rsidRPr="00446A7C">
        <w:rPr>
          <w:rFonts w:cs="Times New Roman"/>
          <w:szCs w:val="24"/>
        </w:rPr>
        <w:t xml:space="preserve">re identified through various methods, such as self-targeting, </w:t>
      </w:r>
      <w:r w:rsidRPr="00446A7C">
        <w:rPr>
          <w:rFonts w:cs="Times New Roman"/>
          <w:szCs w:val="24"/>
          <w:lang w:val="en-US"/>
        </w:rPr>
        <w:t xml:space="preserve">and </w:t>
      </w:r>
      <w:r w:rsidRPr="00446A7C">
        <w:rPr>
          <w:rFonts w:cs="Times New Roman"/>
          <w:szCs w:val="24"/>
        </w:rPr>
        <w:t xml:space="preserve">proxy means tests. The targeting process encountered challenges, which prompted the incorporation of digital technology. The digitization of targeting involves potential beneficiaries directly sourced from National Household Register. This register contains the data base of eligible beneficiaries. Once </w:t>
      </w:r>
      <w:r w:rsidRPr="00446A7C">
        <w:rPr>
          <w:rFonts w:cs="Times New Roman"/>
          <w:szCs w:val="24"/>
          <w:lang w:val="en-US"/>
        </w:rPr>
        <w:t>enrolled</w:t>
      </w:r>
      <w:r w:rsidRPr="00446A7C">
        <w:rPr>
          <w:rFonts w:cs="Times New Roman"/>
          <w:szCs w:val="24"/>
        </w:rPr>
        <w:t>, beneficiaries undergo verification to confirm their eligibility to receive stipends and other services, including enrolment in the National Health Insurance Scheme (NHIS) and the renewal of NHIS cards.</w:t>
      </w:r>
    </w:p>
    <w:p w14:paraId="3ECED5D4" w14:textId="77777777" w:rsidR="0008415E" w:rsidRPr="00446A7C" w:rsidRDefault="0008415E" w:rsidP="00004537">
      <w:pPr>
        <w:pStyle w:val="NoSpacing"/>
      </w:pPr>
    </w:p>
    <w:p w14:paraId="1FEE03C1" w14:textId="01DEDB91" w:rsidR="0008415E" w:rsidRPr="00446A7C" w:rsidRDefault="00000000">
      <w:pPr>
        <w:spacing w:after="0" w:line="480" w:lineRule="auto"/>
        <w:ind w:firstLine="0"/>
        <w:contextualSpacing/>
        <w:jc w:val="both"/>
        <w:rPr>
          <w:rFonts w:cs="Times New Roman"/>
          <w:szCs w:val="24"/>
        </w:rPr>
      </w:pPr>
      <w:r w:rsidRPr="00446A7C">
        <w:rPr>
          <w:rFonts w:cs="Times New Roman"/>
          <w:szCs w:val="24"/>
        </w:rPr>
        <w:t>Nevertheless, beneficiaries faced obstacles in accessing LEAP services, such as payment delays and uncertainty regarding payment schedules. Some beneficiaries, notably the elderly and People Living with Disabilities (PLWD), felt marginalized when certain individuals were exclusively provided with farm animals. However, this was debunked when LEAP implement</w:t>
      </w:r>
      <w:r w:rsidRPr="00446A7C">
        <w:rPr>
          <w:rFonts w:cs="Times New Roman"/>
          <w:szCs w:val="24"/>
          <w:lang w:val="en-US"/>
        </w:rPr>
        <w:t>r</w:t>
      </w:r>
      <w:r w:rsidRPr="00446A7C">
        <w:rPr>
          <w:rFonts w:cs="Times New Roman"/>
          <w:szCs w:val="24"/>
        </w:rPr>
        <w:t xml:space="preserve">rs confirmed that, the provision </w:t>
      </w:r>
      <w:r w:rsidRPr="00446A7C">
        <w:rPr>
          <w:rFonts w:cs="Times New Roman"/>
          <w:szCs w:val="24"/>
          <w:lang w:val="en-US"/>
        </w:rPr>
        <w:t xml:space="preserve">of </w:t>
      </w:r>
      <w:r w:rsidRPr="00446A7C">
        <w:rPr>
          <w:rFonts w:cs="Times New Roman"/>
          <w:szCs w:val="24"/>
        </w:rPr>
        <w:t>farm animals w</w:t>
      </w:r>
      <w:r w:rsidRPr="00446A7C">
        <w:rPr>
          <w:rFonts w:cs="Times New Roman"/>
          <w:szCs w:val="24"/>
          <w:lang w:val="en-US"/>
        </w:rPr>
        <w:t>as</w:t>
      </w:r>
      <w:r w:rsidRPr="00446A7C">
        <w:rPr>
          <w:rFonts w:cs="Times New Roman"/>
          <w:szCs w:val="24"/>
        </w:rPr>
        <w:t xml:space="preserve"> an initiative of the Labour-Intensive Public works under the Ministry of Gender, Children and Social protection. This initiative was in its trail phase hence beneficiaries were selected randomly from the pilot communities. </w:t>
      </w:r>
    </w:p>
    <w:p w14:paraId="0912BF82" w14:textId="77777777" w:rsidR="0008415E" w:rsidRPr="00446A7C" w:rsidRDefault="0008415E" w:rsidP="00004537">
      <w:pPr>
        <w:pStyle w:val="NoSpacing"/>
      </w:pPr>
    </w:p>
    <w:p w14:paraId="2F49A124"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 xml:space="preserve">The findings also revealed transition from a manual to a digital payment system. The study revealed that about 80% of the beneficiaries were familiar with digital tools, particularly those used for receiving stipends, such as the e-zwitch machine and card. However, the findings showed that a significant number of beneficiaries, particularly the elderly, lack knowledge about the digital aspects of the programme, likely due to their age or socio-economic status. The study also highlighted that beneficiaries have not </w:t>
      </w:r>
      <w:r w:rsidRPr="00446A7C">
        <w:rPr>
          <w:rFonts w:ascii="Times New Roman" w:hAnsi="Times New Roman" w:cs="Times New Roman"/>
          <w:sz w:val="24"/>
          <w:szCs w:val="24"/>
        </w:rPr>
        <w:lastRenderedPageBreak/>
        <w:t xml:space="preserve">received adequate orientation and education on using the available digital tools. Therefore, many beneficiaries mishandled their cards, preventing them from accessing their stipends. Challenges including network issues and difficulties in verifying thumb prints, especially for farmers were found to impede the digitization of the LEAP programme. Such challenges led to frustration among both programme implementers and programme beneficiaries. Despite the difficulties and limited experience with digital tools, beneficiaries expressed overall satisfaction with the digital system over the manual system. </w:t>
      </w:r>
    </w:p>
    <w:p w14:paraId="36B79D6C" w14:textId="77777777" w:rsidR="0008415E" w:rsidRPr="00004537" w:rsidRDefault="0008415E" w:rsidP="00004537">
      <w:pPr>
        <w:pStyle w:val="NoSpacing"/>
      </w:pPr>
    </w:p>
    <w:p w14:paraId="3D1F0CAE" w14:textId="77777777" w:rsidR="0008415E" w:rsidRDefault="00000000">
      <w:pPr>
        <w:pStyle w:val="NormalWeb"/>
        <w:spacing w:before="280" w:after="280" w:line="480" w:lineRule="auto"/>
        <w:ind w:firstLine="0"/>
        <w:contextualSpacing/>
        <w:jc w:val="both"/>
      </w:pPr>
      <w:r w:rsidRPr="00446A7C">
        <w:t>The study also found that digital technology has played a crucial role in improving the effectiveness of the LEAP programme reducing issues related to stolen funds. Before the adoption of the digital payment system, the study revealed that, the Ghana post and the DSW office often schedule payment days and met with the beneficiaries at their designated payment point to give beneficiaries their stipends. Once payments were done and any beneficiaries did not receive their stipends, they had to do a series of follow ups which usually were not successful. These unpaid stipends were mostly un</w:t>
      </w:r>
      <w:r w:rsidRPr="00446A7C">
        <w:rPr>
          <w:lang w:val="en-US"/>
        </w:rPr>
        <w:t>a</w:t>
      </w:r>
      <w:r w:rsidRPr="00446A7C">
        <w:t>counted for, according to the findings. However, with the introduction of digital technology, beneficiary funds are exclusively delivered through the e-zwitch system and with this, they have access to their stipends even when they miss the scheduled payment dates. They appreciated the transparency and convenience of the digital system but suggested exploring mobile money as an alternative payment method to address some of the challenges they face in receiving their stipends through the e-zwitch cards.</w:t>
      </w:r>
    </w:p>
    <w:p w14:paraId="6490C602" w14:textId="77777777" w:rsidR="00004537" w:rsidRPr="00004537" w:rsidRDefault="00004537">
      <w:pPr>
        <w:pStyle w:val="NormalWeb"/>
        <w:spacing w:before="280" w:after="280" w:line="480" w:lineRule="auto"/>
        <w:ind w:firstLine="0"/>
        <w:contextualSpacing/>
        <w:jc w:val="both"/>
        <w:rPr>
          <w:sz w:val="14"/>
          <w:szCs w:val="14"/>
        </w:rPr>
      </w:pPr>
    </w:p>
    <w:p w14:paraId="1AF0FCAB" w14:textId="77777777" w:rsidR="0008415E" w:rsidRPr="00446A7C" w:rsidRDefault="00000000">
      <w:pPr>
        <w:pStyle w:val="NormalWeb"/>
        <w:spacing w:before="280" w:after="280" w:line="480" w:lineRule="auto"/>
        <w:ind w:firstLine="0"/>
        <w:contextualSpacing/>
        <w:jc w:val="both"/>
        <w:rPr>
          <w:lang w:val="en-US"/>
        </w:rPr>
      </w:pPr>
      <w:r w:rsidRPr="00446A7C">
        <w:t xml:space="preserve">Also, the study revealed that, despite these advancements, challenges persist, such as limited access to banks and poor mobile network coverage. It was revealed that, the banks that can replace or solve card related issues were in Lawra and Wa, hence, any </w:t>
      </w:r>
      <w:r w:rsidRPr="00446A7C">
        <w:lastRenderedPageBreak/>
        <w:t>beneficiary with issues with their card had to travel at their own cost to these towns to resolve their issues. The study also found that, the management of beneficiary data and cash transfers is predominantly digital, with central administration handling data processing. This utilization of digital technology is highly beneficial, streamlining data management processes and minimizing delays. However, challenges such as duplication of data entry by enumerators underscore the need for continuous improvement in digital systems. Additionally, it was found that, LEAP programme managers lack adequate digital infrastructure, hence they require more tablets for data collection and updates, decentralised administrative activities, and improved internet connectivity to facilitate their work. These implications highlight the ongoing importance of adapting technological solutions to address emerging challenges in beneficiary targeting and management.</w:t>
      </w:r>
    </w:p>
    <w:p w14:paraId="2A19DF73" w14:textId="77777777" w:rsidR="0008415E" w:rsidRPr="00446A7C" w:rsidRDefault="00000000">
      <w:pPr>
        <w:pStyle w:val="Heading2"/>
        <w:rPr>
          <w:rFonts w:cs="Times New Roman"/>
          <w:szCs w:val="24"/>
        </w:rPr>
      </w:pPr>
      <w:bookmarkStart w:id="174" w:name="_Toc126283519"/>
      <w:bookmarkStart w:id="175" w:name="_Toc171703273"/>
      <w:r w:rsidRPr="00446A7C">
        <w:rPr>
          <w:rFonts w:cs="Times New Roman"/>
          <w:szCs w:val="24"/>
        </w:rPr>
        <w:t>5.4 Conclusions</w:t>
      </w:r>
      <w:bookmarkEnd w:id="174"/>
      <w:bookmarkEnd w:id="175"/>
    </w:p>
    <w:p w14:paraId="3D9E0283"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lang w:val="en-GB"/>
        </w:rPr>
        <w:t>The study illuminated the evolution in beneficiary identification processes within LEAP, from manual targeting of potential beneficiaries to a more systematic and digitised system such as the use of Ghana National Household Register. While these advances have streamlined the process, challenges such as exclusion errors and duplicated data entry still persist. Once beneficiaries are enro</w:t>
      </w:r>
      <w:r w:rsidRPr="00446A7C">
        <w:rPr>
          <w:rFonts w:ascii="Times New Roman" w:hAnsi="Times New Roman" w:cs="Times New Roman"/>
          <w:sz w:val="24"/>
          <w:szCs w:val="24"/>
        </w:rPr>
        <w:t>l</w:t>
      </w:r>
      <w:r w:rsidRPr="00446A7C">
        <w:rPr>
          <w:rFonts w:ascii="Times New Roman" w:hAnsi="Times New Roman" w:cs="Times New Roman"/>
          <w:sz w:val="24"/>
          <w:szCs w:val="24"/>
          <w:lang w:val="en-GB"/>
        </w:rPr>
        <w:t xml:space="preserve">led, </w:t>
      </w:r>
      <w:r w:rsidRPr="00446A7C">
        <w:rPr>
          <w:rFonts w:ascii="Times New Roman" w:hAnsi="Times New Roman" w:cs="Times New Roman"/>
          <w:sz w:val="24"/>
          <w:szCs w:val="24"/>
        </w:rPr>
        <w:t>they primarily receive cash assistance from the programme, with periodic access to National Health Insurance Scheme (NHIS) card renewals upon expiry. However, a series of challenges unveiled include delays and irregularities in stipend payments emerged as prevalent issues, causing beneficiaries undue hardships. These challenges limit the access of some LEAP beneficiaries in acquiring resources that will help them escape from poverty.</w:t>
      </w:r>
    </w:p>
    <w:p w14:paraId="71D33D38"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4FE0812F"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lastRenderedPageBreak/>
        <w:t xml:space="preserve">Beneficiaries exhibited a reasonable grasp of digital technology, with LEAP stipends predominantly disbursed through e-zwitch cards. However, network-related problems have led to extended waiting times for stipend collection. Significantly, beneficiaries reported a lack of training on the incorporation of digital technology in LEAP service delivery. Furthermore, awareness of grievance mechanisms, especially online platforms, was found to be limited. </w:t>
      </w:r>
    </w:p>
    <w:p w14:paraId="72C8BB04" w14:textId="77777777" w:rsidR="0008415E" w:rsidRPr="00004537" w:rsidRDefault="0008415E" w:rsidP="00004537">
      <w:pPr>
        <w:pStyle w:val="NoSpacing"/>
      </w:pPr>
    </w:p>
    <w:p w14:paraId="19BB8B95"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Challenges related to unrecognized fingerprints, card mishandling, inadequate digital logistics including tablets, computers, and limited bank branches as well as poor network coverage pose a threat to the effective utilization of digital technology in the programme. These challenges significantly affect the long-term implications of digital technology in the implementation of LEAP towards sustainable poverty reduction as they impact on beneficiaries’ enrolment, data management and access to funds. The potential use of mobile money as an alternative payment mode emerged as a promising avenue for improving service delivery to beneficiaries.</w:t>
      </w:r>
    </w:p>
    <w:p w14:paraId="4AE681CF" w14:textId="77777777" w:rsidR="0008415E" w:rsidRPr="00446A7C" w:rsidRDefault="00000000" w:rsidP="00004537">
      <w:pPr>
        <w:pStyle w:val="Heading2"/>
      </w:pPr>
      <w:bookmarkStart w:id="176" w:name="_Toc171703274"/>
      <w:r w:rsidRPr="00446A7C">
        <w:t>5.5 Contribution to Knowledge</w:t>
      </w:r>
      <w:bookmarkEnd w:id="176"/>
    </w:p>
    <w:p w14:paraId="393F3292"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 xml:space="preserve">This study has added to the existing body of knowledge. These contributions were based on the literature reviewed, the theories explored and the findings of the study. One vital contribution of this research aims at exploring the ways social protection programmes in this case LEAP can be enhanced through digital technology. From the literature reviewed, most studies centered on the impact analysis and the challenges faced by the LEAP programme. LEAP provides financial benefits to the beneficiaries in the country but has some operational challenges. </w:t>
      </w:r>
      <w:r w:rsidRPr="00446A7C">
        <w:rPr>
          <w:rFonts w:ascii="Times New Roman" w:hAnsi="Times New Roman" w:cs="Times New Roman"/>
          <w:sz w:val="24"/>
          <w:szCs w:val="24"/>
          <w:lang w:val="fr-FR"/>
        </w:rPr>
        <w:t xml:space="preserve">For instance, Fuseini et al. (2019), Osei &amp; Lambon (2021), Peprah et al. </w:t>
      </w:r>
      <w:r w:rsidRPr="00446A7C">
        <w:rPr>
          <w:rFonts w:ascii="Times New Roman" w:hAnsi="Times New Roman" w:cs="Times New Roman"/>
          <w:sz w:val="24"/>
          <w:szCs w:val="24"/>
        </w:rPr>
        <w:t xml:space="preserve">(2017) explored the impact of the programme whilst, Osei and Lambon (2021), Jaha and Sika Bright 2(015), Perprem (2020), Salifu and Kufoalor (2022) also examined the challenges faced by the programmes. These research was </w:t>
      </w:r>
      <w:r w:rsidRPr="00446A7C">
        <w:rPr>
          <w:rFonts w:ascii="Times New Roman" w:hAnsi="Times New Roman" w:cs="Times New Roman"/>
          <w:sz w:val="24"/>
          <w:szCs w:val="24"/>
        </w:rPr>
        <w:lastRenderedPageBreak/>
        <w:t xml:space="preserve">conducted in various parts of the country. However, it is important to look at how in this era of digitization, the programme’s challenges can be managed for long term poverty reduction through digital technology. </w:t>
      </w:r>
    </w:p>
    <w:p w14:paraId="4883E7A6" w14:textId="77777777" w:rsidR="0008415E" w:rsidRPr="00004537" w:rsidRDefault="0008415E" w:rsidP="00004537">
      <w:pPr>
        <w:pStyle w:val="NoSpacing"/>
      </w:pPr>
    </w:p>
    <w:p w14:paraId="075AB8A1"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Also, the theory of technological determinism outline that, even though digital technology can enhance the delivery of social protection programmes especially cash transfers, it highlighted the need to consider certain contextual factors such as, digital infrastructure, digital literacy, customs, and norms amongst others. The study through its findings discovered that these contextual factors hold relevance. Therefore, the MoGCSP and LEAP management officials can take into consideration these contextual factors when incorporating digital technology in the various implementation stages of the LEAP programme.</w:t>
      </w:r>
    </w:p>
    <w:p w14:paraId="3E69AC7D" w14:textId="77777777" w:rsidR="0008415E" w:rsidRPr="00004537" w:rsidRDefault="0008415E" w:rsidP="00004537">
      <w:pPr>
        <w:pStyle w:val="NoSpacing"/>
      </w:pPr>
    </w:p>
    <w:p w14:paraId="770B137E"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Another contribution of this research is that, it discovered that though the introduction of the digital payment system has tackled the issues of beneficiary cash embezzlement, there are still some challenges faced by both LEAP implementers at the district level and beneficiaries due to inadequate logistics and absence of bank branches. Hence the LEAP management officials based on the study recommendation can develop and design more efficiently policies that will counter these challenges in the long run.</w:t>
      </w:r>
    </w:p>
    <w:p w14:paraId="7EF7D20A" w14:textId="77777777" w:rsidR="0008415E" w:rsidRPr="00004537" w:rsidRDefault="0008415E" w:rsidP="00004537">
      <w:pPr>
        <w:pStyle w:val="NoSpacing"/>
      </w:pPr>
    </w:p>
    <w:p w14:paraId="0441C0D9"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In summary, this research contributes to the body of knowledge by providing a nuanced understanding of the role of digital technology in enhancing the leap programme towards sustainable poverty reduction. Offering insights into the integration of digital technology, and suggesting practical strategies for enhancing programme efficiency and inclusivity. These contributions can inform the design and implementation of social protection programmes globally, fostering more effective poverty reduction initiatives.</w:t>
      </w:r>
    </w:p>
    <w:p w14:paraId="698FF801" w14:textId="77777777" w:rsidR="0008415E" w:rsidRPr="00446A7C" w:rsidRDefault="00000000">
      <w:pPr>
        <w:pStyle w:val="Heading2"/>
        <w:rPr>
          <w:rFonts w:cs="Times New Roman"/>
          <w:szCs w:val="24"/>
        </w:rPr>
      </w:pPr>
      <w:bookmarkStart w:id="177" w:name="_Toc171703275"/>
      <w:r w:rsidRPr="00446A7C">
        <w:rPr>
          <w:rFonts w:cs="Times New Roman"/>
          <w:szCs w:val="24"/>
        </w:rPr>
        <w:lastRenderedPageBreak/>
        <w:t>5.6 Recommendations</w:t>
      </w:r>
      <w:bookmarkEnd w:id="177"/>
    </w:p>
    <w:p w14:paraId="532A40E3"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The following recommendations should be considered to enhance the LEAP as a social protection intervention through digital technology. The recommendation put forth are based on the findings of the study.</w:t>
      </w:r>
    </w:p>
    <w:p w14:paraId="17082E57" w14:textId="77777777" w:rsidR="0008415E" w:rsidRDefault="00000000">
      <w:pPr>
        <w:pStyle w:val="NormalWeb"/>
        <w:spacing w:before="280" w:after="280" w:line="480" w:lineRule="auto"/>
        <w:ind w:firstLine="0"/>
        <w:contextualSpacing/>
        <w:jc w:val="both"/>
      </w:pPr>
      <w:r w:rsidRPr="00446A7C">
        <w:t>Firstly, transparent systems with regular updates on payment schedules should be put in to ensure financial stability for beneficiaries. This is because, efficient payment processes are vital for the LEAP programme inasmuch as they help reduce delays and uncertainty in fund disbursement. Also, with regards to access to LEAP service, the programme managers should put in place an improved communication channel between programme administrators and beneficiaries to address concerns and provide support. Digital platforms can serve as valuable tools for effectively disseminating information on enrolment, payments, and programme updates.</w:t>
      </w:r>
    </w:p>
    <w:p w14:paraId="009FFAD0" w14:textId="77777777" w:rsidR="00004537" w:rsidRPr="00004537" w:rsidRDefault="00004537">
      <w:pPr>
        <w:pStyle w:val="NormalWeb"/>
        <w:spacing w:before="280" w:after="280" w:line="480" w:lineRule="auto"/>
        <w:ind w:firstLine="0"/>
        <w:contextualSpacing/>
        <w:jc w:val="both"/>
        <w:rPr>
          <w:sz w:val="18"/>
          <w:szCs w:val="18"/>
        </w:rPr>
      </w:pPr>
    </w:p>
    <w:p w14:paraId="3AA272B8" w14:textId="77777777" w:rsidR="0008415E" w:rsidRDefault="00000000">
      <w:pPr>
        <w:pStyle w:val="NormalWeb"/>
        <w:spacing w:before="280" w:after="280" w:line="480" w:lineRule="auto"/>
        <w:ind w:firstLine="0"/>
        <w:contextualSpacing/>
        <w:jc w:val="both"/>
        <w:rPr>
          <w:lang w:val="en-US"/>
        </w:rPr>
      </w:pPr>
      <w:r w:rsidRPr="00446A7C">
        <w:rPr>
          <w:lang w:val="en-US"/>
        </w:rPr>
        <w:t>Secondly, the LEAP programme managers should consider integrating mobile money and other payment platforms as an alternative payment method to tackle issues like network connectivity, fingerprint challenges and e-zwitch card issues. LEAP officials should also regularly evaluate the effectiveness of the digital payment system and the satisfaction levels of beneficiaries.</w:t>
      </w:r>
    </w:p>
    <w:p w14:paraId="7248C7E2" w14:textId="77777777" w:rsidR="00004537" w:rsidRPr="00004537" w:rsidRDefault="00004537">
      <w:pPr>
        <w:pStyle w:val="NormalWeb"/>
        <w:spacing w:before="280" w:after="280" w:line="480" w:lineRule="auto"/>
        <w:ind w:firstLine="0"/>
        <w:contextualSpacing/>
        <w:jc w:val="both"/>
        <w:rPr>
          <w:sz w:val="18"/>
          <w:szCs w:val="18"/>
          <w:lang w:val="en-US"/>
        </w:rPr>
      </w:pPr>
    </w:p>
    <w:p w14:paraId="7D5A7757" w14:textId="77777777" w:rsidR="0008415E" w:rsidRDefault="00000000">
      <w:pPr>
        <w:pStyle w:val="NormalWeb"/>
        <w:spacing w:before="280" w:after="280" w:line="480" w:lineRule="auto"/>
        <w:ind w:firstLine="0"/>
        <w:contextualSpacing/>
        <w:jc w:val="both"/>
        <w:rPr>
          <w:lang w:val="en-US"/>
        </w:rPr>
      </w:pPr>
      <w:r w:rsidRPr="00446A7C">
        <w:rPr>
          <w:lang w:val="en-US"/>
        </w:rPr>
        <w:t xml:space="preserve">Lastly, the LEAP management should also in consultation with the banks decentralize the bank branches in Nandom District to enable beneficiaries resolves any issues with their e-zwitch cards. For now, beneficiaries must travel far distances to Wa or Lawra to resolve card related problems. </w:t>
      </w:r>
    </w:p>
    <w:p w14:paraId="75E195A7" w14:textId="77777777" w:rsidR="00EA1209" w:rsidRPr="00446A7C" w:rsidRDefault="00EA1209" w:rsidP="00EA1209">
      <w:pPr>
        <w:pStyle w:val="NoSpacing"/>
      </w:pPr>
    </w:p>
    <w:p w14:paraId="12A13932" w14:textId="473AD62E" w:rsidR="0008415E" w:rsidRPr="00446A7C" w:rsidRDefault="00000000">
      <w:pPr>
        <w:pStyle w:val="NormalWeb"/>
        <w:spacing w:before="280" w:after="280" w:line="480" w:lineRule="auto"/>
        <w:ind w:firstLine="0"/>
        <w:contextualSpacing/>
        <w:jc w:val="both"/>
        <w:rPr>
          <w:lang w:val="en-US"/>
        </w:rPr>
      </w:pPr>
      <w:r w:rsidRPr="00446A7C">
        <w:rPr>
          <w:lang w:val="en-US"/>
        </w:rPr>
        <w:lastRenderedPageBreak/>
        <w:t>These recommendations aim to optimize the use of digital technology in the LEAP programme, ensuring fair access to benefits and enhancing overall programme efficiency. By tackling the challenges identified in this study, the LEAP programme can better achieve its goal of reducing poverty and providing social protection in Ghana.</w:t>
      </w:r>
    </w:p>
    <w:p w14:paraId="4E1BFEEB" w14:textId="77777777" w:rsidR="0008415E" w:rsidRPr="00446A7C" w:rsidRDefault="00000000" w:rsidP="00004537">
      <w:pPr>
        <w:pStyle w:val="Heading2"/>
      </w:pPr>
      <w:bookmarkStart w:id="178" w:name="_Toc126283523"/>
      <w:bookmarkStart w:id="179" w:name="_Toc171703276"/>
      <w:r w:rsidRPr="00446A7C">
        <w:t xml:space="preserve">5.7 </w:t>
      </w:r>
      <w:r w:rsidRPr="00004537">
        <w:t>Suggestions</w:t>
      </w:r>
      <w:r w:rsidRPr="00446A7C">
        <w:t xml:space="preserve"> for Further Research</w:t>
      </w:r>
      <w:bookmarkEnd w:id="178"/>
      <w:bookmarkEnd w:id="179"/>
    </w:p>
    <w:p w14:paraId="230F495A" w14:textId="77777777" w:rsidR="0008415E" w:rsidRPr="00446A7C" w:rsidRDefault="00000000">
      <w:pPr>
        <w:pStyle w:val="NoSpacing"/>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The study's findings, conclusions, and limitations indicate that additional investigation is required in several areas. There is the need to examine:</w:t>
      </w:r>
    </w:p>
    <w:p w14:paraId="1C7DBC38" w14:textId="77777777" w:rsidR="0008415E" w:rsidRPr="00446A7C" w:rsidRDefault="00000000" w:rsidP="00004537">
      <w:pPr>
        <w:pStyle w:val="NoSpacing"/>
        <w:numPr>
          <w:ilvl w:val="0"/>
          <w:numId w:val="21"/>
        </w:numPr>
        <w:spacing w:line="480" w:lineRule="auto"/>
        <w:contextualSpacing/>
        <w:jc w:val="both"/>
        <w:rPr>
          <w:rFonts w:ascii="Times New Roman" w:hAnsi="Times New Roman" w:cs="Times New Roman"/>
          <w:sz w:val="24"/>
          <w:szCs w:val="24"/>
        </w:rPr>
      </w:pPr>
      <w:r w:rsidRPr="00446A7C">
        <w:rPr>
          <w:rFonts w:ascii="Times New Roman" w:hAnsi="Times New Roman" w:cs="Times New Roman"/>
          <w:sz w:val="24"/>
          <w:szCs w:val="24"/>
        </w:rPr>
        <w:t>The challenges in using digital technology in the delivery of the LEAP programme comparing rural and urban areas.</w:t>
      </w:r>
    </w:p>
    <w:p w14:paraId="1EAA5E80" w14:textId="77777777" w:rsidR="0008415E" w:rsidRPr="00446A7C" w:rsidRDefault="00000000" w:rsidP="00004537">
      <w:pPr>
        <w:pStyle w:val="NoSpacing"/>
        <w:numPr>
          <w:ilvl w:val="0"/>
          <w:numId w:val="21"/>
        </w:numPr>
        <w:spacing w:line="480" w:lineRule="auto"/>
        <w:contextualSpacing/>
        <w:jc w:val="both"/>
        <w:rPr>
          <w:rFonts w:ascii="Times New Roman" w:hAnsi="Times New Roman" w:cs="Times New Roman"/>
          <w:sz w:val="24"/>
          <w:szCs w:val="24"/>
        </w:rPr>
      </w:pPr>
      <w:bookmarkStart w:id="180" w:name="_Hlk108134190"/>
      <w:r w:rsidRPr="00446A7C">
        <w:rPr>
          <w:rFonts w:ascii="Times New Roman" w:hAnsi="Times New Roman" w:cs="Times New Roman"/>
          <w:sz w:val="24"/>
          <w:szCs w:val="24"/>
        </w:rPr>
        <w:t>The grievance redress mechanism of the LEAP programme</w:t>
      </w:r>
      <w:bookmarkEnd w:id="180"/>
      <w:r w:rsidRPr="00446A7C">
        <w:rPr>
          <w:rFonts w:ascii="Times New Roman" w:hAnsi="Times New Roman" w:cs="Times New Roman"/>
          <w:sz w:val="24"/>
          <w:szCs w:val="24"/>
        </w:rPr>
        <w:t>.</w:t>
      </w:r>
    </w:p>
    <w:p w14:paraId="08F82A26"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33759885"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4169004E"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743D8FF1"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78C8080F"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2CEA1CDD"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2C62160A"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49F4499C"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3BB8C68E"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3AA60A1B"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0EDE8374" w14:textId="77777777" w:rsidR="0008415E" w:rsidRDefault="0008415E">
      <w:pPr>
        <w:pStyle w:val="NoSpacing"/>
        <w:spacing w:line="480" w:lineRule="auto"/>
        <w:contextualSpacing/>
        <w:jc w:val="both"/>
        <w:rPr>
          <w:rFonts w:ascii="Times New Roman" w:hAnsi="Times New Roman" w:cs="Times New Roman"/>
          <w:sz w:val="24"/>
          <w:szCs w:val="24"/>
        </w:rPr>
      </w:pPr>
    </w:p>
    <w:p w14:paraId="20FF42F0" w14:textId="77777777" w:rsidR="00004537" w:rsidRDefault="00004537">
      <w:pPr>
        <w:pStyle w:val="NoSpacing"/>
        <w:spacing w:line="480" w:lineRule="auto"/>
        <w:contextualSpacing/>
        <w:jc w:val="both"/>
        <w:rPr>
          <w:rFonts w:ascii="Times New Roman" w:hAnsi="Times New Roman" w:cs="Times New Roman"/>
          <w:sz w:val="24"/>
          <w:szCs w:val="24"/>
        </w:rPr>
      </w:pPr>
    </w:p>
    <w:p w14:paraId="541A270B" w14:textId="77777777" w:rsidR="00004537" w:rsidRPr="00446A7C" w:rsidRDefault="00004537">
      <w:pPr>
        <w:pStyle w:val="NoSpacing"/>
        <w:spacing w:line="480" w:lineRule="auto"/>
        <w:contextualSpacing/>
        <w:jc w:val="both"/>
        <w:rPr>
          <w:rFonts w:ascii="Times New Roman" w:hAnsi="Times New Roman" w:cs="Times New Roman"/>
          <w:sz w:val="24"/>
          <w:szCs w:val="24"/>
        </w:rPr>
      </w:pPr>
    </w:p>
    <w:p w14:paraId="0965C439"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20257256" w14:textId="77777777" w:rsidR="0008415E" w:rsidRPr="00446A7C" w:rsidRDefault="0008415E">
      <w:pPr>
        <w:pStyle w:val="NoSpacing"/>
        <w:spacing w:line="480" w:lineRule="auto"/>
        <w:contextualSpacing/>
        <w:jc w:val="both"/>
        <w:rPr>
          <w:rFonts w:ascii="Times New Roman" w:hAnsi="Times New Roman" w:cs="Times New Roman"/>
          <w:sz w:val="24"/>
          <w:szCs w:val="24"/>
        </w:rPr>
      </w:pPr>
    </w:p>
    <w:p w14:paraId="57A0067C" w14:textId="77777777" w:rsidR="0008415E" w:rsidRPr="00446A7C" w:rsidRDefault="00000000" w:rsidP="00004537">
      <w:pPr>
        <w:pStyle w:val="Heading1"/>
      </w:pPr>
      <w:bookmarkStart w:id="181" w:name="_Toc171703277"/>
      <w:r w:rsidRPr="00004537">
        <w:lastRenderedPageBreak/>
        <w:t>REFERENCES</w:t>
      </w:r>
      <w:bookmarkEnd w:id="181"/>
    </w:p>
    <w:p w14:paraId="3125BA8F"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Abbey, C. O., Odonkor, E., &amp; Boateng, D. (2014). A beneficiary assessment of Ghana’s cash transfer Programme (LEAP) in May 2014. </w:t>
      </w:r>
      <w:r w:rsidRPr="00446A7C">
        <w:rPr>
          <w:rFonts w:eastAsia="Calibri" w:cs="Times New Roman"/>
          <w:i/>
          <w:iCs/>
          <w:szCs w:val="24"/>
          <w:lang w:val="en-US"/>
        </w:rPr>
        <w:t>Accra: African Dev. Progr</w:t>
      </w:r>
      <w:r w:rsidRPr="00446A7C">
        <w:rPr>
          <w:rFonts w:eastAsia="Calibri" w:cs="Times New Roman"/>
          <w:szCs w:val="24"/>
          <w:lang w:val="en-US"/>
        </w:rPr>
        <w:t>.</w:t>
      </w:r>
    </w:p>
    <w:p w14:paraId="0F72CEED"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Adaboh, A. A. (2022). </w:t>
      </w:r>
      <w:r w:rsidRPr="00446A7C">
        <w:rPr>
          <w:rFonts w:eastAsia="Calibri" w:cs="Times New Roman"/>
          <w:i/>
          <w:iCs/>
          <w:szCs w:val="24"/>
          <w:lang w:val="en-US"/>
        </w:rPr>
        <w:t>Social Protection Programs in Ghana: A Study of LEAP</w:t>
      </w:r>
      <w:r w:rsidRPr="00446A7C">
        <w:rPr>
          <w:rFonts w:eastAsia="Calibri" w:cs="Times New Roman"/>
          <w:szCs w:val="24"/>
          <w:lang w:val="en-US"/>
        </w:rPr>
        <w:t> (Doctoral dissertation, Brandeis University, The Heller School for Social Policy, and Management).</w:t>
      </w:r>
    </w:p>
    <w:p w14:paraId="42791EC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Adato, M., &amp; Roopnaraine, T. (2014). Women's empowerment revisited: A review of concepts and indicators. </w:t>
      </w:r>
      <w:r w:rsidRPr="00446A7C">
        <w:rPr>
          <w:rFonts w:eastAsia="Calibri" w:cs="Times New Roman"/>
          <w:i/>
          <w:iCs/>
          <w:szCs w:val="24"/>
        </w:rPr>
        <w:t>The World Bank Research Observer</w:t>
      </w:r>
      <w:r w:rsidRPr="00446A7C">
        <w:rPr>
          <w:rFonts w:eastAsia="Calibri" w:cs="Times New Roman"/>
          <w:szCs w:val="24"/>
        </w:rPr>
        <w:t xml:space="preserve">, 29(1), 56-83. </w:t>
      </w:r>
    </w:p>
    <w:p w14:paraId="3B9FB45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      ADB. (2014a). </w:t>
      </w:r>
      <w:r w:rsidRPr="00446A7C">
        <w:rPr>
          <w:rFonts w:eastAsia="Calibri" w:cs="Times New Roman"/>
          <w:i/>
          <w:iCs/>
          <w:szCs w:val="24"/>
        </w:rPr>
        <w:t>Promoting Information and Communication Technology in ADB Operations</w:t>
      </w:r>
      <w:r w:rsidRPr="00446A7C">
        <w:rPr>
          <w:rFonts w:eastAsia="Calibri" w:cs="Times New Roman"/>
          <w:szCs w:val="24"/>
        </w:rPr>
        <w:t>. Manila Addaney, M. (2018). The African union’s agenda 2063: education and its realization. Education Law,</w:t>
      </w:r>
      <w:r w:rsidRPr="00446A7C">
        <w:rPr>
          <w:rFonts w:eastAsia="Calibri" w:cs="Times New Roman"/>
          <w:i/>
          <w:iCs/>
          <w:szCs w:val="24"/>
        </w:rPr>
        <w:t xml:space="preserve"> Strategic Policy and Sustainable Development in Africa</w:t>
      </w:r>
      <w:r w:rsidRPr="00446A7C">
        <w:rPr>
          <w:rFonts w:eastAsia="Calibri" w:cs="Times New Roman"/>
          <w:szCs w:val="24"/>
        </w:rPr>
        <w:t xml:space="preserve">: Agenda 2063, 181-197. </w:t>
      </w:r>
    </w:p>
    <w:p w14:paraId="78D5DF2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            Adger, W. N. (2006). Vulnerability. </w:t>
      </w:r>
      <w:r w:rsidRPr="00446A7C">
        <w:rPr>
          <w:rFonts w:eastAsia="Calibri" w:cs="Times New Roman"/>
          <w:i/>
          <w:iCs/>
          <w:szCs w:val="24"/>
        </w:rPr>
        <w:t>Global environmental change</w:t>
      </w:r>
      <w:r w:rsidRPr="00446A7C">
        <w:rPr>
          <w:rFonts w:eastAsia="Calibri" w:cs="Times New Roman"/>
          <w:szCs w:val="24"/>
        </w:rPr>
        <w:t xml:space="preserve">, 16(3), 268-281. </w:t>
      </w:r>
    </w:p>
    <w:p w14:paraId="3FDE661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Adjei, P. O. W., Adjei, J. O., &amp; Serbeh, R. (2020). Looking beyond cash transfers for optimizing poverty reduction and livelihood sustainability in rural Ghana: Comparative analysis of two social policy interventions against poverty. </w:t>
      </w:r>
      <w:r w:rsidRPr="00446A7C">
        <w:rPr>
          <w:rFonts w:eastAsia="Calibri" w:cs="Times New Roman"/>
          <w:i/>
          <w:iCs/>
          <w:szCs w:val="24"/>
        </w:rPr>
        <w:t>Poverty &amp; Public Policy</w:t>
      </w:r>
      <w:r w:rsidRPr="00446A7C">
        <w:rPr>
          <w:rFonts w:eastAsia="Calibri" w:cs="Times New Roman"/>
          <w:szCs w:val="24"/>
        </w:rPr>
        <w:t xml:space="preserve">, 12(1), 84-111. </w:t>
      </w:r>
    </w:p>
    <w:p w14:paraId="520007BA"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 xml:space="preserve">Admore, T. M. (2011). Livelihood Strategies of the Aged People in Mubaira Community (Unpublished PhD dissertation). </w:t>
      </w:r>
      <w:r w:rsidRPr="00446A7C">
        <w:rPr>
          <w:rFonts w:eastAsia="Calibri" w:cs="Times New Roman"/>
          <w:i/>
          <w:iCs/>
          <w:szCs w:val="24"/>
          <w:lang w:val="en-US"/>
        </w:rPr>
        <w:t>University of Fort Hare</w:t>
      </w:r>
      <w:r w:rsidRPr="00446A7C">
        <w:rPr>
          <w:rFonts w:eastAsia="Calibri" w:cs="Times New Roman"/>
          <w:szCs w:val="24"/>
          <w:lang w:val="en-US"/>
        </w:rPr>
        <w:t xml:space="preserve">, Zimbabwe.  </w:t>
      </w:r>
    </w:p>
    <w:p w14:paraId="6635565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 African Union. (2015). Agenda 2063: </w:t>
      </w:r>
      <w:r w:rsidRPr="00446A7C">
        <w:rPr>
          <w:rFonts w:eastAsia="Calibri" w:cs="Times New Roman"/>
          <w:i/>
          <w:iCs/>
          <w:szCs w:val="24"/>
        </w:rPr>
        <w:t>The Africa we want</w:t>
      </w:r>
      <w:r w:rsidRPr="00446A7C">
        <w:rPr>
          <w:rFonts w:eastAsia="Calibri" w:cs="Times New Roman"/>
          <w:szCs w:val="24"/>
        </w:rPr>
        <w:t xml:space="preserve"> - Background Note. 1–20.  </w:t>
      </w:r>
    </w:p>
    <w:p w14:paraId="273D42E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Agarwal, R. (2018). Technology, Digital Empowerment, and Inclusive Growth. Journal of Management Studies, 55(7), 1407-1424. </w:t>
      </w:r>
    </w:p>
    <w:p w14:paraId="743CA42E"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Agarwal, S. (2013). Effective Grievance Redress Mechanisms.</w:t>
      </w:r>
      <w:r w:rsidRPr="00446A7C">
        <w:rPr>
          <w:rFonts w:eastAsia="Calibri" w:cs="Times New Roman"/>
          <w:b/>
          <w:bCs/>
          <w:color w:val="FF6600"/>
          <w:szCs w:val="24"/>
          <w:lang w:val="en-US"/>
        </w:rPr>
        <w:t xml:space="preserve"> </w:t>
      </w:r>
      <w:r w:rsidRPr="00446A7C">
        <w:rPr>
          <w:rFonts w:eastAsia="Calibri" w:cs="Times New Roman"/>
          <w:i/>
          <w:iCs/>
          <w:szCs w:val="24"/>
          <w:lang w:val="en-US"/>
        </w:rPr>
        <w:t>Social Development Department.</w:t>
      </w:r>
      <w:r w:rsidRPr="00446A7C">
        <w:rPr>
          <w:rFonts w:eastAsia="Calibri" w:cs="Times New Roman"/>
          <w:i/>
          <w:iCs/>
          <w:color w:val="FFFFFF"/>
          <w:szCs w:val="24"/>
          <w:lang w:val="en-US"/>
        </w:rPr>
        <w:t xml:space="preserve"> </w:t>
      </w:r>
      <w:r w:rsidRPr="00446A7C">
        <w:rPr>
          <w:rFonts w:eastAsia="Calibri" w:cs="Times New Roman"/>
          <w:i/>
          <w:iCs/>
          <w:szCs w:val="24"/>
          <w:lang w:val="en-US"/>
        </w:rPr>
        <w:t>Washington DC</w:t>
      </w:r>
    </w:p>
    <w:p w14:paraId="55737A1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Agbaam, C., &amp; Dinbabo, M. F. (2014). Social grants and poverty reduction at the household level: Empirical evidence from Ghana. </w:t>
      </w:r>
      <w:r w:rsidRPr="00446A7C">
        <w:rPr>
          <w:rFonts w:eastAsia="Calibri" w:cs="Times New Roman"/>
          <w:i/>
          <w:iCs/>
          <w:szCs w:val="24"/>
          <w:lang w:val="en-US"/>
        </w:rPr>
        <w:t>Journal of Social Sciences</w:t>
      </w:r>
      <w:r w:rsidRPr="00446A7C">
        <w:rPr>
          <w:rFonts w:eastAsia="Calibri" w:cs="Times New Roman"/>
          <w:szCs w:val="24"/>
          <w:lang w:val="en-US"/>
        </w:rPr>
        <w:t>, 39(3), 293-302.</w:t>
      </w:r>
    </w:p>
    <w:p w14:paraId="4A2078A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Ahmed, M., Masud, M. M., &amp; Chowdhury, M. A. (2020). Exploring Beneficiary Perception towards the Efficiency of Social Protection Programmes: A Study on the Old Age Allowance Programme in Bangladesh. </w:t>
      </w:r>
      <w:r w:rsidRPr="00446A7C">
        <w:rPr>
          <w:rFonts w:eastAsia="Calibri" w:cs="Times New Roman"/>
          <w:i/>
          <w:iCs/>
          <w:szCs w:val="24"/>
        </w:rPr>
        <w:t>Journal of Poverty and Social Justice</w:t>
      </w:r>
      <w:r w:rsidRPr="00446A7C">
        <w:rPr>
          <w:rFonts w:eastAsia="Calibri" w:cs="Times New Roman"/>
          <w:szCs w:val="24"/>
        </w:rPr>
        <w:t xml:space="preserve">, 28(1), 63-78. </w:t>
      </w:r>
    </w:p>
    <w:p w14:paraId="5AC2BCB8"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Aker, J. C., &amp; Mbiti, I. M. (2010). Mobile phones and economic development in Africa. </w:t>
      </w:r>
      <w:r w:rsidRPr="00446A7C">
        <w:rPr>
          <w:rFonts w:eastAsia="Calibri" w:cs="Times New Roman"/>
          <w:i/>
          <w:iCs/>
          <w:szCs w:val="24"/>
        </w:rPr>
        <w:t>Journal of Economic Perspectives,</w:t>
      </w:r>
      <w:r w:rsidRPr="00446A7C">
        <w:rPr>
          <w:rFonts w:eastAsia="Calibri" w:cs="Times New Roman"/>
          <w:szCs w:val="24"/>
        </w:rPr>
        <w:t xml:space="preserve"> 24(3), 207-232. </w:t>
      </w:r>
    </w:p>
    <w:p w14:paraId="7BCED54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Alkire, S. (2007). Choosing dimensions: the capability approach and multidimensional poverty. </w:t>
      </w:r>
      <w:r w:rsidRPr="00446A7C">
        <w:rPr>
          <w:rFonts w:eastAsia="Calibri" w:cs="Times New Roman"/>
          <w:i/>
          <w:iCs/>
          <w:szCs w:val="24"/>
        </w:rPr>
        <w:t>Oxford Poverty &amp; Human Development Initiative.</w:t>
      </w:r>
      <w:r w:rsidRPr="00446A7C">
        <w:rPr>
          <w:rFonts w:eastAsia="Calibri" w:cs="Times New Roman"/>
          <w:szCs w:val="24"/>
        </w:rPr>
        <w:t xml:space="preserve"> (CPRC Working Paper 88). </w:t>
      </w:r>
    </w:p>
    <w:p w14:paraId="48D9F1D8"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Alkire, S., &amp; Foster, J. E. (2009). Counting and multidimensional poverty Measurement [OPHI Working Paper No. 32] (Revised and Updated). </w:t>
      </w:r>
      <w:r w:rsidRPr="00446A7C">
        <w:rPr>
          <w:rFonts w:eastAsia="Calibri" w:cs="Times New Roman"/>
          <w:i/>
          <w:iCs/>
          <w:szCs w:val="24"/>
        </w:rPr>
        <w:t>University of Oxford</w:t>
      </w:r>
      <w:r w:rsidRPr="00446A7C">
        <w:rPr>
          <w:rFonts w:eastAsia="Calibri" w:cs="Times New Roman"/>
          <w:szCs w:val="24"/>
        </w:rPr>
        <w:t xml:space="preserve">.  </w:t>
      </w:r>
    </w:p>
    <w:p w14:paraId="6C1FC38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Alkire, S., &amp; Santos, M. E. (2010). Acute Multidimensional Poverty</w:t>
      </w:r>
      <w:r w:rsidRPr="00446A7C">
        <w:rPr>
          <w:rFonts w:eastAsia="Calibri" w:cs="Times New Roman"/>
          <w:i/>
          <w:iCs/>
          <w:szCs w:val="24"/>
        </w:rPr>
        <w:t>: A New Index for Developing Countries.</w:t>
      </w:r>
      <w:r w:rsidRPr="00446A7C">
        <w:rPr>
          <w:rFonts w:eastAsia="Calibri" w:cs="Times New Roman"/>
          <w:szCs w:val="24"/>
        </w:rPr>
        <w:t xml:space="preserve"> OPHI Working Paper No. 38. Retrieved from Oxford Poverty and Human Development Initiative website: https://ophi.org.uk/wp-content/uploads/OphiWP038.pdf </w:t>
      </w:r>
    </w:p>
    <w:p w14:paraId="199C3C7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Alkire, S., Kanagaratnam, U., &amp; Suppa, N. (2023). The global Multidimensional Poverty Index (MPI) 2023 country results and methodological note.</w:t>
      </w:r>
    </w:p>
    <w:p w14:paraId="19C8DDAE"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Anderson, L., &amp; Patel, S. (2021). Equity in Poverty Alleviation Programmes: Strategies for Achieving Fair Resource Distribution. </w:t>
      </w:r>
      <w:r w:rsidRPr="00446A7C">
        <w:rPr>
          <w:rFonts w:eastAsia="Calibri" w:cs="Times New Roman"/>
          <w:i/>
          <w:iCs/>
          <w:szCs w:val="24"/>
        </w:rPr>
        <w:t>International Journal of Development Studies</w:t>
      </w:r>
      <w:r w:rsidRPr="00446A7C">
        <w:rPr>
          <w:rFonts w:eastAsia="Calibri" w:cs="Times New Roman"/>
          <w:szCs w:val="24"/>
        </w:rPr>
        <w:t xml:space="preserve">, 18(2), 215-230. Approaches. USA: SAGE Publications. </w:t>
      </w:r>
    </w:p>
    <w:p w14:paraId="49ED090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Araujo, M. C., &amp; Bosch, M. (2019). The impact of Peru's Juntos program on consumption, investment, and monetary poverty. </w:t>
      </w:r>
      <w:r w:rsidRPr="00446A7C">
        <w:rPr>
          <w:rFonts w:eastAsia="Calibri" w:cs="Times New Roman"/>
          <w:i/>
          <w:iCs/>
          <w:szCs w:val="24"/>
        </w:rPr>
        <w:t>The Journal of Development Studies</w:t>
      </w:r>
      <w:r w:rsidRPr="00446A7C">
        <w:rPr>
          <w:rFonts w:eastAsia="Calibri" w:cs="Times New Roman"/>
          <w:szCs w:val="24"/>
        </w:rPr>
        <w:t xml:space="preserve">, 55(7), 1459-1476. </w:t>
      </w:r>
    </w:p>
    <w:p w14:paraId="257FD01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Arnavut, A., Bicen, H., &amp; Nuri, C. (2019). Students’ approaches to massive open online courses: the case of Khan Academy. </w:t>
      </w:r>
      <w:r w:rsidRPr="00446A7C">
        <w:rPr>
          <w:rFonts w:eastAsia="Calibri" w:cs="Times New Roman"/>
          <w:i/>
          <w:iCs/>
          <w:szCs w:val="24"/>
          <w:lang w:val="en-US"/>
        </w:rPr>
        <w:t>BRAIN. Broad Research in Artificial Intelligence and Neuroscience</w:t>
      </w:r>
      <w:r w:rsidRPr="00446A7C">
        <w:rPr>
          <w:rFonts w:eastAsia="Calibri" w:cs="Times New Roman"/>
          <w:szCs w:val="24"/>
          <w:lang w:val="en-US"/>
        </w:rPr>
        <w:t>, </w:t>
      </w:r>
      <w:r w:rsidRPr="00446A7C">
        <w:rPr>
          <w:rFonts w:eastAsia="Calibri" w:cs="Times New Roman"/>
          <w:i/>
          <w:iCs/>
          <w:szCs w:val="24"/>
          <w:lang w:val="en-US"/>
        </w:rPr>
        <w:t>10</w:t>
      </w:r>
      <w:r w:rsidRPr="00446A7C">
        <w:rPr>
          <w:rFonts w:eastAsia="Calibri" w:cs="Times New Roman"/>
          <w:szCs w:val="24"/>
          <w:lang w:val="en-US"/>
        </w:rPr>
        <w:t>(1), 82-90.</w:t>
      </w:r>
    </w:p>
    <w:p w14:paraId="335FFDC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Avis, W. (2020). Coping mechanisms in South Sudan in relation to different types of shock. </w:t>
      </w:r>
      <w:r w:rsidRPr="00446A7C">
        <w:rPr>
          <w:rFonts w:eastAsia="Calibri" w:cs="Times New Roman"/>
          <w:i/>
          <w:iCs/>
          <w:szCs w:val="24"/>
          <w:lang w:val="en-US"/>
        </w:rPr>
        <w:t>United Kingdom: K4D helpdesk service</w:t>
      </w:r>
      <w:r w:rsidRPr="00446A7C">
        <w:rPr>
          <w:rFonts w:eastAsia="Calibri" w:cs="Times New Roman"/>
          <w:szCs w:val="24"/>
          <w:lang w:val="en-US"/>
        </w:rPr>
        <w:t>.</w:t>
      </w:r>
    </w:p>
    <w:p w14:paraId="049827F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Ayliffe, T., Aslam, G., &amp; Schjodt, R. (2017). Social Accountability in the Delivery of Social Protection Final Research Report.  </w:t>
      </w:r>
    </w:p>
    <w:p w14:paraId="5C430D8B"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 xml:space="preserve">Ayodeji, O. O. (2015). Understanding the complexity of factors which influence livelihoods of the urban Poor in Lagos’ Informal Settlements. (Unpublished PhD dissertation). </w:t>
      </w:r>
      <w:r w:rsidRPr="00446A7C">
        <w:rPr>
          <w:rFonts w:eastAsia="Calibri" w:cs="Times New Roman"/>
          <w:i/>
          <w:iCs/>
          <w:szCs w:val="24"/>
          <w:lang w:val="en-US"/>
        </w:rPr>
        <w:t>Newcastle University</w:t>
      </w:r>
      <w:r w:rsidRPr="00446A7C">
        <w:rPr>
          <w:rFonts w:eastAsia="Calibri" w:cs="Times New Roman"/>
          <w:szCs w:val="24"/>
          <w:lang w:val="en-US"/>
        </w:rPr>
        <w:t>, England.</w:t>
      </w:r>
    </w:p>
    <w:p w14:paraId="136B784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Azad, A. (2018). Best Practices and Recommendations Grievance Redress Mechanisms in Cash Transfer Programmes: </w:t>
      </w:r>
      <w:r w:rsidRPr="00446A7C">
        <w:rPr>
          <w:rFonts w:eastAsia="Calibri" w:cs="Times New Roman"/>
          <w:i/>
          <w:iCs/>
          <w:szCs w:val="24"/>
        </w:rPr>
        <w:t xml:space="preserve">Social Protection Policy Paper </w:t>
      </w:r>
      <w:r w:rsidRPr="00446A7C">
        <w:rPr>
          <w:rFonts w:eastAsia="Calibri" w:cs="Times New Roman"/>
          <w:szCs w:val="24"/>
        </w:rPr>
        <w:t xml:space="preserve">- 3, 2014, 1–12. </w:t>
      </w:r>
    </w:p>
    <w:p w14:paraId="1CF1C2B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lastRenderedPageBreak/>
        <w:t>Baird, S. J., Garfein, R. S., McIntosh, C. T., &amp; Özler, B. (2012). Effect of a cash transfer programme for schooling on prevalence of HIV and herpes simplex type 2 in Malawi: a cluster randomised trial. </w:t>
      </w:r>
      <w:r w:rsidRPr="00446A7C">
        <w:rPr>
          <w:rFonts w:eastAsia="Calibri" w:cs="Times New Roman"/>
          <w:i/>
          <w:iCs/>
          <w:szCs w:val="24"/>
          <w:lang w:val="en-US"/>
        </w:rPr>
        <w:t>The Lancet</w:t>
      </w:r>
      <w:r w:rsidRPr="00446A7C">
        <w:rPr>
          <w:rFonts w:eastAsia="Calibri" w:cs="Times New Roman"/>
          <w:szCs w:val="24"/>
          <w:lang w:val="en-US"/>
        </w:rPr>
        <w:t>, </w:t>
      </w:r>
      <w:r w:rsidRPr="00446A7C">
        <w:rPr>
          <w:rFonts w:eastAsia="Calibri" w:cs="Times New Roman"/>
          <w:i/>
          <w:iCs/>
          <w:szCs w:val="24"/>
          <w:lang w:val="en-US"/>
        </w:rPr>
        <w:t>379</w:t>
      </w:r>
      <w:r w:rsidRPr="00446A7C">
        <w:rPr>
          <w:rFonts w:eastAsia="Calibri" w:cs="Times New Roman"/>
          <w:szCs w:val="24"/>
          <w:lang w:val="en-US"/>
        </w:rPr>
        <w:t>(9823), 1320-1329.</w:t>
      </w:r>
    </w:p>
    <w:p w14:paraId="01C6A8B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Barca, V. (2016). </w:t>
      </w:r>
      <w:r w:rsidRPr="00446A7C">
        <w:rPr>
          <w:rFonts w:eastAsia="Calibri" w:cs="Times New Roman"/>
          <w:i/>
          <w:iCs/>
          <w:szCs w:val="24"/>
          <w:lang w:val="en-US"/>
        </w:rPr>
        <w:t>Grievance mechanisms for social protection programmes: stumbling blocks and best practice</w:t>
      </w:r>
      <w:r w:rsidRPr="00446A7C">
        <w:rPr>
          <w:rFonts w:eastAsia="Calibri" w:cs="Times New Roman"/>
          <w:szCs w:val="24"/>
          <w:lang w:val="en-US"/>
        </w:rPr>
        <w:t> (No. 320).</w:t>
      </w:r>
    </w:p>
    <w:p w14:paraId="3D423E1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Barnes, C., Gisselquist, R. M., &amp; Hume, M. (2019). Digital Development: Opportunities and Challenges for Inclusive Growth. </w:t>
      </w:r>
      <w:r w:rsidRPr="00446A7C">
        <w:rPr>
          <w:rFonts w:eastAsia="Calibri" w:cs="Times New Roman"/>
          <w:i/>
          <w:iCs/>
          <w:szCs w:val="24"/>
        </w:rPr>
        <w:t>The European Journal of Development Research</w:t>
      </w:r>
      <w:r w:rsidRPr="00446A7C">
        <w:rPr>
          <w:rFonts w:eastAsia="Calibri" w:cs="Times New Roman"/>
          <w:szCs w:val="24"/>
        </w:rPr>
        <w:t xml:space="preserve">, 31(5), 1053-1070. </w:t>
      </w:r>
    </w:p>
    <w:p w14:paraId="3155674E"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Barnwal, P. (2014). Curbing leakage in public programs with direct benefit transfers. </w:t>
      </w:r>
      <w:r w:rsidRPr="00446A7C">
        <w:rPr>
          <w:rFonts w:eastAsia="Calibri" w:cs="Times New Roman"/>
          <w:i/>
          <w:iCs/>
          <w:szCs w:val="24"/>
          <w:lang w:val="en-US"/>
        </w:rPr>
        <w:t>World Bank Working Paper. Available at https://pubdocs. worldbank. org/en/826341466181741330/pdf/Barnwal-DBT-India. pdf</w:t>
      </w:r>
      <w:r w:rsidRPr="00446A7C">
        <w:rPr>
          <w:rFonts w:eastAsia="Calibri" w:cs="Times New Roman"/>
          <w:szCs w:val="24"/>
          <w:lang w:val="en-US"/>
        </w:rPr>
        <w:t>.</w:t>
      </w:r>
    </w:p>
    <w:p w14:paraId="3468EF7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Barrientos, A., Hulme, D., Shepherd, A., &amp; De, L. (2005). Can Social Protection Tackle Chronic Poverty? 17(1), 8–23.  </w:t>
      </w:r>
    </w:p>
    <w:p w14:paraId="38B81AD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Bassier, I. (2017). Digital Social Protection: Opportunities and Challenges. European Social Policy Network (ESPN) Flash Report. </w:t>
      </w:r>
    </w:p>
    <w:p w14:paraId="09EAD685"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Bastagli, F. (2020). Universal basic income and work. </w:t>
      </w:r>
      <w:r w:rsidRPr="00446A7C">
        <w:rPr>
          <w:rFonts w:eastAsia="Calibri" w:cs="Times New Roman"/>
          <w:i/>
          <w:iCs/>
          <w:szCs w:val="24"/>
          <w:lang w:val="en-US"/>
        </w:rPr>
        <w:t>Exploring Universal Basic Income</w:t>
      </w:r>
      <w:r w:rsidRPr="00446A7C">
        <w:rPr>
          <w:rFonts w:eastAsia="Calibri" w:cs="Times New Roman"/>
          <w:szCs w:val="24"/>
          <w:lang w:val="en-US"/>
        </w:rPr>
        <w:t>, </w:t>
      </w:r>
      <w:r w:rsidRPr="00446A7C">
        <w:rPr>
          <w:rFonts w:eastAsia="Calibri" w:cs="Times New Roman"/>
          <w:i/>
          <w:iCs/>
          <w:szCs w:val="24"/>
          <w:lang w:val="en-US"/>
        </w:rPr>
        <w:t>99</w:t>
      </w:r>
      <w:r w:rsidRPr="00446A7C">
        <w:rPr>
          <w:rFonts w:eastAsia="Calibri" w:cs="Times New Roman"/>
          <w:szCs w:val="24"/>
          <w:lang w:val="en-US"/>
        </w:rPr>
        <w:t>.</w:t>
      </w:r>
    </w:p>
    <w:p w14:paraId="11345E1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Bastagli, F., Hagen-Zanker, J., Harman, L., Barca, V., Sturge, G., Schmidt, T., &amp; Pellerano, L. (2016). Cash transfers: what does the evidence say. </w:t>
      </w:r>
      <w:r w:rsidRPr="00446A7C">
        <w:rPr>
          <w:rFonts w:eastAsia="Calibri" w:cs="Times New Roman"/>
          <w:i/>
          <w:iCs/>
          <w:szCs w:val="24"/>
          <w:lang w:val="en-US"/>
        </w:rPr>
        <w:t>A rigorous review of programme impact and the role of design and implementation features. London: ODI</w:t>
      </w:r>
      <w:r w:rsidRPr="00446A7C">
        <w:rPr>
          <w:rFonts w:eastAsia="Calibri" w:cs="Times New Roman"/>
          <w:szCs w:val="24"/>
          <w:lang w:val="en-US"/>
        </w:rPr>
        <w:t>, </w:t>
      </w:r>
      <w:r w:rsidRPr="00446A7C">
        <w:rPr>
          <w:rFonts w:eastAsia="Calibri" w:cs="Times New Roman"/>
          <w:i/>
          <w:iCs/>
          <w:szCs w:val="24"/>
          <w:lang w:val="en-US"/>
        </w:rPr>
        <w:t>1</w:t>
      </w:r>
      <w:r w:rsidRPr="00446A7C">
        <w:rPr>
          <w:rFonts w:eastAsia="Calibri" w:cs="Times New Roman"/>
          <w:szCs w:val="24"/>
          <w:lang w:val="en-US"/>
        </w:rPr>
        <w:t>(7), 1.</w:t>
      </w:r>
    </w:p>
    <w:p w14:paraId="2109A36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Beck, T. (2020). </w:t>
      </w:r>
      <w:r w:rsidRPr="00446A7C">
        <w:rPr>
          <w:rFonts w:eastAsia="Calibri" w:cs="Times New Roman"/>
          <w:i/>
          <w:iCs/>
          <w:szCs w:val="24"/>
          <w:lang w:val="en-US"/>
        </w:rPr>
        <w:t>Fintech and financial inclusion: Opportunities and pitfalls</w:t>
      </w:r>
      <w:r w:rsidRPr="00446A7C">
        <w:rPr>
          <w:rFonts w:eastAsia="Calibri" w:cs="Times New Roman"/>
          <w:szCs w:val="24"/>
          <w:lang w:val="en-US"/>
        </w:rPr>
        <w:t> (No. 1165). ADBI working paper series.</w:t>
      </w:r>
    </w:p>
    <w:p w14:paraId="09CE1EC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Benz, C. R., &amp; Newman, I. (2008). Mixed methods research: Exploring the interactive continuum. SIU Press.</w:t>
      </w:r>
    </w:p>
    <w:p w14:paraId="437F7DE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Berg, B. L. (2001). Qualitative research methods for the social sciences. Allyn &amp; Bacon. </w:t>
      </w:r>
    </w:p>
    <w:p w14:paraId="0D0DD6F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Bhattacherjee, A. (2012). Social science research: Principles, methods, and practices </w:t>
      </w:r>
    </w:p>
    <w:p w14:paraId="66FBB51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Bijker, W. E. (1995). Of bicycles, bakelites, and bulbs: Toward a theory of sociotechnical change. MIT Press. </w:t>
      </w:r>
    </w:p>
    <w:p w14:paraId="615F0F8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Birley, S. (2011). </w:t>
      </w:r>
      <w:r w:rsidRPr="00446A7C">
        <w:rPr>
          <w:rFonts w:eastAsia="Calibri" w:cs="Times New Roman"/>
          <w:i/>
          <w:iCs/>
          <w:szCs w:val="24"/>
        </w:rPr>
        <w:t>Research methods for business students</w:t>
      </w:r>
      <w:r w:rsidRPr="00446A7C">
        <w:rPr>
          <w:rFonts w:eastAsia="Calibri" w:cs="Times New Roman"/>
          <w:szCs w:val="24"/>
        </w:rPr>
        <w:t xml:space="preserve">. Pearson Education Limited. </w:t>
      </w:r>
    </w:p>
    <w:p w14:paraId="16E324D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Blank, R. M. (2008). Presidential address: How to improve poverty measurement in the United States. Journal of Policy Analysis and Management: </w:t>
      </w:r>
      <w:r w:rsidRPr="00446A7C">
        <w:rPr>
          <w:rFonts w:eastAsia="Calibri" w:cs="Times New Roman"/>
          <w:i/>
          <w:iCs/>
          <w:szCs w:val="24"/>
        </w:rPr>
        <w:t>The Journal of the Association for Public Policy Analysis and Management</w:t>
      </w:r>
      <w:r w:rsidRPr="00446A7C">
        <w:rPr>
          <w:rFonts w:eastAsia="Calibri" w:cs="Times New Roman"/>
          <w:szCs w:val="24"/>
        </w:rPr>
        <w:t xml:space="preserve">, 27(2), 233-254. </w:t>
      </w:r>
    </w:p>
    <w:p w14:paraId="2308A5B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Blumberg, B., Cooper, D. R., &amp; Schindler, P. S. (2005). Business Research Methods. Berkshire: </w:t>
      </w:r>
    </w:p>
    <w:p w14:paraId="1DCB43D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Borga, L. G., &amp; D’ambrosio, C. (2021). Social protection and multidimensional poverty: </w:t>
      </w:r>
      <w:r w:rsidRPr="00446A7C">
        <w:rPr>
          <w:rFonts w:eastAsia="Calibri" w:cs="Times New Roman"/>
          <w:i/>
          <w:iCs/>
          <w:szCs w:val="24"/>
        </w:rPr>
        <w:t>Lessons from Ethiopia, India and Peru</w:t>
      </w:r>
      <w:r w:rsidRPr="00446A7C">
        <w:rPr>
          <w:rFonts w:eastAsia="Calibri" w:cs="Times New Roman"/>
          <w:szCs w:val="24"/>
        </w:rPr>
        <w:t xml:space="preserve">. World Development, 147, 105634. </w:t>
      </w:r>
    </w:p>
    <w:p w14:paraId="19F746F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Braun, V. and Clarke, V. 2006. Using thematic analysis in psychology. Qualitative research in psychology 3(2), pp. 77–101 </w:t>
      </w:r>
    </w:p>
    <w:p w14:paraId="3E69FE6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Browne, E. (2015). Social Protection: Topic guide. GSDRC, University of Birmingham, October, 1–41.</w:t>
      </w:r>
    </w:p>
    <w:p w14:paraId="035136E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Bryman, A. (2012). Social research methods. Oxford university press. </w:t>
      </w:r>
    </w:p>
    <w:p w14:paraId="5DB4A11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Bryman, A. (2017). Quantitative and qualitative research: further reflections on their integration. In Mixing methods: Qualitative and quantitative research (pp. 57-78). Routledge. </w:t>
      </w:r>
    </w:p>
    <w:p w14:paraId="7596149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Buabeng T., 2005, Implementing Public Policy at the Local Level in Ghana: The Experience of Akwapem South in Poverty Reduction, Master Thesis Paper, University of Bergen, Norway. </w:t>
      </w:r>
    </w:p>
    <w:p w14:paraId="19A14FD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Carroll, M., Parsons, E., &amp; Devine, J. (2021). Data for Development: A Needs Assessment of Monitoring and Evaluation Practitioners in International Development. Journal of Development Practice, 1-16. </w:t>
      </w:r>
    </w:p>
    <w:p w14:paraId="5C8069D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Carswell, G., &amp; De Neve, G. (2022). Transparency, exclusion and mediation: how digital and biometric technologies are transforming social protection in Tamil Nadu, India. Oxford Development Studies, 50(2), 126–141.  </w:t>
      </w:r>
    </w:p>
    <w:p w14:paraId="4568E6D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Carter, B., Roelen, K., Enfield S. and Avis, W. (2019). Social Protection Topic Guide. Revised Edition. K4D Emerging Issues Report. Brighton, UK: Institute of Development Studies. </w:t>
      </w:r>
    </w:p>
    <w:p w14:paraId="646CDDD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Cartwright, N., &amp; Montuschi, E. (2014). Philosophy of Social Science. A New Introduction. Oxford: Oxford University Press. </w:t>
      </w:r>
    </w:p>
    <w:p w14:paraId="3F872DC3"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Castells, M. (2011). </w:t>
      </w:r>
      <w:r w:rsidRPr="00446A7C">
        <w:rPr>
          <w:rFonts w:eastAsia="Calibri" w:cs="Times New Roman"/>
          <w:i/>
          <w:iCs/>
          <w:szCs w:val="24"/>
          <w:lang w:val="en-US"/>
        </w:rPr>
        <w:t>The rise of the network society</w:t>
      </w:r>
      <w:r w:rsidRPr="00446A7C">
        <w:rPr>
          <w:rFonts w:eastAsia="Calibri" w:cs="Times New Roman"/>
          <w:szCs w:val="24"/>
          <w:lang w:val="en-US"/>
        </w:rPr>
        <w:t>. John wiley &amp; sons.</w:t>
      </w:r>
    </w:p>
    <w:p w14:paraId="3FF3759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Chakraborty, D., Ahmad, M. S., &amp; Seth, A. (2017, November). Findings from a civil society mediated and technology assisted grievance redressal model in rural India. In </w:t>
      </w:r>
      <w:r w:rsidRPr="00446A7C">
        <w:rPr>
          <w:rFonts w:eastAsia="Calibri" w:cs="Times New Roman"/>
          <w:i/>
          <w:iCs/>
          <w:szCs w:val="24"/>
          <w:lang w:val="en-US"/>
        </w:rPr>
        <w:t>Proceedings of the Ninth International Conference on Information and Communication Technologies and Development</w:t>
      </w:r>
      <w:r w:rsidRPr="00446A7C">
        <w:rPr>
          <w:rFonts w:eastAsia="Calibri" w:cs="Times New Roman"/>
          <w:szCs w:val="24"/>
          <w:lang w:val="en-US"/>
        </w:rPr>
        <w:t> (pp. 1-12).</w:t>
      </w:r>
    </w:p>
    <w:p w14:paraId="79F232CF"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 xml:space="preserve">Chandler, D. (1995). Technological or media determinism.  </w:t>
      </w:r>
    </w:p>
    <w:p w14:paraId="5B94280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lastRenderedPageBreak/>
        <w:t>Chen, J., Catalano, T. J., &amp; Williams, P. (2022). What is poverty? Meaning, causes, and how to measure. Investopedia.</w:t>
      </w:r>
    </w:p>
    <w:p w14:paraId="5DD1A0D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Choudhury, N. F., Islam, M. M., &amp; Islam, A. (2019). Designing Grievance Redressal System for Social Safety Net Programmes in Bangladesh. In 2019 IEEE International Conference on Engineering, Technology and Innovation (ICE/ITMC) (pp. 1-6). IEEE. </w:t>
      </w:r>
    </w:p>
    <w:p w14:paraId="4E14265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Cooke, E., Hague, S., &amp; McKay, A. (2016). The Ghana poverty and inequality report: Using the 6th Ghana living standards survey. </w:t>
      </w:r>
      <w:r w:rsidRPr="00446A7C">
        <w:rPr>
          <w:rFonts w:eastAsia="Calibri" w:cs="Times New Roman"/>
          <w:i/>
          <w:iCs/>
          <w:szCs w:val="24"/>
          <w:lang w:val="en-US"/>
        </w:rPr>
        <w:t>University of Sussex</w:t>
      </w:r>
      <w:r w:rsidRPr="00446A7C">
        <w:rPr>
          <w:rFonts w:eastAsia="Calibri" w:cs="Times New Roman"/>
          <w:szCs w:val="24"/>
          <w:lang w:val="en-US"/>
        </w:rPr>
        <w:t>, 1-43.</w:t>
      </w:r>
    </w:p>
    <w:p w14:paraId="760F56A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Creswell, J. W., &amp; Creswell, J. D. (2017). </w:t>
      </w:r>
      <w:r w:rsidRPr="00446A7C">
        <w:rPr>
          <w:rFonts w:eastAsia="Calibri" w:cs="Times New Roman"/>
          <w:i/>
          <w:iCs/>
          <w:szCs w:val="24"/>
        </w:rPr>
        <w:t>Research design: Qualitative, quantitative, and mixed methods approach</w:t>
      </w:r>
      <w:r w:rsidRPr="00446A7C">
        <w:rPr>
          <w:rFonts w:eastAsia="Calibri" w:cs="Times New Roman"/>
          <w:szCs w:val="24"/>
        </w:rPr>
        <w:t xml:space="preserve">. Sage publications. </w:t>
      </w:r>
    </w:p>
    <w:p w14:paraId="457B50D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Creswell, J. W., &amp; Creswell, J. D. (2017). </w:t>
      </w:r>
      <w:r w:rsidRPr="00446A7C">
        <w:rPr>
          <w:rFonts w:eastAsia="Calibri" w:cs="Times New Roman"/>
          <w:i/>
          <w:iCs/>
          <w:szCs w:val="24"/>
          <w:lang w:val="en-US"/>
        </w:rPr>
        <w:t>Research design: Qualitative, quantitative, and mixed methods approaches</w:t>
      </w:r>
      <w:r w:rsidRPr="00446A7C">
        <w:rPr>
          <w:rFonts w:eastAsia="Calibri" w:cs="Times New Roman"/>
          <w:szCs w:val="24"/>
          <w:lang w:val="en-US"/>
        </w:rPr>
        <w:t>. Sage publications.</w:t>
      </w:r>
    </w:p>
    <w:p w14:paraId="26D8B60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 Creswell, J. W., &amp; Poth, C. N. (2016). </w:t>
      </w:r>
      <w:r w:rsidRPr="00446A7C">
        <w:rPr>
          <w:rFonts w:eastAsia="Calibri" w:cs="Times New Roman"/>
          <w:i/>
          <w:iCs/>
          <w:szCs w:val="24"/>
        </w:rPr>
        <w:t>Qualitative inquiry and research design: Choosing among five approaches</w:t>
      </w:r>
      <w:r w:rsidRPr="00446A7C">
        <w:rPr>
          <w:rFonts w:eastAsia="Calibri" w:cs="Times New Roman"/>
          <w:szCs w:val="24"/>
        </w:rPr>
        <w:t xml:space="preserve">. Sage publications. </w:t>
      </w:r>
    </w:p>
    <w:p w14:paraId="62CCCCD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Creswell, J.W. &amp; Creswell, J.D. (2018). </w:t>
      </w:r>
      <w:r w:rsidRPr="00446A7C">
        <w:rPr>
          <w:rFonts w:eastAsia="Calibri" w:cs="Times New Roman"/>
          <w:i/>
          <w:iCs/>
          <w:szCs w:val="24"/>
        </w:rPr>
        <w:t>Research Design: Qualitative, Quantitative, and Mixed Methods Approaches</w:t>
      </w:r>
      <w:r w:rsidRPr="00446A7C">
        <w:rPr>
          <w:rFonts w:eastAsia="Calibri" w:cs="Times New Roman"/>
          <w:szCs w:val="24"/>
        </w:rPr>
        <w:t xml:space="preserve"> (Kd. 3rd Edition). London, United Kingdom: SAGE. </w:t>
      </w:r>
    </w:p>
    <w:p w14:paraId="65DA3B53" w14:textId="77777777" w:rsidR="0008415E" w:rsidRPr="00446A7C" w:rsidRDefault="00000000" w:rsidP="00004537">
      <w:pPr>
        <w:spacing w:after="0" w:line="360" w:lineRule="auto"/>
        <w:ind w:left="720" w:hanging="720"/>
        <w:jc w:val="both"/>
        <w:rPr>
          <w:rFonts w:eastAsia="Calibri" w:cs="Times New Roman"/>
          <w:szCs w:val="24"/>
          <w:lang w:val="en-US"/>
        </w:rPr>
      </w:pPr>
      <w:bookmarkStart w:id="182" w:name="_Hlk161138499"/>
      <w:r w:rsidRPr="00446A7C">
        <w:rPr>
          <w:rFonts w:eastAsia="Calibri" w:cs="Times New Roman"/>
          <w:szCs w:val="24"/>
          <w:lang w:val="en-US"/>
        </w:rPr>
        <w:t xml:space="preserve">Dalton, </w:t>
      </w:r>
      <w:bookmarkEnd w:id="182"/>
      <w:r w:rsidRPr="00446A7C">
        <w:rPr>
          <w:rFonts w:eastAsia="Calibri" w:cs="Times New Roman"/>
          <w:szCs w:val="24"/>
          <w:lang w:val="en-US"/>
        </w:rPr>
        <w:t>R. (2007). Social exclusion and transportation in Peachtree City, Georgia. </w:t>
      </w:r>
      <w:r w:rsidRPr="00446A7C">
        <w:rPr>
          <w:rFonts w:eastAsia="Calibri" w:cs="Times New Roman"/>
          <w:i/>
          <w:iCs/>
          <w:szCs w:val="24"/>
          <w:lang w:val="en-US"/>
        </w:rPr>
        <w:t>Progress in Planning</w:t>
      </w:r>
      <w:r w:rsidRPr="00446A7C">
        <w:rPr>
          <w:rFonts w:eastAsia="Calibri" w:cs="Times New Roman"/>
          <w:szCs w:val="24"/>
          <w:lang w:val="en-US"/>
        </w:rPr>
        <w:t>, </w:t>
      </w:r>
      <w:r w:rsidRPr="00446A7C">
        <w:rPr>
          <w:rFonts w:eastAsia="Calibri" w:cs="Times New Roman"/>
          <w:i/>
          <w:iCs/>
          <w:szCs w:val="24"/>
          <w:lang w:val="en-US"/>
        </w:rPr>
        <w:t>67</w:t>
      </w:r>
      <w:r w:rsidRPr="00446A7C">
        <w:rPr>
          <w:rFonts w:eastAsia="Calibri" w:cs="Times New Roman"/>
          <w:szCs w:val="24"/>
          <w:lang w:val="en-US"/>
        </w:rPr>
        <w:t>(3), 264-286.</w:t>
      </w:r>
    </w:p>
    <w:p w14:paraId="0022D15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Davies, C., &amp; Fisher, M. (2018). Understanding research paradigms. </w:t>
      </w:r>
      <w:r w:rsidRPr="00446A7C">
        <w:rPr>
          <w:rFonts w:eastAsia="Calibri" w:cs="Times New Roman"/>
          <w:i/>
          <w:iCs/>
          <w:szCs w:val="24"/>
        </w:rPr>
        <w:t>Journal of the Australasian Rehabilitation Nurses Association</w:t>
      </w:r>
      <w:r w:rsidRPr="00446A7C">
        <w:rPr>
          <w:rFonts w:eastAsia="Calibri" w:cs="Times New Roman"/>
          <w:szCs w:val="24"/>
        </w:rPr>
        <w:t xml:space="preserve">, 21(3), 21-25. </w:t>
      </w:r>
    </w:p>
    <w:p w14:paraId="52C5EFE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Davies, R., Dart, J., &amp; Muchazondida, G. (2019). Participatory Monitoring and Evaluation (PM&amp;E) for Climate Resilience: From Consultation to Ownership and Learning</w:t>
      </w:r>
      <w:r w:rsidRPr="00446A7C">
        <w:rPr>
          <w:rFonts w:eastAsia="Calibri" w:cs="Times New Roman"/>
          <w:i/>
          <w:iCs/>
          <w:szCs w:val="24"/>
        </w:rPr>
        <w:t>. Journal of Environmental Management</w:t>
      </w:r>
      <w:r w:rsidRPr="00446A7C">
        <w:rPr>
          <w:rFonts w:eastAsia="Calibri" w:cs="Times New Roman"/>
          <w:szCs w:val="24"/>
        </w:rPr>
        <w:t xml:space="preserve">, 237, 72-81. </w:t>
      </w:r>
    </w:p>
    <w:p w14:paraId="0E91C0C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De Villiers, M. R. (2005, July). Three approaches as pillars for interpretive information systems research: development research, action research and grounded theory. In </w:t>
      </w:r>
      <w:r w:rsidRPr="00446A7C">
        <w:rPr>
          <w:rFonts w:eastAsia="Calibri" w:cs="Times New Roman"/>
          <w:i/>
          <w:iCs/>
          <w:szCs w:val="24"/>
          <w:lang w:val="en-US"/>
        </w:rPr>
        <w:t>Proceedings of the 2005 annual research conference of the South African institute of computer scientists and information technologists on IT research in developing countries</w:t>
      </w:r>
      <w:r w:rsidRPr="00446A7C">
        <w:rPr>
          <w:rFonts w:eastAsia="Calibri" w:cs="Times New Roman"/>
          <w:szCs w:val="24"/>
          <w:lang w:val="en-US"/>
        </w:rPr>
        <w:t> (pp. 142-151).</w:t>
      </w:r>
    </w:p>
    <w:p w14:paraId="089D28D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Deaton, A. (2013). The great escape: health, wealth, and the origins of inequality.</w:t>
      </w:r>
    </w:p>
    <w:p w14:paraId="1034DA2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Debrah, E. (2013). Alleviating poverty in Ghana: The case of livelihood empowerment against poverty (LEAP). </w:t>
      </w:r>
      <w:r w:rsidRPr="00446A7C">
        <w:rPr>
          <w:rFonts w:eastAsia="Calibri" w:cs="Times New Roman"/>
          <w:i/>
          <w:iCs/>
          <w:szCs w:val="24"/>
          <w:lang w:val="en-US"/>
        </w:rPr>
        <w:t>Africa Today</w:t>
      </w:r>
      <w:r w:rsidRPr="00446A7C">
        <w:rPr>
          <w:rFonts w:eastAsia="Calibri" w:cs="Times New Roman"/>
          <w:szCs w:val="24"/>
          <w:lang w:val="en-US"/>
        </w:rPr>
        <w:t>, </w:t>
      </w:r>
      <w:r w:rsidRPr="00446A7C">
        <w:rPr>
          <w:rFonts w:eastAsia="Calibri" w:cs="Times New Roman"/>
          <w:i/>
          <w:iCs/>
          <w:szCs w:val="24"/>
          <w:lang w:val="en-US"/>
        </w:rPr>
        <w:t>59</w:t>
      </w:r>
      <w:r w:rsidRPr="00446A7C">
        <w:rPr>
          <w:rFonts w:eastAsia="Calibri" w:cs="Times New Roman"/>
          <w:szCs w:val="24"/>
          <w:lang w:val="en-US"/>
        </w:rPr>
        <w:t>(4), 41-67.</w:t>
      </w:r>
    </w:p>
    <w:p w14:paraId="56A21BC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Department of Social Welfare and Community. (2023). Nandom District, DSWCD. </w:t>
      </w:r>
    </w:p>
    <w:p w14:paraId="240F922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Devereux, S. (2002). Can social safety nets reduce chronic poverty? Development Policy Review, 20(5), 657-675. </w:t>
      </w:r>
    </w:p>
    <w:p w14:paraId="0467CB1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Devereux, S., &amp; Sabates-Wheeler, R. (2004). Transformative social protection. </w:t>
      </w:r>
      <w:r w:rsidRPr="00446A7C">
        <w:rPr>
          <w:rFonts w:eastAsia="Calibri" w:cs="Times New Roman"/>
          <w:i/>
          <w:iCs/>
          <w:szCs w:val="24"/>
        </w:rPr>
        <w:t>IDS Bulletin</w:t>
      </w:r>
      <w:r w:rsidRPr="00446A7C">
        <w:rPr>
          <w:rFonts w:eastAsia="Calibri" w:cs="Times New Roman"/>
          <w:szCs w:val="24"/>
        </w:rPr>
        <w:t xml:space="preserve">, 35(3), 102105. </w:t>
      </w:r>
    </w:p>
    <w:p w14:paraId="1CE7568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Devereux, S., &amp; Vincent, K. (2010). Using technology to deliver social protection: exploring opportunities and risks. </w:t>
      </w:r>
      <w:r w:rsidRPr="00446A7C">
        <w:rPr>
          <w:rFonts w:eastAsia="Calibri" w:cs="Times New Roman"/>
          <w:i/>
          <w:iCs/>
          <w:szCs w:val="24"/>
        </w:rPr>
        <w:t>Development in practice</w:t>
      </w:r>
      <w:r w:rsidRPr="00446A7C">
        <w:rPr>
          <w:rFonts w:eastAsia="Calibri" w:cs="Times New Roman"/>
          <w:szCs w:val="24"/>
        </w:rPr>
        <w:t>, 20(3), 367-379.</w:t>
      </w:r>
    </w:p>
    <w:p w14:paraId="71EE2CD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Devereux, S., McGregor, J. A., &amp; Sabates‐Wheeler, R. (2011). Introduction: social protection for social justice. </w:t>
      </w:r>
      <w:r w:rsidRPr="00446A7C">
        <w:rPr>
          <w:rFonts w:eastAsia="Calibri" w:cs="Times New Roman"/>
          <w:i/>
          <w:iCs/>
          <w:szCs w:val="24"/>
          <w:lang w:val="en-US"/>
        </w:rPr>
        <w:t>IDS Bulletin</w:t>
      </w:r>
      <w:r w:rsidRPr="00446A7C">
        <w:rPr>
          <w:rFonts w:eastAsia="Calibri" w:cs="Times New Roman"/>
          <w:szCs w:val="24"/>
          <w:lang w:val="en-US"/>
        </w:rPr>
        <w:t>, </w:t>
      </w:r>
      <w:r w:rsidRPr="00446A7C">
        <w:rPr>
          <w:rFonts w:eastAsia="Calibri" w:cs="Times New Roman"/>
          <w:i/>
          <w:iCs/>
          <w:szCs w:val="24"/>
          <w:lang w:val="en-US"/>
        </w:rPr>
        <w:t>42</w:t>
      </w:r>
      <w:r w:rsidRPr="00446A7C">
        <w:rPr>
          <w:rFonts w:eastAsia="Calibri" w:cs="Times New Roman"/>
          <w:szCs w:val="24"/>
          <w:lang w:val="en-US"/>
        </w:rPr>
        <w:t>(6), 1-9.</w:t>
      </w:r>
    </w:p>
    <w:p w14:paraId="593BF53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Duflo, E. (2003). Grandmothers and granddaughters: old‐age pensions and intrahousehold allocation in South Africa. </w:t>
      </w:r>
      <w:r w:rsidRPr="00446A7C">
        <w:rPr>
          <w:rFonts w:eastAsia="Calibri" w:cs="Times New Roman"/>
          <w:i/>
          <w:iCs/>
          <w:szCs w:val="24"/>
          <w:lang w:val="en-US"/>
        </w:rPr>
        <w:t>The World Bank Economic Review</w:t>
      </w:r>
      <w:r w:rsidRPr="00446A7C">
        <w:rPr>
          <w:rFonts w:eastAsia="Calibri" w:cs="Times New Roman"/>
          <w:szCs w:val="24"/>
          <w:lang w:val="en-US"/>
        </w:rPr>
        <w:t>, </w:t>
      </w:r>
      <w:r w:rsidRPr="00446A7C">
        <w:rPr>
          <w:rFonts w:eastAsia="Calibri" w:cs="Times New Roman"/>
          <w:i/>
          <w:iCs/>
          <w:szCs w:val="24"/>
          <w:lang w:val="en-US"/>
        </w:rPr>
        <w:t>17</w:t>
      </w:r>
      <w:r w:rsidRPr="00446A7C">
        <w:rPr>
          <w:rFonts w:eastAsia="Calibri" w:cs="Times New Roman"/>
          <w:szCs w:val="24"/>
          <w:lang w:val="en-US"/>
        </w:rPr>
        <w:t>(1), 1-25.</w:t>
      </w:r>
    </w:p>
    <w:p w14:paraId="6C3C5F8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Duran, E., Kervyn, M., &amp; Vandecasteele, I. (2018). Inequalities in access to social protection benefits across Africa: Exploring the role of geographic location. </w:t>
      </w:r>
      <w:r w:rsidRPr="00446A7C">
        <w:rPr>
          <w:rFonts w:eastAsia="Calibri" w:cs="Times New Roman"/>
          <w:i/>
          <w:iCs/>
          <w:szCs w:val="24"/>
        </w:rPr>
        <w:t>The Journal of Development Studies</w:t>
      </w:r>
      <w:r w:rsidRPr="00446A7C">
        <w:rPr>
          <w:rFonts w:eastAsia="Calibri" w:cs="Times New Roman"/>
          <w:szCs w:val="24"/>
        </w:rPr>
        <w:t xml:space="preserve">, 54(8), 1355-1371. </w:t>
      </w:r>
    </w:p>
    <w:p w14:paraId="6328CE1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Dwivedi, Y. K., Rana, N. P., &amp; Slade, E. L. (2020). Digital Transformation: A Journey, not a Destination. </w:t>
      </w:r>
      <w:r w:rsidRPr="00446A7C">
        <w:rPr>
          <w:rFonts w:eastAsia="Calibri" w:cs="Times New Roman"/>
          <w:i/>
          <w:iCs/>
          <w:szCs w:val="24"/>
        </w:rPr>
        <w:t>International Journal of Information Management</w:t>
      </w:r>
      <w:r w:rsidRPr="00446A7C">
        <w:rPr>
          <w:rFonts w:eastAsia="Calibri" w:cs="Times New Roman"/>
          <w:szCs w:val="24"/>
        </w:rPr>
        <w:t xml:space="preserve">, 49, 36-43. </w:t>
      </w:r>
    </w:p>
    <w:p w14:paraId="2F778733"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Dzisah, J. S. (2022). Digitalisation of Basic Services in Ghana: State of Policies in Action and Lesson for Progress.</w:t>
      </w:r>
    </w:p>
    <w:p w14:paraId="178A7B8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Economic Co-operation and Development (OECD). (2019). </w:t>
      </w:r>
      <w:r w:rsidRPr="00446A7C">
        <w:rPr>
          <w:rFonts w:eastAsia="Calibri" w:cs="Times New Roman"/>
          <w:i/>
          <w:iCs/>
          <w:szCs w:val="24"/>
        </w:rPr>
        <w:t>Lessons from the EU-SPS Programme Monitoring and evaluating social protection systems</w:t>
      </w:r>
      <w:r w:rsidRPr="00446A7C">
        <w:rPr>
          <w:rFonts w:eastAsia="Calibri" w:cs="Times New Roman"/>
          <w:szCs w:val="24"/>
        </w:rPr>
        <w:t xml:space="preserve">. 1–36.  </w:t>
      </w:r>
    </w:p>
    <w:p w14:paraId="36B0E4B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Elijah, O. A., &amp; Ogunlade, I. (2006). Analysis of the uses of information and communication technology for gender empowerment and sustainable poverty alleviation in Nigeria Obayelu A. Elijah University of Ibadan, Nigeria Ogunlade, I. 2(3), 45–69. </w:t>
      </w:r>
    </w:p>
    <w:p w14:paraId="3B4447E8"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Endert, J. (2018). Despite Ghana’s commitment to Internet expansion, problems persist. </w:t>
      </w:r>
      <w:r w:rsidRPr="00446A7C">
        <w:rPr>
          <w:rFonts w:eastAsia="Calibri" w:cs="Times New Roman"/>
          <w:i/>
          <w:iCs/>
          <w:szCs w:val="24"/>
          <w:lang w:val="en-US"/>
        </w:rPr>
        <w:t>DW Akadamie, November</w:t>
      </w:r>
      <w:r w:rsidRPr="00446A7C">
        <w:rPr>
          <w:rFonts w:eastAsia="Calibri" w:cs="Times New Roman"/>
          <w:szCs w:val="24"/>
          <w:lang w:val="en-US"/>
        </w:rPr>
        <w:t>, </w:t>
      </w:r>
      <w:r w:rsidRPr="00446A7C">
        <w:rPr>
          <w:rFonts w:eastAsia="Calibri" w:cs="Times New Roman"/>
          <w:i/>
          <w:iCs/>
          <w:szCs w:val="24"/>
          <w:lang w:val="en-US"/>
        </w:rPr>
        <w:t>29</w:t>
      </w:r>
      <w:r w:rsidRPr="00446A7C">
        <w:rPr>
          <w:rFonts w:eastAsia="Calibri" w:cs="Times New Roman"/>
          <w:szCs w:val="24"/>
          <w:lang w:val="en-US"/>
        </w:rPr>
        <w:t>.</w:t>
      </w:r>
    </w:p>
    <w:p w14:paraId="458764E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Engberg-Pedersen, L., &amp; Ravnborg, H. M. (2010). Conceptualization of poverty. </w:t>
      </w:r>
      <w:r w:rsidRPr="00446A7C">
        <w:rPr>
          <w:rFonts w:eastAsia="Calibri" w:cs="Times New Roman"/>
          <w:i/>
          <w:iCs/>
          <w:szCs w:val="24"/>
        </w:rPr>
        <w:t>Danish Institute for International Studies</w:t>
      </w:r>
      <w:r w:rsidRPr="00446A7C">
        <w:rPr>
          <w:rFonts w:eastAsia="Calibri" w:cs="Times New Roman"/>
          <w:szCs w:val="24"/>
        </w:rPr>
        <w:t xml:space="preserve"> (DIIS) Report, 1–26. </w:t>
      </w:r>
    </w:p>
    <w:p w14:paraId="7637A32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Erdiaw-Kwasie, M. O., Alam, K., &amp; Shahiduzzaman, M. (2020). Exploring the relationship between mobile telephone density and urban growth: A study of sub-Saharan Africa. </w:t>
      </w:r>
      <w:r w:rsidRPr="00446A7C">
        <w:rPr>
          <w:rFonts w:eastAsia="Calibri" w:cs="Times New Roman"/>
          <w:i/>
          <w:iCs/>
          <w:szCs w:val="24"/>
        </w:rPr>
        <w:t>Sustainable Cities and Society</w:t>
      </w:r>
      <w:r w:rsidRPr="00446A7C">
        <w:rPr>
          <w:rFonts w:eastAsia="Calibri" w:cs="Times New Roman"/>
          <w:szCs w:val="24"/>
        </w:rPr>
        <w:t xml:space="preserve">, 52, 101840. </w:t>
      </w:r>
    </w:p>
    <w:p w14:paraId="4F7BCF5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lastRenderedPageBreak/>
        <w:t>Eshun, C. (2015). </w:t>
      </w:r>
      <w:r w:rsidRPr="00446A7C">
        <w:rPr>
          <w:rFonts w:eastAsia="Calibri" w:cs="Times New Roman"/>
          <w:i/>
          <w:iCs/>
          <w:szCs w:val="24"/>
          <w:lang w:val="en-US"/>
        </w:rPr>
        <w:t>Implementation of social protection programmes in Ghana: The Case of the Livelihood Empowerment against Poverty Programme (LEAP)</w:t>
      </w:r>
      <w:r w:rsidRPr="00446A7C">
        <w:rPr>
          <w:rFonts w:eastAsia="Calibri" w:cs="Times New Roman"/>
          <w:szCs w:val="24"/>
          <w:lang w:val="en-US"/>
        </w:rPr>
        <w:t> (Master's thesis, The University of Bergen).</w:t>
      </w:r>
    </w:p>
    <w:p w14:paraId="5BCDF5E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Faisal, M. (2022). “Conceptual Overview of Measures of Poverty: Unidimensional to Multidimensional Approach.” </w:t>
      </w:r>
      <w:r w:rsidRPr="00446A7C">
        <w:rPr>
          <w:rFonts w:eastAsia="Calibri" w:cs="Times New Roman"/>
          <w:i/>
          <w:iCs/>
          <w:szCs w:val="24"/>
        </w:rPr>
        <w:t>International Journal of Humanities, Law and Social Sciences</w:t>
      </w:r>
      <w:r w:rsidRPr="00446A7C">
        <w:rPr>
          <w:rFonts w:eastAsia="Calibri" w:cs="Times New Roman"/>
          <w:szCs w:val="24"/>
        </w:rPr>
        <w:t xml:space="preserve">, ix (February), 16. </w:t>
      </w:r>
    </w:p>
    <w:p w14:paraId="07605D38"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FAO, &amp; PtoP. (2015). </w:t>
      </w:r>
      <w:r w:rsidRPr="00446A7C">
        <w:rPr>
          <w:rFonts w:eastAsia="Calibri" w:cs="Times New Roman"/>
          <w:i/>
          <w:iCs/>
          <w:szCs w:val="24"/>
        </w:rPr>
        <w:t>The impacts of the Social Cash Transfer programme on community dynamics in Malawi</w:t>
      </w:r>
      <w:r w:rsidRPr="00446A7C">
        <w:rPr>
          <w:rFonts w:eastAsia="Calibri" w:cs="Times New Roman"/>
          <w:szCs w:val="24"/>
        </w:rPr>
        <w:t xml:space="preserve">. January 2015, 70076. </w:t>
      </w:r>
    </w:p>
    <w:p w14:paraId="16E4D1D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Fiszbein, A., &amp; Schady, N. R. (2009). </w:t>
      </w:r>
      <w:r w:rsidRPr="00446A7C">
        <w:rPr>
          <w:rFonts w:eastAsia="Calibri" w:cs="Times New Roman"/>
          <w:i/>
          <w:iCs/>
          <w:szCs w:val="24"/>
          <w:lang w:val="en-US"/>
        </w:rPr>
        <w:t>Conditional cash transfers: reducing present and future poverty</w:t>
      </w:r>
      <w:r w:rsidRPr="00446A7C">
        <w:rPr>
          <w:rFonts w:eastAsia="Calibri" w:cs="Times New Roman"/>
          <w:szCs w:val="24"/>
          <w:lang w:val="en-US"/>
        </w:rPr>
        <w:t>. World Bank Publications.</w:t>
      </w:r>
    </w:p>
    <w:p w14:paraId="6352C3D3"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Foster, C., &amp; Heeks, R. (2013). Conceptualizing Digital Development. </w:t>
      </w:r>
      <w:r w:rsidRPr="00446A7C">
        <w:rPr>
          <w:rFonts w:eastAsia="Calibri" w:cs="Times New Roman"/>
          <w:i/>
          <w:iCs/>
          <w:szCs w:val="24"/>
        </w:rPr>
        <w:t>Journal of International Development</w:t>
      </w:r>
      <w:r w:rsidRPr="00446A7C">
        <w:rPr>
          <w:rFonts w:eastAsia="Calibri" w:cs="Times New Roman"/>
          <w:szCs w:val="24"/>
        </w:rPr>
        <w:t xml:space="preserve">, 25(1), 1-17. </w:t>
      </w:r>
    </w:p>
    <w:p w14:paraId="792F619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Fuseini, M. N. (2021). Livelihood empowerment against poverty in the upper west region, Ghana: the defies and grievance redress mechanism. </w:t>
      </w:r>
      <w:r w:rsidRPr="00446A7C">
        <w:rPr>
          <w:rFonts w:eastAsia="Calibri" w:cs="Times New Roman"/>
          <w:i/>
          <w:iCs/>
          <w:szCs w:val="24"/>
        </w:rPr>
        <w:t>UDS international journal of development</w:t>
      </w:r>
      <w:r w:rsidRPr="00446A7C">
        <w:rPr>
          <w:rFonts w:eastAsia="Calibri" w:cs="Times New Roman"/>
          <w:szCs w:val="24"/>
        </w:rPr>
        <w:t xml:space="preserve">, 8(1), 514-524. </w:t>
      </w:r>
    </w:p>
    <w:p w14:paraId="29C10726" w14:textId="77777777" w:rsidR="0008415E" w:rsidRPr="00446A7C" w:rsidRDefault="00000000" w:rsidP="00004537">
      <w:pPr>
        <w:spacing w:after="0" w:line="360" w:lineRule="auto"/>
        <w:ind w:left="720" w:hanging="720"/>
        <w:jc w:val="both"/>
        <w:rPr>
          <w:rFonts w:eastAsia="Calibri" w:cs="Times New Roman"/>
          <w:szCs w:val="24"/>
        </w:rPr>
      </w:pPr>
      <w:r w:rsidRPr="00446A7C">
        <w:rPr>
          <w:rFonts w:cs="Times New Roman"/>
          <w:bCs/>
          <w:szCs w:val="24"/>
          <w:lang w:val="en-US"/>
        </w:rPr>
        <w:t>Fuseini, M. N., Enu-Kwesi, F., &amp; Sulemana, M. (2019). Poverty reduction in Upper West Region, Ghana: role of the livelihood empowerment against poverty programme. </w:t>
      </w:r>
      <w:r w:rsidRPr="00446A7C">
        <w:rPr>
          <w:rFonts w:cs="Times New Roman"/>
          <w:bCs/>
          <w:i/>
          <w:iCs/>
          <w:szCs w:val="24"/>
          <w:lang w:val="en-US"/>
        </w:rPr>
        <w:t>Development in Practice</w:t>
      </w:r>
      <w:r w:rsidRPr="00446A7C">
        <w:rPr>
          <w:rFonts w:cs="Times New Roman"/>
          <w:bCs/>
          <w:szCs w:val="24"/>
          <w:lang w:val="en-US"/>
        </w:rPr>
        <w:t>, </w:t>
      </w:r>
      <w:r w:rsidRPr="00446A7C">
        <w:rPr>
          <w:rFonts w:cs="Times New Roman"/>
          <w:bCs/>
          <w:i/>
          <w:iCs/>
          <w:szCs w:val="24"/>
          <w:lang w:val="en-US"/>
        </w:rPr>
        <w:t>29</w:t>
      </w:r>
      <w:r w:rsidRPr="00446A7C">
        <w:rPr>
          <w:rFonts w:cs="Times New Roman"/>
          <w:bCs/>
          <w:szCs w:val="24"/>
          <w:lang w:val="en-US"/>
        </w:rPr>
        <w:t>(6), 760-773.</w:t>
      </w:r>
    </w:p>
    <w:p w14:paraId="6D3C165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Geertz, C. (1983). Local knowledge: fact and law in comparative perspective. </w:t>
      </w:r>
      <w:r w:rsidRPr="00446A7C">
        <w:rPr>
          <w:rFonts w:eastAsia="Calibri" w:cs="Times New Roman"/>
          <w:i/>
          <w:iCs/>
          <w:szCs w:val="24"/>
          <w:lang w:val="en-US"/>
        </w:rPr>
        <w:t>Local knowledge</w:t>
      </w:r>
      <w:r w:rsidRPr="00446A7C">
        <w:rPr>
          <w:rFonts w:eastAsia="Calibri" w:cs="Times New Roman"/>
          <w:szCs w:val="24"/>
          <w:lang w:val="en-US"/>
        </w:rPr>
        <w:t>.</w:t>
      </w:r>
    </w:p>
    <w:p w14:paraId="35320A2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Gelb, A., &amp; Mukherjee, A. (2020). Digital technology in social assistance transfers for COVID-19 relief: Lessons from selected cases. </w:t>
      </w:r>
      <w:r w:rsidRPr="00446A7C">
        <w:rPr>
          <w:rFonts w:eastAsia="Calibri" w:cs="Times New Roman"/>
          <w:i/>
          <w:iCs/>
          <w:szCs w:val="24"/>
          <w:lang w:val="en-US"/>
        </w:rPr>
        <w:t>CGD Policy Paper</w:t>
      </w:r>
      <w:r w:rsidRPr="00446A7C">
        <w:rPr>
          <w:rFonts w:eastAsia="Calibri" w:cs="Times New Roman"/>
          <w:szCs w:val="24"/>
          <w:lang w:val="en-US"/>
        </w:rPr>
        <w:t>, </w:t>
      </w:r>
      <w:r w:rsidRPr="00446A7C">
        <w:rPr>
          <w:rFonts w:eastAsia="Calibri" w:cs="Times New Roman"/>
          <w:i/>
          <w:iCs/>
          <w:szCs w:val="24"/>
          <w:lang w:val="en-US"/>
        </w:rPr>
        <w:t>181</w:t>
      </w:r>
      <w:r w:rsidRPr="00446A7C">
        <w:rPr>
          <w:rFonts w:eastAsia="Calibri" w:cs="Times New Roman"/>
          <w:szCs w:val="24"/>
          <w:lang w:val="en-US"/>
        </w:rPr>
        <w:t>(1).</w:t>
      </w:r>
    </w:p>
    <w:p w14:paraId="5BBB7E03"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 xml:space="preserve">Gelb, A., A. Giri, A. Mukherjee, K. Shukla, M. Thapliyal, and B. Webster (2019). ‘Social Assistance and Information in the Initial Phase of the COVID-19 Crisis: </w:t>
      </w:r>
      <w:r w:rsidRPr="00446A7C">
        <w:rPr>
          <w:rFonts w:eastAsia="Calibri" w:cs="Times New Roman"/>
          <w:i/>
          <w:iCs/>
          <w:szCs w:val="24"/>
          <w:lang w:val="en-US"/>
        </w:rPr>
        <w:t>Lessons from a Household Survey in India’.</w:t>
      </w:r>
      <w:r w:rsidRPr="00446A7C">
        <w:rPr>
          <w:rFonts w:eastAsia="Calibri" w:cs="Times New Roman"/>
          <w:szCs w:val="24"/>
          <w:lang w:val="en-US"/>
        </w:rPr>
        <w:t xml:space="preserve"> Washington DC: CGD</w:t>
      </w:r>
    </w:p>
    <w:p w14:paraId="42DE13C1" w14:textId="77777777" w:rsidR="0008415E" w:rsidRPr="00EA1209" w:rsidRDefault="00000000" w:rsidP="00004537">
      <w:pPr>
        <w:spacing w:after="0" w:line="360" w:lineRule="auto"/>
        <w:ind w:left="720" w:hanging="720"/>
        <w:jc w:val="both"/>
        <w:rPr>
          <w:rFonts w:eastAsia="Calibri" w:cs="Times New Roman"/>
          <w:color w:val="000000" w:themeColor="text1"/>
          <w:szCs w:val="24"/>
          <w:lang w:val="en-US"/>
        </w:rPr>
      </w:pPr>
      <w:r w:rsidRPr="00EA1209">
        <w:rPr>
          <w:rFonts w:eastAsia="Calibri" w:cs="Times New Roman"/>
          <w:color w:val="000000" w:themeColor="text1"/>
          <w:szCs w:val="24"/>
          <w:lang w:val="en-US"/>
        </w:rPr>
        <w:t xml:space="preserve">Ghana National Household Registry (GNHR). (2023). </w:t>
      </w:r>
      <w:hyperlink r:id="rId24">
        <w:r w:rsidRPr="00EA1209">
          <w:rPr>
            <w:rFonts w:eastAsia="Calibri" w:cs="Times New Roman"/>
            <w:color w:val="000000" w:themeColor="text1"/>
            <w:szCs w:val="24"/>
            <w:lang w:val="en-US"/>
          </w:rPr>
          <w:t>https://gnhr.mogcsp.gov.gh/</w:t>
        </w:r>
      </w:hyperlink>
    </w:p>
    <w:p w14:paraId="5CA8A4B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Ghana Statistical Service. (2022). </w:t>
      </w:r>
      <w:r w:rsidRPr="00446A7C">
        <w:rPr>
          <w:rFonts w:eastAsia="Calibri" w:cs="Times New Roman"/>
          <w:i/>
          <w:iCs/>
          <w:szCs w:val="24"/>
        </w:rPr>
        <w:t>2020 population &amp; housing census</w:t>
      </w:r>
      <w:r w:rsidRPr="00446A7C">
        <w:rPr>
          <w:rFonts w:eastAsia="Calibri" w:cs="Times New Roman"/>
          <w:szCs w:val="24"/>
        </w:rPr>
        <w:t xml:space="preserve">: National analytical report. Ghana Statistics Service </w:t>
      </w:r>
    </w:p>
    <w:p w14:paraId="4CC3AC8A" w14:textId="77777777" w:rsidR="0008415E" w:rsidRPr="00446A7C" w:rsidRDefault="00000000" w:rsidP="00004537">
      <w:pPr>
        <w:spacing w:after="0" w:line="360" w:lineRule="auto"/>
        <w:ind w:left="720" w:hanging="720"/>
        <w:jc w:val="both"/>
        <w:rPr>
          <w:rFonts w:eastAsia="Calibri" w:cs="Times New Roman"/>
          <w:i/>
          <w:iCs/>
          <w:szCs w:val="24"/>
        </w:rPr>
      </w:pPr>
      <w:r w:rsidRPr="00446A7C">
        <w:rPr>
          <w:rFonts w:eastAsia="Calibri" w:cs="Times New Roman"/>
          <w:szCs w:val="24"/>
        </w:rPr>
        <w:t xml:space="preserve">Ghana’s Livelihood Empowerment Against Poverty, L. E. A. P. (2014). </w:t>
      </w:r>
      <w:r w:rsidRPr="00446A7C">
        <w:rPr>
          <w:rFonts w:eastAsia="Calibri" w:cs="Times New Roman"/>
          <w:i/>
          <w:iCs/>
          <w:szCs w:val="24"/>
        </w:rPr>
        <w:t xml:space="preserve">The Impact of Ghana’s LEAP Programme. </w:t>
      </w:r>
    </w:p>
    <w:p w14:paraId="09BEFC7C"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Gillespie, T. (2018). </w:t>
      </w:r>
      <w:r w:rsidRPr="00446A7C">
        <w:rPr>
          <w:rFonts w:eastAsia="Calibri" w:cs="Times New Roman"/>
          <w:i/>
          <w:iCs/>
          <w:szCs w:val="24"/>
          <w:lang w:val="en-US"/>
        </w:rPr>
        <w:t>Custodians of the Internet: Platforms, content moderation, and the hidden decisions that shape social media</w:t>
      </w:r>
      <w:r w:rsidRPr="00446A7C">
        <w:rPr>
          <w:rFonts w:eastAsia="Calibri" w:cs="Times New Roman"/>
          <w:szCs w:val="24"/>
          <w:lang w:val="en-US"/>
        </w:rPr>
        <w:t xml:space="preserve">. Yale University Press. </w:t>
      </w:r>
    </w:p>
    <w:p w14:paraId="7EE8C60F"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lastRenderedPageBreak/>
        <w:t>Gilson, L., McIntyre, D., &amp; Mooney, G. (2007). Acceptability, trust, and equity. </w:t>
      </w:r>
      <w:r w:rsidRPr="00446A7C">
        <w:rPr>
          <w:rFonts w:eastAsia="Calibri" w:cs="Times New Roman"/>
          <w:i/>
          <w:iCs/>
          <w:szCs w:val="24"/>
          <w:lang w:val="en-US"/>
        </w:rPr>
        <w:t>The economics of health equity</w:t>
      </w:r>
      <w:r w:rsidRPr="00446A7C">
        <w:rPr>
          <w:rFonts w:eastAsia="Calibri" w:cs="Times New Roman"/>
          <w:szCs w:val="24"/>
          <w:lang w:val="en-US"/>
        </w:rPr>
        <w:t>, </w:t>
      </w:r>
      <w:r w:rsidRPr="00446A7C">
        <w:rPr>
          <w:rFonts w:eastAsia="Calibri" w:cs="Times New Roman"/>
          <w:i/>
          <w:iCs/>
          <w:szCs w:val="24"/>
          <w:lang w:val="en-US"/>
        </w:rPr>
        <w:t>124</w:t>
      </w:r>
      <w:r w:rsidRPr="00446A7C">
        <w:rPr>
          <w:rFonts w:eastAsia="Calibri" w:cs="Times New Roman"/>
          <w:szCs w:val="24"/>
          <w:lang w:val="en-US"/>
        </w:rPr>
        <w:t>, 147.</w:t>
      </w:r>
    </w:p>
    <w:p w14:paraId="4303235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Goldstein, E. B. (2015). </w:t>
      </w:r>
      <w:r w:rsidRPr="00446A7C">
        <w:rPr>
          <w:rFonts w:eastAsia="Calibri" w:cs="Times New Roman"/>
          <w:i/>
          <w:iCs/>
          <w:szCs w:val="24"/>
          <w:lang w:val="en-US"/>
        </w:rPr>
        <w:t>Cognitive psychology: Connecting mind, research, and everyday experience</w:t>
      </w:r>
      <w:r w:rsidRPr="00446A7C">
        <w:rPr>
          <w:rFonts w:eastAsia="Calibri" w:cs="Times New Roman"/>
          <w:szCs w:val="24"/>
          <w:lang w:val="en-US"/>
        </w:rPr>
        <w:t> (p. 496). Stamford, CT: Cengage Learning.</w:t>
      </w:r>
    </w:p>
    <w:p w14:paraId="6A6E834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Grace, P. (2017</w:t>
      </w:r>
      <w:r w:rsidRPr="00446A7C">
        <w:rPr>
          <w:rFonts w:eastAsia="Calibri" w:cs="Times New Roman"/>
          <w:i/>
          <w:iCs/>
          <w:szCs w:val="24"/>
        </w:rPr>
        <w:t>). Local Governance and Social Protection Policy Implementation in Ghana</w:t>
      </w:r>
      <w:r w:rsidRPr="00446A7C">
        <w:rPr>
          <w:rFonts w:eastAsia="Calibri" w:cs="Times New Roman"/>
          <w:szCs w:val="24"/>
        </w:rPr>
        <w:t xml:space="preserve">: A Case of the Leap in Ga East Municipality By. July, 1–147.  </w:t>
      </w:r>
    </w:p>
    <w:p w14:paraId="2CAE7AF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Grant, C., &amp; Osanloo, A. (2014). Understanding, selecting, and integrating a theoretical framework in dissertation research: Creating the blueprint for your “house”. </w:t>
      </w:r>
      <w:r w:rsidRPr="00446A7C">
        <w:rPr>
          <w:rFonts w:eastAsia="Calibri" w:cs="Times New Roman"/>
          <w:i/>
          <w:iCs/>
          <w:szCs w:val="24"/>
        </w:rPr>
        <w:t>Administrative issues journal</w:t>
      </w:r>
      <w:r w:rsidRPr="00446A7C">
        <w:rPr>
          <w:rFonts w:eastAsia="Calibri" w:cs="Times New Roman"/>
          <w:szCs w:val="24"/>
        </w:rPr>
        <w:t>, </w:t>
      </w:r>
      <w:r w:rsidRPr="00446A7C">
        <w:rPr>
          <w:rFonts w:eastAsia="Calibri" w:cs="Times New Roman"/>
          <w:i/>
          <w:iCs/>
          <w:szCs w:val="24"/>
        </w:rPr>
        <w:t>4</w:t>
      </w:r>
      <w:r w:rsidRPr="00446A7C">
        <w:rPr>
          <w:rFonts w:eastAsia="Calibri" w:cs="Times New Roman"/>
          <w:szCs w:val="24"/>
        </w:rPr>
        <w:t>(2), 4.</w:t>
      </w:r>
    </w:p>
    <w:p w14:paraId="3CAFC5C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Greeley, M. (1994). Measurement of poverty and poverty of measurement. IDS bulletin, 25(2), 50-58. </w:t>
      </w:r>
    </w:p>
    <w:p w14:paraId="3E42FC5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Grootaert, C., &amp; Van Bastelaer, T. (2002). Understanding and measuring social capital.</w:t>
      </w:r>
    </w:p>
    <w:p w14:paraId="2AD6A2E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Gupta, P., &amp; Mahajan, D. (2019). The impact of digital payments and e-commerce on informal and women workers in India</w:t>
      </w:r>
      <w:r w:rsidRPr="00446A7C">
        <w:rPr>
          <w:rFonts w:eastAsia="Calibri" w:cs="Times New Roman"/>
          <w:i/>
          <w:iCs/>
          <w:szCs w:val="24"/>
        </w:rPr>
        <w:t>. Journal of Economics, Management and Trade</w:t>
      </w:r>
      <w:r w:rsidRPr="00446A7C">
        <w:rPr>
          <w:rFonts w:eastAsia="Calibri" w:cs="Times New Roman"/>
          <w:szCs w:val="24"/>
        </w:rPr>
        <w:t xml:space="preserve">, 1-13. </w:t>
      </w:r>
    </w:p>
    <w:p w14:paraId="0733DB2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Hailu, D., &amp; Soares, F. V. (2008). </w:t>
      </w:r>
      <w:r w:rsidRPr="00446A7C">
        <w:rPr>
          <w:rFonts w:eastAsia="Calibri" w:cs="Times New Roman"/>
          <w:i/>
          <w:iCs/>
          <w:szCs w:val="24"/>
          <w:lang w:val="en-US"/>
        </w:rPr>
        <w:t>Cash Transfers–Lessons from Africa and Latin America</w:t>
      </w:r>
      <w:r w:rsidRPr="00446A7C">
        <w:rPr>
          <w:rFonts w:eastAsia="Calibri" w:cs="Times New Roman"/>
          <w:szCs w:val="24"/>
          <w:lang w:val="en-US"/>
        </w:rPr>
        <w:t> (No. 15). International Policy Centre for Inclusive Growth.</w:t>
      </w:r>
    </w:p>
    <w:p w14:paraId="6B6AFDDE"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Handa, S., &amp; Park, M. (2012). Livelihood empowerment against poverty program Ghana baseline report. </w:t>
      </w:r>
      <w:r w:rsidRPr="00446A7C">
        <w:rPr>
          <w:rFonts w:eastAsia="Calibri" w:cs="Times New Roman"/>
          <w:i/>
          <w:iCs/>
          <w:szCs w:val="24"/>
          <w:lang w:val="en-US"/>
        </w:rPr>
        <w:t>University of North Carolina at Chapel Hill, Chapel Hill</w:t>
      </w:r>
      <w:r w:rsidRPr="00446A7C">
        <w:rPr>
          <w:rFonts w:eastAsia="Calibri" w:cs="Times New Roman"/>
          <w:szCs w:val="24"/>
          <w:lang w:val="en-US"/>
        </w:rPr>
        <w:t>.</w:t>
      </w:r>
    </w:p>
    <w:p w14:paraId="029A2F4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Handa, S., Natali, L., Seidenfeld, D., Tembo, G., &amp; Davis, B. (2016). Can unconditional cash transfers lead to sustainable poverty reduction. </w:t>
      </w:r>
      <w:r w:rsidRPr="00446A7C">
        <w:rPr>
          <w:rFonts w:eastAsia="Calibri" w:cs="Times New Roman"/>
          <w:i/>
          <w:iCs/>
          <w:szCs w:val="24"/>
          <w:lang w:val="en-US"/>
        </w:rPr>
        <w:t>Evidence from two government-led programmes in Zambia. UNICEF Office of Research–-Innocenti Working Paper (2016-21). Accessed online</w:t>
      </w:r>
      <w:r w:rsidRPr="00446A7C">
        <w:rPr>
          <w:rFonts w:eastAsia="Calibri" w:cs="Times New Roman"/>
          <w:szCs w:val="24"/>
          <w:lang w:val="en-US"/>
        </w:rPr>
        <w:t>, </w:t>
      </w:r>
      <w:r w:rsidRPr="00446A7C">
        <w:rPr>
          <w:rFonts w:eastAsia="Calibri" w:cs="Times New Roman"/>
          <w:i/>
          <w:iCs/>
          <w:szCs w:val="24"/>
          <w:lang w:val="en-US"/>
        </w:rPr>
        <w:t>9</w:t>
      </w:r>
      <w:r w:rsidRPr="00446A7C">
        <w:rPr>
          <w:rFonts w:eastAsia="Calibri" w:cs="Times New Roman"/>
          <w:szCs w:val="24"/>
          <w:lang w:val="en-US"/>
        </w:rPr>
        <w:t>(8), 2017.</w:t>
      </w:r>
    </w:p>
    <w:p w14:paraId="7014738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Handa, S., Otchere, F., Sirma, P., &amp; Evaluation Study Team. (2022). More evidence on the impact of government social protection in sub‐Saharan Africa: Ghana, Malawi, and Zimbabwe. </w:t>
      </w:r>
      <w:r w:rsidRPr="00446A7C">
        <w:rPr>
          <w:rFonts w:eastAsia="Calibri" w:cs="Times New Roman"/>
          <w:i/>
          <w:iCs/>
          <w:szCs w:val="24"/>
          <w:lang w:val="en-US"/>
        </w:rPr>
        <w:t>Development Policy Review</w:t>
      </w:r>
      <w:r w:rsidRPr="00446A7C">
        <w:rPr>
          <w:rFonts w:eastAsia="Calibri" w:cs="Times New Roman"/>
          <w:szCs w:val="24"/>
          <w:lang w:val="en-US"/>
        </w:rPr>
        <w:t>, </w:t>
      </w:r>
      <w:r w:rsidRPr="00446A7C">
        <w:rPr>
          <w:rFonts w:eastAsia="Calibri" w:cs="Times New Roman"/>
          <w:i/>
          <w:iCs/>
          <w:szCs w:val="24"/>
          <w:lang w:val="en-US"/>
        </w:rPr>
        <w:t>40</w:t>
      </w:r>
      <w:r w:rsidRPr="00446A7C">
        <w:rPr>
          <w:rFonts w:eastAsia="Calibri" w:cs="Times New Roman"/>
          <w:szCs w:val="24"/>
          <w:lang w:val="en-US"/>
        </w:rPr>
        <w:t>(3), e12576.</w:t>
      </w:r>
    </w:p>
    <w:p w14:paraId="5BA21AB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Handayani, S., Domingo-Palacpac, M., Lovelock, P., &amp; Burkley, C. (2017). Improving the delivery of social protection through ICT – Case studies in Mongolia, Nepal, and Viet Nam (ADB Sustainable Development Working Paper 50). Manilla: Asian Development Bank. </w:t>
      </w:r>
    </w:p>
    <w:p w14:paraId="74E74F9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Haq, M., Mohib, S., &amp; Khan, R. U. (2018). Beneficiary Perception of Livelihood Support Programmes: Evidence from Punjab, Pakistan. </w:t>
      </w:r>
      <w:r w:rsidRPr="00446A7C">
        <w:rPr>
          <w:rFonts w:eastAsia="Calibri" w:cs="Times New Roman"/>
          <w:i/>
          <w:iCs/>
          <w:szCs w:val="24"/>
        </w:rPr>
        <w:t>Journal of Rural Studies</w:t>
      </w:r>
      <w:r w:rsidRPr="00446A7C">
        <w:rPr>
          <w:rFonts w:eastAsia="Calibri" w:cs="Times New Roman"/>
          <w:szCs w:val="24"/>
        </w:rPr>
        <w:t xml:space="preserve">, 61, 221-231. </w:t>
      </w:r>
    </w:p>
    <w:p w14:paraId="68E4684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Haque, M., &amp; Sweetman, C. (2015). Social protection and women's agency: Reflections from India and Bangladesh. </w:t>
      </w:r>
      <w:r w:rsidRPr="00446A7C">
        <w:rPr>
          <w:rFonts w:eastAsia="Calibri" w:cs="Times New Roman"/>
          <w:i/>
          <w:iCs/>
          <w:szCs w:val="24"/>
        </w:rPr>
        <w:t>Institute of Development Studies Working Paper</w:t>
      </w:r>
      <w:r w:rsidRPr="00446A7C">
        <w:rPr>
          <w:rFonts w:eastAsia="Calibri" w:cs="Times New Roman"/>
          <w:szCs w:val="24"/>
        </w:rPr>
        <w:t xml:space="preserve">, (464). </w:t>
      </w:r>
    </w:p>
    <w:p w14:paraId="1D808C1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Hare, A., &amp; Parekh, N. (2020). Should government payments be digitized? </w:t>
      </w:r>
      <w:r w:rsidRPr="00446A7C">
        <w:rPr>
          <w:rFonts w:eastAsia="Calibri" w:cs="Times New Roman"/>
          <w:i/>
          <w:iCs/>
          <w:szCs w:val="24"/>
          <w:lang w:val="en-US"/>
        </w:rPr>
        <w:t>J-PAL Blog, October</w:t>
      </w:r>
      <w:r w:rsidRPr="00446A7C">
        <w:rPr>
          <w:rFonts w:eastAsia="Calibri" w:cs="Times New Roman"/>
          <w:szCs w:val="24"/>
          <w:lang w:val="en-US"/>
        </w:rPr>
        <w:t>, </w:t>
      </w:r>
      <w:r w:rsidRPr="00446A7C">
        <w:rPr>
          <w:rFonts w:eastAsia="Calibri" w:cs="Times New Roman"/>
          <w:i/>
          <w:iCs/>
          <w:szCs w:val="24"/>
          <w:lang w:val="en-US"/>
        </w:rPr>
        <w:t>13</w:t>
      </w:r>
      <w:r w:rsidRPr="00446A7C">
        <w:rPr>
          <w:rFonts w:eastAsia="Calibri" w:cs="Times New Roman"/>
          <w:szCs w:val="24"/>
          <w:lang w:val="en-US"/>
        </w:rPr>
        <w:t>, 2020.</w:t>
      </w:r>
    </w:p>
    <w:p w14:paraId="678BE9B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Hauer, T. (2017). Technological determinism and new media. </w:t>
      </w:r>
      <w:r w:rsidRPr="00446A7C">
        <w:rPr>
          <w:rFonts w:eastAsia="Calibri" w:cs="Times New Roman"/>
          <w:i/>
          <w:iCs/>
          <w:szCs w:val="24"/>
          <w:lang w:val="en-US"/>
        </w:rPr>
        <w:t>International Journal of English Literature and Social Sciences</w:t>
      </w:r>
      <w:r w:rsidRPr="00446A7C">
        <w:rPr>
          <w:rFonts w:eastAsia="Calibri" w:cs="Times New Roman"/>
          <w:szCs w:val="24"/>
          <w:lang w:val="en-US"/>
        </w:rPr>
        <w:t>, </w:t>
      </w:r>
      <w:r w:rsidRPr="00446A7C">
        <w:rPr>
          <w:rFonts w:eastAsia="Calibri" w:cs="Times New Roman"/>
          <w:i/>
          <w:iCs/>
          <w:szCs w:val="24"/>
          <w:lang w:val="en-US"/>
        </w:rPr>
        <w:t>2</w:t>
      </w:r>
      <w:r w:rsidRPr="00446A7C">
        <w:rPr>
          <w:rFonts w:eastAsia="Calibri" w:cs="Times New Roman"/>
          <w:szCs w:val="24"/>
          <w:lang w:val="en-US"/>
        </w:rPr>
        <w:t>(2), 239174.</w:t>
      </w:r>
    </w:p>
    <w:p w14:paraId="7D92A9C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Hidrobo, M., Peterman, A., &amp; Heise, L. (2016). The effect of cash, vouchers, and food transfers on intimate partner violence: evidence from a randomized experiment in Northern Ecuador. </w:t>
      </w:r>
      <w:r w:rsidRPr="00446A7C">
        <w:rPr>
          <w:rFonts w:eastAsia="Calibri" w:cs="Times New Roman"/>
          <w:i/>
          <w:iCs/>
          <w:szCs w:val="24"/>
          <w:lang w:val="en-US"/>
        </w:rPr>
        <w:t>American Economic Journal: Applied Economics</w:t>
      </w:r>
      <w:r w:rsidRPr="00446A7C">
        <w:rPr>
          <w:rFonts w:eastAsia="Calibri" w:cs="Times New Roman"/>
          <w:szCs w:val="24"/>
          <w:lang w:val="en-US"/>
        </w:rPr>
        <w:t>, </w:t>
      </w:r>
      <w:r w:rsidRPr="00446A7C">
        <w:rPr>
          <w:rFonts w:eastAsia="Calibri" w:cs="Times New Roman"/>
          <w:i/>
          <w:iCs/>
          <w:szCs w:val="24"/>
          <w:lang w:val="en-US"/>
        </w:rPr>
        <w:t>8</w:t>
      </w:r>
      <w:r w:rsidRPr="00446A7C">
        <w:rPr>
          <w:rFonts w:eastAsia="Calibri" w:cs="Times New Roman"/>
          <w:szCs w:val="24"/>
          <w:lang w:val="en-US"/>
        </w:rPr>
        <w:t>(3), 284-303.</w:t>
      </w:r>
    </w:p>
    <w:p w14:paraId="7E8871B6" w14:textId="77777777" w:rsidR="0008415E" w:rsidRPr="00446A7C" w:rsidRDefault="00000000" w:rsidP="00004537">
      <w:pPr>
        <w:spacing w:after="0" w:line="360" w:lineRule="auto"/>
        <w:ind w:left="720" w:hanging="720"/>
        <w:jc w:val="both"/>
        <w:rPr>
          <w:rFonts w:eastAsia="Calibri" w:cs="Times New Roman"/>
          <w:szCs w:val="24"/>
          <w:lang w:val="en-US"/>
        </w:rPr>
      </w:pPr>
      <w:bookmarkStart w:id="183" w:name="_Hlk160781147"/>
      <w:r w:rsidRPr="00446A7C">
        <w:rPr>
          <w:rFonts w:eastAsia="Calibri" w:cs="Times New Roman"/>
          <w:szCs w:val="24"/>
          <w:lang w:val="en-US"/>
        </w:rPr>
        <w:t>Hosny</w:t>
      </w:r>
      <w:bookmarkEnd w:id="183"/>
      <w:r w:rsidRPr="00446A7C">
        <w:rPr>
          <w:rFonts w:eastAsia="Calibri" w:cs="Times New Roman"/>
          <w:szCs w:val="24"/>
          <w:lang w:val="en-US"/>
        </w:rPr>
        <w:t>, A., &amp; Sollaci, A. (2022). Digitalization and Social Protection: Macro and Micro Lessons for Vietnam.</w:t>
      </w:r>
    </w:p>
    <w:p w14:paraId="537F5052" w14:textId="77777777" w:rsidR="0008415E" w:rsidRPr="00446A7C" w:rsidRDefault="00000000" w:rsidP="00004537">
      <w:pPr>
        <w:spacing w:after="0" w:line="360" w:lineRule="auto"/>
        <w:ind w:left="720" w:hanging="720"/>
        <w:jc w:val="both"/>
        <w:rPr>
          <w:rFonts w:eastAsia="Calibri" w:cs="Times New Roman"/>
          <w:i/>
          <w:iCs/>
          <w:szCs w:val="24"/>
          <w:lang w:val="en-US"/>
        </w:rPr>
      </w:pPr>
      <w:bookmarkStart w:id="184" w:name="_Hlk160780584"/>
      <w:r w:rsidRPr="00446A7C">
        <w:rPr>
          <w:rFonts w:eastAsia="Calibri" w:cs="Times New Roman"/>
          <w:szCs w:val="24"/>
          <w:lang w:val="en-US"/>
        </w:rPr>
        <w:t xml:space="preserve">Iazzolino, G. (2018). </w:t>
      </w:r>
      <w:bookmarkEnd w:id="184"/>
      <w:r w:rsidRPr="00446A7C">
        <w:rPr>
          <w:rFonts w:eastAsia="Calibri" w:cs="Times New Roman"/>
          <w:szCs w:val="24"/>
          <w:lang w:val="en-US"/>
        </w:rPr>
        <w:t xml:space="preserve">Digitizing social protection payments: </w:t>
      </w:r>
      <w:r w:rsidRPr="00446A7C">
        <w:rPr>
          <w:rFonts w:eastAsia="Calibri" w:cs="Times New Roman"/>
          <w:i/>
          <w:iCs/>
          <w:szCs w:val="24"/>
          <w:lang w:val="en-US"/>
        </w:rPr>
        <w:t>Progress and prospects for financial inclusion.</w:t>
      </w:r>
    </w:p>
    <w:p w14:paraId="563947B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International Labour Office. (2017). </w:t>
      </w:r>
      <w:r w:rsidRPr="00446A7C">
        <w:rPr>
          <w:rFonts w:eastAsia="Calibri" w:cs="Times New Roman"/>
          <w:i/>
          <w:iCs/>
          <w:szCs w:val="24"/>
          <w:lang w:val="en-US"/>
        </w:rPr>
        <w:t>World social protection report 2017-19: universal social protection to achieve the sustainable development goals</w:t>
      </w:r>
      <w:r w:rsidRPr="00446A7C">
        <w:rPr>
          <w:rFonts w:eastAsia="Calibri" w:cs="Times New Roman"/>
          <w:szCs w:val="24"/>
          <w:lang w:val="en-US"/>
        </w:rPr>
        <w:t>. International Labour Organisation (ILO).</w:t>
      </w:r>
    </w:p>
    <w:p w14:paraId="6E80D68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International Social Protection Assessment (ISPA). (2016). Social Protection payment delivery Mechanisms. </w:t>
      </w:r>
      <w:r w:rsidRPr="00446A7C">
        <w:rPr>
          <w:rFonts w:eastAsia="Calibri" w:cs="Times New Roman"/>
          <w:i/>
          <w:iCs/>
          <w:szCs w:val="24"/>
        </w:rPr>
        <w:t>Inter-Agency Social Protection Assessments Partnership</w:t>
      </w:r>
      <w:r w:rsidRPr="00446A7C">
        <w:rPr>
          <w:rFonts w:eastAsia="Calibri" w:cs="Times New Roman"/>
          <w:szCs w:val="24"/>
        </w:rPr>
        <w:t xml:space="preserve">, 158. </w:t>
      </w:r>
    </w:p>
    <w:p w14:paraId="5FB1CDF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t>Islam, A. H., Basher, S. A., &amp; Enamul Haque, A. K. (2022). The impact of mobile money on long-term poverty: evidence from Bangladesh. </w:t>
      </w:r>
      <w:r w:rsidRPr="00446A7C">
        <w:rPr>
          <w:rFonts w:eastAsia="Calibri" w:cs="Times New Roman"/>
          <w:i/>
          <w:iCs/>
          <w:szCs w:val="24"/>
          <w:lang w:val="en-US"/>
        </w:rPr>
        <w:t>Journal of Social and Economic Development</w:t>
      </w:r>
      <w:r w:rsidRPr="00446A7C">
        <w:rPr>
          <w:rFonts w:eastAsia="Calibri" w:cs="Times New Roman"/>
          <w:szCs w:val="24"/>
          <w:lang w:val="en-US"/>
        </w:rPr>
        <w:t>, 24(2), 436-455.</w:t>
      </w:r>
    </w:p>
    <w:p w14:paraId="4337FC2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Islam, M. M., Clarke, M., &amp; Alnuaimi, A. (2020). Entrepreneurial Ecosystems and Digital Technologies: Pathways to Economic Development and Sustainability. </w:t>
      </w:r>
      <w:r w:rsidRPr="00446A7C">
        <w:rPr>
          <w:rFonts w:eastAsia="Calibri" w:cs="Times New Roman"/>
          <w:i/>
          <w:iCs/>
          <w:szCs w:val="24"/>
        </w:rPr>
        <w:t>Technological Forecasting and Social Change, 155</w:t>
      </w:r>
      <w:r w:rsidRPr="00446A7C">
        <w:rPr>
          <w:rFonts w:eastAsia="Calibri" w:cs="Times New Roman"/>
          <w:szCs w:val="24"/>
        </w:rPr>
        <w:t xml:space="preserve">, 120047. </w:t>
      </w:r>
    </w:p>
    <w:p w14:paraId="55D192E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Jackson, A., &amp; Rogers, B. (2019). Delayed Payments and Their Impact on Cash Transfer Programs: Lessons from a Global Review. </w:t>
      </w:r>
      <w:r w:rsidRPr="00446A7C">
        <w:rPr>
          <w:rFonts w:eastAsia="Calibri" w:cs="Times New Roman"/>
          <w:i/>
          <w:iCs/>
          <w:szCs w:val="24"/>
        </w:rPr>
        <w:t>Journal of Development Economics</w:t>
      </w:r>
      <w:r w:rsidRPr="00446A7C">
        <w:rPr>
          <w:rFonts w:eastAsia="Calibri" w:cs="Times New Roman"/>
          <w:szCs w:val="24"/>
        </w:rPr>
        <w:t xml:space="preserve">, 45(3), 321-335. </w:t>
      </w:r>
    </w:p>
    <w:p w14:paraId="63FD71D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Jaha, I., &amp; Sika-Bright, S. (2015). Challenges of the Livelihood Empowerment Against Poverty Programme in the Upper West Region of Ghana: The Institutional Perspective</w:t>
      </w:r>
      <w:r w:rsidRPr="00446A7C">
        <w:rPr>
          <w:rFonts w:eastAsia="Calibri" w:cs="Times New Roman"/>
          <w:i/>
          <w:iCs/>
          <w:szCs w:val="24"/>
        </w:rPr>
        <w:t>. UDS International Journal of Development</w:t>
      </w:r>
      <w:r w:rsidRPr="00446A7C">
        <w:rPr>
          <w:rFonts w:eastAsia="Calibri" w:cs="Times New Roman"/>
          <w:szCs w:val="24"/>
        </w:rPr>
        <w:t xml:space="preserve">, 2(1), 188–205. </w:t>
      </w:r>
    </w:p>
    <w:p w14:paraId="0D065C9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lang w:val="en-US"/>
        </w:rPr>
        <w:lastRenderedPageBreak/>
        <w:t>Janssen, M. F. W. H. A. (2014, August). Revisiting the problem of technological and social determinism: Reflections for digital government scholars. In </w:t>
      </w:r>
      <w:r w:rsidRPr="00446A7C">
        <w:rPr>
          <w:rFonts w:eastAsia="Calibri" w:cs="Times New Roman"/>
          <w:i/>
          <w:iCs/>
          <w:szCs w:val="24"/>
          <w:lang w:val="en-US"/>
        </w:rPr>
        <w:t>Electronic Government and Electronic Participation: Joint Proceedings of Ongoing Research, Workshop and Projects of IFIP EGOV</w:t>
      </w:r>
      <w:r w:rsidRPr="00446A7C">
        <w:rPr>
          <w:rFonts w:eastAsia="Calibri" w:cs="Times New Roman"/>
          <w:szCs w:val="24"/>
          <w:lang w:val="en-US"/>
        </w:rPr>
        <w:t> (p. 254).</w:t>
      </w:r>
    </w:p>
    <w:p w14:paraId="4819F760" w14:textId="77777777" w:rsidR="0008415E" w:rsidRPr="00446A7C" w:rsidRDefault="00000000" w:rsidP="00004537">
      <w:pPr>
        <w:spacing w:after="0" w:line="360" w:lineRule="auto"/>
        <w:ind w:left="720" w:hanging="720"/>
        <w:jc w:val="both"/>
        <w:rPr>
          <w:rFonts w:eastAsia="Calibri" w:cs="Times New Roman"/>
          <w:szCs w:val="24"/>
        </w:rPr>
      </w:pPr>
      <w:r w:rsidRPr="00446A7C">
        <w:rPr>
          <w:rFonts w:cs="Times New Roman"/>
          <w:bCs/>
          <w:szCs w:val="24"/>
          <w:lang w:val="en-US"/>
        </w:rPr>
        <w:t>Joha, B. I. (2012). Effects of livelihood empowerment programme in reducing poverty of beneficiary households in Yama, Northern Region. </w:t>
      </w:r>
      <w:r w:rsidRPr="00446A7C">
        <w:rPr>
          <w:rFonts w:cs="Times New Roman"/>
          <w:bCs/>
          <w:i/>
          <w:iCs/>
          <w:szCs w:val="24"/>
          <w:lang w:val="en-US"/>
        </w:rPr>
        <w:t>Unpublished thesis). University of Ghana, Legon. doi</w:t>
      </w:r>
      <w:r w:rsidRPr="00446A7C">
        <w:rPr>
          <w:rFonts w:cs="Times New Roman"/>
          <w:bCs/>
          <w:szCs w:val="24"/>
          <w:lang w:val="en-US"/>
        </w:rPr>
        <w:t>, </w:t>
      </w:r>
      <w:r w:rsidRPr="00446A7C">
        <w:rPr>
          <w:rFonts w:cs="Times New Roman"/>
          <w:bCs/>
          <w:i/>
          <w:iCs/>
          <w:szCs w:val="24"/>
          <w:lang w:val="en-US"/>
        </w:rPr>
        <w:t>10</w:t>
      </w:r>
      <w:r w:rsidRPr="00446A7C">
        <w:rPr>
          <w:rFonts w:cs="Times New Roman"/>
          <w:bCs/>
          <w:szCs w:val="24"/>
          <w:lang w:val="en-US"/>
        </w:rPr>
        <w:t>.</w:t>
      </w:r>
    </w:p>
    <w:p w14:paraId="2733E968"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John A. Donaldson, J. L., Mudaliar, S., Kadir, M. M., Wu, B., &amp; Yeoh, L. K. (2013). Measuring Poverty in Singapore: Frameworks for Consideration. Institutional Knowledge at Singapore Management University, Journal of Social and Economic Development, volume 24, issue 2, p. 436.  </w:t>
      </w:r>
    </w:p>
    <w:p w14:paraId="0D8DF1DB"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Kanekar, S. (2022). </w:t>
      </w:r>
      <w:r w:rsidRPr="00446A7C">
        <w:rPr>
          <w:rFonts w:eastAsia="Calibri" w:cs="Times New Roman"/>
          <w:i/>
          <w:iCs/>
          <w:szCs w:val="24"/>
          <w:lang w:val="en-US"/>
        </w:rPr>
        <w:t>Determinism and Its Discontents: Morality, Religion, and the Need for Freedom of Will</w:t>
      </w:r>
      <w:r w:rsidRPr="00446A7C">
        <w:rPr>
          <w:rFonts w:eastAsia="Calibri" w:cs="Times New Roman"/>
          <w:szCs w:val="24"/>
          <w:lang w:val="en-US"/>
        </w:rPr>
        <w:t xml:space="preserve">. Universal-Publishers. </w:t>
      </w:r>
    </w:p>
    <w:p w14:paraId="1984257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Kaplinsky, R. (2011). Technological determinism and poverty reduction. World Development, 39(10), 1765-1775. </w:t>
      </w:r>
    </w:p>
    <w:p w14:paraId="7D9D337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Kerlinger, H. (1964). Foundations of Behavioral Research. Holt, Rinehart and Winston, Inc., </w:t>
      </w:r>
    </w:p>
    <w:p w14:paraId="12CB7CA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Khan, S. (2013). Safety Net, Social Protection, and Sustainable Poverty Reduction: A Review of the Evidences and Arguments for Developing Countries. IOSR Journal of Humanities and Social Science, 15(2), 23–29.  </w:t>
      </w:r>
    </w:p>
    <w:p w14:paraId="2378C24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Khando, K., Islam, M. S., &amp; Gao, S. (2023). The Emerging Technologies of Digital Payments and Associated Challenges: A Systematic Literature Review. Future Internet, 15(1), 21</w:t>
      </w:r>
    </w:p>
    <w:p w14:paraId="6AC28B9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 </w:t>
      </w:r>
      <w:r w:rsidRPr="00446A7C">
        <w:rPr>
          <w:rFonts w:eastAsia="Calibri" w:cs="Times New Roman"/>
          <w:szCs w:val="24"/>
          <w:lang w:val="en-US"/>
        </w:rPr>
        <w:t>Kind, M., &amp; Lee, Y. F. (2021). Social protection in rural areas: achieving universal access for all.</w:t>
      </w:r>
    </w:p>
    <w:p w14:paraId="4472F41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Kivunja, C. 2018.Distinguishing between Theory, Theoretical Framework, and Conceptual Framework: A Systematic Review of Lessons from the Field. International Journal of Higher Education 7(6): 4453.doi:10.5430/ijhe. v7n6p44. </w:t>
      </w:r>
    </w:p>
    <w:p w14:paraId="090B832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Laderchi, Caterina Ruggari Ruhi, S., &amp; Frances, S. (2003). F. (2003). “Does it matter that we don’t agree on the definition of poverty? A comparison of four approaches.” Working Paper, 107,1–41.  </w:t>
      </w:r>
    </w:p>
    <w:p w14:paraId="19B2623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Leavy, P. (2017). Research Design: Quantitative, Qualitative, Mixed Methods, Arts-Based, and Community-Based Participatory Research Approaches. New York: The Guilford Press. </w:t>
      </w:r>
    </w:p>
    <w:p w14:paraId="6B6F31B8"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Lee, N. T., Seddon, J., Tanner, B., &amp; Lai, S. (2022). Why the federal government needs to step up efforts to close the rural broadband divide, Report# 1 of the Rural Broadband Equity Project. </w:t>
      </w:r>
    </w:p>
    <w:p w14:paraId="23D35A3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Leitch, C. M., Hill, F. M., &amp; Harrison, R. T. (2010). The Philosophy and Practice of Interpretivist Research in Entrepreneurship. 67–84. </w:t>
      </w:r>
    </w:p>
    <w:p w14:paraId="7E38483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Linden, I. (2021). Using Technology to Improve Social Protection Programs. World Bank Blogs.  </w:t>
      </w:r>
    </w:p>
    <w:p w14:paraId="50366EB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Lindert, K., Karippacheril, T. G., Caillava, I. R., &amp; Chávez, K. N. (Eds.). (2020). Sourcebook on the foundations of social protection delivery systems. World Bank Publications. </w:t>
      </w:r>
    </w:p>
    <w:p w14:paraId="534175E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Lowe, C. (2022). The Digitalisation of Social Protection before and since the onset of COVID-19 </w:t>
      </w:r>
    </w:p>
    <w:p w14:paraId="11553DE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Lowe, C., Rigolini, J., Solbes Castro, L., &amp; Bastagli, F. (2023). Pathways toward digitalization in Social Protection and Labor (SPL) service delivery (No. 230). </w:t>
      </w:r>
    </w:p>
    <w:p w14:paraId="0E3524C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Ludi, E. V. A. (2009). Poverty Brief – Understanding Poverty. 8.  </w:t>
      </w:r>
    </w:p>
    <w:p w14:paraId="27D0E04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Mansell, R., &amp; Hwa, K. (2015). The diffusion of mobile telephony in Asia: An introduction. In The Mobile Internet: Access, Use, Opportunities, and Divides (pp. 1-21). Springer. Market Research: An International Journal, 17, 77–84. </w:t>
      </w:r>
    </w:p>
    <w:p w14:paraId="1338D28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Marshal, C &amp; Rossman, G.B (1999). Designing Qualitative Research. SAGE</w:t>
      </w:r>
    </w:p>
    <w:p w14:paraId="05F1F4A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Masiero, S., &amp; Prakash, A. (2020). ICT in social protection schemes: Deinstitutionalizing subsidy-based welfare programmes. Information Technology &amp; People, 33(4), 1255-1280. McGrawHill Education. </w:t>
      </w:r>
    </w:p>
    <w:p w14:paraId="2E43F34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Maton, K. I. (2008). Empowering community settings: Agents of individual development, community betterment, and positive social change. American Journal of Community Psychology, 41(1-2), 4-21.</w:t>
      </w:r>
    </w:p>
    <w:p w14:paraId="7FD7C1C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Mckay, C., Mdluli, G., Chebii, M., &amp; Malu, V. (2020). The Future of government- to – person (G2P) payments: Innovating for Customer Choice in Kenya. Consultative Group to Assist the Poor &amp; fsd Kenya. Kenya: CGAP. </w:t>
      </w:r>
    </w:p>
    <w:p w14:paraId="1330EB5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Medosch, A. (2005). Technological Determinism in Media Art. Access, October, 1–57. </w:t>
      </w:r>
    </w:p>
    <w:p w14:paraId="56C16DE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Mehta, A. K., Bhide, S., Kumar, A., &amp; Shah, A. (2018). Poverty, Chronic Poverty and Poverty (Aasha KAPUR Mehta Indian institute of public administration, A. K. Indian institute of advanced Study, </w:t>
      </w:r>
    </w:p>
    <w:p w14:paraId="55A21613"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Mendoza, R. U., Banzon, E. P., &amp; Banzon, B. R. (2017). Exploring the Experiences of Beneficiaries and Social Workers in the Pantawid Pamilyang Pilipino Program (4Ps). Philippine Journal of Social Sciences and Humanities, 24(1), 1-20. </w:t>
      </w:r>
    </w:p>
    <w:p w14:paraId="4635CAF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Meyer, S., Mfum-Mensah, O., &amp; Kojo, E. (2020). Reconceptualizing Social Protection for Livelihood Empowerment: Perspectives from Young People in Ghana. World Development, 126, 104713. </w:t>
      </w:r>
    </w:p>
    <w:p w14:paraId="18B84D6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Ministry of Gender Children and Social Protection. (2015). Ministry of gender, children and social protection Ghana national social protection policy final draft November, 2015. 1–52. </w:t>
      </w:r>
    </w:p>
    <w:p w14:paraId="717F5DC8" w14:textId="77777777" w:rsidR="0008415E" w:rsidRPr="000E2D2C" w:rsidRDefault="00000000" w:rsidP="00004537">
      <w:pPr>
        <w:spacing w:after="0" w:line="360" w:lineRule="auto"/>
        <w:ind w:left="720" w:hanging="720"/>
        <w:jc w:val="both"/>
        <w:rPr>
          <w:rFonts w:eastAsia="Calibri" w:cs="Times New Roman"/>
          <w:color w:val="000000" w:themeColor="text1"/>
          <w:szCs w:val="24"/>
          <w:lang w:val="en-US"/>
        </w:rPr>
      </w:pPr>
      <w:r w:rsidRPr="00446A7C">
        <w:rPr>
          <w:rFonts w:eastAsia="Calibri" w:cs="Times New Roman"/>
          <w:szCs w:val="24"/>
          <w:lang w:val="en-US"/>
        </w:rPr>
        <w:t xml:space="preserve">Ministry of Gender, Children and Social Protection (MoGCSP). (2024) </w:t>
      </w:r>
      <w:hyperlink r:id="rId25">
        <w:r w:rsidRPr="000E2D2C">
          <w:rPr>
            <w:rFonts w:eastAsia="Calibri" w:cs="Times New Roman"/>
            <w:color w:val="000000" w:themeColor="text1"/>
            <w:szCs w:val="24"/>
            <w:lang w:val="en-US"/>
          </w:rPr>
          <w:t>https://www.mogcsp.gov.gh/projects/ghana-national-household-registry-gnhr/</w:t>
        </w:r>
      </w:hyperlink>
    </w:p>
    <w:p w14:paraId="3E3DC648"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Molyneux, M. (2006). Mothers at the service of the new poverty agenda: progresa/oportunidades, Mexico's conditional transfer programme. </w:t>
      </w:r>
      <w:r w:rsidRPr="00446A7C">
        <w:rPr>
          <w:rFonts w:eastAsia="Calibri" w:cs="Times New Roman"/>
          <w:i/>
          <w:iCs/>
          <w:szCs w:val="24"/>
          <w:lang w:val="en-US"/>
        </w:rPr>
        <w:t>Social Policy &amp; Administration</w:t>
      </w:r>
      <w:r w:rsidRPr="00446A7C">
        <w:rPr>
          <w:rFonts w:eastAsia="Calibri" w:cs="Times New Roman"/>
          <w:szCs w:val="24"/>
          <w:lang w:val="en-US"/>
        </w:rPr>
        <w:t>, </w:t>
      </w:r>
      <w:r w:rsidRPr="00446A7C">
        <w:rPr>
          <w:rFonts w:eastAsia="Calibri" w:cs="Times New Roman"/>
          <w:i/>
          <w:iCs/>
          <w:szCs w:val="24"/>
          <w:lang w:val="en-US"/>
        </w:rPr>
        <w:t>40</w:t>
      </w:r>
      <w:r w:rsidRPr="00446A7C">
        <w:rPr>
          <w:rFonts w:eastAsia="Calibri" w:cs="Times New Roman"/>
          <w:szCs w:val="24"/>
          <w:lang w:val="en-US"/>
        </w:rPr>
        <w:t>(4), 425-449.</w:t>
      </w:r>
    </w:p>
    <w:p w14:paraId="62EC7F1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Nakano, D., &amp; Muniz Jr, J. (2018). Writing the literature review for empirical papers. Production, 28. </w:t>
      </w:r>
    </w:p>
    <w:p w14:paraId="25D555E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Nandom Municipal Assembly. (2023-2026). composite budget for programme-based budget estimates. Nandom municipal assembly </w:t>
      </w:r>
    </w:p>
    <w:p w14:paraId="044D34A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Narayan, D., Patel, R., Schafft, K., Rademacher, A., &amp; Koch-Schulte, S. (2000). Voices of the poor: Can anyone hear us? Oxford University Press.</w:t>
      </w:r>
    </w:p>
    <w:p w14:paraId="20E95A7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National Social Protection Strategy (NSP). NSPS. (2007). March. </w:t>
      </w:r>
    </w:p>
    <w:p w14:paraId="334117E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Ndung'u, N. (2018). The M-Pesa Technological Revolution for Financial Services in Kenya: A Platform for Financial Inclusion. Handbook of Blockchain, Digital Finance, and Inclusion, Volume 1, 3756. https://doi.org/10.1016/B978-0-12-810441-5.00003-8 </w:t>
      </w:r>
    </w:p>
    <w:p w14:paraId="633E85A7" w14:textId="77777777" w:rsidR="0008415E"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Neuman, W. L. (2011). Basics of social research methods: Qualitative and quantitative approaches (3rd ed.). Boston: Pearson Education, Inc </w:t>
      </w:r>
    </w:p>
    <w:p w14:paraId="68011EBB" w14:textId="77777777" w:rsidR="009F3C33" w:rsidRDefault="009F3C33" w:rsidP="00004537">
      <w:pPr>
        <w:spacing w:after="0" w:line="360" w:lineRule="auto"/>
        <w:ind w:left="720" w:hanging="720"/>
        <w:jc w:val="both"/>
        <w:rPr>
          <w:rFonts w:eastAsia="Calibri" w:cs="Times New Roman"/>
          <w:szCs w:val="24"/>
        </w:rPr>
      </w:pPr>
    </w:p>
    <w:p w14:paraId="69859EB1" w14:textId="77777777" w:rsidR="009F3C33" w:rsidRPr="00446A7C" w:rsidRDefault="009F3C33" w:rsidP="00004537">
      <w:pPr>
        <w:spacing w:after="0" w:line="360" w:lineRule="auto"/>
        <w:ind w:left="720" w:hanging="720"/>
        <w:jc w:val="both"/>
        <w:rPr>
          <w:rFonts w:eastAsia="Calibri" w:cs="Times New Roman"/>
          <w:szCs w:val="24"/>
        </w:rPr>
      </w:pPr>
    </w:p>
    <w:p w14:paraId="709A5339"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Neves, J. A., Vasconcelos, F. D. A. G. D., Machado, M. L., Recine, E., Garcia, G. S., &amp; Medeiros, M. A. T. D. (2022). The Brazilian cash transfer program (Bolsa Família): A tool for reducing inequalities and achieving social rights in Brazil. Global Public Health, 17(1), 26-42. New York. </w:t>
      </w:r>
    </w:p>
    <w:p w14:paraId="6B779FB3"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Niang, M., Gélinas, É., Samb, O. M., &amp; Ridde, V. (2022). The role of mutuals in social protection policies: innovative experiences around the world. 1–13. </w:t>
      </w:r>
    </w:p>
    <w:p w14:paraId="673688BE"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Nina Di, G. (2013). Technological Determinism and School: Is Technology Today Driving the Reshaping of Practices and Curriculum in the Contemporary Classroom? Nina Di Giovanni EDDL 5151: Managing your Technology Classroom TRU Open. 1–19. </w:t>
      </w:r>
    </w:p>
    <w:p w14:paraId="3228BE7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Njoroge, B., Kihara, P., &amp; Gichohi, P. (2019). Technology Influence on Performance of Cash Transfer Programmes in the Public Sector in Nairobi County, Kenya. International Journal of Professional Practice, 7(1), 104–112. </w:t>
      </w:r>
    </w:p>
    <w:p w14:paraId="601F7BB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Norton, A., Conway, T., &amp; Foster, M. (2001). Social protection concepts and approaches: Implications for policy and practice in international development (Vol. 143). London: Overseas Development </w:t>
      </w:r>
    </w:p>
    <w:p w14:paraId="32DB4825" w14:textId="77777777" w:rsidR="0008415E" w:rsidRDefault="00000000" w:rsidP="00004537">
      <w:pPr>
        <w:spacing w:after="0" w:line="360" w:lineRule="auto"/>
        <w:ind w:left="720" w:hanging="720"/>
        <w:jc w:val="both"/>
        <w:rPr>
          <w:rFonts w:eastAsia="Calibri" w:cs="Times New Roman"/>
          <w:color w:val="000000" w:themeColor="text1"/>
          <w:szCs w:val="24"/>
          <w:lang w:val="en-US"/>
        </w:rPr>
      </w:pPr>
      <w:r w:rsidRPr="00446A7C">
        <w:rPr>
          <w:rFonts w:eastAsia="Calibri" w:cs="Times New Roman"/>
          <w:szCs w:val="24"/>
          <w:lang w:val="en-US"/>
        </w:rPr>
        <w:t xml:space="preserve">Nunes, C. (2008). </w:t>
      </w:r>
      <w:r w:rsidRPr="00446A7C">
        <w:rPr>
          <w:rFonts w:eastAsia="Calibri" w:cs="Times New Roman"/>
          <w:i/>
          <w:iCs/>
          <w:szCs w:val="24"/>
          <w:lang w:val="en-US"/>
        </w:rPr>
        <w:t>Poverty measurement: The development of different approaches and its techniques</w:t>
      </w:r>
      <w:r w:rsidRPr="00446A7C">
        <w:rPr>
          <w:rFonts w:eastAsia="Calibri" w:cs="Times New Roman"/>
          <w:szCs w:val="24"/>
          <w:lang w:val="en-US"/>
        </w:rPr>
        <w:t xml:space="preserve"> (ECINEQ No. 2008-93). Retrieved from </w:t>
      </w:r>
      <w:hyperlink r:id="rId26">
        <w:r w:rsidRPr="000E2D2C">
          <w:rPr>
            <w:rFonts w:eastAsia="Calibri" w:cs="Times New Roman"/>
            <w:color w:val="000000" w:themeColor="text1"/>
            <w:szCs w:val="24"/>
            <w:lang w:val="en-US"/>
          </w:rPr>
          <w:t>http://www.ecineq.org/milano/WP/ECINEQ2008-93.pdf</w:t>
        </w:r>
      </w:hyperlink>
      <w:r w:rsidRPr="000E2D2C">
        <w:rPr>
          <w:rFonts w:eastAsia="Calibri" w:cs="Times New Roman"/>
          <w:color w:val="000000" w:themeColor="text1"/>
          <w:szCs w:val="24"/>
          <w:lang w:val="en-US"/>
        </w:rPr>
        <w:t>.</w:t>
      </w:r>
    </w:p>
    <w:p w14:paraId="0355FAD5" w14:textId="77777777" w:rsidR="000E2D2C" w:rsidRPr="000E2D2C" w:rsidRDefault="000E2D2C" w:rsidP="00004537">
      <w:pPr>
        <w:spacing w:after="0" w:line="360" w:lineRule="auto"/>
        <w:ind w:left="720" w:hanging="720"/>
        <w:jc w:val="both"/>
        <w:rPr>
          <w:rFonts w:eastAsia="Calibri" w:cs="Times New Roman"/>
          <w:color w:val="000000" w:themeColor="text1"/>
          <w:szCs w:val="24"/>
          <w:lang w:val="en-US"/>
        </w:rPr>
      </w:pPr>
    </w:p>
    <w:p w14:paraId="216B93A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O'Brien, C., &amp; Garcia, M. (2015). The role of conditional cash transfers in reducing child labor and increasing school attendance and school quality in developing countries: An evidence-based review of the literature. Institute of Labor Economics (IZA) Discussion Paper, (8880).</w:t>
      </w:r>
    </w:p>
    <w:p w14:paraId="370C29D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OECD. (2019). Going Digital: Shaping Policies, Improving Lives.  </w:t>
      </w:r>
    </w:p>
    <w:p w14:paraId="68ADCB1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Okoree, B. I. A., Sedegah, D. D., &amp; Sakyi, O. E. (2020). The impact of livelihood empowerment against poverty (LEAP) on its beneficiaries in the Ga east municipality in the greater Accra region, Ghana. Journal of Scientific Research and Reports, 26(6), 33-43.</w:t>
      </w:r>
    </w:p>
    <w:p w14:paraId="6E55DF3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Oliver, V. (2010). 301 Smart Answers to Tough Business Etiquette Questions. Skyhorse </w:t>
      </w:r>
    </w:p>
    <w:p w14:paraId="6F6220D7" w14:textId="77777777" w:rsidR="0008415E" w:rsidRPr="00446A7C" w:rsidRDefault="00000000" w:rsidP="00004537">
      <w:pPr>
        <w:spacing w:after="0" w:line="360" w:lineRule="auto"/>
        <w:ind w:left="720" w:hanging="720"/>
        <w:jc w:val="both"/>
        <w:rPr>
          <w:rFonts w:eastAsia="Calibri" w:cs="Times New Roman"/>
          <w:szCs w:val="24"/>
        </w:rPr>
      </w:pPr>
      <w:r w:rsidRPr="00446A7C">
        <w:rPr>
          <w:rFonts w:cs="Times New Roman"/>
          <w:bCs/>
          <w:szCs w:val="24"/>
          <w:lang w:val="en-US"/>
        </w:rPr>
        <w:t>Osei, R. D. (2011). Reducing poverty through a social grants programme: The case of Ghana. </w:t>
      </w:r>
      <w:r w:rsidRPr="00446A7C">
        <w:rPr>
          <w:rFonts w:cs="Times New Roman"/>
          <w:bCs/>
          <w:i/>
          <w:iCs/>
          <w:szCs w:val="24"/>
          <w:lang w:val="en-US"/>
        </w:rPr>
        <w:t>ISSER research paper, Ghana Institute of Statistical Social and Economic Research, University of Ghana, Accra, Ghana</w:t>
      </w:r>
      <w:r w:rsidRPr="00446A7C">
        <w:rPr>
          <w:rFonts w:cs="Times New Roman"/>
          <w:bCs/>
          <w:szCs w:val="24"/>
          <w:lang w:val="en-US"/>
        </w:rPr>
        <w:t>.</w:t>
      </w:r>
    </w:p>
    <w:p w14:paraId="2292D7B6" w14:textId="77777777" w:rsidR="0008415E" w:rsidRPr="00446A7C" w:rsidRDefault="00000000" w:rsidP="00004537">
      <w:pPr>
        <w:spacing w:after="0" w:line="360" w:lineRule="auto"/>
        <w:ind w:left="720" w:hanging="720"/>
        <w:jc w:val="both"/>
        <w:rPr>
          <w:rFonts w:eastAsia="Calibri" w:cs="Times New Roman"/>
          <w:szCs w:val="24"/>
        </w:rPr>
      </w:pPr>
      <w:r w:rsidRPr="00446A7C">
        <w:rPr>
          <w:rFonts w:cs="Times New Roman"/>
          <w:bCs/>
          <w:szCs w:val="24"/>
          <w:lang w:val="en-US"/>
        </w:rPr>
        <w:lastRenderedPageBreak/>
        <w:t>Osei, R. D., &amp; Lambon‐Quayefio, M. (2021). Cash transfers and the supply of labor by poor households: Evidence from the livelihood empowerment against poverty program in Ghana. </w:t>
      </w:r>
      <w:r w:rsidRPr="00446A7C">
        <w:rPr>
          <w:rFonts w:cs="Times New Roman"/>
          <w:bCs/>
          <w:i/>
          <w:iCs/>
          <w:szCs w:val="24"/>
          <w:lang w:val="en-US"/>
        </w:rPr>
        <w:t>Review of Development Economics</w:t>
      </w:r>
      <w:r w:rsidRPr="00446A7C">
        <w:rPr>
          <w:rFonts w:cs="Times New Roman"/>
          <w:bCs/>
          <w:szCs w:val="24"/>
          <w:lang w:val="en-US"/>
        </w:rPr>
        <w:t>, </w:t>
      </w:r>
      <w:r w:rsidRPr="00446A7C">
        <w:rPr>
          <w:rFonts w:cs="Times New Roman"/>
          <w:bCs/>
          <w:i/>
          <w:iCs/>
          <w:szCs w:val="24"/>
          <w:lang w:val="en-US"/>
        </w:rPr>
        <w:t>25</w:t>
      </w:r>
      <w:r w:rsidRPr="00446A7C">
        <w:rPr>
          <w:rFonts w:cs="Times New Roman"/>
          <w:bCs/>
          <w:szCs w:val="24"/>
          <w:lang w:val="en-US"/>
        </w:rPr>
        <w:t>(3), 1293-1304.</w:t>
      </w:r>
    </w:p>
    <w:p w14:paraId="766A217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Owusu-Addo, E., Renzaho, A. M. N., &amp; Smith, B. J. (2018). Evaluation of cash transfer programs in subSaharan Africa: A methodological review. Evaluation and Program Planning, 68(December 2017), 47–56 </w:t>
      </w:r>
    </w:p>
    <w:p w14:paraId="609346A5"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Pal, G. C. (2018). Disability, Social Policy, and Inclusiveness: The Missing Links. </w:t>
      </w:r>
      <w:r w:rsidRPr="00446A7C">
        <w:rPr>
          <w:rFonts w:eastAsia="Calibri" w:cs="Times New Roman"/>
          <w:i/>
          <w:iCs/>
          <w:szCs w:val="24"/>
          <w:lang w:val="en-US"/>
        </w:rPr>
        <w:t>Journal of Social Inclusion Studies</w:t>
      </w:r>
      <w:r w:rsidRPr="00446A7C">
        <w:rPr>
          <w:rFonts w:eastAsia="Calibri" w:cs="Times New Roman"/>
          <w:szCs w:val="24"/>
          <w:lang w:val="en-US"/>
        </w:rPr>
        <w:t>, </w:t>
      </w:r>
      <w:r w:rsidRPr="00446A7C">
        <w:rPr>
          <w:rFonts w:eastAsia="Calibri" w:cs="Times New Roman"/>
          <w:i/>
          <w:iCs/>
          <w:szCs w:val="24"/>
          <w:lang w:val="en-US"/>
        </w:rPr>
        <w:t>4</w:t>
      </w:r>
      <w:r w:rsidRPr="00446A7C">
        <w:rPr>
          <w:rFonts w:eastAsia="Calibri" w:cs="Times New Roman"/>
          <w:szCs w:val="24"/>
          <w:lang w:val="en-US"/>
        </w:rPr>
        <w:t>(2), 301-324.</w:t>
      </w:r>
    </w:p>
    <w:p w14:paraId="0D0A159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Palfrey, J., &amp; Gasser, U. (2016). Born Digital: Understanding the First Generation of Digital Natives. Basic Books. </w:t>
      </w:r>
    </w:p>
    <w:p w14:paraId="56EA052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Patton, M. Q. (2002). Qualitative research and evaluation methods. Thousand Oaks. Cal.: Sage Publications, 4.</w:t>
      </w:r>
    </w:p>
    <w:p w14:paraId="6AD5CE0A" w14:textId="77777777" w:rsidR="0008415E" w:rsidRPr="00446A7C" w:rsidRDefault="00000000" w:rsidP="00004537">
      <w:pPr>
        <w:spacing w:after="0" w:line="360" w:lineRule="auto"/>
        <w:ind w:left="720" w:hanging="720"/>
        <w:jc w:val="both"/>
        <w:rPr>
          <w:rFonts w:eastAsia="Calibri" w:cs="Times New Roman"/>
          <w:szCs w:val="24"/>
        </w:rPr>
      </w:pPr>
      <w:r w:rsidRPr="00446A7C">
        <w:rPr>
          <w:rFonts w:cs="Times New Roman"/>
          <w:bCs/>
          <w:szCs w:val="24"/>
          <w:lang w:val="en-US"/>
        </w:rPr>
        <w:t>Peprah, P., Kyiyaga, E. M., Afful, H., Abalo, E. M., &amp; Agyemang-Duah, W. (2017). Does the Ghanaian livelihood empowerment against poverty programme lead to an increase in household productive livelihood assets? Analysing the Ashanti scenario. </w:t>
      </w:r>
      <w:r w:rsidRPr="00446A7C">
        <w:rPr>
          <w:rFonts w:cs="Times New Roman"/>
          <w:bCs/>
          <w:i/>
          <w:iCs/>
          <w:szCs w:val="24"/>
          <w:lang w:val="en-US"/>
        </w:rPr>
        <w:t>Cogent Social Sciences</w:t>
      </w:r>
      <w:r w:rsidRPr="00446A7C">
        <w:rPr>
          <w:rFonts w:cs="Times New Roman"/>
          <w:bCs/>
          <w:szCs w:val="24"/>
          <w:lang w:val="en-US"/>
        </w:rPr>
        <w:t>, </w:t>
      </w:r>
      <w:r w:rsidRPr="00446A7C">
        <w:rPr>
          <w:rFonts w:cs="Times New Roman"/>
          <w:bCs/>
          <w:i/>
          <w:iCs/>
          <w:szCs w:val="24"/>
          <w:lang w:val="en-US"/>
        </w:rPr>
        <w:t>3</w:t>
      </w:r>
      <w:r w:rsidRPr="00446A7C">
        <w:rPr>
          <w:rFonts w:cs="Times New Roman"/>
          <w:bCs/>
          <w:szCs w:val="24"/>
          <w:lang w:val="en-US"/>
        </w:rPr>
        <w:t>(1), 1298174.</w:t>
      </w:r>
    </w:p>
    <w:p w14:paraId="274E3A0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Perkins, D. D., &amp; Zimmerman, M. A. (1995). Empowerment theory, research, and application. American Journal of Community Psychology, 23(5), 569-579. </w:t>
      </w:r>
    </w:p>
    <w:p w14:paraId="7F15546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Perprem, A. (2020). Assessing The Level of Beneficiaries’ Awareness of Livelihood Empowerment Against Poverty (LEAP) Conditionalities in Nandom District of The Upper West Region of Ghana.  </w:t>
      </w:r>
    </w:p>
    <w:p w14:paraId="70537A7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Prajapat, S., Sabharwal, V., &amp; Wadhwani, V. (2018). A prototype for grievance redressal system. In Proceedings of International Conference on Recent Advancement on Computer and Communication: ICRAC 2017 (pp. 41-49). Springer Singapore.Publishing: New York, USA Publications</w:t>
      </w:r>
    </w:p>
    <w:p w14:paraId="4D8DDDB4"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Prilleltensky, I., &amp; Nelson, G. (2012). Critical Psychology, Prevention, and. </w:t>
      </w:r>
      <w:r w:rsidRPr="00446A7C">
        <w:rPr>
          <w:rFonts w:eastAsia="Calibri" w:cs="Times New Roman"/>
          <w:i/>
          <w:iCs/>
          <w:szCs w:val="24"/>
          <w:lang w:val="en-US"/>
        </w:rPr>
        <w:t>The Oxford Handbook of Prevention in Counseling Psychology</w:t>
      </w:r>
      <w:r w:rsidRPr="00446A7C">
        <w:rPr>
          <w:rFonts w:eastAsia="Calibri" w:cs="Times New Roman"/>
          <w:szCs w:val="24"/>
          <w:lang w:val="en-US"/>
        </w:rPr>
        <w:t xml:space="preserve">, 141. </w:t>
      </w:r>
    </w:p>
    <w:p w14:paraId="567F1E5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Purnomo, M. A. (2022). Digitalization of Social Protection Systems Policy in Indonesia as a Step Towards </w:t>
      </w:r>
    </w:p>
    <w:p w14:paraId="65BB517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Randolph, R. C., &amp; Edjeta, B. (2011). Study on Strengthening Grievance Redress Mechanisms for the Protection of the Basic Services (PBS) Program in Ethiopia. </w:t>
      </w:r>
    </w:p>
    <w:p w14:paraId="5E31DB23"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Ritchie, R., &amp; Lewis, J. (2003). Qualitative research in practice: A guide for social science students and researchers. London: Sage Publications </w:t>
      </w:r>
    </w:p>
    <w:p w14:paraId="39B0A66E"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Robinson, N. (2013). Complaining to the State: Grievance Redress and India’s Social Welfare Programs. Philadelphia: Center for the Advanced Study of India. </w:t>
      </w:r>
    </w:p>
    <w:p w14:paraId="48EDA633"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Roelen, K., Devereux, S., &amp; Abdulai, A. (2020). Does the intra-household distribution of consumption depend on who receives the transfer? Evidence from transfer beneficiaries in Malawi. World Development, 125, 10467</w:t>
      </w:r>
    </w:p>
    <w:p w14:paraId="600DBD0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Roelen, K., Devereux, S., &amp; Marsh, R. (2019). The impact of social protection on food security, consumption and nutrition in Malawi: Towards an integrated assessment. Food Policy, 83, 298309. </w:t>
      </w:r>
    </w:p>
    <w:p w14:paraId="0A18BE5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Sabates, W. R., &amp; Devereux, S. (2007). Social Protection for Transformation. IDS Bulletin, 38. </w:t>
      </w:r>
    </w:p>
    <w:p w14:paraId="724A9D1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Sackey, P. K. (2019). Ghana’s Livelihood Empowerment Against Poverty (LEAP) programme is leaking: Irregularities watering down the impact of the flagship LEAP programme. Cogent Social Sciences, 5(1).  </w:t>
      </w:r>
    </w:p>
    <w:p w14:paraId="33796FD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Salecker, L., Ahmadov, A. K., &amp; Karimli, L. (2020). Contrasting Monetary and Multidimensional Poverty Measures in a Low-Income Sub-Saharan African Country. Social Indicators Research, 151(2), 547– 574.  </w:t>
      </w:r>
    </w:p>
    <w:p w14:paraId="54C582DF" w14:textId="77777777" w:rsidR="0008415E" w:rsidRPr="00446A7C" w:rsidRDefault="00000000" w:rsidP="00004537">
      <w:pPr>
        <w:spacing w:after="0" w:line="360" w:lineRule="auto"/>
        <w:ind w:left="720" w:hanging="720"/>
        <w:jc w:val="both"/>
        <w:rPr>
          <w:rFonts w:eastAsia="Calibri" w:cs="Times New Roman"/>
          <w:szCs w:val="24"/>
        </w:rPr>
      </w:pPr>
      <w:r w:rsidRPr="00446A7C">
        <w:rPr>
          <w:rFonts w:cs="Times New Roman"/>
          <w:bCs/>
          <w:szCs w:val="24"/>
          <w:lang w:val="en-US"/>
        </w:rPr>
        <w:t>Salifu, A., &amp; Kufoalor, K. M. (2022). Examining the role of sub-national level leadership in the implementation of cash transfer programs: evidence from Ghana. </w:t>
      </w:r>
      <w:r w:rsidRPr="00446A7C">
        <w:rPr>
          <w:rFonts w:cs="Times New Roman"/>
          <w:bCs/>
          <w:i/>
          <w:iCs/>
          <w:szCs w:val="24"/>
          <w:lang w:val="en-US"/>
        </w:rPr>
        <w:t>International Journal of Social Economics</w:t>
      </w:r>
      <w:r w:rsidRPr="00446A7C">
        <w:rPr>
          <w:rFonts w:cs="Times New Roman"/>
          <w:bCs/>
          <w:szCs w:val="24"/>
          <w:lang w:val="en-US"/>
        </w:rPr>
        <w:t>, </w:t>
      </w:r>
      <w:r w:rsidRPr="00446A7C">
        <w:rPr>
          <w:rFonts w:cs="Times New Roman"/>
          <w:bCs/>
          <w:i/>
          <w:iCs/>
          <w:szCs w:val="24"/>
          <w:lang w:val="en-US"/>
        </w:rPr>
        <w:t>49</w:t>
      </w:r>
      <w:r w:rsidRPr="00446A7C">
        <w:rPr>
          <w:rFonts w:cs="Times New Roman"/>
          <w:bCs/>
          <w:szCs w:val="24"/>
          <w:lang w:val="en-US"/>
        </w:rPr>
        <w:t>(11), 1607-1624.</w:t>
      </w:r>
    </w:p>
    <w:p w14:paraId="383A7C1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Samson, M., van Niekerk, I., &amp; Mac Quene, K. (2006). Rooting social transfers within an evidence-based approach. Designing and implementing social transfer programmes: A policy manual. Retrieved fro</w:t>
      </w:r>
    </w:p>
    <w:p w14:paraId="36B6E7A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Seekings, J. (2019). The limits to ‘global’social policy: The ILO, the social protection floor and the politics of welfare in East and Southern Africa. Global Social Policy, 19(1-2), 139-158. </w:t>
      </w:r>
    </w:p>
    <w:p w14:paraId="21E1CA16"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Sen, A. (1981). Poverty and famines: an essay on entitlement and deprivation. Clarendon press, Oxford. </w:t>
      </w:r>
    </w:p>
    <w:p w14:paraId="6E126E5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Sen, A. (1986). Food, economics and entitlements (WILDER Working Paper No. 1). World Institute for Development Economics Research (WILDER), United Nations University.  </w:t>
      </w:r>
    </w:p>
    <w:p w14:paraId="5420740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Sen, A. (1999). Development as freedom. Oxford University Press. </w:t>
      </w:r>
    </w:p>
    <w:p w14:paraId="7C0FD16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Setiadi, D., Nurhayati, S., Ansori, A., Zubaidi, M., &amp; Amir, R. (2023). Youth’s digital literacy in the context of community empowerment in an emerging society 5.0. Society, 11(1), 1-12. </w:t>
      </w:r>
    </w:p>
    <w:p w14:paraId="05E2859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Sheng-gen, F. A. N., &amp; Cho, E. E. (2021). Paths out of poverty: International experience. Journal of Integrative Agriculture, 20(4), 857–867.  </w:t>
      </w:r>
    </w:p>
    <w:p w14:paraId="5E2AB11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Smith, C., Gateri, C., &amp; Kinyanjui, K. (2020). Digital Solutions for Monitoring and Evaluation in Kenya’s Agriculture Sector: Challenges and Opportunities. Big Data &amp; Society, 7(1), 1-11. </w:t>
      </w:r>
    </w:p>
    <w:p w14:paraId="26D7A528"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Standing, G. (2007). Social protection. Development in Practice, 17(4-5), 511-522. </w:t>
      </w:r>
    </w:p>
    <w:p w14:paraId="39E7AA0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Tacchi, J., Slater, D., &amp; Hearn, G. (2018). Ethnographic perspectives on mobile media and communication. </w:t>
      </w:r>
    </w:p>
    <w:p w14:paraId="0773893F"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Tercelli, I. (2010). Tercelli_2010_Targeted_Conditional_Cash_Transfers_Peru. 1–45. </w:t>
      </w:r>
    </w:p>
    <w:p w14:paraId="7664E52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Tiwari, S., Daidone, S., Ruvalcaba, M. A., Prifti, E., Handa, S., Davis, B., ... &amp; Seidenfeld, D. (2016). Impact of cash transfer programs on food security and nutrition in sub-Saharan Africa: A crosscountry analysis. Global Food Security, 11, 72-83. </w:t>
      </w:r>
    </w:p>
    <w:p w14:paraId="17B86DB4"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 xml:space="preserve">Townsend, P. (2006). What is poverty? An historical perspective. In D. Ehrenpreis (Ed.), </w:t>
      </w:r>
      <w:r w:rsidRPr="00446A7C">
        <w:rPr>
          <w:rFonts w:eastAsia="Calibri" w:cs="Times New Roman"/>
          <w:i/>
          <w:iCs/>
          <w:szCs w:val="24"/>
          <w:lang w:val="en-US"/>
        </w:rPr>
        <w:t>What is poverty? Concepts and measures</w:t>
      </w:r>
      <w:r w:rsidRPr="00446A7C">
        <w:rPr>
          <w:rFonts w:eastAsia="Calibri" w:cs="Times New Roman"/>
          <w:szCs w:val="24"/>
          <w:lang w:val="en-US"/>
        </w:rPr>
        <w:t xml:space="preserve"> (pp. 5-6). Brazil: United Nations Development Programme International Poverty Centre.</w:t>
      </w:r>
    </w:p>
    <w:p w14:paraId="1955462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Tulinayo, F., Ssentume, P. &amp; Najjuma, R. Digital technologies in resource constrained higher institutions of learning: a study on students’ acceptance and usability. Int J Educ Technol High Educ 15, 36 (2018). https://doi.org/10.1186/s41239-018-0117-y </w:t>
      </w:r>
    </w:p>
    <w:p w14:paraId="7771A6C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Twersky, F., Buchanan, P., &amp; Threlfall, V. (2013). Listening to those who matter most, the beneficiaries. Stanford Social Innovation Review, 11(2), 41–45. </w:t>
      </w:r>
    </w:p>
    <w:p w14:paraId="5E18F5B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Twycross, A., &amp; Shields, L. (2004). Validity and Reliability-What’s it All About? Part 2: </w:t>
      </w:r>
    </w:p>
    <w:p w14:paraId="7E9849D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Una, G., Allen, R., Pattanayak, S., &amp; Suc, G. (2020). Digital solutions for direct cash transfers in emergencies. Special Series on Fiscal Policies to Respond to COVID-19 (Washington: International Monetary Fund). </w:t>
      </w:r>
    </w:p>
    <w:p w14:paraId="3354E84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UNDP. (2018). Sustainable Development Goals: Goal 1 - No Poverty. </w:t>
      </w:r>
    </w:p>
    <w:p w14:paraId="5B60210B"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UNESCO. (2020). UNESCO’s Response to COVID-19: Digital Learning Resources. Retrieved from https://en.unesco.org/covid19/educationresponse/solutions </w:t>
      </w:r>
    </w:p>
    <w:p w14:paraId="11E08BC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UNICEF. (2021). Harnessing the Digital Revolution for Children and Young People. Retrieved from https://www.un </w:t>
      </w:r>
    </w:p>
    <w:p w14:paraId="6E5DF5AD"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United Nations Development Programme (UNDP). (2015). Sustainable Development Goals. Retrieved from https://www.undp.org/content/undp/en/home/sustainable-development-goals.html </w:t>
      </w:r>
    </w:p>
    <w:p w14:paraId="25A6DF2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United Nations. (2015). Transforming our world: The 2030 Agenda for Sustainable Development. </w:t>
      </w:r>
    </w:p>
    <w:p w14:paraId="0DCB342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Voipio, T. (2007). Social protection for poverty reduction: The OECD/DAC/POVNET view. IDS Bulletin, 38(3), 45–50. https://doi.org/10.1111/j.1759-5436.2007.tb00374.x </w:t>
      </w:r>
    </w:p>
    <w:p w14:paraId="479BBDD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Wallerstein, N., &amp; Duran, B. (2010). Community-based participatory research contributions to intervention research: The intersection of science and practice to improve health equity. American Journal of Public Health, 100(S1), S40-S46.</w:t>
      </w:r>
    </w:p>
    <w:p w14:paraId="3CCEB18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w:t>
      </w:r>
      <w:r w:rsidRPr="00446A7C">
        <w:rPr>
          <w:rFonts w:eastAsia="Calibri" w:cs="Times New Roman"/>
          <w:szCs w:val="24"/>
        </w:rPr>
        <w:tab/>
        <w:t xml:space="preserve">Bank. </w:t>
      </w:r>
      <w:r w:rsidRPr="00446A7C">
        <w:rPr>
          <w:rFonts w:eastAsia="Calibri" w:cs="Times New Roman"/>
          <w:szCs w:val="24"/>
        </w:rPr>
        <w:tab/>
        <w:t xml:space="preserve">(2019). </w:t>
      </w:r>
      <w:r w:rsidRPr="00446A7C">
        <w:rPr>
          <w:rFonts w:eastAsia="Calibri" w:cs="Times New Roman"/>
          <w:szCs w:val="24"/>
        </w:rPr>
        <w:tab/>
        <w:t xml:space="preserve">Poverty </w:t>
      </w:r>
      <w:r w:rsidRPr="00446A7C">
        <w:rPr>
          <w:rFonts w:eastAsia="Calibri" w:cs="Times New Roman"/>
          <w:szCs w:val="24"/>
        </w:rPr>
        <w:tab/>
        <w:t xml:space="preserve">Overview. </w:t>
      </w:r>
    </w:p>
    <w:p w14:paraId="607C77E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w:t>
      </w:r>
      <w:r w:rsidRPr="00446A7C">
        <w:rPr>
          <w:rFonts w:eastAsia="Calibri" w:cs="Times New Roman"/>
          <w:szCs w:val="24"/>
        </w:rPr>
        <w:tab/>
        <w:t xml:space="preserve">Bank. </w:t>
      </w:r>
      <w:r w:rsidRPr="00446A7C">
        <w:rPr>
          <w:rFonts w:eastAsia="Calibri" w:cs="Times New Roman"/>
          <w:szCs w:val="24"/>
        </w:rPr>
        <w:tab/>
        <w:t xml:space="preserve">(2020). </w:t>
      </w:r>
      <w:r w:rsidRPr="00446A7C">
        <w:rPr>
          <w:rFonts w:eastAsia="Calibri" w:cs="Times New Roman"/>
          <w:szCs w:val="24"/>
        </w:rPr>
        <w:tab/>
        <w:t xml:space="preserve">Poverty </w:t>
      </w:r>
      <w:r w:rsidRPr="00446A7C">
        <w:rPr>
          <w:rFonts w:eastAsia="Calibri" w:cs="Times New Roman"/>
          <w:szCs w:val="24"/>
        </w:rPr>
        <w:tab/>
        <w:t xml:space="preserve">Overview. </w:t>
      </w:r>
    </w:p>
    <w:p w14:paraId="220FE0A9" w14:textId="77777777" w:rsidR="0008415E" w:rsidRPr="00446A7C" w:rsidRDefault="00000000" w:rsidP="00004537">
      <w:pPr>
        <w:spacing w:after="0" w:line="360" w:lineRule="auto"/>
        <w:ind w:left="720" w:hanging="720"/>
        <w:jc w:val="both"/>
        <w:rPr>
          <w:rFonts w:eastAsia="Calibri" w:cs="Times New Roman"/>
          <w:szCs w:val="24"/>
          <w:lang w:val="en-US"/>
        </w:rPr>
      </w:pPr>
      <w:r w:rsidRPr="00446A7C">
        <w:rPr>
          <w:rFonts w:eastAsia="Calibri" w:cs="Times New Roman"/>
          <w:szCs w:val="24"/>
          <w:lang w:val="en-US"/>
        </w:rPr>
        <w:t xml:space="preserve">World Bank (2022b) </w:t>
      </w:r>
      <w:r w:rsidRPr="00446A7C">
        <w:rPr>
          <w:rFonts w:eastAsia="Calibri" w:cs="Times New Roman"/>
          <w:color w:val="000000"/>
          <w:szCs w:val="24"/>
          <w:lang w:val="en-US"/>
        </w:rPr>
        <w:t>“</w:t>
      </w:r>
      <w:hyperlink r:id="rId27" w:tgtFrame="_blank">
        <w:r w:rsidRPr="00446A7C">
          <w:rPr>
            <w:rFonts w:eastAsia="Calibri" w:cs="Times New Roman"/>
            <w:color w:val="000000"/>
            <w:szCs w:val="24"/>
            <w:lang w:val="en-US"/>
          </w:rPr>
          <w:t>No Time to Waste: The Challenges and Opportunities of Cleaner Trade for Vietnam</w:t>
        </w:r>
      </w:hyperlink>
      <w:r w:rsidRPr="00446A7C">
        <w:rPr>
          <w:rFonts w:eastAsia="Calibri" w:cs="Times New Roman"/>
          <w:szCs w:val="24"/>
          <w:lang w:val="en-US"/>
        </w:rPr>
        <w:t>” </w:t>
      </w:r>
      <w:r w:rsidRPr="00446A7C">
        <w:rPr>
          <w:rFonts w:eastAsia="Calibri" w:cs="Times New Roman"/>
          <w:i/>
          <w:iCs/>
          <w:szCs w:val="24"/>
          <w:lang w:val="en-US"/>
        </w:rPr>
        <w:t>Taking Stock January 2022"</w:t>
      </w:r>
      <w:r w:rsidRPr="00446A7C">
        <w:rPr>
          <w:rFonts w:eastAsia="Calibri" w:cs="Times New Roman"/>
          <w:szCs w:val="24"/>
          <w:lang w:val="en-US"/>
        </w:rPr>
        <w:t>, Washington, DC: The World Bank Group</w:t>
      </w:r>
    </w:p>
    <w:p w14:paraId="562A78C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Bank. (2000). Attacking poverty.  </w:t>
      </w:r>
    </w:p>
    <w:p w14:paraId="36684BC7"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Bank. (2001). evaluation – monitoring. 1(2), 8–13. </w:t>
      </w:r>
    </w:p>
    <w:p w14:paraId="5A2FD0D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Bank. (2018). World Development Report 2018: Learning to Realize Education’s Promise. Washington, DC: World Bank. </w:t>
      </w:r>
    </w:p>
    <w:p w14:paraId="776B566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Bank. (2019). World Development Report 2019: The Changing Nature of Work. Washington, DC: World Bank. </w:t>
      </w:r>
    </w:p>
    <w:p w14:paraId="6BDF14F2"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World Bank. (2020). World Development Report 2020: Trading for Development in the Age of Global Value Chains. Washington, DC: World Bank.</w:t>
      </w:r>
    </w:p>
    <w:p w14:paraId="68336C3E"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Bank. (2020). World Development Report 2021: Data for Better Lives. Washington, DC: World Bank. </w:t>
      </w:r>
    </w:p>
    <w:p w14:paraId="17CC68C2" w14:textId="77777777" w:rsidR="0008415E"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Bank. (2021). Poverty and Shared Prosperity 2020: Reversals of Fortune. Washington, DC: World Bank. </w:t>
      </w:r>
    </w:p>
    <w:p w14:paraId="36A45169" w14:textId="77777777" w:rsidR="009F3C33" w:rsidRDefault="009F3C33" w:rsidP="00004537">
      <w:pPr>
        <w:spacing w:after="0" w:line="360" w:lineRule="auto"/>
        <w:ind w:left="720" w:hanging="720"/>
        <w:jc w:val="both"/>
        <w:rPr>
          <w:rFonts w:eastAsia="Calibri" w:cs="Times New Roman"/>
          <w:szCs w:val="24"/>
        </w:rPr>
      </w:pPr>
    </w:p>
    <w:p w14:paraId="54BA9ACD" w14:textId="77777777" w:rsidR="009F3C33" w:rsidRPr="00446A7C" w:rsidRDefault="009F3C33" w:rsidP="00004537">
      <w:pPr>
        <w:spacing w:after="0" w:line="360" w:lineRule="auto"/>
        <w:ind w:left="720" w:hanging="720"/>
        <w:jc w:val="both"/>
        <w:rPr>
          <w:rFonts w:eastAsia="Calibri" w:cs="Times New Roman"/>
          <w:szCs w:val="24"/>
        </w:rPr>
      </w:pPr>
    </w:p>
    <w:p w14:paraId="17DB92FA"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lastRenderedPageBreak/>
        <w:t xml:space="preserve">World Bank. (2021). Using Digital Technology to Enhance Grievance Redress in Social Protection Programs. Retrieved from https://www.worldbank.org/en/topic/social-protection-and-riskmanagement/brief/using-digital-technology-to-enhance-grievance-redress-in-social-protectionprograms </w:t>
      </w:r>
    </w:p>
    <w:p w14:paraId="5DA232A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World Health Organization. (2019). Digital Health. Retrieved from https://www.who.int/sustainabledevelopment/health-sector/strategies/digital-health/en/ </w:t>
      </w:r>
    </w:p>
    <w:p w14:paraId="327DDC2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World Health Organization. (2021). Access to health services. Retrieved from https://www.who.int/news-room/fact-sheets/detail/access-to-health-services</w:t>
      </w:r>
    </w:p>
    <w:p w14:paraId="21729EF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Yin, R. K. (2009). Case study research: Design and methods. SAGE publications. Thousand oaks. </w:t>
      </w:r>
    </w:p>
    <w:p w14:paraId="4548BCA0"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Zhou, Y., &amp; Liu, Y. (2022). The geography of poverty: Review and research prospects. Journal of Rural Studies, 93(April 2018), 408–416.  </w:t>
      </w:r>
    </w:p>
    <w:p w14:paraId="127912A1"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Zimmerman, M. A. (1993). Empowerment theory: Psychological, organizational, and community levels of analysis. Handbook of community psychology, 43-63. </w:t>
      </w:r>
    </w:p>
    <w:p w14:paraId="49CC6F6C"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Zimmerman, M. A. (2000). Empowerment theory: Psychological, organizational and community levels of analysis. In J. Rappaport &amp; E. Seidman (Eds.), Handbook of Community Psychology (pp. 43-63). Springer. </w:t>
      </w:r>
    </w:p>
    <w:p w14:paraId="42DB6045"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 xml:space="preserve">Zimmerman, M. A., &amp; Warschausky, S. (1998). Empowerment theory for rehabilitation research: Conceptual and methodological issues. Rehabilitation Psychology, 43(1), 3-16 </w:t>
      </w:r>
    </w:p>
    <w:p w14:paraId="75090F54" w14:textId="77777777" w:rsidR="0008415E" w:rsidRPr="00446A7C" w:rsidRDefault="00000000" w:rsidP="00004537">
      <w:pPr>
        <w:spacing w:after="0" w:line="360" w:lineRule="auto"/>
        <w:ind w:left="720" w:hanging="720"/>
        <w:jc w:val="both"/>
        <w:rPr>
          <w:rFonts w:eastAsia="Calibri" w:cs="Times New Roman"/>
          <w:szCs w:val="24"/>
        </w:rPr>
      </w:pPr>
      <w:r w:rsidRPr="00446A7C">
        <w:rPr>
          <w:rFonts w:eastAsia="Calibri" w:cs="Times New Roman"/>
          <w:szCs w:val="24"/>
        </w:rPr>
        <w:t>Zohrabi, M. (2013). Mixed Method Research: Instruments, Validity, Reliability and Reporting.</w:t>
      </w:r>
    </w:p>
    <w:p w14:paraId="779E08AA" w14:textId="77777777" w:rsidR="0008415E" w:rsidRPr="00446A7C" w:rsidRDefault="0008415E">
      <w:pPr>
        <w:spacing w:after="0" w:line="360" w:lineRule="auto"/>
        <w:ind w:hanging="720"/>
        <w:jc w:val="both"/>
        <w:rPr>
          <w:rFonts w:eastAsia="Calibri" w:cs="Times New Roman"/>
          <w:szCs w:val="24"/>
        </w:rPr>
      </w:pPr>
    </w:p>
    <w:p w14:paraId="04BF6B68" w14:textId="77777777" w:rsidR="0008415E" w:rsidRPr="00446A7C" w:rsidRDefault="0008415E">
      <w:pPr>
        <w:spacing w:after="0" w:line="360" w:lineRule="auto"/>
        <w:ind w:hanging="720"/>
        <w:jc w:val="both"/>
        <w:rPr>
          <w:rFonts w:eastAsia="Calibri" w:cs="Times New Roman"/>
          <w:szCs w:val="24"/>
        </w:rPr>
      </w:pPr>
    </w:p>
    <w:p w14:paraId="3E881BD2" w14:textId="77777777" w:rsidR="0008415E" w:rsidRPr="00446A7C" w:rsidRDefault="0008415E">
      <w:pPr>
        <w:spacing w:after="0" w:line="360" w:lineRule="auto"/>
        <w:ind w:hanging="720"/>
        <w:jc w:val="both"/>
        <w:rPr>
          <w:rFonts w:eastAsia="Calibri" w:cs="Times New Roman"/>
          <w:szCs w:val="24"/>
        </w:rPr>
      </w:pPr>
    </w:p>
    <w:p w14:paraId="06A0131F" w14:textId="77777777" w:rsidR="0008415E" w:rsidRPr="00446A7C" w:rsidRDefault="0008415E">
      <w:pPr>
        <w:spacing w:after="0" w:line="360" w:lineRule="auto"/>
        <w:ind w:hanging="720"/>
        <w:jc w:val="both"/>
        <w:rPr>
          <w:rFonts w:eastAsia="Calibri" w:cs="Times New Roman"/>
          <w:szCs w:val="24"/>
        </w:rPr>
      </w:pPr>
    </w:p>
    <w:p w14:paraId="460A38D8" w14:textId="77777777" w:rsidR="0008415E" w:rsidRDefault="0008415E">
      <w:pPr>
        <w:spacing w:after="0" w:line="360" w:lineRule="auto"/>
        <w:ind w:hanging="720"/>
        <w:jc w:val="both"/>
        <w:rPr>
          <w:rFonts w:eastAsia="Calibri" w:cs="Times New Roman"/>
          <w:szCs w:val="24"/>
        </w:rPr>
      </w:pPr>
    </w:p>
    <w:p w14:paraId="22E49631" w14:textId="77777777" w:rsidR="009F3C33" w:rsidRPr="00446A7C" w:rsidRDefault="009F3C33">
      <w:pPr>
        <w:spacing w:after="0" w:line="360" w:lineRule="auto"/>
        <w:ind w:hanging="720"/>
        <w:jc w:val="both"/>
        <w:rPr>
          <w:rFonts w:eastAsia="Calibri" w:cs="Times New Roman"/>
          <w:szCs w:val="24"/>
        </w:rPr>
      </w:pPr>
    </w:p>
    <w:p w14:paraId="1133933C" w14:textId="77777777" w:rsidR="0008415E" w:rsidRPr="00446A7C" w:rsidRDefault="0008415E">
      <w:pPr>
        <w:spacing w:after="0" w:line="360" w:lineRule="auto"/>
        <w:ind w:hanging="720"/>
        <w:jc w:val="both"/>
        <w:rPr>
          <w:rFonts w:eastAsia="Calibri" w:cs="Times New Roman"/>
          <w:szCs w:val="24"/>
        </w:rPr>
      </w:pPr>
    </w:p>
    <w:p w14:paraId="02A41355" w14:textId="77777777" w:rsidR="0008415E" w:rsidRPr="00446A7C" w:rsidRDefault="0008415E">
      <w:pPr>
        <w:spacing w:after="0" w:line="360" w:lineRule="auto"/>
        <w:ind w:hanging="720"/>
        <w:jc w:val="both"/>
        <w:rPr>
          <w:rFonts w:eastAsia="Calibri" w:cs="Times New Roman"/>
          <w:szCs w:val="24"/>
        </w:rPr>
      </w:pPr>
    </w:p>
    <w:p w14:paraId="059B0053" w14:textId="77777777" w:rsidR="0008415E" w:rsidRPr="00446A7C" w:rsidRDefault="00000000" w:rsidP="000E2D2C">
      <w:pPr>
        <w:pStyle w:val="Heading1"/>
        <w:spacing w:before="0"/>
      </w:pPr>
      <w:bookmarkStart w:id="185" w:name="_Toc171703278"/>
      <w:r w:rsidRPr="00446A7C">
        <w:lastRenderedPageBreak/>
        <w:t>APPENDICES</w:t>
      </w:r>
      <w:bookmarkEnd w:id="185"/>
    </w:p>
    <w:p w14:paraId="266821D5" w14:textId="77777777" w:rsidR="0008415E" w:rsidRPr="00446A7C" w:rsidRDefault="00000000" w:rsidP="00004537">
      <w:pPr>
        <w:pStyle w:val="Heading2"/>
      </w:pPr>
      <w:bookmarkStart w:id="186" w:name="_Toc171703279"/>
      <w:r w:rsidRPr="00004537">
        <w:t>Appendix</w:t>
      </w:r>
      <w:r w:rsidRPr="00446A7C">
        <w:t xml:space="preserve"> A</w:t>
      </w:r>
      <w:bookmarkEnd w:id="186"/>
    </w:p>
    <w:p w14:paraId="03E6AC45" w14:textId="77777777" w:rsidR="0008415E" w:rsidRPr="00004537" w:rsidRDefault="00000000" w:rsidP="00004537">
      <w:pPr>
        <w:ind w:firstLine="0"/>
        <w:rPr>
          <w:b/>
          <w:bCs/>
        </w:rPr>
      </w:pPr>
      <w:r w:rsidRPr="00004537">
        <w:rPr>
          <w:b/>
          <w:bCs/>
        </w:rPr>
        <w:t>Interview guide for LEAP beneficiaries</w:t>
      </w:r>
    </w:p>
    <w:p w14:paraId="436B75E8"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Dear Valued Participant,</w:t>
      </w:r>
    </w:p>
    <w:p w14:paraId="0C9730E2"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This study focuses on the topic</w:t>
      </w:r>
      <w:r w:rsidRPr="00446A7C">
        <w:rPr>
          <w:rFonts w:eastAsia="Calibri" w:cs="Times New Roman"/>
          <w:b/>
          <w:bCs/>
          <w:kern w:val="2"/>
          <w:szCs w:val="24"/>
          <w:lang w:val="en-US"/>
        </w:rPr>
        <w:t xml:space="preserve">: “Towards sustainable poverty reduction: the role of digital technology in enhancing livelihood empowerment against poverty programme". </w:t>
      </w:r>
      <w:r w:rsidRPr="00446A7C">
        <w:rPr>
          <w:rFonts w:eastAsia="Calibri" w:cs="Times New Roman"/>
          <w:kern w:val="2"/>
          <w:szCs w:val="24"/>
          <w:lang w:val="en-US"/>
        </w:rPr>
        <w:t>The study is being conducted as part of the requirements for a Master of Philosophy degree at the SD Dombo University of Business and Integrated Development Studies. Please let me assure you that any information you provide will be treated confidentially and used solely for the purpose of this study and academic publication.</w:t>
      </w:r>
    </w:p>
    <w:p w14:paraId="1F3AFB49" w14:textId="77777777" w:rsidR="0008415E" w:rsidRPr="00446A7C" w:rsidRDefault="0008415E">
      <w:pPr>
        <w:spacing w:after="0" w:line="480" w:lineRule="auto"/>
        <w:ind w:firstLine="0"/>
        <w:contextualSpacing/>
        <w:jc w:val="both"/>
        <w:rPr>
          <w:rFonts w:eastAsia="Calibri" w:cs="Times New Roman"/>
          <w:kern w:val="2"/>
          <w:szCs w:val="24"/>
          <w:lang w:val="en-US"/>
        </w:rPr>
      </w:pPr>
    </w:p>
    <w:p w14:paraId="34C6E74D"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Your voluntary participation in this study is greatly appreciated. There are no risks involved in participating, and you have the freedom to choose not to answer any question you do not wish to respond to. You can also withdraw from the study at any time if you wish to. By answering the interview questions, you indicate your consent to participate in this study.</w:t>
      </w:r>
    </w:p>
    <w:p w14:paraId="4DA44F43" w14:textId="77777777" w:rsidR="0008415E" w:rsidRPr="00446A7C" w:rsidRDefault="0008415E">
      <w:pPr>
        <w:spacing w:after="0" w:line="480" w:lineRule="auto"/>
        <w:ind w:firstLine="0"/>
        <w:contextualSpacing/>
        <w:jc w:val="both"/>
        <w:rPr>
          <w:rFonts w:eastAsia="Calibri" w:cs="Times New Roman"/>
          <w:kern w:val="2"/>
          <w:szCs w:val="24"/>
          <w:lang w:val="en-US"/>
        </w:rPr>
      </w:pPr>
    </w:p>
    <w:p w14:paraId="33819276" w14:textId="77777777" w:rsidR="0008415E" w:rsidRPr="00446A7C" w:rsidRDefault="00000000">
      <w:pPr>
        <w:spacing w:after="0" w:line="480" w:lineRule="auto"/>
        <w:ind w:firstLine="0"/>
        <w:contextualSpacing/>
        <w:jc w:val="both"/>
        <w:rPr>
          <w:rFonts w:eastAsia="Calibri" w:cs="Times New Roman"/>
          <w:b/>
          <w:bCs/>
          <w:kern w:val="2"/>
          <w:szCs w:val="24"/>
          <w:lang w:val="en-US"/>
        </w:rPr>
      </w:pPr>
      <w:r w:rsidRPr="00446A7C">
        <w:rPr>
          <w:rFonts w:eastAsia="Calibri" w:cs="Times New Roman"/>
          <w:b/>
          <w:bCs/>
          <w:kern w:val="2"/>
          <w:szCs w:val="24"/>
          <w:lang w:val="en-US"/>
        </w:rPr>
        <w:t>Instructions:</w:t>
      </w:r>
    </w:p>
    <w:p w14:paraId="0CDC7989" w14:textId="77777777" w:rsidR="0008415E" w:rsidRPr="00446A7C" w:rsidRDefault="00000000">
      <w:pPr>
        <w:spacing w:after="0" w:line="480" w:lineRule="auto"/>
        <w:ind w:firstLine="0"/>
        <w:contextualSpacing/>
        <w:jc w:val="both"/>
        <w:rPr>
          <w:rFonts w:eastAsia="Calibri" w:cs="Times New Roman"/>
          <w:kern w:val="2"/>
          <w:szCs w:val="24"/>
          <w:lang w:val="en-US"/>
        </w:rPr>
      </w:pPr>
      <w:bookmarkStart w:id="187" w:name="_Hlk161299799"/>
      <w:r w:rsidRPr="00446A7C">
        <w:rPr>
          <w:rFonts w:eastAsia="Calibri" w:cs="Times New Roman"/>
          <w:kern w:val="2"/>
          <w:szCs w:val="24"/>
          <w:lang w:val="en-US"/>
        </w:rPr>
        <w:t>For each question in the different sections, please select the most appropriate answer(s) by ticking the corresponding option and provide any necessary information where applicable.</w:t>
      </w:r>
      <w:bookmarkEnd w:id="187"/>
    </w:p>
    <w:p w14:paraId="627D5D00" w14:textId="77777777" w:rsidR="00004537" w:rsidRDefault="00004537" w:rsidP="00004537">
      <w:pPr>
        <w:ind w:firstLine="0"/>
        <w:rPr>
          <w:rFonts w:eastAsia="Calibri" w:cs="Times New Roman"/>
          <w:kern w:val="2"/>
          <w:szCs w:val="24"/>
          <w:lang w:val="en-US"/>
        </w:rPr>
      </w:pPr>
    </w:p>
    <w:p w14:paraId="68D41E44" w14:textId="64606E89" w:rsidR="0008415E" w:rsidRPr="00004537" w:rsidRDefault="00000000" w:rsidP="00004537">
      <w:pPr>
        <w:ind w:firstLine="0"/>
        <w:rPr>
          <w:b/>
          <w:bCs/>
        </w:rPr>
      </w:pPr>
      <w:r w:rsidRPr="00004537">
        <w:rPr>
          <w:b/>
          <w:bCs/>
        </w:rPr>
        <w:t>Section A: Background data of respondents</w:t>
      </w:r>
    </w:p>
    <w:p w14:paraId="2C9A060C" w14:textId="77777777" w:rsidR="0008415E" w:rsidRPr="00446A7C" w:rsidRDefault="00000000">
      <w:pPr>
        <w:numPr>
          <w:ilvl w:val="0"/>
          <w:numId w:val="5"/>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Which community are you from?</w:t>
      </w:r>
    </w:p>
    <w:p w14:paraId="2BE6D10E"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[A] Guo  </w:t>
      </w:r>
    </w:p>
    <w:p w14:paraId="50EEBFA1"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[B] Vaapuo</w:t>
      </w:r>
    </w:p>
    <w:p w14:paraId="723A7082"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lastRenderedPageBreak/>
        <w:t xml:space="preserve"> [C] Nabugang</w:t>
      </w:r>
    </w:p>
    <w:p w14:paraId="46FB1014"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[D] Munyupelle</w:t>
      </w:r>
    </w:p>
    <w:p w14:paraId="28A4BBFD" w14:textId="77777777" w:rsidR="0008415E" w:rsidRPr="00446A7C" w:rsidRDefault="00000000">
      <w:pPr>
        <w:numPr>
          <w:ilvl w:val="0"/>
          <w:numId w:val="5"/>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Indicate sex: </w:t>
      </w:r>
    </w:p>
    <w:p w14:paraId="52CCA1E4"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[A] Male      </w:t>
      </w:r>
    </w:p>
    <w:p w14:paraId="0F6B7E86"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[B] Female</w:t>
      </w:r>
    </w:p>
    <w:p w14:paraId="29E1943A" w14:textId="77777777" w:rsidR="0008415E" w:rsidRPr="00446A7C" w:rsidRDefault="00000000">
      <w:pPr>
        <w:numPr>
          <w:ilvl w:val="0"/>
          <w:numId w:val="5"/>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Indicate the occupation of the respondent. </w:t>
      </w:r>
    </w:p>
    <w:p w14:paraId="4E003BBA" w14:textId="77777777" w:rsidR="0008415E" w:rsidRPr="00446A7C" w:rsidRDefault="00000000">
      <w:pPr>
        <w:numPr>
          <w:ilvl w:val="0"/>
          <w:numId w:val="5"/>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Indicate the age of the respondent.</w:t>
      </w:r>
    </w:p>
    <w:p w14:paraId="7A00336C" w14:textId="77777777" w:rsidR="0008415E" w:rsidRPr="00446A7C" w:rsidRDefault="00000000">
      <w:pPr>
        <w:numPr>
          <w:ilvl w:val="0"/>
          <w:numId w:val="5"/>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Indicate the participant category.</w:t>
      </w:r>
    </w:p>
    <w:p w14:paraId="74C1A2CD"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[A] Orphan or Vulnerable child</w:t>
      </w:r>
    </w:p>
    <w:p w14:paraId="438F9A51"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[B] Elderly poor                       </w:t>
      </w:r>
    </w:p>
    <w:p w14:paraId="771FFB66" w14:textId="77777777" w:rsidR="0008415E" w:rsidRPr="00446A7C" w:rsidRDefault="00000000">
      <w:p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 xml:space="preserve">       [C] Person with extreme disability and unable to work (PWD). </w:t>
      </w:r>
    </w:p>
    <w:p w14:paraId="20FC806D" w14:textId="77777777" w:rsidR="0008415E" w:rsidRPr="00004537" w:rsidRDefault="00000000" w:rsidP="00004537">
      <w:pPr>
        <w:ind w:firstLine="0"/>
        <w:rPr>
          <w:b/>
          <w:bCs/>
        </w:rPr>
      </w:pPr>
      <w:r w:rsidRPr="00004537">
        <w:rPr>
          <w:b/>
          <w:bCs/>
        </w:rPr>
        <w:t>Section B: Beneficiaries’ access to LEAP’s intervention services.</w:t>
      </w:r>
    </w:p>
    <w:p w14:paraId="11D79F8E" w14:textId="77777777" w:rsidR="0008415E" w:rsidRPr="00446A7C" w:rsidRDefault="00000000">
      <w:pPr>
        <w:pStyle w:val="ListParagraph"/>
        <w:numPr>
          <w:ilvl w:val="0"/>
          <w:numId w:val="6"/>
        </w:numPr>
        <w:spacing w:after="0" w:line="480" w:lineRule="auto"/>
        <w:ind w:left="720" w:firstLine="0"/>
        <w:jc w:val="both"/>
        <w:rPr>
          <w:rFonts w:eastAsia="Calibri" w:cs="Times New Roman"/>
          <w:b/>
          <w:bCs/>
          <w:kern w:val="2"/>
          <w:szCs w:val="24"/>
          <w:lang w:val="en-US"/>
        </w:rPr>
      </w:pPr>
      <w:r w:rsidRPr="00446A7C">
        <w:rPr>
          <w:rFonts w:eastAsia="Calibri" w:cs="Times New Roman"/>
          <w:kern w:val="2"/>
          <w:szCs w:val="24"/>
          <w:lang w:val="en-US"/>
        </w:rPr>
        <w:t>What specific services or support do you receive from the LEAP programme?</w:t>
      </w:r>
    </w:p>
    <w:p w14:paraId="1810C8C7" w14:textId="77777777" w:rsidR="0008415E" w:rsidRPr="00446A7C" w:rsidRDefault="00000000">
      <w:pPr>
        <w:pStyle w:val="ListParagraph"/>
        <w:numPr>
          <w:ilvl w:val="0"/>
          <w:numId w:val="6"/>
        </w:numPr>
        <w:tabs>
          <w:tab w:val="left" w:pos="117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Have you faced any challenges or difficulties in accessing the intervention services provided by LEAP? If yes, could you please describe them?</w:t>
      </w:r>
    </w:p>
    <w:p w14:paraId="56F34AFD" w14:textId="77777777" w:rsidR="0008415E" w:rsidRPr="00446A7C" w:rsidRDefault="00000000">
      <w:pPr>
        <w:pStyle w:val="ListParagraph"/>
        <w:numPr>
          <w:ilvl w:val="0"/>
          <w:numId w:val="6"/>
        </w:numPr>
        <w:tabs>
          <w:tab w:val="left" w:pos="117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Are there any factors or circumstances that have made it more difficult for you to access LEAP's intervention services compared to other beneficiaries?</w:t>
      </w:r>
    </w:p>
    <w:p w14:paraId="4E90BDCD" w14:textId="77777777" w:rsidR="0008415E" w:rsidRPr="00446A7C" w:rsidRDefault="00000000">
      <w:pPr>
        <w:pStyle w:val="ListParagraph"/>
        <w:numPr>
          <w:ilvl w:val="0"/>
          <w:numId w:val="6"/>
        </w:numPr>
        <w:tabs>
          <w:tab w:val="left" w:pos="810"/>
          <w:tab w:val="left" w:pos="117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Have you observed any disparities or inequalities in the distribution or availability of LEAP's intervention services among beneficiaries? If yes, could you provide some examples?</w:t>
      </w:r>
    </w:p>
    <w:p w14:paraId="206F0971" w14:textId="77777777" w:rsidR="0008415E" w:rsidRPr="00004537" w:rsidRDefault="00000000" w:rsidP="00004537">
      <w:pPr>
        <w:ind w:firstLine="0"/>
        <w:rPr>
          <w:b/>
          <w:bCs/>
        </w:rPr>
      </w:pPr>
      <w:r w:rsidRPr="00004537">
        <w:rPr>
          <w:b/>
          <w:bCs/>
        </w:rPr>
        <w:t>Section C:  Beneficiaries perspectives on the use of digital technology in the delivery of services of the LEAP programme.</w:t>
      </w:r>
    </w:p>
    <w:p w14:paraId="5EC9EDE5"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Are you familiar with digital technologies such as mobile phones, internet access, or other electronic devices?</w:t>
      </w:r>
    </w:p>
    <w:p w14:paraId="03B85B1D"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lastRenderedPageBreak/>
        <w:t xml:space="preserve">Have you used any digital technology in accessing services of the LEAP programme? </w:t>
      </w:r>
    </w:p>
    <w:p w14:paraId="528C10BF"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What are your thoughts on the possibility of using digital technologies for LEAP conditional cash transfer in the future?</w:t>
      </w:r>
    </w:p>
    <w:p w14:paraId="626B457A"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How do you think digital technologies could positively impact your ability to receive cash?</w:t>
      </w:r>
    </w:p>
    <w:p w14:paraId="48554E35"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Are there any digital tools or technologies that you think would be most beneficial in addressing these challenges you have mentioned?</w:t>
      </w:r>
    </w:p>
    <w:p w14:paraId="0BA62EE2"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Are there any specific digital tools, platforms, or applications used by the LEAP programme that you find particularly useful or user-friendly? Please elaborate.</w:t>
      </w:r>
    </w:p>
    <w:p w14:paraId="01614F99"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 xml:space="preserve">Have you received any training to enable you effectively utilize the digital technology in accessing LEAP services? </w:t>
      </w:r>
    </w:p>
    <w:p w14:paraId="0D375C9A" w14:textId="77777777" w:rsidR="0008415E" w:rsidRPr="00004537" w:rsidRDefault="00000000" w:rsidP="00004537">
      <w:pPr>
        <w:ind w:firstLine="0"/>
        <w:rPr>
          <w:b/>
          <w:bCs/>
        </w:rPr>
      </w:pPr>
      <w:r w:rsidRPr="00004537">
        <w:rPr>
          <w:b/>
          <w:bCs/>
        </w:rPr>
        <w:t>Section D: Limits and potentials of using digital technology in the delivery of   LEAP intervention services.</w:t>
      </w:r>
    </w:p>
    <w:p w14:paraId="1FE84662"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 xml:space="preserve">Are there any concerns or reservations you have regarding the use of digital technology in the delivery services of the LEAP programme? </w:t>
      </w:r>
    </w:p>
    <w:p w14:paraId="2CE0D2B1"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In your opinion, how do digital technologies contribute to the effectiveness and efficiency of the LEAP programme in reducing poverty?</w:t>
      </w:r>
    </w:p>
    <w:p w14:paraId="47FF8B28"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Have you encountered any challenges in accessing or utilizing the digital technology used by the LEAP programme? If yes, please describe them.</w:t>
      </w:r>
    </w:p>
    <w:p w14:paraId="318A5E3A"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What are the benefits and drawbacks, if any, of using digital technologies within the LEAP programme, from your perspective?</w:t>
      </w:r>
    </w:p>
    <w:p w14:paraId="244DAD64"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t>Are there specific ways in which you believe digital technologies could be further leveraged to enhance the impact of the LEAP programme on sustainable poverty reduction?</w:t>
      </w:r>
    </w:p>
    <w:p w14:paraId="53019265" w14:textId="77777777" w:rsidR="0008415E" w:rsidRPr="00446A7C" w:rsidRDefault="00000000">
      <w:pPr>
        <w:pStyle w:val="ListParagraph"/>
        <w:numPr>
          <w:ilvl w:val="0"/>
          <w:numId w:val="6"/>
        </w:numPr>
        <w:tabs>
          <w:tab w:val="left" w:pos="720"/>
        </w:tabs>
        <w:spacing w:after="0" w:line="480" w:lineRule="auto"/>
        <w:ind w:left="720" w:firstLine="0"/>
        <w:jc w:val="both"/>
        <w:rPr>
          <w:rFonts w:eastAsia="Calibri" w:cs="Times New Roman"/>
          <w:kern w:val="2"/>
          <w:szCs w:val="24"/>
          <w:lang w:val="en-US"/>
        </w:rPr>
      </w:pPr>
      <w:r w:rsidRPr="00446A7C">
        <w:rPr>
          <w:rFonts w:eastAsia="Calibri" w:cs="Times New Roman"/>
          <w:kern w:val="2"/>
          <w:szCs w:val="24"/>
          <w:lang w:val="en-US"/>
        </w:rPr>
        <w:lastRenderedPageBreak/>
        <w:t>Do you have any suggestions or ideas on how to ensure equitable access and usage of digital technologies for all beneficiaries within the LEAP programme?</w:t>
      </w:r>
    </w:p>
    <w:p w14:paraId="7E5A07F3" w14:textId="77777777" w:rsidR="0008415E" w:rsidRDefault="0008415E">
      <w:pPr>
        <w:tabs>
          <w:tab w:val="left" w:pos="720"/>
        </w:tabs>
        <w:spacing w:after="0" w:line="480" w:lineRule="auto"/>
        <w:ind w:firstLine="0"/>
        <w:contextualSpacing/>
        <w:jc w:val="both"/>
        <w:rPr>
          <w:rFonts w:eastAsia="Calibri" w:cs="Times New Roman"/>
          <w:kern w:val="2"/>
          <w:szCs w:val="24"/>
          <w:lang w:val="en-US"/>
        </w:rPr>
      </w:pPr>
    </w:p>
    <w:p w14:paraId="5EEFFE9F" w14:textId="77777777" w:rsidR="0008415E" w:rsidRPr="00446A7C" w:rsidRDefault="00000000" w:rsidP="00004537">
      <w:pPr>
        <w:pStyle w:val="Heading2"/>
      </w:pPr>
      <w:bookmarkStart w:id="188" w:name="_Toc171703280"/>
      <w:r w:rsidRPr="00004537">
        <w:t>Appendix</w:t>
      </w:r>
      <w:r w:rsidRPr="00446A7C">
        <w:t xml:space="preserve"> B:</w:t>
      </w:r>
      <w:bookmarkEnd w:id="188"/>
      <w:r w:rsidRPr="00446A7C">
        <w:t xml:space="preserve"> </w:t>
      </w:r>
    </w:p>
    <w:p w14:paraId="3807F1A7" w14:textId="77777777" w:rsidR="0008415E" w:rsidRPr="00004537" w:rsidRDefault="00000000" w:rsidP="00004537">
      <w:pPr>
        <w:pStyle w:val="NoSpacing"/>
        <w:spacing w:line="360" w:lineRule="auto"/>
        <w:jc w:val="both"/>
        <w:rPr>
          <w:rFonts w:ascii="Times New Roman" w:hAnsi="Times New Roman" w:cs="Times New Roman"/>
          <w:sz w:val="24"/>
          <w:szCs w:val="24"/>
        </w:rPr>
      </w:pPr>
      <w:r w:rsidRPr="00004537">
        <w:rPr>
          <w:rFonts w:ascii="Times New Roman" w:hAnsi="Times New Roman" w:cs="Times New Roman"/>
          <w:sz w:val="24"/>
          <w:szCs w:val="24"/>
        </w:rPr>
        <w:t>Interview guide for LEAP Managers [Based on the three research objectives)</w:t>
      </w:r>
    </w:p>
    <w:p w14:paraId="23CE6FFB" w14:textId="77777777" w:rsidR="0008415E" w:rsidRPr="00004537" w:rsidRDefault="00000000" w:rsidP="00004537">
      <w:pPr>
        <w:pStyle w:val="NoSpacing"/>
        <w:spacing w:line="360" w:lineRule="auto"/>
        <w:jc w:val="both"/>
        <w:rPr>
          <w:rFonts w:ascii="Times New Roman" w:hAnsi="Times New Roman" w:cs="Times New Roman"/>
          <w:sz w:val="24"/>
          <w:szCs w:val="24"/>
        </w:rPr>
      </w:pPr>
      <w:r w:rsidRPr="00004537">
        <w:rPr>
          <w:rFonts w:ascii="Times New Roman" w:hAnsi="Times New Roman" w:cs="Times New Roman"/>
          <w:sz w:val="24"/>
          <w:szCs w:val="24"/>
        </w:rPr>
        <w:t>Section E: Beneficiary access to LEAP intervention services, Beneficiaries perspective on the use of digital technology to delivery LEAP intervention services and Limits and potentials of digital technologies towards enhancing the LEAP programme.</w:t>
      </w:r>
    </w:p>
    <w:p w14:paraId="41AAC1A2"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Can you describe the process of identifying beneficiaries for the LEAP programme?</w:t>
      </w:r>
    </w:p>
    <w:p w14:paraId="4ED32856" w14:textId="77777777" w:rsidR="0008415E" w:rsidRPr="00446A7C" w:rsidRDefault="00000000">
      <w:pPr>
        <w:spacing w:after="0" w:line="480" w:lineRule="auto"/>
        <w:ind w:left="117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any challenges or issues related to beneficiary identification, such as duplication or ghost names.</w:t>
      </w:r>
    </w:p>
    <w:p w14:paraId="15BF45D5"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How are beneficiaries currently selected and registered in the LEAP programme?</w:t>
      </w:r>
    </w:p>
    <w:p w14:paraId="65E6C701" w14:textId="77777777" w:rsidR="0008415E" w:rsidRPr="00446A7C" w:rsidRDefault="00000000">
      <w:pPr>
        <w:spacing w:after="0" w:line="480" w:lineRule="auto"/>
        <w:ind w:left="45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the methods and systems used for beneficiary registration.</w:t>
      </w:r>
    </w:p>
    <w:p w14:paraId="616D6E44"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In your experience, how effective is the current approach of delivering LEAP services in terms of reaching the intended beneficiaries?</w:t>
      </w:r>
    </w:p>
    <w:p w14:paraId="3E2C1F0A" w14:textId="77777777" w:rsidR="0008415E" w:rsidRPr="00446A7C" w:rsidRDefault="00000000">
      <w:pPr>
        <w:spacing w:after="0" w:line="480" w:lineRule="auto"/>
        <w:ind w:left="117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any limitations or difficulties in reaching and communicating with beneficiaries.</w:t>
      </w:r>
    </w:p>
    <w:p w14:paraId="3DAF9188"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How is cash currently delivered to the beneficiaries in the LEAP programme?</w:t>
      </w:r>
    </w:p>
    <w:p w14:paraId="136EF283" w14:textId="77777777" w:rsidR="0008415E" w:rsidRPr="00446A7C" w:rsidRDefault="00000000">
      <w:pPr>
        <w:spacing w:after="0" w:line="480" w:lineRule="auto"/>
        <w:ind w:left="117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the existing methods, including both digital technologies and manual delivery.</w:t>
      </w:r>
    </w:p>
    <w:p w14:paraId="225A58D8"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Have beneficiaries been given any training and education on how access LEAP services through digital technology?</w:t>
      </w:r>
    </w:p>
    <w:p w14:paraId="7F0F145B" w14:textId="77777777" w:rsidR="0008415E" w:rsidRPr="00446A7C" w:rsidRDefault="00000000">
      <w:pPr>
        <w:spacing w:after="0" w:line="480" w:lineRule="auto"/>
        <w:ind w:left="450" w:firstLine="0"/>
        <w:contextualSpacing/>
        <w:jc w:val="both"/>
        <w:rPr>
          <w:rFonts w:eastAsia="Calibri" w:cs="Times New Roman"/>
          <w:i/>
          <w:iCs/>
          <w:kern w:val="2"/>
          <w:szCs w:val="24"/>
          <w:lang w:val="en-US"/>
        </w:rPr>
      </w:pPr>
      <w:r w:rsidRPr="00446A7C">
        <w:rPr>
          <w:rFonts w:eastAsia="Calibri" w:cs="Times New Roman"/>
          <w:i/>
          <w:iCs/>
          <w:kern w:val="2"/>
          <w:szCs w:val="24"/>
          <w:lang w:val="en-US"/>
        </w:rPr>
        <w:lastRenderedPageBreak/>
        <w:t>Probe on the type of training and education with emphasis on digital technology.</w:t>
      </w:r>
    </w:p>
    <w:p w14:paraId="008CE89D"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What challenges do you see with the current delivery methods?</w:t>
      </w:r>
    </w:p>
    <w:p w14:paraId="38C484C2" w14:textId="77777777" w:rsidR="0008415E" w:rsidRPr="00446A7C" w:rsidRDefault="00000000">
      <w:pPr>
        <w:spacing w:after="0" w:line="480" w:lineRule="auto"/>
        <w:ind w:left="45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specific issues or difficulties associated with each method.</w:t>
      </w:r>
    </w:p>
    <w:p w14:paraId="6625E962"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How do you think the challenges associated with the current delivery methods can be addressed?</w:t>
      </w:r>
    </w:p>
    <w:p w14:paraId="577730EA" w14:textId="77777777" w:rsidR="0008415E" w:rsidRPr="00446A7C" w:rsidRDefault="00000000">
      <w:pPr>
        <w:spacing w:after="0" w:line="480" w:lineRule="auto"/>
        <w:ind w:left="117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suggestions or ideas on how digital technology can help overcome the challenges.</w:t>
      </w:r>
    </w:p>
    <w:p w14:paraId="129C5275"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How is data on the LEAP programme and its beneficiaries currently managed?</w:t>
      </w:r>
    </w:p>
    <w:p w14:paraId="121416FE" w14:textId="77777777" w:rsidR="0008415E" w:rsidRPr="00446A7C" w:rsidRDefault="00000000">
      <w:pPr>
        <w:spacing w:after="0" w:line="480" w:lineRule="auto"/>
        <w:ind w:left="45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the processes involved in recording, processing, and controlling the data.</w:t>
      </w:r>
    </w:p>
    <w:p w14:paraId="27C2C280"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Specifically, how is data on beneficiaries and cash transfers processed?</w:t>
      </w:r>
    </w:p>
    <w:p w14:paraId="75AC7320" w14:textId="77777777" w:rsidR="0008415E" w:rsidRPr="00446A7C" w:rsidRDefault="00000000">
      <w:pPr>
        <w:spacing w:after="0" w:line="480" w:lineRule="auto"/>
        <w:ind w:left="45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details on how the data is collected, verified, and updated.</w:t>
      </w:r>
    </w:p>
    <w:p w14:paraId="73C98F87"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How do you think digital technology has improved the management of data in the LEAP programme?</w:t>
      </w:r>
    </w:p>
    <w:p w14:paraId="16942675" w14:textId="77777777" w:rsidR="0008415E" w:rsidRPr="00446A7C" w:rsidRDefault="00000000">
      <w:pPr>
        <w:spacing w:after="0" w:line="480" w:lineRule="auto"/>
        <w:ind w:left="117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potential benefits and specific ways digital technology can enhance data management.</w:t>
      </w:r>
    </w:p>
    <w:p w14:paraId="4C940615"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What is your opinion on replacing manual delivery methods with digital technology in enhancing LEAP enhance the LEAP programme? Why or why not?</w:t>
      </w:r>
    </w:p>
    <w:p w14:paraId="65BA3A94" w14:textId="77777777" w:rsidR="0008415E" w:rsidRPr="00446A7C" w:rsidRDefault="00000000">
      <w:pPr>
        <w:spacing w:after="0" w:line="480" w:lineRule="auto"/>
        <w:ind w:left="990" w:firstLine="0"/>
        <w:contextualSpacing/>
        <w:jc w:val="both"/>
        <w:rPr>
          <w:rFonts w:eastAsia="Calibri" w:cs="Times New Roman"/>
          <w:i/>
          <w:iCs/>
          <w:kern w:val="2"/>
          <w:szCs w:val="24"/>
          <w:lang w:val="en-US"/>
        </w:rPr>
      </w:pPr>
      <w:r w:rsidRPr="00446A7C">
        <w:rPr>
          <w:rFonts w:eastAsia="Calibri" w:cs="Times New Roman"/>
          <w:i/>
          <w:iCs/>
          <w:kern w:val="2"/>
          <w:szCs w:val="24"/>
          <w:lang w:val="en-US"/>
        </w:rPr>
        <w:t>Probe for detailed responses and insights on the potential benefits and drawbacks of digital technology in addressing the challenges of the programme.</w:t>
      </w:r>
    </w:p>
    <w:p w14:paraId="34662FA2" w14:textId="77777777" w:rsidR="0008415E" w:rsidRPr="00446A7C" w:rsidRDefault="00000000">
      <w:pPr>
        <w:numPr>
          <w:ilvl w:val="0"/>
          <w:numId w:val="7"/>
        </w:numPr>
        <w:spacing w:after="0" w:line="480" w:lineRule="auto"/>
        <w:ind w:firstLine="0"/>
        <w:contextualSpacing/>
        <w:jc w:val="both"/>
        <w:rPr>
          <w:rFonts w:eastAsia="Calibri" w:cs="Times New Roman"/>
          <w:kern w:val="2"/>
          <w:szCs w:val="24"/>
          <w:lang w:val="en-US"/>
        </w:rPr>
      </w:pPr>
      <w:r w:rsidRPr="00446A7C">
        <w:rPr>
          <w:rFonts w:eastAsia="Calibri" w:cs="Times New Roman"/>
          <w:kern w:val="2"/>
          <w:szCs w:val="24"/>
          <w:lang w:val="en-US"/>
        </w:rPr>
        <w:t>What support or resources do you think would be necessary to enable you to effectively utilize digital technologies within the LEAP programme in the future?</w:t>
      </w:r>
      <w:r w:rsidRPr="00446A7C">
        <w:rPr>
          <w:rFonts w:cs="Times New Roman"/>
          <w:szCs w:val="24"/>
        </w:rPr>
        <w:br w:type="page"/>
      </w:r>
    </w:p>
    <w:p w14:paraId="4F3E3AF5" w14:textId="77777777" w:rsidR="0008415E" w:rsidRPr="00446A7C" w:rsidRDefault="00000000" w:rsidP="00004537">
      <w:pPr>
        <w:pStyle w:val="Heading2"/>
      </w:pPr>
      <w:bookmarkStart w:id="189" w:name="_Toc171703281"/>
      <w:r w:rsidRPr="00004537">
        <w:lastRenderedPageBreak/>
        <w:t>Appendix</w:t>
      </w:r>
      <w:r w:rsidRPr="00446A7C">
        <w:t xml:space="preserve"> C</w:t>
      </w:r>
      <w:bookmarkEnd w:id="189"/>
    </w:p>
    <w:p w14:paraId="2168B26E" w14:textId="77777777" w:rsidR="0008415E" w:rsidRPr="007109A5" w:rsidRDefault="00000000" w:rsidP="007109A5">
      <w:pPr>
        <w:pStyle w:val="NoSpacing"/>
        <w:rPr>
          <w:rFonts w:ascii="Times New Roman" w:hAnsi="Times New Roman" w:cs="Times New Roman"/>
          <w:b/>
          <w:bCs/>
          <w:sz w:val="24"/>
          <w:szCs w:val="24"/>
        </w:rPr>
      </w:pPr>
      <w:r w:rsidRPr="007109A5">
        <w:rPr>
          <w:rFonts w:ascii="Times New Roman" w:hAnsi="Times New Roman" w:cs="Times New Roman"/>
          <w:b/>
          <w:bCs/>
          <w:sz w:val="24"/>
          <w:szCs w:val="24"/>
        </w:rPr>
        <w:t xml:space="preserve"> Introductory Letter for Data Collection</w:t>
      </w:r>
    </w:p>
    <w:p w14:paraId="4891EF3E" w14:textId="77777777" w:rsidR="0008415E" w:rsidRPr="00446A7C" w:rsidRDefault="00000000">
      <w:pPr>
        <w:spacing w:after="0" w:line="480" w:lineRule="auto"/>
        <w:ind w:firstLine="0"/>
        <w:contextualSpacing/>
        <w:jc w:val="both"/>
        <w:rPr>
          <w:rFonts w:cs="Times New Roman"/>
          <w:szCs w:val="24"/>
          <w:lang w:val="en-US"/>
        </w:rPr>
      </w:pPr>
      <w:r w:rsidRPr="00446A7C">
        <w:rPr>
          <w:rFonts w:cs="Times New Roman"/>
          <w:noProof/>
          <w:szCs w:val="24"/>
          <w:lang w:val="en-US"/>
        </w:rPr>
        <w:drawing>
          <wp:anchor distT="0" distB="0" distL="0" distR="0" simplePos="0" relativeHeight="251658752" behindDoc="1" locked="0" layoutInCell="1" allowOverlap="1">
            <wp:simplePos x="0" y="0"/>
            <wp:positionH relativeFrom="column">
              <wp:posOffset>457200</wp:posOffset>
            </wp:positionH>
            <wp:positionV relativeFrom="paragraph">
              <wp:posOffset>67310</wp:posOffset>
            </wp:positionV>
            <wp:extent cx="5568950" cy="7677150"/>
            <wp:effectExtent l="0" t="0" r="0" b="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
                    <pic:cNvPicPr>
                      <a:picLocks noChangeAspect="1" noChangeArrowheads="1"/>
                    </pic:cNvPicPr>
                  </pic:nvPicPr>
                  <pic:blipFill>
                    <a:blip r:embed="rId28"/>
                    <a:srcRect l="6688" t="718" r="193" b="3410"/>
                    <a:stretch>
                      <a:fillRect/>
                    </a:stretch>
                  </pic:blipFill>
                  <pic:spPr bwMode="auto">
                    <a:xfrm>
                      <a:off x="0" y="0"/>
                      <a:ext cx="5568950" cy="7677150"/>
                    </a:xfrm>
                    <a:prstGeom prst="rect">
                      <a:avLst/>
                    </a:prstGeom>
                  </pic:spPr>
                </pic:pic>
              </a:graphicData>
            </a:graphic>
          </wp:anchor>
        </w:drawing>
      </w:r>
    </w:p>
    <w:p w14:paraId="2193E9BA" w14:textId="77777777" w:rsidR="0008415E" w:rsidRPr="00446A7C" w:rsidRDefault="0008415E">
      <w:pPr>
        <w:spacing w:after="0" w:line="480" w:lineRule="auto"/>
        <w:ind w:firstLine="0"/>
        <w:contextualSpacing/>
        <w:jc w:val="both"/>
        <w:rPr>
          <w:rFonts w:cs="Times New Roman"/>
          <w:szCs w:val="24"/>
          <w:lang w:val="en-US"/>
        </w:rPr>
      </w:pPr>
    </w:p>
    <w:p w14:paraId="427A53FF" w14:textId="77777777" w:rsidR="0008415E" w:rsidRPr="00446A7C" w:rsidRDefault="0008415E">
      <w:pPr>
        <w:spacing w:after="0" w:line="480" w:lineRule="auto"/>
        <w:ind w:firstLine="0"/>
        <w:contextualSpacing/>
        <w:jc w:val="both"/>
        <w:rPr>
          <w:rFonts w:cs="Times New Roman"/>
          <w:szCs w:val="24"/>
          <w:lang w:val="en-US"/>
        </w:rPr>
      </w:pPr>
    </w:p>
    <w:p w14:paraId="69F525CA" w14:textId="77777777" w:rsidR="0008415E" w:rsidRPr="00446A7C" w:rsidRDefault="0008415E">
      <w:pPr>
        <w:spacing w:after="0" w:line="480" w:lineRule="auto"/>
        <w:ind w:firstLine="0"/>
        <w:contextualSpacing/>
        <w:jc w:val="both"/>
        <w:rPr>
          <w:rFonts w:cs="Times New Roman"/>
          <w:szCs w:val="24"/>
          <w:lang w:val="en-US"/>
        </w:rPr>
      </w:pPr>
    </w:p>
    <w:p w14:paraId="7CB7B382" w14:textId="77777777" w:rsidR="0008415E" w:rsidRPr="00446A7C" w:rsidRDefault="0008415E">
      <w:pPr>
        <w:spacing w:after="0" w:line="480" w:lineRule="auto"/>
        <w:ind w:firstLine="0"/>
        <w:contextualSpacing/>
        <w:jc w:val="both"/>
        <w:rPr>
          <w:rFonts w:cs="Times New Roman"/>
          <w:szCs w:val="24"/>
          <w:lang w:val="en-US"/>
        </w:rPr>
      </w:pPr>
    </w:p>
    <w:p w14:paraId="2E6E8F78" w14:textId="77777777" w:rsidR="0008415E" w:rsidRPr="00446A7C" w:rsidRDefault="0008415E">
      <w:pPr>
        <w:spacing w:after="0" w:line="480" w:lineRule="auto"/>
        <w:ind w:firstLine="0"/>
        <w:contextualSpacing/>
        <w:jc w:val="both"/>
        <w:rPr>
          <w:rFonts w:cs="Times New Roman"/>
          <w:szCs w:val="24"/>
          <w:lang w:val="en-US"/>
        </w:rPr>
      </w:pPr>
    </w:p>
    <w:p w14:paraId="6282B134" w14:textId="77777777" w:rsidR="0008415E" w:rsidRPr="00446A7C" w:rsidRDefault="0008415E">
      <w:pPr>
        <w:spacing w:after="0" w:line="480" w:lineRule="auto"/>
        <w:ind w:firstLine="0"/>
        <w:contextualSpacing/>
        <w:jc w:val="both"/>
        <w:rPr>
          <w:rFonts w:cs="Times New Roman"/>
          <w:szCs w:val="24"/>
          <w:lang w:val="en-US"/>
        </w:rPr>
      </w:pPr>
    </w:p>
    <w:p w14:paraId="4AD50416" w14:textId="77777777" w:rsidR="0008415E" w:rsidRPr="00446A7C" w:rsidRDefault="0008415E">
      <w:pPr>
        <w:spacing w:after="0" w:line="480" w:lineRule="auto"/>
        <w:ind w:firstLine="0"/>
        <w:contextualSpacing/>
        <w:jc w:val="both"/>
        <w:rPr>
          <w:rFonts w:cs="Times New Roman"/>
          <w:szCs w:val="24"/>
          <w:lang w:val="en-US"/>
        </w:rPr>
      </w:pPr>
    </w:p>
    <w:p w14:paraId="690AA4EB" w14:textId="77777777" w:rsidR="0008415E" w:rsidRPr="00446A7C" w:rsidRDefault="0008415E">
      <w:pPr>
        <w:spacing w:after="0" w:line="480" w:lineRule="auto"/>
        <w:ind w:firstLine="0"/>
        <w:contextualSpacing/>
        <w:jc w:val="both"/>
        <w:rPr>
          <w:rFonts w:cs="Times New Roman"/>
          <w:szCs w:val="24"/>
          <w:lang w:val="en-US"/>
        </w:rPr>
      </w:pPr>
    </w:p>
    <w:p w14:paraId="5865BEE9" w14:textId="77777777" w:rsidR="0008415E" w:rsidRPr="00446A7C" w:rsidRDefault="00000000">
      <w:pPr>
        <w:spacing w:after="0" w:line="480" w:lineRule="auto"/>
        <w:ind w:firstLine="0"/>
        <w:contextualSpacing/>
        <w:jc w:val="both"/>
        <w:rPr>
          <w:rFonts w:cs="Times New Roman"/>
          <w:szCs w:val="24"/>
          <w:lang w:val="en-US"/>
        </w:rPr>
      </w:pPr>
      <w:r w:rsidRPr="00446A7C">
        <w:rPr>
          <w:rFonts w:cs="Times New Roman"/>
          <w:szCs w:val="24"/>
        </w:rPr>
        <w:br w:type="textWrapping" w:clear="all"/>
      </w:r>
    </w:p>
    <w:p w14:paraId="5259CDEE" w14:textId="77777777" w:rsidR="0008415E" w:rsidRPr="00446A7C" w:rsidRDefault="0008415E">
      <w:pPr>
        <w:spacing w:line="480" w:lineRule="auto"/>
        <w:ind w:firstLine="0"/>
        <w:contextualSpacing/>
        <w:jc w:val="both"/>
        <w:rPr>
          <w:rFonts w:cs="Times New Roman"/>
          <w:szCs w:val="24"/>
        </w:rPr>
      </w:pPr>
      <w:bookmarkStart w:id="190" w:name="_Hlk159652192"/>
      <w:bookmarkEnd w:id="190"/>
    </w:p>
    <w:p w14:paraId="5A3E02C5" w14:textId="77777777" w:rsidR="0008415E" w:rsidRPr="00446A7C" w:rsidRDefault="0008415E">
      <w:pPr>
        <w:spacing w:line="480" w:lineRule="auto"/>
        <w:ind w:firstLine="0"/>
        <w:contextualSpacing/>
        <w:jc w:val="both"/>
        <w:rPr>
          <w:rFonts w:cs="Times New Roman"/>
          <w:szCs w:val="24"/>
        </w:rPr>
      </w:pPr>
    </w:p>
    <w:sectPr w:rsidR="0008415E" w:rsidRPr="00446A7C" w:rsidSect="00371F7B">
      <w:pgSz w:w="11906" w:h="16838" w:code="9"/>
      <w:pgMar w:top="1440" w:right="1440" w:bottom="1440" w:left="1886" w:header="0" w:footer="72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0EB73D" w14:textId="77777777" w:rsidR="00186884" w:rsidRDefault="00186884">
      <w:pPr>
        <w:spacing w:after="0" w:line="240" w:lineRule="auto"/>
      </w:pPr>
      <w:r>
        <w:separator/>
      </w:r>
    </w:p>
  </w:endnote>
  <w:endnote w:type="continuationSeparator" w:id="0">
    <w:p w14:paraId="44330900" w14:textId="77777777" w:rsidR="00186884" w:rsidRDefault="001868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NwtbdvAdvTT99c4c969">
    <w:altName w:val="Cambria"/>
    <w:charset w:val="01"/>
    <w:family w:val="roman"/>
    <w:pitch w:val="variable"/>
  </w:font>
  <w:font w:name="Liberation Sans">
    <w:altName w:val="Arial"/>
    <w:charset w:val="01"/>
    <w:family w:val="roman"/>
    <w:pitch w:val="variable"/>
  </w:font>
  <w:font w:name="PingFang SC">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03917622"/>
      <w:docPartObj>
        <w:docPartGallery w:val="AutoText"/>
      </w:docPartObj>
    </w:sdtPr>
    <w:sdtContent>
      <w:p w14:paraId="64093398" w14:textId="77777777" w:rsidR="0008415E" w:rsidRDefault="00000000">
        <w:pPr>
          <w:pStyle w:val="Footer"/>
          <w:jc w:val="center"/>
        </w:pPr>
        <w:r>
          <w:fldChar w:fldCharType="begin"/>
        </w:r>
        <w:r>
          <w:instrText xml:space="preserve"> PAGE </w:instrText>
        </w:r>
        <w:r>
          <w:fldChar w:fldCharType="separate"/>
        </w:r>
        <w:r>
          <w:t>xii</w:t>
        </w:r>
        <w:r>
          <w:fldChar w:fldCharType="end"/>
        </w:r>
      </w:p>
      <w:p w14:paraId="500D34F2" w14:textId="77777777" w:rsidR="0008415E" w:rsidRDefault="00000000">
        <w:pPr>
          <w:pStyle w:val="Foote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3919031"/>
      <w:docPartObj>
        <w:docPartGallery w:val="AutoText"/>
      </w:docPartObj>
    </w:sdtPr>
    <w:sdtContent>
      <w:p w14:paraId="2C3C38D9" w14:textId="77777777" w:rsidR="0008415E" w:rsidRDefault="00000000">
        <w:pPr>
          <w:pStyle w:val="Footer"/>
          <w:jc w:val="center"/>
        </w:pPr>
        <w:r>
          <w:fldChar w:fldCharType="begin"/>
        </w:r>
        <w:r>
          <w:instrText xml:space="preserve"> PAGE </w:instrText>
        </w:r>
        <w:r>
          <w:fldChar w:fldCharType="separate"/>
        </w:r>
        <w:r>
          <w:t>xii</w:t>
        </w:r>
        <w:r>
          <w:fldChar w:fldCharType="end"/>
        </w:r>
      </w:p>
      <w:p w14:paraId="1D5D9EC5" w14:textId="77777777" w:rsidR="0008415E" w:rsidRDefault="00000000">
        <w:pPr>
          <w:pStyle w:val="Foo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097959" w14:textId="77777777" w:rsidR="0008415E" w:rsidRDefault="0008415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AF5B2A" w14:textId="6A1019BD" w:rsidR="00252F71" w:rsidRDefault="00252F71">
    <w:pPr>
      <w:pStyle w:val="Footer"/>
      <w:jc w:val="center"/>
    </w:pPr>
  </w:p>
  <w:sdt>
    <w:sdtPr>
      <w:id w:val="-500734523"/>
      <w:docPartObj>
        <w:docPartGallery w:val="AutoText"/>
      </w:docPartObj>
    </w:sdtPr>
    <w:sdtContent>
      <w:p w14:paraId="29D77F80" w14:textId="77777777" w:rsidR="0008415E" w:rsidRDefault="00000000" w:rsidP="00045458">
        <w:pPr>
          <w:pStyle w:val="Footer"/>
          <w:tabs>
            <w:tab w:val="clear" w:pos="4680"/>
          </w:tabs>
          <w:ind w:firstLine="0"/>
          <w:jc w:val="center"/>
        </w:pPr>
        <w:r>
          <w:fldChar w:fldCharType="begin"/>
        </w:r>
        <w:r>
          <w:instrText xml:space="preserve"> PAGE </w:instrText>
        </w:r>
        <w:r>
          <w:fldChar w:fldCharType="separate"/>
        </w:r>
        <w:r>
          <w:t>4</w:t>
        </w:r>
        <w:r>
          <w:fldChar w:fldCharType="end"/>
        </w:r>
      </w:p>
      <w:p w14:paraId="4B431576" w14:textId="77777777" w:rsidR="0008415E" w:rsidRDefault="00000000">
        <w:pPr>
          <w:pStyle w:val="Footer"/>
        </w:pP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95191624"/>
      <w:docPartObj>
        <w:docPartGallery w:val="AutoText"/>
      </w:docPartObj>
    </w:sdtPr>
    <w:sdtContent>
      <w:p w14:paraId="4529071C" w14:textId="77777777" w:rsidR="0008415E" w:rsidRDefault="00000000">
        <w:pPr>
          <w:pStyle w:val="Footer"/>
          <w:jc w:val="center"/>
        </w:pPr>
        <w:r>
          <w:fldChar w:fldCharType="begin"/>
        </w:r>
        <w:r>
          <w:instrText xml:space="preserve"> PAGE </w:instrText>
        </w:r>
        <w:r>
          <w:fldChar w:fldCharType="separate"/>
        </w:r>
        <w:r>
          <w:t>4</w:t>
        </w:r>
        <w:r>
          <w:fldChar w:fldCharType="end"/>
        </w:r>
      </w:p>
      <w:p w14:paraId="52029117" w14:textId="77777777" w:rsidR="0008415E" w:rsidRDefault="00000000">
        <w:pPr>
          <w:pStyle w:val="Foote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6D2679" w14:textId="77777777" w:rsidR="00186884" w:rsidRDefault="00186884">
      <w:pPr>
        <w:rPr>
          <w:sz w:val="12"/>
        </w:rPr>
      </w:pPr>
      <w:r>
        <w:separator/>
      </w:r>
    </w:p>
  </w:footnote>
  <w:footnote w:type="continuationSeparator" w:id="0">
    <w:p w14:paraId="4744763B" w14:textId="77777777" w:rsidR="00186884" w:rsidRDefault="00186884">
      <w:pPr>
        <w:rPr>
          <w:sz w:val="12"/>
        </w:rPr>
      </w:pPr>
      <w:r>
        <w:continuationSeparator/>
      </w:r>
    </w:p>
  </w:footnote>
  <w:footnote w:id="1">
    <w:p w14:paraId="1C98BF96" w14:textId="77777777" w:rsidR="0008415E" w:rsidRDefault="00000000">
      <w:pPr>
        <w:pStyle w:val="FootnoteText"/>
      </w:pPr>
      <w:r>
        <w:rPr>
          <w:rStyle w:val="FootnoteCharacters"/>
        </w:rPr>
        <w:footnoteRef/>
      </w:r>
      <w:r>
        <w:t xml:space="preserve"> GHS is the currency denomination of Ghana.</w:t>
      </w:r>
    </w:p>
  </w:footnote>
  <w:footnote w:id="2">
    <w:p w14:paraId="2AFA9C95" w14:textId="77777777" w:rsidR="0008415E" w:rsidRDefault="00000000">
      <w:pPr>
        <w:pStyle w:val="FootnoteText"/>
      </w:pPr>
      <w:r>
        <w:rPr>
          <w:rStyle w:val="FootnoteCharacters"/>
        </w:rPr>
        <w:footnoteRef/>
      </w:r>
      <w:r>
        <w:t xml:space="preserve"> </w:t>
      </w:r>
      <w:r>
        <w:rPr>
          <w:i/>
          <w:iCs/>
        </w:rPr>
        <w:t>Pito</w:t>
      </w:r>
      <w:r>
        <w:t xml:space="preserve"> is a local alcoholic beverage extracted from fermented guinea corn.</w:t>
      </w:r>
    </w:p>
  </w:footnote>
  <w:footnote w:id="3">
    <w:p w14:paraId="6B55D7B8" w14:textId="77777777" w:rsidR="0008415E" w:rsidRDefault="00000000">
      <w:pPr>
        <w:pStyle w:val="FootnoteText"/>
      </w:pPr>
      <w:r>
        <w:rPr>
          <w:rStyle w:val="FootnoteCharacters"/>
        </w:rPr>
        <w:footnoteRef/>
      </w:r>
      <w:r>
        <w:t xml:space="preserve"> Complementary services are other social protection interventions that LEAP beneficiaires can access.</w:t>
      </w:r>
    </w:p>
  </w:footnote>
  <w:footnote w:id="4">
    <w:p w14:paraId="574194A5" w14:textId="77777777" w:rsidR="0008415E" w:rsidRDefault="00000000">
      <w:pPr>
        <w:pStyle w:val="FootnoteText"/>
      </w:pPr>
      <w:r>
        <w:rPr>
          <w:rStyle w:val="FootnoteCharacters"/>
        </w:rPr>
        <w:footnoteRef/>
      </w:r>
      <w:r>
        <w:t xml:space="preserve"> ‘Ghana must go’ is one of the most common big bags used to pack loads when traveling or to store things.</w:t>
      </w:r>
    </w:p>
  </w:footnote>
  <w:footnote w:id="5">
    <w:p w14:paraId="09F05FE0" w14:textId="77777777" w:rsidR="0008415E" w:rsidRDefault="00000000">
      <w:pPr>
        <w:pStyle w:val="FootnoteText"/>
      </w:pPr>
      <w:r>
        <w:rPr>
          <w:rStyle w:val="FootnoteCharacters"/>
        </w:rPr>
        <w:footnoteRef/>
      </w:r>
      <w:r>
        <w:t xml:space="preserve"> LIPW was initiated in 2011 to provide temporary wage-earning opportunities to vulnerable and poor households during the dry season where agricultural activities are at the low.</w:t>
      </w:r>
    </w:p>
  </w:footnote>
  <w:footnote w:id="6">
    <w:p w14:paraId="659AD75C" w14:textId="77777777" w:rsidR="0008415E" w:rsidRDefault="00000000">
      <w:pPr>
        <w:pStyle w:val="FootnoteText"/>
      </w:pPr>
      <w:r>
        <w:rPr>
          <w:rStyle w:val="FootnoteCharacters"/>
        </w:rPr>
        <w:footnoteRef/>
      </w:r>
      <w:r>
        <w:t xml:space="preserve"> CFP is a committee set up by the LEAP programme secretariat to support the implementation of LEAP at the community levels. They serve the programme on volunteer basis.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571B8"/>
    <w:multiLevelType w:val="multilevel"/>
    <w:tmpl w:val="BA8E93BC"/>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 w15:restartNumberingAfterBreak="0">
    <w:nsid w:val="013E6463"/>
    <w:multiLevelType w:val="multilevel"/>
    <w:tmpl w:val="C80064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A0B0A7D"/>
    <w:multiLevelType w:val="hybridMultilevel"/>
    <w:tmpl w:val="3F2E2274"/>
    <w:lvl w:ilvl="0" w:tplc="0409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3" w15:restartNumberingAfterBreak="0">
    <w:nsid w:val="150F2787"/>
    <w:multiLevelType w:val="multilevel"/>
    <w:tmpl w:val="343E97E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17C87EE3"/>
    <w:multiLevelType w:val="multilevel"/>
    <w:tmpl w:val="4B36BF1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CF9375E"/>
    <w:multiLevelType w:val="multilevel"/>
    <w:tmpl w:val="C5A6F8E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22E31D35"/>
    <w:multiLevelType w:val="hybridMultilevel"/>
    <w:tmpl w:val="44528972"/>
    <w:lvl w:ilvl="0" w:tplc="0409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7" w15:restartNumberingAfterBreak="0">
    <w:nsid w:val="406B1A46"/>
    <w:multiLevelType w:val="multilevel"/>
    <w:tmpl w:val="5BE267C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415C3580"/>
    <w:multiLevelType w:val="multilevel"/>
    <w:tmpl w:val="7AD6FD00"/>
    <w:lvl w:ilvl="0">
      <w:start w:val="1"/>
      <w:numFmt w:val="decimal"/>
      <w:lvlText w:val="%1."/>
      <w:lvlJc w:val="left"/>
      <w:pPr>
        <w:tabs>
          <w:tab w:val="num" w:pos="0"/>
        </w:tabs>
        <w:ind w:left="1170" w:hanging="360"/>
      </w:pPr>
    </w:lvl>
    <w:lvl w:ilvl="1">
      <w:start w:val="1"/>
      <w:numFmt w:val="lowerLetter"/>
      <w:lvlText w:val="%2."/>
      <w:lvlJc w:val="left"/>
      <w:pPr>
        <w:tabs>
          <w:tab w:val="num" w:pos="0"/>
        </w:tabs>
        <w:ind w:left="1890" w:hanging="360"/>
      </w:pPr>
    </w:lvl>
    <w:lvl w:ilvl="2">
      <w:start w:val="1"/>
      <w:numFmt w:val="lowerRoman"/>
      <w:lvlText w:val="%3."/>
      <w:lvlJc w:val="right"/>
      <w:pPr>
        <w:tabs>
          <w:tab w:val="num" w:pos="0"/>
        </w:tabs>
        <w:ind w:left="2610" w:hanging="180"/>
      </w:pPr>
    </w:lvl>
    <w:lvl w:ilvl="3">
      <w:start w:val="1"/>
      <w:numFmt w:val="decimal"/>
      <w:lvlText w:val="%4."/>
      <w:lvlJc w:val="left"/>
      <w:pPr>
        <w:tabs>
          <w:tab w:val="num" w:pos="0"/>
        </w:tabs>
        <w:ind w:left="3330" w:hanging="360"/>
      </w:pPr>
    </w:lvl>
    <w:lvl w:ilvl="4">
      <w:start w:val="1"/>
      <w:numFmt w:val="lowerLetter"/>
      <w:lvlText w:val="%5."/>
      <w:lvlJc w:val="left"/>
      <w:pPr>
        <w:tabs>
          <w:tab w:val="num" w:pos="0"/>
        </w:tabs>
        <w:ind w:left="4050" w:hanging="360"/>
      </w:pPr>
    </w:lvl>
    <w:lvl w:ilvl="5">
      <w:start w:val="1"/>
      <w:numFmt w:val="lowerRoman"/>
      <w:lvlText w:val="%6."/>
      <w:lvlJc w:val="right"/>
      <w:pPr>
        <w:tabs>
          <w:tab w:val="num" w:pos="0"/>
        </w:tabs>
        <w:ind w:left="4770" w:hanging="180"/>
      </w:pPr>
    </w:lvl>
    <w:lvl w:ilvl="6">
      <w:start w:val="1"/>
      <w:numFmt w:val="decimal"/>
      <w:lvlText w:val="%7."/>
      <w:lvlJc w:val="left"/>
      <w:pPr>
        <w:tabs>
          <w:tab w:val="num" w:pos="0"/>
        </w:tabs>
        <w:ind w:left="5490" w:hanging="360"/>
      </w:pPr>
    </w:lvl>
    <w:lvl w:ilvl="7">
      <w:start w:val="1"/>
      <w:numFmt w:val="lowerLetter"/>
      <w:lvlText w:val="%8."/>
      <w:lvlJc w:val="left"/>
      <w:pPr>
        <w:tabs>
          <w:tab w:val="num" w:pos="0"/>
        </w:tabs>
        <w:ind w:left="6210" w:hanging="360"/>
      </w:pPr>
    </w:lvl>
    <w:lvl w:ilvl="8">
      <w:start w:val="1"/>
      <w:numFmt w:val="lowerRoman"/>
      <w:lvlText w:val="%9."/>
      <w:lvlJc w:val="right"/>
      <w:pPr>
        <w:tabs>
          <w:tab w:val="num" w:pos="0"/>
        </w:tabs>
        <w:ind w:left="6930" w:hanging="180"/>
      </w:pPr>
    </w:lvl>
  </w:abstractNum>
  <w:abstractNum w:abstractNumId="9" w15:restartNumberingAfterBreak="0">
    <w:nsid w:val="48011C2C"/>
    <w:multiLevelType w:val="hybridMultilevel"/>
    <w:tmpl w:val="09960564"/>
    <w:lvl w:ilvl="0" w:tplc="0409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0" w15:restartNumberingAfterBreak="0">
    <w:nsid w:val="4D726386"/>
    <w:multiLevelType w:val="hybridMultilevel"/>
    <w:tmpl w:val="CE4E08DA"/>
    <w:lvl w:ilvl="0" w:tplc="0409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1" w15:restartNumberingAfterBreak="0">
    <w:nsid w:val="4F775868"/>
    <w:multiLevelType w:val="multilevel"/>
    <w:tmpl w:val="B282D39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5CAB5BF2"/>
    <w:multiLevelType w:val="multilevel"/>
    <w:tmpl w:val="2C4CCDF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15:restartNumberingAfterBreak="0">
    <w:nsid w:val="6B322DE9"/>
    <w:multiLevelType w:val="multilevel"/>
    <w:tmpl w:val="F64A353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4" w15:restartNumberingAfterBreak="0">
    <w:nsid w:val="7AA5662D"/>
    <w:multiLevelType w:val="multilevel"/>
    <w:tmpl w:val="2BB2CC16"/>
    <w:lvl w:ilvl="0">
      <w:start w:val="1"/>
      <w:numFmt w:val="decimal"/>
      <w:suff w:val="space"/>
      <w:lvlText w:val="%1."/>
      <w:lvlJc w:val="left"/>
      <w:pPr>
        <w:tabs>
          <w:tab w:val="num" w:pos="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7AF60E17"/>
    <w:multiLevelType w:val="multilevel"/>
    <w:tmpl w:val="96B077AA"/>
    <w:lvl w:ilvl="0">
      <w:start w:val="1"/>
      <w:numFmt w:val="decimal"/>
      <w:lvlText w:val="%1."/>
      <w:lvlJc w:val="left"/>
      <w:pPr>
        <w:tabs>
          <w:tab w:val="num" w:pos="0"/>
        </w:tabs>
        <w:ind w:left="1080" w:hanging="360"/>
      </w:pPr>
      <w:rPr>
        <w:b w:val="0"/>
        <w:bCs w:val="0"/>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7F70322C"/>
    <w:multiLevelType w:val="hybridMultilevel"/>
    <w:tmpl w:val="F08CE124"/>
    <w:lvl w:ilvl="0" w:tplc="0409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num w:numId="1" w16cid:durableId="169151308">
    <w:abstractNumId w:val="12"/>
  </w:num>
  <w:num w:numId="2" w16cid:durableId="132873073">
    <w:abstractNumId w:val="14"/>
  </w:num>
  <w:num w:numId="3" w16cid:durableId="1579288777">
    <w:abstractNumId w:val="7"/>
  </w:num>
  <w:num w:numId="4" w16cid:durableId="80955622">
    <w:abstractNumId w:val="11"/>
  </w:num>
  <w:num w:numId="5" w16cid:durableId="332955618">
    <w:abstractNumId w:val="15"/>
  </w:num>
  <w:num w:numId="6" w16cid:durableId="767195659">
    <w:abstractNumId w:val="0"/>
  </w:num>
  <w:num w:numId="7" w16cid:durableId="524758630">
    <w:abstractNumId w:val="8"/>
  </w:num>
  <w:num w:numId="8" w16cid:durableId="783421874">
    <w:abstractNumId w:val="1"/>
  </w:num>
  <w:num w:numId="9" w16cid:durableId="518466310">
    <w:abstractNumId w:val="3"/>
  </w:num>
  <w:num w:numId="10" w16cid:durableId="939029360">
    <w:abstractNumId w:val="5"/>
  </w:num>
  <w:num w:numId="11" w16cid:durableId="1450081279">
    <w:abstractNumId w:val="4"/>
  </w:num>
  <w:num w:numId="12" w16cid:durableId="322710078">
    <w:abstractNumId w:val="13"/>
  </w:num>
  <w:num w:numId="13" w16cid:durableId="84890117">
    <w:abstractNumId w:val="1"/>
    <w:lvlOverride w:ilvl="0">
      <w:startOverride w:val="1"/>
    </w:lvlOverride>
  </w:num>
  <w:num w:numId="14" w16cid:durableId="1294285459">
    <w:abstractNumId w:val="1"/>
  </w:num>
  <w:num w:numId="15" w16cid:durableId="93982217">
    <w:abstractNumId w:val="1"/>
  </w:num>
  <w:num w:numId="16" w16cid:durableId="1554541957">
    <w:abstractNumId w:val="1"/>
  </w:num>
  <w:num w:numId="17" w16cid:durableId="347753686">
    <w:abstractNumId w:val="16"/>
  </w:num>
  <w:num w:numId="18" w16cid:durableId="592590224">
    <w:abstractNumId w:val="2"/>
  </w:num>
  <w:num w:numId="19" w16cid:durableId="1176847426">
    <w:abstractNumId w:val="9"/>
  </w:num>
  <w:num w:numId="20" w16cid:durableId="785660021">
    <w:abstractNumId w:val="6"/>
  </w:num>
  <w:num w:numId="21" w16cid:durableId="135981778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efaultTabStop w:val="720"/>
  <w:autoHyphenation/>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Y2MLMwNTY1NDUyNzNR0lEKTi0uzszPAykwrAUAi24H1SwAAAA="/>
  </w:docVars>
  <w:rsids>
    <w:rsidRoot w:val="0008415E"/>
    <w:rsid w:val="00004537"/>
    <w:rsid w:val="00045458"/>
    <w:rsid w:val="0008415E"/>
    <w:rsid w:val="000B2D44"/>
    <w:rsid w:val="000E08D9"/>
    <w:rsid w:val="000E2D2C"/>
    <w:rsid w:val="000E7271"/>
    <w:rsid w:val="00107189"/>
    <w:rsid w:val="00124D74"/>
    <w:rsid w:val="00186884"/>
    <w:rsid w:val="001D59DB"/>
    <w:rsid w:val="001F0AB7"/>
    <w:rsid w:val="00252F71"/>
    <w:rsid w:val="002F0643"/>
    <w:rsid w:val="00340FEA"/>
    <w:rsid w:val="00371F7B"/>
    <w:rsid w:val="00372E48"/>
    <w:rsid w:val="003E37FE"/>
    <w:rsid w:val="00402705"/>
    <w:rsid w:val="00446A7C"/>
    <w:rsid w:val="00480294"/>
    <w:rsid w:val="00491E2B"/>
    <w:rsid w:val="0061579B"/>
    <w:rsid w:val="00637A70"/>
    <w:rsid w:val="006752F7"/>
    <w:rsid w:val="00677545"/>
    <w:rsid w:val="006B3C20"/>
    <w:rsid w:val="007109A5"/>
    <w:rsid w:val="0071194D"/>
    <w:rsid w:val="007558F1"/>
    <w:rsid w:val="007A2394"/>
    <w:rsid w:val="007A4181"/>
    <w:rsid w:val="007C55D6"/>
    <w:rsid w:val="008A5D2D"/>
    <w:rsid w:val="00986730"/>
    <w:rsid w:val="009F3C33"/>
    <w:rsid w:val="00B74686"/>
    <w:rsid w:val="00B863F4"/>
    <w:rsid w:val="00BA129F"/>
    <w:rsid w:val="00BD41E4"/>
    <w:rsid w:val="00C553E2"/>
    <w:rsid w:val="00C568DD"/>
    <w:rsid w:val="00D63E9A"/>
    <w:rsid w:val="00EA1209"/>
    <w:rsid w:val="00F218E5"/>
    <w:rsid w:val="00FC2F19"/>
    <w:rsid w:val="00FF562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rules v:ext="edit">
        <o:r id="V:Rule1" type="connector" idref="#Straight Arrow Connector 4"/>
        <o:r id="V:Rule2" type="connector" idref="#Straight Arrow Connector 8"/>
      </o:rules>
    </o:shapelayout>
  </w:shapeDefaults>
  <w:decimalSymbol w:val="."/>
  <w:listSeparator w:val=","/>
  <w14:docId w14:val="55A9F80A"/>
  <w15:docId w15:val="{7D90504A-0536-4501-AFC5-7CBE632D6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qFormat="1"/>
    <w:lsdException w:name="annotation text"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uiPriority="1" w:qFormat="1"/>
    <w:lsdException w:name="Light Shading" w:uiPriority="60" w:qFormat="1"/>
    <w:lsdException w:name="Light List" w:uiPriority="61" w:qFormat="1"/>
    <w:lsdException w:name="Light Grid" w:uiPriority="62" w:qFormat="1"/>
    <w:lsdException w:name="Medium Shading 1" w:uiPriority="63" w:qFormat="1"/>
    <w:lsdException w:name="Medium Shading 2" w:uiPriority="64" w:qFormat="1"/>
    <w:lsdException w:name="Medium List 1" w:uiPriority="65" w:qFormat="1"/>
    <w:lsdException w:name="Medium List 2" w:uiPriority="66" w:qFormat="1"/>
    <w:lsdException w:name="Medium Grid 1" w:uiPriority="67" w:qFormat="1"/>
    <w:lsdException w:name="Medium Grid 2" w:uiPriority="68" w:qFormat="1"/>
    <w:lsdException w:name="Medium Grid 3" w:uiPriority="69" w:qFormat="1"/>
    <w:lsdException w:name="Dark List" w:uiPriority="70" w:qFormat="1"/>
    <w:lsdException w:name="Colorful Shading" w:uiPriority="71" w:qFormat="1"/>
    <w:lsdException w:name="Colorful List" w:uiPriority="72" w:qFormat="1"/>
    <w:lsdException w:name="Colorful Grid" w:uiPriority="73" w:qFormat="1"/>
    <w:lsdException w:name="Light Shading Accent 1" w:uiPriority="60" w:qFormat="1"/>
    <w:lsdException w:name="Light List Accent 1" w:uiPriority="61" w:qFormat="1"/>
    <w:lsdException w:name="Light Grid Accent 1" w:uiPriority="62" w:qFormat="1"/>
    <w:lsdException w:name="Medium Shading 1 Accent 1" w:uiPriority="63" w:qFormat="1"/>
    <w:lsdException w:name="Medium Shading 2 Accent 1" w:uiPriority="64" w:qFormat="1"/>
    <w:lsdException w:name="Medium List 1 Accent 1" w:uiPriority="65" w:qFormat="1"/>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qFormat="1"/>
    <w:lsdException w:name="Medium Grid 1 Accent 1" w:uiPriority="67" w:qFormat="1"/>
    <w:lsdException w:name="Medium Grid 2 Accent 1" w:uiPriority="68" w:qFormat="1"/>
    <w:lsdException w:name="Medium Grid 3 Accent 1" w:uiPriority="69" w:qFormat="1"/>
    <w:lsdException w:name="Dark List Accent 1" w:uiPriority="70" w:qFormat="1"/>
    <w:lsdException w:name="Colorful Shading Accent 1" w:uiPriority="71" w:qFormat="1"/>
    <w:lsdException w:name="Colorful List Accent 1" w:uiPriority="72" w:qFormat="1"/>
    <w:lsdException w:name="Colorful Grid Accent 1" w:uiPriority="73" w:qFormat="1"/>
    <w:lsdException w:name="Light Shading Accent 2" w:uiPriority="60" w:qFormat="1"/>
    <w:lsdException w:name="Light List Accent 2" w:uiPriority="61" w:qFormat="1"/>
    <w:lsdException w:name="Light Grid Accent 2" w:uiPriority="62" w:qFormat="1"/>
    <w:lsdException w:name="Medium Shading 1 Accent 2" w:uiPriority="63" w:qFormat="1"/>
    <w:lsdException w:name="Medium Shading 2 Accent 2" w:uiPriority="64" w:qFormat="1"/>
    <w:lsdException w:name="Medium List 1 Accent 2" w:uiPriority="65" w:qFormat="1"/>
    <w:lsdException w:name="Medium List 2 Accent 2" w:uiPriority="66" w:qFormat="1"/>
    <w:lsdException w:name="Medium Grid 1 Accent 2" w:uiPriority="67" w:qFormat="1"/>
    <w:lsdException w:name="Medium Grid 2 Accent 2" w:uiPriority="68" w:qFormat="1"/>
    <w:lsdException w:name="Medium Grid 3 Accent 2" w:uiPriority="69" w:qFormat="1"/>
    <w:lsdException w:name="Dark List Accent 2" w:uiPriority="70" w:qFormat="1"/>
    <w:lsdException w:name="Colorful Shading Accent 2" w:uiPriority="71" w:qFormat="1"/>
    <w:lsdException w:name="Colorful List Accent 2" w:uiPriority="72" w:qFormat="1"/>
    <w:lsdException w:name="Colorful Grid Accent 2" w:uiPriority="73" w:qFormat="1"/>
    <w:lsdException w:name="Light Shading Accent 3" w:uiPriority="60" w:qFormat="1"/>
    <w:lsdException w:name="Light List Accent 3" w:uiPriority="61" w:qFormat="1"/>
    <w:lsdException w:name="Light Grid Accent 3" w:uiPriority="62" w:qFormat="1"/>
    <w:lsdException w:name="Medium Shading 1 Accent 3" w:uiPriority="63" w:qFormat="1"/>
    <w:lsdException w:name="Medium Shading 2 Accent 3" w:uiPriority="64" w:qFormat="1"/>
    <w:lsdException w:name="Medium List 1 Accent 3" w:uiPriority="65" w:qFormat="1"/>
    <w:lsdException w:name="Medium List 2 Accent 3" w:uiPriority="66" w:qFormat="1"/>
    <w:lsdException w:name="Medium Grid 1 Accent 3" w:uiPriority="67" w:qFormat="1"/>
    <w:lsdException w:name="Medium Grid 2 Accent 3" w:uiPriority="68" w:qFormat="1"/>
    <w:lsdException w:name="Medium Grid 3 Accent 3" w:uiPriority="69" w:qFormat="1"/>
    <w:lsdException w:name="Dark List Accent 3" w:uiPriority="70" w:qFormat="1"/>
    <w:lsdException w:name="Colorful Shading Accent 3" w:uiPriority="71" w:qFormat="1"/>
    <w:lsdException w:name="Colorful List Accent 3" w:uiPriority="72" w:qFormat="1"/>
    <w:lsdException w:name="Colorful Grid Accent 3" w:uiPriority="73" w:qFormat="1"/>
    <w:lsdException w:name="Light Shading Accent 4" w:uiPriority="60" w:qFormat="1"/>
    <w:lsdException w:name="Light List Accent 4" w:uiPriority="61" w:qFormat="1"/>
    <w:lsdException w:name="Light Grid Accent 4" w:uiPriority="62" w:qFormat="1"/>
    <w:lsdException w:name="Medium Shading 1 Accent 4" w:uiPriority="63" w:qFormat="1"/>
    <w:lsdException w:name="Medium Shading 2 Accent 4" w:uiPriority="64" w:qFormat="1"/>
    <w:lsdException w:name="Medium List 1 Accent 4" w:uiPriority="65" w:qFormat="1"/>
    <w:lsdException w:name="Medium List 2 Accent 4" w:uiPriority="66" w:qFormat="1"/>
    <w:lsdException w:name="Medium Grid 1 Accent 4" w:uiPriority="67" w:qFormat="1"/>
    <w:lsdException w:name="Medium Grid 2 Accent 4" w:uiPriority="68" w:qFormat="1"/>
    <w:lsdException w:name="Medium Grid 3 Accent 4" w:uiPriority="69" w:qFormat="1"/>
    <w:lsdException w:name="Dark List Accent 4" w:uiPriority="70" w:qFormat="1"/>
    <w:lsdException w:name="Colorful Shading Accent 4" w:uiPriority="71" w:qFormat="1"/>
    <w:lsdException w:name="Colorful List Accent 4" w:uiPriority="72" w:qFormat="1"/>
    <w:lsdException w:name="Colorful Grid Accent 4" w:uiPriority="73" w:qFormat="1"/>
    <w:lsdException w:name="Light Shading Accent 5" w:uiPriority="60" w:qFormat="1"/>
    <w:lsdException w:name="Light List Accent 5" w:uiPriority="61" w:qFormat="1"/>
    <w:lsdException w:name="Light Grid Accent 5" w:uiPriority="62" w:qFormat="1"/>
    <w:lsdException w:name="Medium Shading 1 Accent 5" w:uiPriority="63" w:qFormat="1"/>
    <w:lsdException w:name="Medium Shading 2 Accent 5" w:uiPriority="64" w:qFormat="1"/>
    <w:lsdException w:name="Medium List 1 Accent 5" w:uiPriority="65" w:qFormat="1"/>
    <w:lsdException w:name="Medium List 2 Accent 5" w:uiPriority="66" w:qFormat="1"/>
    <w:lsdException w:name="Medium Grid 1 Accent 5" w:uiPriority="67" w:qFormat="1"/>
    <w:lsdException w:name="Medium Grid 2 Accent 5" w:uiPriority="68" w:qFormat="1"/>
    <w:lsdException w:name="Medium Grid 3 Accent 5" w:uiPriority="69" w:qFormat="1"/>
    <w:lsdException w:name="Dark List Accent 5" w:uiPriority="70" w:qFormat="1"/>
    <w:lsdException w:name="Colorful Shading Accent 5" w:uiPriority="71" w:qFormat="1"/>
    <w:lsdException w:name="Colorful List Accent 5" w:uiPriority="72" w:qFormat="1"/>
    <w:lsdException w:name="Colorful Grid Accent 5" w:uiPriority="73" w:qFormat="1"/>
    <w:lsdException w:name="Light Shading Accent 6" w:uiPriority="60" w:qFormat="1"/>
    <w:lsdException w:name="Light List Accent 6" w:uiPriority="61" w:qFormat="1"/>
    <w:lsdException w:name="Light Grid Accent 6" w:uiPriority="62" w:qFormat="1"/>
    <w:lsdException w:name="Medium Shading 1 Accent 6" w:uiPriority="63" w:qFormat="1"/>
    <w:lsdException w:name="Medium Shading 2 Accent 6" w:uiPriority="64" w:qFormat="1"/>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qFormat="1"/>
    <w:lsdException w:name="Colorful Shading Accent 6" w:uiPriority="71" w:qFormat="1"/>
    <w:lsdException w:name="Colorful List Accent 6" w:uiPriority="72" w:qFormat="1"/>
    <w:lsdException w:name="Colorful Grid Accent 6" w:uiPriority="73" w:qFormat="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ind w:firstLine="720"/>
    </w:pPr>
    <w:rPr>
      <w:rFonts w:ascii="Times New Roman" w:hAnsi="Times New Roman"/>
      <w:sz w:val="24"/>
      <w:szCs w:val="22"/>
      <w:lang w:val="en-GB" w:eastAsia="en-US" w:bidi="ar-SA"/>
    </w:rPr>
  </w:style>
  <w:style w:type="paragraph" w:styleId="Heading1">
    <w:name w:val="heading 1"/>
    <w:basedOn w:val="Normal"/>
    <w:next w:val="Normal"/>
    <w:link w:val="Heading1Char"/>
    <w:uiPriority w:val="9"/>
    <w:qFormat/>
    <w:pPr>
      <w:keepNext/>
      <w:keepLines/>
      <w:tabs>
        <w:tab w:val="left" w:pos="3670"/>
        <w:tab w:val="center" w:pos="4725"/>
      </w:tabs>
      <w:spacing w:before="240" w:line="360" w:lineRule="auto"/>
      <w:ind w:firstLine="0"/>
      <w:contextualSpacing/>
      <w:jc w:val="center"/>
      <w:outlineLvl w:val="0"/>
    </w:pPr>
    <w:rPr>
      <w:rFonts w:eastAsiaTheme="majorEastAsia" w:cs="Times New Roman"/>
      <w:b/>
      <w:szCs w:val="24"/>
    </w:rPr>
  </w:style>
  <w:style w:type="paragraph" w:styleId="Heading2">
    <w:name w:val="heading 2"/>
    <w:basedOn w:val="Normal"/>
    <w:next w:val="Normal"/>
    <w:link w:val="Heading2Char"/>
    <w:uiPriority w:val="9"/>
    <w:unhideWhenUsed/>
    <w:qFormat/>
    <w:pPr>
      <w:keepNext/>
      <w:keepLines/>
      <w:spacing w:before="40" w:after="0" w:line="360" w:lineRule="auto"/>
      <w:ind w:firstLine="0"/>
      <w:outlineLvl w:val="1"/>
    </w:pPr>
    <w:rPr>
      <w:rFonts w:eastAsiaTheme="majorEastAsia" w:cstheme="majorBidi"/>
      <w:b/>
      <w:szCs w:val="26"/>
    </w:rPr>
  </w:style>
  <w:style w:type="paragraph" w:styleId="Heading3">
    <w:name w:val="heading 3"/>
    <w:basedOn w:val="Subtitle"/>
    <w:next w:val="Subtitle"/>
    <w:link w:val="Heading3Char"/>
    <w:uiPriority w:val="9"/>
    <w:unhideWhenUsed/>
    <w:qFormat/>
    <w:rsid w:val="00491E2B"/>
    <w:pPr>
      <w:keepNext/>
      <w:keepLines/>
      <w:spacing w:before="40" w:after="0" w:line="480" w:lineRule="auto"/>
      <w:ind w:firstLine="0"/>
      <w:contextualSpacing/>
      <w:jc w:val="both"/>
      <w:outlineLvl w:val="2"/>
    </w:pPr>
    <w:rPr>
      <w:rFonts w:eastAsiaTheme="majorEastAsia" w:cs="Times New Roman"/>
      <w:b/>
      <w:color w:val="auto"/>
      <w:szCs w:val="24"/>
      <w:lang w:val="en-US"/>
    </w:rPr>
  </w:style>
  <w:style w:type="paragraph" w:styleId="Heading4">
    <w:name w:val="heading 4"/>
    <w:basedOn w:val="Normal"/>
    <w:next w:val="Normal"/>
    <w:link w:val="Heading4Char"/>
    <w:uiPriority w:val="9"/>
    <w:unhideWhenUsed/>
    <w:qFormat/>
    <w:rsid w:val="001F0AB7"/>
    <w:pPr>
      <w:keepNext/>
      <w:keepLines/>
      <w:spacing w:before="40" w:after="0" w:line="480" w:lineRule="auto"/>
      <w:ind w:firstLine="0"/>
      <w:outlineLvl w:val="3"/>
    </w:pPr>
    <w:rPr>
      <w:rFonts w:eastAsiaTheme="majorEastAsia" w:cstheme="majorBidi"/>
      <w:b/>
      <w:iCs/>
      <w:lang w:val="en-US"/>
    </w:rPr>
  </w:style>
  <w:style w:type="paragraph" w:styleId="Heading5">
    <w:name w:val="heading 5"/>
    <w:basedOn w:val="Normal"/>
    <w:next w:val="Normal"/>
    <w:link w:val="Heading5Char"/>
    <w:uiPriority w:val="9"/>
    <w:unhideWhenUsed/>
    <w:qFormat/>
    <w:rsid w:val="00491E2B"/>
    <w:pPr>
      <w:keepNext/>
      <w:keepLines/>
      <w:spacing w:before="40" w:after="0"/>
      <w:ind w:left="1008" w:hanging="1008"/>
      <w:outlineLvl w:val="4"/>
    </w:pPr>
    <w:rPr>
      <w:rFonts w:eastAsiaTheme="majorEastAsia" w:cstheme="majorBidi"/>
      <w:b/>
      <w:color w:val="000000" w:themeColor="text1"/>
      <w:lang w:val="en-US"/>
    </w:rPr>
  </w:style>
  <w:style w:type="paragraph" w:styleId="Heading6">
    <w:name w:val="heading 6"/>
    <w:basedOn w:val="Normal"/>
    <w:next w:val="Normal"/>
    <w:link w:val="Heading6Char"/>
    <w:uiPriority w:val="9"/>
    <w:unhideWhenUsed/>
    <w:qFormat/>
    <w:rsid w:val="00FC2F19"/>
    <w:pPr>
      <w:keepNext/>
      <w:keepLines/>
      <w:spacing w:before="40" w:after="0"/>
      <w:ind w:left="1152" w:hanging="1152"/>
      <w:outlineLvl w:val="5"/>
    </w:pPr>
    <w:rPr>
      <w:rFonts w:eastAsiaTheme="majorEastAsia" w:cstheme="majorBidi"/>
      <w:b/>
      <w:color w:val="000000" w:themeColor="text1"/>
      <w:lang w:val="en-US"/>
    </w:rPr>
  </w:style>
  <w:style w:type="paragraph" w:styleId="Heading7">
    <w:name w:val="heading 7"/>
    <w:basedOn w:val="Normal"/>
    <w:next w:val="Normal"/>
    <w:link w:val="Heading7Char"/>
    <w:uiPriority w:val="9"/>
    <w:semiHidden/>
    <w:unhideWhenUsed/>
    <w:qFormat/>
    <w:pPr>
      <w:keepNext/>
      <w:keepLines/>
      <w:spacing w:before="40" w:after="0"/>
      <w:ind w:left="1296" w:hanging="1296"/>
      <w:outlineLvl w:val="6"/>
    </w:pPr>
    <w:rPr>
      <w:rFonts w:asciiTheme="majorHAnsi" w:eastAsiaTheme="majorEastAsia" w:hAnsiTheme="majorHAnsi" w:cstheme="majorBidi"/>
      <w:i/>
      <w:iCs/>
      <w:color w:val="1F4E79" w:themeColor="accent1" w:themeShade="80"/>
      <w:lang w:val="en-US"/>
    </w:rPr>
  </w:style>
  <w:style w:type="paragraph" w:styleId="Heading8">
    <w:name w:val="heading 8"/>
    <w:basedOn w:val="Normal"/>
    <w:next w:val="Normal"/>
    <w:link w:val="Heading8Char"/>
    <w:uiPriority w:val="9"/>
    <w:semiHidden/>
    <w:unhideWhenUsed/>
    <w:qFormat/>
    <w:pPr>
      <w:keepNext/>
      <w:keepLines/>
      <w:spacing w:before="40" w:after="0"/>
      <w:ind w:left="1440" w:hanging="1440"/>
      <w:outlineLvl w:val="7"/>
    </w:pPr>
    <w:rPr>
      <w:rFonts w:asciiTheme="majorHAnsi" w:eastAsiaTheme="majorEastAsia" w:hAnsiTheme="majorHAnsi" w:cstheme="majorBidi"/>
      <w:color w:val="000000" w:themeColor="text1"/>
      <w:sz w:val="21"/>
      <w:szCs w:val="21"/>
      <w:lang w:val="en-US"/>
    </w:rPr>
  </w:style>
  <w:style w:type="paragraph" w:styleId="Heading9">
    <w:name w:val="heading 9"/>
    <w:basedOn w:val="Normal"/>
    <w:next w:val="Normal"/>
    <w:link w:val="Heading9Char"/>
    <w:uiPriority w:val="9"/>
    <w:semiHidden/>
    <w:unhideWhenUsed/>
    <w:qFormat/>
    <w:pPr>
      <w:keepNext/>
      <w:keepLines/>
      <w:spacing w:before="40" w:after="0"/>
      <w:ind w:left="1584" w:hanging="1584"/>
      <w:outlineLvl w:val="8"/>
    </w:pPr>
    <w:rPr>
      <w:rFonts w:asciiTheme="majorHAnsi" w:eastAsiaTheme="majorEastAsia" w:hAnsiTheme="majorHAnsi" w:cstheme="majorBidi"/>
      <w:i/>
      <w:iCs/>
      <w:color w:val="000000" w:themeColor="text1"/>
      <w:sz w:val="21"/>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qFormat/>
    <w:rPr>
      <w:sz w:val="16"/>
      <w:szCs w:val="16"/>
    </w:rPr>
  </w:style>
  <w:style w:type="character" w:styleId="FollowedHyperlink">
    <w:name w:val="FollowedHyperlink"/>
    <w:basedOn w:val="DefaultParagraphFont"/>
    <w:uiPriority w:val="99"/>
    <w:semiHidden/>
    <w:unhideWhenUsed/>
    <w:qFormat/>
    <w:rPr>
      <w:color w:val="954F72" w:themeColor="followedHyperlink"/>
      <w:u w:val="single"/>
    </w:rPr>
  </w:style>
  <w:style w:type="character" w:customStyle="1" w:styleId="FootnoteCharacters">
    <w:name w:val="Footnote Characters"/>
    <w:uiPriority w:val="99"/>
    <w:semiHidden/>
    <w:unhideWhenUsed/>
    <w:qFormat/>
    <w:rPr>
      <w:vertAlign w:val="superscript"/>
    </w:rPr>
  </w:style>
  <w:style w:type="character" w:styleId="FootnoteReference">
    <w:name w:val="footnote reference"/>
    <w:rPr>
      <w:vertAlign w:val="superscript"/>
    </w:rPr>
  </w:style>
  <w:style w:type="character" w:styleId="Hyperlink">
    <w:name w:val="Hyperlink"/>
    <w:basedOn w:val="DefaultParagraphFont"/>
    <w:uiPriority w:val="99"/>
    <w:unhideWhenUsed/>
    <w:qFormat/>
    <w:rPr>
      <w:color w:val="0563C1" w:themeColor="hyperlink"/>
      <w:u w:val="single"/>
    </w:rPr>
  </w:style>
  <w:style w:type="character" w:customStyle="1" w:styleId="Heading1Char">
    <w:name w:val="Heading 1 Char"/>
    <w:basedOn w:val="DefaultParagraphFont"/>
    <w:link w:val="Heading1"/>
    <w:uiPriority w:val="9"/>
    <w:qFormat/>
    <w:rPr>
      <w:rFonts w:ascii="Times New Roman" w:eastAsiaTheme="majorEastAsia" w:hAnsi="Times New Roman" w:cs="Times New Roman"/>
      <w:b/>
      <w:sz w:val="24"/>
      <w:szCs w:val="24"/>
      <w:lang w:val="en-GB"/>
    </w:rPr>
  </w:style>
  <w:style w:type="character" w:customStyle="1" w:styleId="Heading2Char">
    <w:name w:val="Heading 2 Char"/>
    <w:basedOn w:val="DefaultParagraphFont"/>
    <w:link w:val="Heading2"/>
    <w:uiPriority w:val="9"/>
    <w:qFormat/>
    <w:rPr>
      <w:rFonts w:ascii="Times New Roman" w:eastAsiaTheme="majorEastAsia" w:hAnsi="Times New Roman" w:cstheme="majorBidi"/>
      <w:b/>
      <w:sz w:val="24"/>
      <w:szCs w:val="26"/>
      <w:lang w:val="en-GB"/>
    </w:rPr>
  </w:style>
  <w:style w:type="character" w:customStyle="1" w:styleId="SubtitleChar">
    <w:name w:val="Subtitle Char"/>
    <w:basedOn w:val="DefaultParagraphFont"/>
    <w:link w:val="Subtitle"/>
    <w:uiPriority w:val="11"/>
    <w:qFormat/>
    <w:rPr>
      <w:rFonts w:eastAsiaTheme="minorEastAsia"/>
      <w:color w:val="000000" w:themeColor="text1"/>
      <w:spacing w:val="15"/>
      <w:sz w:val="22"/>
      <w:szCs w:val="22"/>
      <w:lang w:val="en-GB"/>
    </w:rPr>
  </w:style>
  <w:style w:type="character" w:customStyle="1" w:styleId="Heading3Char">
    <w:name w:val="Heading 3 Char"/>
    <w:basedOn w:val="DefaultParagraphFont"/>
    <w:link w:val="Heading3"/>
    <w:uiPriority w:val="9"/>
    <w:qFormat/>
    <w:rsid w:val="00491E2B"/>
    <w:rPr>
      <w:rFonts w:ascii="Times New Roman" w:eastAsiaTheme="majorEastAsia" w:hAnsi="Times New Roman" w:cs="Times New Roman"/>
      <w:b/>
      <w:spacing w:val="15"/>
      <w:sz w:val="24"/>
      <w:szCs w:val="24"/>
      <w:lang w:eastAsia="en-US" w:bidi="ar-SA"/>
    </w:rPr>
  </w:style>
  <w:style w:type="character" w:customStyle="1" w:styleId="Heading4Char">
    <w:name w:val="Heading 4 Char"/>
    <w:basedOn w:val="DefaultParagraphFont"/>
    <w:link w:val="Heading4"/>
    <w:uiPriority w:val="9"/>
    <w:qFormat/>
    <w:rsid w:val="001F0AB7"/>
    <w:rPr>
      <w:rFonts w:ascii="Times New Roman" w:eastAsiaTheme="majorEastAsia" w:hAnsi="Times New Roman" w:cstheme="majorBidi"/>
      <w:b/>
      <w:iCs/>
      <w:sz w:val="24"/>
      <w:szCs w:val="22"/>
      <w:lang w:eastAsia="en-US" w:bidi="ar-SA"/>
    </w:rPr>
  </w:style>
  <w:style w:type="character" w:customStyle="1" w:styleId="Heading5Char">
    <w:name w:val="Heading 5 Char"/>
    <w:basedOn w:val="DefaultParagraphFont"/>
    <w:link w:val="Heading5"/>
    <w:uiPriority w:val="9"/>
    <w:qFormat/>
    <w:rsid w:val="00491E2B"/>
    <w:rPr>
      <w:rFonts w:ascii="Times New Roman" w:eastAsiaTheme="majorEastAsia" w:hAnsi="Times New Roman" w:cstheme="majorBidi"/>
      <w:b/>
      <w:color w:val="000000" w:themeColor="text1"/>
      <w:sz w:val="24"/>
      <w:szCs w:val="22"/>
      <w:lang w:eastAsia="en-US" w:bidi="ar-SA"/>
    </w:rPr>
  </w:style>
  <w:style w:type="character" w:customStyle="1" w:styleId="Heading6Char">
    <w:name w:val="Heading 6 Char"/>
    <w:basedOn w:val="DefaultParagraphFont"/>
    <w:link w:val="Heading6"/>
    <w:uiPriority w:val="9"/>
    <w:qFormat/>
    <w:rsid w:val="00FC2F19"/>
    <w:rPr>
      <w:rFonts w:ascii="Times New Roman" w:eastAsiaTheme="majorEastAsia" w:hAnsi="Times New Roman" w:cstheme="majorBidi"/>
      <w:b/>
      <w:color w:val="000000" w:themeColor="text1"/>
      <w:sz w:val="24"/>
      <w:szCs w:val="22"/>
      <w:lang w:eastAsia="en-US" w:bidi="ar-SA"/>
    </w:rPr>
  </w:style>
  <w:style w:type="character" w:customStyle="1" w:styleId="Heading7Char">
    <w:name w:val="Heading 7 Char"/>
    <w:basedOn w:val="DefaultParagraphFont"/>
    <w:link w:val="Heading7"/>
    <w:uiPriority w:val="9"/>
    <w:semiHidden/>
    <w:qFormat/>
    <w:rPr>
      <w:rFonts w:asciiTheme="majorHAnsi" w:eastAsiaTheme="majorEastAsia" w:hAnsiTheme="majorHAnsi" w:cstheme="majorBidi"/>
      <w:i/>
      <w:iCs/>
      <w:color w:val="1F4E79" w:themeColor="accent1" w:themeShade="80"/>
    </w:rPr>
  </w:style>
  <w:style w:type="character" w:customStyle="1" w:styleId="Heading8Char">
    <w:name w:val="Heading 8 Char"/>
    <w:basedOn w:val="DefaultParagraphFont"/>
    <w:link w:val="Heading8"/>
    <w:uiPriority w:val="9"/>
    <w:semiHidden/>
    <w:qFormat/>
    <w:rPr>
      <w:rFonts w:asciiTheme="majorHAnsi" w:eastAsiaTheme="majorEastAsia" w:hAnsiTheme="majorHAnsi" w:cstheme="majorBidi"/>
      <w:color w:val="000000" w:themeColor="text1"/>
      <w:sz w:val="21"/>
      <w:szCs w:val="21"/>
    </w:rPr>
  </w:style>
  <w:style w:type="character" w:customStyle="1" w:styleId="Heading9Char">
    <w:name w:val="Heading 9 Char"/>
    <w:basedOn w:val="DefaultParagraphFont"/>
    <w:link w:val="Heading9"/>
    <w:uiPriority w:val="9"/>
    <w:semiHidden/>
    <w:qFormat/>
    <w:rPr>
      <w:rFonts w:asciiTheme="majorHAnsi" w:eastAsiaTheme="majorEastAsia" w:hAnsiTheme="majorHAnsi" w:cstheme="majorBidi"/>
      <w:i/>
      <w:iCs/>
      <w:color w:val="000000" w:themeColor="text1"/>
      <w:sz w:val="21"/>
      <w:szCs w:val="21"/>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CommentTextChar">
    <w:name w:val="Comment Text Char"/>
    <w:basedOn w:val="DefaultParagraphFont"/>
    <w:link w:val="CommentText"/>
    <w:uiPriority w:val="99"/>
    <w:qFormat/>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 w:type="character" w:customStyle="1" w:styleId="FooterChar">
    <w:name w:val="Footer Char"/>
    <w:basedOn w:val="DefaultParagraphFont"/>
    <w:link w:val="Footer"/>
    <w:uiPriority w:val="99"/>
    <w:qFormat/>
    <w:rPr>
      <w:rFonts w:ascii="Times New Roman" w:hAnsi="Times New Roman"/>
      <w:sz w:val="24"/>
      <w:szCs w:val="22"/>
      <w:lang w:val="en-GB"/>
    </w:rPr>
  </w:style>
  <w:style w:type="character" w:customStyle="1" w:styleId="FootnoteTextChar">
    <w:name w:val="Footnote Text Char"/>
    <w:basedOn w:val="DefaultParagraphFont"/>
    <w:link w:val="FootnoteText"/>
    <w:uiPriority w:val="99"/>
    <w:semiHidden/>
    <w:qFormat/>
    <w:rPr>
      <w:sz w:val="20"/>
      <w:szCs w:val="20"/>
    </w:rPr>
  </w:style>
  <w:style w:type="character" w:customStyle="1" w:styleId="HeaderChar">
    <w:name w:val="Header Char"/>
    <w:basedOn w:val="DefaultParagraphFont"/>
    <w:link w:val="Header"/>
    <w:uiPriority w:val="99"/>
    <w:qFormat/>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UnresolvedMention2">
    <w:name w:val="Unresolved Mention2"/>
    <w:basedOn w:val="DefaultParagraphFont"/>
    <w:uiPriority w:val="99"/>
    <w:semiHidden/>
    <w:unhideWhenUsed/>
    <w:qFormat/>
    <w:rPr>
      <w:color w:val="605E5C"/>
      <w:shd w:val="clear" w:color="auto" w:fill="E1DFDD"/>
    </w:rPr>
  </w:style>
  <w:style w:type="character" w:customStyle="1" w:styleId="fontstyle01">
    <w:name w:val="fontstyle01"/>
    <w:basedOn w:val="DefaultParagraphFont"/>
    <w:qFormat/>
    <w:rPr>
      <w:rFonts w:ascii="NwtbdvAdvTT99c4c969" w:hAnsi="NwtbdvAdvTT99c4c969"/>
      <w:color w:val="131413"/>
      <w:sz w:val="20"/>
      <w:szCs w:val="20"/>
    </w:rPr>
  </w:style>
  <w:style w:type="character" w:customStyle="1" w:styleId="cf01">
    <w:name w:val="cf01"/>
    <w:basedOn w:val="DefaultParagraphFont"/>
    <w:qFormat/>
    <w:rPr>
      <w:rFonts w:ascii="Segoe UI" w:hAnsi="Segoe UI" w:cs="Segoe UI"/>
      <w:color w:val="222222"/>
      <w:sz w:val="18"/>
      <w:szCs w:val="18"/>
      <w:shd w:val="clear" w:color="auto" w:fill="FFFFFF"/>
    </w:rPr>
  </w:style>
  <w:style w:type="character" w:customStyle="1" w:styleId="UnresolvedMention3">
    <w:name w:val="Unresolved Mention3"/>
    <w:basedOn w:val="DefaultParagraphFont"/>
    <w:uiPriority w:val="99"/>
    <w:semiHidden/>
    <w:unhideWhenUsed/>
    <w:qFormat/>
    <w:rPr>
      <w:color w:val="605E5C"/>
      <w:shd w:val="clear" w:color="auto" w:fill="E1DFDD"/>
    </w:rPr>
  </w:style>
  <w:style w:type="character" w:customStyle="1" w:styleId="IntenseEmphasis1">
    <w:name w:val="Intense Emphasis1"/>
    <w:basedOn w:val="DefaultParagraphFont"/>
    <w:uiPriority w:val="21"/>
    <w:qFormat/>
    <w:rPr>
      <w:i/>
      <w:iCs/>
      <w:color w:val="5B9BD5" w:themeColor="accent1"/>
    </w:rPr>
  </w:style>
  <w:style w:type="character" w:customStyle="1" w:styleId="UnresolvedMention4">
    <w:name w:val="Unresolved Mention4"/>
    <w:basedOn w:val="DefaultParagraphFont"/>
    <w:uiPriority w:val="99"/>
    <w:semiHidden/>
    <w:unhideWhenUsed/>
    <w:qFormat/>
    <w:rPr>
      <w:color w:val="605E5C"/>
      <w:shd w:val="clear" w:color="auto" w:fill="E1DFDD"/>
    </w:rPr>
  </w:style>
  <w:style w:type="character" w:customStyle="1" w:styleId="UnresolvedMention5">
    <w:name w:val="Unresolved Mention5"/>
    <w:basedOn w:val="DefaultParagraphFont"/>
    <w:uiPriority w:val="99"/>
    <w:semiHidden/>
    <w:unhideWhenUsed/>
    <w:qFormat/>
    <w:rPr>
      <w:color w:val="605E5C"/>
      <w:shd w:val="clear" w:color="auto" w:fill="E1DFDD"/>
    </w:rPr>
  </w:style>
  <w:style w:type="character" w:customStyle="1" w:styleId="IndexLink">
    <w:name w:val="Index Link"/>
    <w:qFormat/>
  </w:style>
  <w:style w:type="character" w:customStyle="1" w:styleId="linenumber1">
    <w:name w:val="line number1"/>
    <w:qFormat/>
  </w:style>
  <w:style w:type="character" w:customStyle="1" w:styleId="EndnoteCharacters">
    <w:name w:val="Endnote Characters"/>
    <w:qFormat/>
    <w:rPr>
      <w:vertAlign w:val="superscript"/>
    </w:rPr>
  </w:style>
  <w:style w:type="character" w:styleId="EndnoteReference">
    <w:name w:val="endnote reference"/>
    <w:rPr>
      <w:vertAlign w:val="superscript"/>
    </w:rPr>
  </w:style>
  <w:style w:type="character" w:styleId="LineNumber">
    <w:name w:val="line number"/>
  </w:style>
  <w:style w:type="paragraph" w:customStyle="1" w:styleId="Heading">
    <w:name w:val="Heading"/>
    <w:basedOn w:val="Normal"/>
    <w:next w:val="BodyText"/>
    <w:qFormat/>
    <w:pPr>
      <w:keepNext/>
      <w:spacing w:before="240" w:after="120"/>
    </w:pPr>
    <w:rPr>
      <w:rFonts w:ascii="Liberation Sans" w:eastAsia="PingFang SC" w:hAnsi="Liberation Sans" w:cs="Arial Unicode MS"/>
      <w:sz w:val="28"/>
      <w:szCs w:val="28"/>
    </w:rPr>
  </w:style>
  <w:style w:type="paragraph" w:styleId="BodyText">
    <w:name w:val="Body Text"/>
    <w:basedOn w:val="Normal"/>
    <w:pPr>
      <w:spacing w:after="140" w:line="276" w:lineRule="auto"/>
    </w:pPr>
  </w:style>
  <w:style w:type="paragraph" w:styleId="List">
    <w:name w:val="List"/>
    <w:basedOn w:val="BodyText"/>
    <w:rPr>
      <w:rFonts w:cs="Arial Unicode MS"/>
    </w:rPr>
  </w:style>
  <w:style w:type="paragraph" w:styleId="Caption">
    <w:name w:val="caption"/>
    <w:basedOn w:val="Normal"/>
    <w:qFormat/>
    <w:pPr>
      <w:suppressLineNumbers/>
      <w:spacing w:before="120" w:after="120"/>
    </w:pPr>
    <w:rPr>
      <w:rFonts w:cs="Arial Unicode MS"/>
      <w:i/>
      <w:iCs/>
      <w:szCs w:val="24"/>
    </w:rPr>
  </w:style>
  <w:style w:type="paragraph" w:customStyle="1" w:styleId="Index">
    <w:name w:val="Index"/>
    <w:basedOn w:val="Normal"/>
    <w:qFormat/>
    <w:pPr>
      <w:suppressLineNumbers/>
    </w:pPr>
    <w:rPr>
      <w:rFonts w:cs="Arial Unicode MS"/>
    </w:rPr>
  </w:style>
  <w:style w:type="paragraph" w:styleId="Subtitle">
    <w:name w:val="Subtitle"/>
    <w:basedOn w:val="Normal"/>
    <w:next w:val="Normal"/>
    <w:link w:val="SubtitleChar"/>
    <w:uiPriority w:val="11"/>
    <w:qFormat/>
    <w:rPr>
      <w:rFonts w:eastAsiaTheme="minorEastAsia"/>
      <w:color w:val="000000" w:themeColor="text1"/>
      <w:spacing w:val="15"/>
    </w:rPr>
  </w:style>
  <w:style w:type="paragraph" w:customStyle="1" w:styleId="caption1">
    <w:name w:val="caption1"/>
    <w:basedOn w:val="Normal"/>
    <w:qFormat/>
    <w:pPr>
      <w:suppressLineNumbers/>
      <w:spacing w:before="120" w:after="120"/>
    </w:pPr>
    <w:rPr>
      <w:rFonts w:cs="Arial Unicode MS"/>
      <w:i/>
      <w:iCs/>
      <w:szCs w:val="24"/>
    </w:rPr>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customStyle="1" w:styleId="caption11">
    <w:name w:val="caption11"/>
    <w:basedOn w:val="Normal"/>
    <w:next w:val="Normal"/>
    <w:uiPriority w:val="35"/>
    <w:unhideWhenUsed/>
    <w:qFormat/>
    <w:pPr>
      <w:spacing w:after="200" w:line="240" w:lineRule="auto"/>
      <w:jc w:val="both"/>
    </w:pPr>
    <w:rPr>
      <w:rFonts w:cs="Times New Roman"/>
      <w:b/>
      <w:iCs/>
      <w:szCs w:val="24"/>
      <w:lang w:val="en-US"/>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customStyle="1" w:styleId="HeaderandFooter">
    <w:name w:val="Header and Footer"/>
    <w:basedOn w:val="Normal"/>
    <w:qFormat/>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FootnoteText">
    <w:name w:val="footnote text"/>
    <w:basedOn w:val="Normal"/>
    <w:link w:val="FootnoteTextChar"/>
    <w:uiPriority w:val="99"/>
    <w:semiHidden/>
    <w:unhideWhenUsed/>
    <w:qFormat/>
    <w:pPr>
      <w:spacing w:after="0" w:line="240" w:lineRule="auto"/>
    </w:pPr>
    <w:rPr>
      <w:sz w:val="20"/>
      <w:szCs w:val="20"/>
      <w:lang w:val="en-US"/>
    </w:r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qFormat/>
    <w:pPr>
      <w:spacing w:beforeAutospacing="1" w:afterAutospacing="1" w:line="240" w:lineRule="auto"/>
    </w:pPr>
    <w:rPr>
      <w:rFonts w:eastAsia="Times New Roman" w:cs="Times New Roman"/>
      <w:szCs w:val="24"/>
    </w:rPr>
  </w:style>
  <w:style w:type="paragraph" w:styleId="TableofFigures">
    <w:name w:val="table of figures"/>
    <w:basedOn w:val="Normal"/>
    <w:next w:val="Normal"/>
    <w:uiPriority w:val="99"/>
    <w:unhideWhenUsed/>
    <w:qFormat/>
    <w:rsid w:val="00F218E5"/>
    <w:pPr>
      <w:spacing w:after="0"/>
      <w:ind w:left="440" w:hanging="440"/>
      <w:jc w:val="both"/>
    </w:pPr>
    <w:rPr>
      <w:rFonts w:cstheme="minorHAnsi"/>
      <w:szCs w:val="20"/>
    </w:rPr>
  </w:style>
  <w:style w:type="paragraph" w:styleId="TOC1">
    <w:name w:val="toc 1"/>
    <w:basedOn w:val="Normal"/>
    <w:next w:val="Normal"/>
    <w:uiPriority w:val="39"/>
    <w:unhideWhenUsed/>
    <w:qFormat/>
    <w:rsid w:val="00BA129F"/>
    <w:pPr>
      <w:spacing w:before="120" w:after="0" w:line="240" w:lineRule="auto"/>
    </w:pPr>
    <w:rPr>
      <w:rFonts w:cstheme="minorHAnsi"/>
      <w:b/>
      <w:bCs/>
      <w:iCs/>
      <w:caps/>
      <w:szCs w:val="24"/>
    </w:rPr>
  </w:style>
  <w:style w:type="paragraph" w:styleId="TOC2">
    <w:name w:val="toc 2"/>
    <w:basedOn w:val="Normal"/>
    <w:next w:val="Normal"/>
    <w:uiPriority w:val="39"/>
    <w:unhideWhenUsed/>
    <w:qFormat/>
    <w:rsid w:val="00BA129F"/>
    <w:pPr>
      <w:spacing w:before="120" w:after="0"/>
    </w:pPr>
    <w:rPr>
      <w:rFonts w:cstheme="minorHAnsi"/>
      <w:bCs/>
    </w:rPr>
  </w:style>
  <w:style w:type="paragraph" w:styleId="TOC3">
    <w:name w:val="toc 3"/>
    <w:basedOn w:val="Normal"/>
    <w:next w:val="Normal"/>
    <w:uiPriority w:val="39"/>
    <w:unhideWhenUsed/>
    <w:qFormat/>
    <w:rsid w:val="00BA129F"/>
    <w:pPr>
      <w:spacing w:after="0"/>
      <w:ind w:left="480"/>
    </w:pPr>
    <w:rPr>
      <w:rFonts w:cstheme="minorHAnsi"/>
      <w:szCs w:val="20"/>
    </w:rPr>
  </w:style>
  <w:style w:type="paragraph" w:styleId="TOC4">
    <w:name w:val="toc 4"/>
    <w:basedOn w:val="Normal"/>
    <w:next w:val="Normal"/>
    <w:uiPriority w:val="39"/>
    <w:unhideWhenUsed/>
    <w:qFormat/>
    <w:rsid w:val="00BA129F"/>
    <w:pPr>
      <w:spacing w:after="0"/>
      <w:ind w:left="720"/>
    </w:pPr>
    <w:rPr>
      <w:rFonts w:cstheme="minorHAnsi"/>
      <w:szCs w:val="20"/>
    </w:rPr>
  </w:style>
  <w:style w:type="paragraph" w:styleId="TOC5">
    <w:name w:val="toc 5"/>
    <w:basedOn w:val="Normal"/>
    <w:next w:val="Normal"/>
    <w:uiPriority w:val="39"/>
    <w:unhideWhenUsed/>
    <w:qFormat/>
    <w:rsid w:val="00BA129F"/>
    <w:pPr>
      <w:spacing w:after="0"/>
      <w:ind w:left="960"/>
    </w:pPr>
    <w:rPr>
      <w:rFonts w:cstheme="minorHAnsi"/>
      <w:szCs w:val="20"/>
    </w:rPr>
  </w:style>
  <w:style w:type="paragraph" w:styleId="TOC6">
    <w:name w:val="toc 6"/>
    <w:basedOn w:val="Normal"/>
    <w:next w:val="Normal"/>
    <w:uiPriority w:val="39"/>
    <w:unhideWhenUsed/>
    <w:qFormat/>
    <w:rsid w:val="007109A5"/>
    <w:pPr>
      <w:spacing w:after="0"/>
      <w:ind w:left="1200"/>
    </w:pPr>
    <w:rPr>
      <w:rFonts w:asciiTheme="minorHAnsi" w:hAnsiTheme="minorHAnsi" w:cstheme="minorHAnsi"/>
      <w:sz w:val="20"/>
      <w:szCs w:val="20"/>
    </w:rPr>
  </w:style>
  <w:style w:type="paragraph" w:styleId="TOC7">
    <w:name w:val="toc 7"/>
    <w:basedOn w:val="Normal"/>
    <w:next w:val="Normal"/>
    <w:uiPriority w:val="39"/>
    <w:unhideWhenUsed/>
    <w:qFormat/>
    <w:pPr>
      <w:spacing w:after="0"/>
      <w:ind w:left="1440"/>
    </w:pPr>
    <w:rPr>
      <w:rFonts w:asciiTheme="minorHAnsi" w:hAnsiTheme="minorHAnsi" w:cstheme="minorHAnsi"/>
      <w:sz w:val="20"/>
      <w:szCs w:val="20"/>
    </w:rPr>
  </w:style>
  <w:style w:type="paragraph" w:styleId="TOC8">
    <w:name w:val="toc 8"/>
    <w:basedOn w:val="Normal"/>
    <w:next w:val="Normal"/>
    <w:uiPriority w:val="39"/>
    <w:unhideWhenUsed/>
    <w:qFormat/>
    <w:pPr>
      <w:spacing w:after="0"/>
      <w:ind w:left="1680"/>
    </w:pPr>
    <w:rPr>
      <w:rFonts w:asciiTheme="minorHAnsi" w:hAnsiTheme="minorHAnsi" w:cstheme="minorHAnsi"/>
      <w:sz w:val="20"/>
      <w:szCs w:val="20"/>
    </w:rPr>
  </w:style>
  <w:style w:type="paragraph" w:styleId="TOC9">
    <w:name w:val="toc 9"/>
    <w:basedOn w:val="Normal"/>
    <w:next w:val="Normal"/>
    <w:uiPriority w:val="39"/>
    <w:unhideWhenUsed/>
    <w:qFormat/>
    <w:pPr>
      <w:spacing w:after="0"/>
      <w:ind w:left="1920"/>
    </w:pPr>
    <w:rPr>
      <w:rFonts w:asciiTheme="minorHAnsi" w:hAnsiTheme="minorHAnsi" w:cstheme="minorHAnsi"/>
      <w:sz w:val="20"/>
      <w:szCs w:val="20"/>
    </w:rPr>
  </w:style>
  <w:style w:type="paragraph" w:customStyle="1" w:styleId="Default">
    <w:name w:val="Default"/>
    <w:qFormat/>
    <w:rPr>
      <w:rFonts w:ascii="Times New Roman" w:eastAsia="Calibri" w:hAnsi="Times New Roman" w:cs="Times New Roman"/>
      <w:color w:val="000000"/>
      <w:sz w:val="24"/>
      <w:szCs w:val="24"/>
      <w:lang w:eastAsia="en-US" w:bidi="ar-SA"/>
    </w:rPr>
  </w:style>
  <w:style w:type="paragraph" w:styleId="ListParagraph">
    <w:name w:val="List Paragraph"/>
    <w:basedOn w:val="Normal"/>
    <w:uiPriority w:val="34"/>
    <w:qFormat/>
    <w:pPr>
      <w:ind w:left="720"/>
      <w:contextualSpacing/>
    </w:pPr>
  </w:style>
  <w:style w:type="paragraph" w:customStyle="1" w:styleId="Revision1">
    <w:name w:val="Revision1"/>
    <w:uiPriority w:val="99"/>
    <w:semiHidden/>
    <w:qFormat/>
    <w:rPr>
      <w:sz w:val="22"/>
      <w:szCs w:val="22"/>
      <w:lang w:eastAsia="en-US" w:bidi="ar-SA"/>
    </w:rPr>
  </w:style>
  <w:style w:type="paragraph" w:styleId="NoSpacing">
    <w:name w:val="No Spacing"/>
    <w:uiPriority w:val="1"/>
    <w:qFormat/>
    <w:rPr>
      <w:kern w:val="2"/>
      <w:sz w:val="22"/>
      <w:szCs w:val="22"/>
      <w:lang w:eastAsia="en-US" w:bidi="ar-SA"/>
    </w:rPr>
  </w:style>
  <w:style w:type="paragraph" w:customStyle="1" w:styleId="Revision2">
    <w:name w:val="Revision2"/>
    <w:uiPriority w:val="99"/>
    <w:unhideWhenUsed/>
    <w:qFormat/>
    <w:rPr>
      <w:sz w:val="22"/>
      <w:szCs w:val="22"/>
      <w:lang w:val="en-GB" w:eastAsia="en-US" w:bidi="ar-SA"/>
    </w:rPr>
  </w:style>
  <w:style w:type="paragraph" w:customStyle="1" w:styleId="Revision3">
    <w:name w:val="Revision3"/>
    <w:uiPriority w:val="99"/>
    <w:unhideWhenUsed/>
    <w:qFormat/>
    <w:rPr>
      <w:sz w:val="22"/>
      <w:szCs w:val="22"/>
      <w:lang w:val="en-GB" w:eastAsia="en-US" w:bidi="ar-SA"/>
    </w:rPr>
  </w:style>
  <w:style w:type="paragraph" w:styleId="IndexHeading">
    <w:name w:val="index heading"/>
    <w:basedOn w:val="Heading"/>
    <w:qFormat/>
  </w:style>
  <w:style w:type="paragraph" w:customStyle="1" w:styleId="TOCHeading1">
    <w:name w:val="TOC Heading1"/>
    <w:basedOn w:val="Heading1"/>
    <w:next w:val="Normal"/>
    <w:uiPriority w:val="39"/>
    <w:unhideWhenUsed/>
    <w:qFormat/>
    <w:pPr>
      <w:spacing w:line="259" w:lineRule="auto"/>
      <w:jc w:val="left"/>
      <w:outlineLvl w:val="9"/>
    </w:pPr>
    <w:rPr>
      <w:rFonts w:asciiTheme="majorHAnsi" w:hAnsiTheme="majorHAnsi"/>
      <w:b w:val="0"/>
      <w:color w:val="2E74B5" w:themeColor="accent1" w:themeShade="BF"/>
      <w:sz w:val="32"/>
    </w:rPr>
  </w:style>
  <w:style w:type="paragraph" w:customStyle="1" w:styleId="FrameContents">
    <w:name w:val="Frame Contents"/>
    <w:basedOn w:val="Normal"/>
    <w:qFormat/>
  </w:style>
  <w:style w:type="paragraph" w:customStyle="1" w:styleId="Comment">
    <w:name w:val="Comment"/>
    <w:basedOn w:val="Normal"/>
    <w:qFormat/>
    <w:rPr>
      <w:sz w:val="20"/>
      <w:szCs w:val="20"/>
    </w:rPr>
  </w:style>
  <w:style w:type="paragraph" w:styleId="Revision">
    <w:name w:val="Revision"/>
    <w:uiPriority w:val="99"/>
    <w:unhideWhenUsed/>
    <w:qFormat/>
    <w:rsid w:val="00DF15B0"/>
    <w:pPr>
      <w:suppressAutoHyphens w:val="0"/>
    </w:pPr>
    <w:rPr>
      <w:rFonts w:ascii="Times New Roman" w:hAnsi="Times New Roman"/>
      <w:sz w:val="24"/>
      <w:szCs w:val="22"/>
      <w:lang w:val="en-GB" w:eastAsia="en-US" w:bidi="ar-SA"/>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alendar1">
    <w:name w:val="Calendar 1"/>
    <w:basedOn w:val="TableNormal"/>
    <w:uiPriority w:val="99"/>
    <w:qFormat/>
    <w:rPr>
      <w:rFonts w:eastAsiaTheme="minorEastAsia"/>
    </w:rPr>
    <w:tblPr/>
    <w:tcPr>
      <w:shd w:val="clear" w:color="auto" w:fill="auto"/>
    </w:tcPr>
    <w:tblStylePr w:type="firstRow">
      <w:pPr>
        <w:wordWrap/>
        <w:spacing w:beforeLines="0" w:afterLines="0" w:line="240" w:lineRule="auto"/>
      </w:pPr>
      <w:rPr>
        <w:rFonts w:asciiTheme="minorHAnsi" w:hAnsiTheme="minorHAnsi"/>
        <w:b/>
        <w:i w:val="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PlainTable41">
    <w:name w:val="Plain Table 41"/>
    <w:basedOn w:val="TableNormal"/>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000000" w:themeColor="text1"/>
        </w:tcBorders>
      </w:tcPr>
    </w:tblStylePr>
    <w:tblStylePr w:type="lastRow">
      <w:rPr>
        <w:b/>
        <w:bCs/>
      </w:rPr>
      <w:tblPr/>
      <w:tcPr>
        <w:tcBorders>
          <w:top w:val="single" w:sz="4" w:space="0" w:color="000000" w:themeColor="text1"/>
        </w:tcBorders>
      </w:tcPr>
    </w:tblStylePr>
    <w:tblStylePr w:type="firstCol">
      <w:rPr>
        <w:b/>
        <w:bCs/>
      </w:rPr>
    </w:tblStylePr>
    <w:tblStylePr w:type="lastCol">
      <w:rPr>
        <w:b/>
        <w:bCs/>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22">
    <w:name w:val="Plain Table 22"/>
    <w:basedOn w:val="Table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000000" w:themeColor="text1"/>
        </w:tcBorders>
      </w:tcPr>
    </w:tblStylePr>
    <w:tblStylePr w:type="lastRow">
      <w:rPr>
        <w:b/>
        <w:bCs/>
      </w:rPr>
      <w:tblPr/>
      <w:tcPr>
        <w:tcBorders>
          <w:top w:val="single" w:sz="4" w:space="0" w:color="000000" w:themeColor="text1"/>
        </w:tcBorders>
      </w:tcPr>
    </w:tblStylePr>
    <w:tblStylePr w:type="firstCol">
      <w:rPr>
        <w:b/>
        <w:bCs/>
      </w:rPr>
    </w:tblStylePr>
    <w:tblStylePr w:type="lastCol">
      <w:rPr>
        <w:b/>
        <w:bCs/>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TableGrid1">
    <w:name w:val="Table Grid1"/>
    <w:basedOn w:val="TableNormal"/>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qFormat/>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style>
  <w:style w:type="table" w:customStyle="1" w:styleId="PlainTable51">
    <w:name w:val="Plain Table 51"/>
    <w:basedOn w:val="TableNormal"/>
    <w:uiPriority w:val="45"/>
    <w:qFormat/>
    <w:tblPr/>
    <w:tblStylePr w:type="firstRow">
      <w:rPr>
        <w:rFonts w:asciiTheme="majorHAnsi" w:eastAsiaTheme="majorEastAsia" w:hAnsiTheme="majorHAnsi" w:cstheme="majorBidi"/>
        <w:i/>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sz w:val="26"/>
      </w:rPr>
      <w:tblPr/>
      <w:tcPr>
        <w:tcBorders>
          <w:left w:val="single" w:sz="4" w:space="0" w:color="000000"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2">
    <w:name w:val="Table Grid Light2"/>
    <w:basedOn w:val="TableNormal"/>
    <w:uiPriority w:val="40"/>
    <w:qFormat/>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style>
  <w:style w:type="table" w:customStyle="1" w:styleId="PlainTable11">
    <w:name w:val="Plain Table 11"/>
    <w:basedOn w:val="TableNormal"/>
    <w:uiPriority w:val="41"/>
    <w:qFormat/>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3">
    <w:name w:val="Plain Table 23"/>
    <w:basedOn w:val="Table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000000" w:themeColor="text1"/>
        </w:tcBorders>
      </w:tcPr>
    </w:tblStylePr>
    <w:tblStylePr w:type="lastRow">
      <w:rPr>
        <w:b/>
        <w:bCs/>
      </w:rPr>
      <w:tblPr/>
      <w:tcPr>
        <w:tcBorders>
          <w:top w:val="single" w:sz="4" w:space="0" w:color="000000" w:themeColor="text1"/>
        </w:tcBorders>
      </w:tcPr>
    </w:tblStylePr>
    <w:tblStylePr w:type="firstCol">
      <w:rPr>
        <w:b/>
        <w:bCs/>
      </w:rPr>
    </w:tblStylePr>
    <w:tblStylePr w:type="lastCol">
      <w:rPr>
        <w:b/>
        <w:bCs/>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42">
    <w:name w:val="Plain Table 42"/>
    <w:basedOn w:val="TableNormal"/>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480294"/>
    <w:rPr>
      <w:color w:val="605E5C"/>
      <w:shd w:val="clear" w:color="auto" w:fill="E1DFDD"/>
    </w:rPr>
  </w:style>
  <w:style w:type="table" w:styleId="TableGridLight">
    <w:name w:val="Grid Table Light"/>
    <w:basedOn w:val="TableNormal"/>
    <w:uiPriority w:val="40"/>
    <w:rsid w:val="00FC2F1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BookTitle">
    <w:name w:val="Book Title"/>
    <w:basedOn w:val="DefaultParagraphFont"/>
    <w:uiPriority w:val="33"/>
    <w:qFormat/>
    <w:rsid w:val="00EA1209"/>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microsoft.com/office/2007/relationships/diagramDrawing" Target="diagrams/drawing1.xml"/><Relationship Id="rId26" Type="http://schemas.openxmlformats.org/officeDocument/2006/relationships/hyperlink" Target="http://www.ecineq.org/milano/WP/ECINEQ2008-93.pdf" TargetMode="External"/><Relationship Id="rId3" Type="http://schemas.openxmlformats.org/officeDocument/2006/relationships/numbering" Target="numbering.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diagramColors" Target="diagrams/colors1.xml"/><Relationship Id="rId25" Type="http://schemas.openxmlformats.org/officeDocument/2006/relationships/hyperlink" Target="https://www.mogcsp.gov.gh/projects/ghana-national-household-registry-gnhr/" TargetMode="Externa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image" Target="media/image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hyperlink" Target="https://gnhr.mogcsp.gov.gh/" TargetMode="Externa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image" Target="media/image5.png"/><Relationship Id="rId28" Type="http://schemas.openxmlformats.org/officeDocument/2006/relationships/image" Target="media/image6.png"/><Relationship Id="rId10" Type="http://schemas.openxmlformats.org/officeDocument/2006/relationships/footer" Target="footer2.xml"/><Relationship Id="rId19" Type="http://schemas.openxmlformats.org/officeDocument/2006/relationships/image" Target="media/image1.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diagramData" Target="diagrams/data1.xml"/><Relationship Id="rId22" Type="http://schemas.openxmlformats.org/officeDocument/2006/relationships/image" Target="media/image4.png"/><Relationship Id="rId27" Type="http://schemas.openxmlformats.org/officeDocument/2006/relationships/hyperlink" Target="https://openknowledge.worldbank.org/handle/10986/36819?locale-attribute=fr" TargetMode="Externa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2ABFED5F-1B07-4855-82F6-B880B46D464B}" type="doc">
      <dgm:prSet loTypeId="urn:microsoft.com/office/officeart/2005/8/layout/cycle1#2" loCatId="cycle" qsTypeId="urn:microsoft.com/office/officeart/2005/8/quickstyle/simple1#1" qsCatId="simple" csTypeId="urn:microsoft.com/office/officeart/2005/8/colors/accent0_1#1" csCatId="mainScheme" phldr="1"/>
      <dgm:spPr/>
      <dgm:t>
        <a:bodyPr/>
        <a:lstStyle/>
        <a:p>
          <a:endParaRPr lang="en-US"/>
        </a:p>
      </dgm:t>
    </dgm:pt>
    <dgm:pt modelId="{6A9C4AD8-8F61-4B6E-96D4-1A648C9454C0}">
      <dgm:prSet phldrT="[Text]" custT="1"/>
      <dgm:spPr>
        <a:xfrm>
          <a:off x="3476406" y="79512"/>
          <a:ext cx="1273255" cy="1273255"/>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government</a:t>
          </a:r>
          <a:endParaRPr lang="en-US" sz="1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6F1F41A-F6AA-4751-AFA8-F8C285B416FE}" type="parTrans" cxnId="{D7DB0BB6-3F72-440B-960C-B34DB75495E0}">
      <dgm:prSet/>
      <dgm:spPr/>
      <dgm:t>
        <a:bodyPr/>
        <a:lstStyle/>
        <a:p>
          <a:endParaRPr lang="en-US"/>
        </a:p>
      </dgm:t>
    </dgm:pt>
    <dgm:pt modelId="{2C5B4D7A-6AFA-4025-BCD9-8F03EA8B126A}" type="sibTrans" cxnId="{D7DB0BB6-3F72-440B-960C-B34DB75495E0}">
      <dgm:prSet/>
      <dgm:spPr>
        <a:xfrm>
          <a:off x="1234512" y="-562"/>
          <a:ext cx="3595225" cy="3595225"/>
        </a:xfrm>
        <a:prstGeom prst="circularArrow">
          <a:avLst>
            <a:gd name="adj1" fmla="val 6906"/>
            <a:gd name="adj2" fmla="val 465662"/>
            <a:gd name="adj3" fmla="val 548112"/>
            <a:gd name="adj4" fmla="val 205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a:p>
      </dgm:t>
    </dgm:pt>
    <dgm:pt modelId="{890CB6D9-7BDC-4F23-8CAA-29F9A0EF95EC}">
      <dgm:prSet phldrT="[Text]" custT="1"/>
      <dgm:spPr>
        <a:xfrm>
          <a:off x="3476406" y="2241331"/>
          <a:ext cx="1273255" cy="1273255"/>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information</a:t>
          </a:r>
          <a:endParaRPr lang="en-US" sz="2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1DE2A32-90AE-4780-8AA5-727146290445}" type="parTrans" cxnId="{53B8AB58-CE87-4C05-99BF-0E92B9E2BB95}">
      <dgm:prSet/>
      <dgm:spPr/>
      <dgm:t>
        <a:bodyPr/>
        <a:lstStyle/>
        <a:p>
          <a:endParaRPr lang="en-US"/>
        </a:p>
      </dgm:t>
    </dgm:pt>
    <dgm:pt modelId="{70B312EB-8FDB-4664-8D25-30259C56C964}" type="sibTrans" cxnId="{53B8AB58-CE87-4C05-99BF-0E92B9E2BB95}">
      <dgm:prSet/>
      <dgm:spPr>
        <a:xfrm>
          <a:off x="1234512" y="-562"/>
          <a:ext cx="3595225" cy="3595225"/>
        </a:xfrm>
        <a:prstGeom prst="circularArrow">
          <a:avLst>
            <a:gd name="adj1" fmla="val 6906"/>
            <a:gd name="adj2" fmla="val 465662"/>
            <a:gd name="adj3" fmla="val 5948112"/>
            <a:gd name="adj4" fmla="val 43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a:p>
      </dgm:t>
    </dgm:pt>
    <dgm:pt modelId="{0D253C5C-054D-440A-B9A5-9E49D90E34F5}">
      <dgm:prSet phldrT="[Text]" custT="1"/>
      <dgm:spPr>
        <a:xfrm>
          <a:off x="1314587" y="2241331"/>
          <a:ext cx="1273255" cy="1273255"/>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beneficiaries</a:t>
          </a:r>
          <a:endParaRPr lang="en-US" sz="1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0820BF7-881C-4AC5-AF6A-143DA3501598}" type="parTrans" cxnId="{D37D93CE-C1A5-4636-9A96-7348963E80AF}">
      <dgm:prSet/>
      <dgm:spPr/>
      <dgm:t>
        <a:bodyPr/>
        <a:lstStyle/>
        <a:p>
          <a:endParaRPr lang="en-US"/>
        </a:p>
      </dgm:t>
    </dgm:pt>
    <dgm:pt modelId="{3B1359FE-B9F1-4070-8FC8-80905607C910}" type="sibTrans" cxnId="{D37D93CE-C1A5-4636-9A96-7348963E80AF}">
      <dgm:prSet/>
      <dgm:spPr>
        <a:xfrm>
          <a:off x="1234512" y="-562"/>
          <a:ext cx="3595225" cy="3595225"/>
        </a:xfrm>
        <a:prstGeom prst="circularArrow">
          <a:avLst>
            <a:gd name="adj1" fmla="val 6906"/>
            <a:gd name="adj2" fmla="val 465662"/>
            <a:gd name="adj3" fmla="val 11348112"/>
            <a:gd name="adj4" fmla="val 97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a:p>
      </dgm:t>
    </dgm:pt>
    <dgm:pt modelId="{F0233E6A-514E-4BCB-BDE2-CCDC31056F73}">
      <dgm:prSet phldrT="[Text]" custT="1"/>
      <dgm:spPr>
        <a:xfrm>
          <a:off x="1314587" y="79512"/>
          <a:ext cx="1273255" cy="1273255"/>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feedback</a:t>
          </a:r>
          <a:endParaRPr lang="en-US" sz="1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BE7D8F9-E3A1-4CD2-8406-3C750B5A510E}" type="parTrans" cxnId="{1367DCF5-1165-41DA-99E2-173DB0A2CBEB}">
      <dgm:prSet/>
      <dgm:spPr/>
      <dgm:t>
        <a:bodyPr/>
        <a:lstStyle/>
        <a:p>
          <a:endParaRPr lang="en-US"/>
        </a:p>
      </dgm:t>
    </dgm:pt>
    <dgm:pt modelId="{5A9DA801-B5F5-4660-B0E7-95969BD50F4A}" type="sibTrans" cxnId="{1367DCF5-1165-41DA-99E2-173DB0A2CBEB}">
      <dgm:prSet/>
      <dgm:spPr>
        <a:xfrm>
          <a:off x="1234512" y="-562"/>
          <a:ext cx="3595225" cy="3595225"/>
        </a:xfrm>
        <a:prstGeom prst="circularArrow">
          <a:avLst>
            <a:gd name="adj1" fmla="val 6906"/>
            <a:gd name="adj2" fmla="val 465662"/>
            <a:gd name="adj3" fmla="val 16748112"/>
            <a:gd name="adj4" fmla="val 151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a:p>
      </dgm:t>
    </dgm:pt>
    <dgm:pt modelId="{BBA047C2-5ECC-4E7A-A828-3A80D256C53E}" type="pres">
      <dgm:prSet presAssocID="{2ABFED5F-1B07-4855-82F6-B880B46D464B}" presName="cycle" presStyleCnt="0">
        <dgm:presLayoutVars>
          <dgm:dir/>
          <dgm:resizeHandles val="exact"/>
        </dgm:presLayoutVars>
      </dgm:prSet>
      <dgm:spPr/>
    </dgm:pt>
    <dgm:pt modelId="{687C21F5-B526-441C-8B21-5B24FB97A9B0}" type="pres">
      <dgm:prSet presAssocID="{6A9C4AD8-8F61-4B6E-96D4-1A648C9454C0}" presName="dummy" presStyleCnt="0"/>
      <dgm:spPr/>
    </dgm:pt>
    <dgm:pt modelId="{75CC705A-7857-4EFF-97D5-A5B1EA7FB79F}" type="pres">
      <dgm:prSet presAssocID="{6A9C4AD8-8F61-4B6E-96D4-1A648C9454C0}" presName="node" presStyleLbl="revTx" presStyleIdx="0" presStyleCnt="4">
        <dgm:presLayoutVars>
          <dgm:bulletEnabled val="1"/>
        </dgm:presLayoutVars>
      </dgm:prSet>
      <dgm:spPr/>
    </dgm:pt>
    <dgm:pt modelId="{490BD92E-680F-41FF-9FBE-DBD4CC86838A}" type="pres">
      <dgm:prSet presAssocID="{2C5B4D7A-6AFA-4025-BCD9-8F03EA8B126A}" presName="sibTrans" presStyleLbl="node1" presStyleIdx="0" presStyleCnt="4"/>
      <dgm:spPr/>
    </dgm:pt>
    <dgm:pt modelId="{35A0D93D-775F-43AD-9226-17BA369D1FFF}" type="pres">
      <dgm:prSet presAssocID="{890CB6D9-7BDC-4F23-8CAA-29F9A0EF95EC}" presName="dummy" presStyleCnt="0"/>
      <dgm:spPr/>
    </dgm:pt>
    <dgm:pt modelId="{19D7C3D0-77B1-401D-B12E-9ACA13B638F6}" type="pres">
      <dgm:prSet presAssocID="{890CB6D9-7BDC-4F23-8CAA-29F9A0EF95EC}" presName="node" presStyleLbl="revTx" presStyleIdx="1" presStyleCnt="4">
        <dgm:presLayoutVars>
          <dgm:bulletEnabled val="1"/>
        </dgm:presLayoutVars>
      </dgm:prSet>
      <dgm:spPr/>
    </dgm:pt>
    <dgm:pt modelId="{B8201D5C-79CC-417A-823C-5285B9097DFE}" type="pres">
      <dgm:prSet presAssocID="{70B312EB-8FDB-4664-8D25-30259C56C964}" presName="sibTrans" presStyleLbl="node1" presStyleIdx="1" presStyleCnt="4"/>
      <dgm:spPr/>
    </dgm:pt>
    <dgm:pt modelId="{DC70FEC1-AD0F-4F2D-B824-27B9CEC1D00D}" type="pres">
      <dgm:prSet presAssocID="{0D253C5C-054D-440A-B9A5-9E49D90E34F5}" presName="dummy" presStyleCnt="0"/>
      <dgm:spPr/>
    </dgm:pt>
    <dgm:pt modelId="{7AE01CD9-3FD5-4DBB-A97C-5CA46680E0AA}" type="pres">
      <dgm:prSet presAssocID="{0D253C5C-054D-440A-B9A5-9E49D90E34F5}" presName="node" presStyleLbl="revTx" presStyleIdx="2" presStyleCnt="4">
        <dgm:presLayoutVars>
          <dgm:bulletEnabled val="1"/>
        </dgm:presLayoutVars>
      </dgm:prSet>
      <dgm:spPr/>
    </dgm:pt>
    <dgm:pt modelId="{6D49D591-DC08-4EA6-AC94-9338F950D329}" type="pres">
      <dgm:prSet presAssocID="{3B1359FE-B9F1-4070-8FC8-80905607C910}" presName="sibTrans" presStyleLbl="node1" presStyleIdx="2" presStyleCnt="4"/>
      <dgm:spPr/>
    </dgm:pt>
    <dgm:pt modelId="{EE9F74D0-E6B0-427C-81AE-D2BB6328552F}" type="pres">
      <dgm:prSet presAssocID="{F0233E6A-514E-4BCB-BDE2-CCDC31056F73}" presName="dummy" presStyleCnt="0"/>
      <dgm:spPr/>
    </dgm:pt>
    <dgm:pt modelId="{2A8659D3-02DC-4232-AB9B-8E89C2E9908D}" type="pres">
      <dgm:prSet presAssocID="{F0233E6A-514E-4BCB-BDE2-CCDC31056F73}" presName="node" presStyleLbl="revTx" presStyleIdx="3" presStyleCnt="4">
        <dgm:presLayoutVars>
          <dgm:bulletEnabled val="1"/>
        </dgm:presLayoutVars>
      </dgm:prSet>
      <dgm:spPr/>
    </dgm:pt>
    <dgm:pt modelId="{2B12CB15-BCDC-4252-979C-4F6785E798AA}" type="pres">
      <dgm:prSet presAssocID="{5A9DA801-B5F5-4660-B0E7-95969BD50F4A}" presName="sibTrans" presStyleLbl="node1" presStyleIdx="3" presStyleCnt="4"/>
      <dgm:spPr/>
    </dgm:pt>
  </dgm:ptLst>
  <dgm:cxnLst>
    <dgm:cxn modelId="{74C18D03-6C4F-44C2-BED7-DACDD57A89D5}" type="presOf" srcId="{3B1359FE-B9F1-4070-8FC8-80905607C910}" destId="{6D49D591-DC08-4EA6-AC94-9338F950D329}" srcOrd="0" destOrd="0" presId="urn:microsoft.com/office/officeart/2005/8/layout/cycle1#2"/>
    <dgm:cxn modelId="{62ED8573-851B-44AE-9DC9-8DC25A66B594}" type="presOf" srcId="{F0233E6A-514E-4BCB-BDE2-CCDC31056F73}" destId="{2A8659D3-02DC-4232-AB9B-8E89C2E9908D}" srcOrd="0" destOrd="0" presId="urn:microsoft.com/office/officeart/2005/8/layout/cycle1#2"/>
    <dgm:cxn modelId="{53B8AB58-CE87-4C05-99BF-0E92B9E2BB95}" srcId="{2ABFED5F-1B07-4855-82F6-B880B46D464B}" destId="{890CB6D9-7BDC-4F23-8CAA-29F9A0EF95EC}" srcOrd="1" destOrd="0" parTransId="{E1DE2A32-90AE-4780-8AA5-727146290445}" sibTransId="{70B312EB-8FDB-4664-8D25-30259C56C964}"/>
    <dgm:cxn modelId="{82493A79-3080-4F97-9D58-677A72504BE3}" type="presOf" srcId="{6A9C4AD8-8F61-4B6E-96D4-1A648C9454C0}" destId="{75CC705A-7857-4EFF-97D5-A5B1EA7FB79F}" srcOrd="0" destOrd="0" presId="urn:microsoft.com/office/officeart/2005/8/layout/cycle1#2"/>
    <dgm:cxn modelId="{6035F77B-BF69-43FE-A338-3C7143E788B0}" type="presOf" srcId="{5A9DA801-B5F5-4660-B0E7-95969BD50F4A}" destId="{2B12CB15-BCDC-4252-979C-4F6785E798AA}" srcOrd="0" destOrd="0" presId="urn:microsoft.com/office/officeart/2005/8/layout/cycle1#2"/>
    <dgm:cxn modelId="{34DDE27F-2551-4834-A491-116C31575020}" type="presOf" srcId="{2ABFED5F-1B07-4855-82F6-B880B46D464B}" destId="{BBA047C2-5ECC-4E7A-A828-3A80D256C53E}" srcOrd="0" destOrd="0" presId="urn:microsoft.com/office/officeart/2005/8/layout/cycle1#2"/>
    <dgm:cxn modelId="{6645388D-A228-4FDE-AD3D-5BFD732FC85C}" type="presOf" srcId="{2C5B4D7A-6AFA-4025-BCD9-8F03EA8B126A}" destId="{490BD92E-680F-41FF-9FBE-DBD4CC86838A}" srcOrd="0" destOrd="0" presId="urn:microsoft.com/office/officeart/2005/8/layout/cycle1#2"/>
    <dgm:cxn modelId="{A481548D-9F26-4B54-BF85-814040F87150}" type="presOf" srcId="{70B312EB-8FDB-4664-8D25-30259C56C964}" destId="{B8201D5C-79CC-417A-823C-5285B9097DFE}" srcOrd="0" destOrd="0" presId="urn:microsoft.com/office/officeart/2005/8/layout/cycle1#2"/>
    <dgm:cxn modelId="{D7DB0BB6-3F72-440B-960C-B34DB75495E0}" srcId="{2ABFED5F-1B07-4855-82F6-B880B46D464B}" destId="{6A9C4AD8-8F61-4B6E-96D4-1A648C9454C0}" srcOrd="0" destOrd="0" parTransId="{C6F1F41A-F6AA-4751-AFA8-F8C285B416FE}" sibTransId="{2C5B4D7A-6AFA-4025-BCD9-8F03EA8B126A}"/>
    <dgm:cxn modelId="{D37D93CE-C1A5-4636-9A96-7348963E80AF}" srcId="{2ABFED5F-1B07-4855-82F6-B880B46D464B}" destId="{0D253C5C-054D-440A-B9A5-9E49D90E34F5}" srcOrd="2" destOrd="0" parTransId="{70820BF7-881C-4AC5-AF6A-143DA3501598}" sibTransId="{3B1359FE-B9F1-4070-8FC8-80905607C910}"/>
    <dgm:cxn modelId="{4ED1D8CF-855A-4CF5-A088-AB5F0C8C9D3C}" type="presOf" srcId="{0D253C5C-054D-440A-B9A5-9E49D90E34F5}" destId="{7AE01CD9-3FD5-4DBB-A97C-5CA46680E0AA}" srcOrd="0" destOrd="0" presId="urn:microsoft.com/office/officeart/2005/8/layout/cycle1#2"/>
    <dgm:cxn modelId="{745B53EA-FCF3-4AAE-8160-24F4F8B55479}" type="presOf" srcId="{890CB6D9-7BDC-4F23-8CAA-29F9A0EF95EC}" destId="{19D7C3D0-77B1-401D-B12E-9ACA13B638F6}" srcOrd="0" destOrd="0" presId="urn:microsoft.com/office/officeart/2005/8/layout/cycle1#2"/>
    <dgm:cxn modelId="{1367DCF5-1165-41DA-99E2-173DB0A2CBEB}" srcId="{2ABFED5F-1B07-4855-82F6-B880B46D464B}" destId="{F0233E6A-514E-4BCB-BDE2-CCDC31056F73}" srcOrd="3" destOrd="0" parTransId="{4BE7D8F9-E3A1-4CD2-8406-3C750B5A510E}" sibTransId="{5A9DA801-B5F5-4660-B0E7-95969BD50F4A}"/>
    <dgm:cxn modelId="{71B52A61-DF51-4444-A3E9-9367FE03D384}" type="presParOf" srcId="{BBA047C2-5ECC-4E7A-A828-3A80D256C53E}" destId="{687C21F5-B526-441C-8B21-5B24FB97A9B0}" srcOrd="0" destOrd="0" presId="urn:microsoft.com/office/officeart/2005/8/layout/cycle1#2"/>
    <dgm:cxn modelId="{26566814-8EA4-47BC-AD2E-DBE34C0B5C8B}" type="presParOf" srcId="{BBA047C2-5ECC-4E7A-A828-3A80D256C53E}" destId="{75CC705A-7857-4EFF-97D5-A5B1EA7FB79F}" srcOrd="1" destOrd="0" presId="urn:microsoft.com/office/officeart/2005/8/layout/cycle1#2"/>
    <dgm:cxn modelId="{DE2CD219-9E11-4E80-9F69-5AB4D99F9E69}" type="presParOf" srcId="{BBA047C2-5ECC-4E7A-A828-3A80D256C53E}" destId="{490BD92E-680F-41FF-9FBE-DBD4CC86838A}" srcOrd="2" destOrd="0" presId="urn:microsoft.com/office/officeart/2005/8/layout/cycle1#2"/>
    <dgm:cxn modelId="{E9328529-8F09-4672-8348-8CFC8C0CDB33}" type="presParOf" srcId="{BBA047C2-5ECC-4E7A-A828-3A80D256C53E}" destId="{35A0D93D-775F-43AD-9226-17BA369D1FFF}" srcOrd="3" destOrd="0" presId="urn:microsoft.com/office/officeart/2005/8/layout/cycle1#2"/>
    <dgm:cxn modelId="{DAB2239A-0CC9-46CE-8A91-0B8B9D5C4E95}" type="presParOf" srcId="{BBA047C2-5ECC-4E7A-A828-3A80D256C53E}" destId="{19D7C3D0-77B1-401D-B12E-9ACA13B638F6}" srcOrd="4" destOrd="0" presId="urn:microsoft.com/office/officeart/2005/8/layout/cycle1#2"/>
    <dgm:cxn modelId="{47AD87A3-68D5-4320-B0DD-4D12C8388550}" type="presParOf" srcId="{BBA047C2-5ECC-4E7A-A828-3A80D256C53E}" destId="{B8201D5C-79CC-417A-823C-5285B9097DFE}" srcOrd="5" destOrd="0" presId="urn:microsoft.com/office/officeart/2005/8/layout/cycle1#2"/>
    <dgm:cxn modelId="{164B59D5-A487-4276-BD7A-B2CAB8C0ED8F}" type="presParOf" srcId="{BBA047C2-5ECC-4E7A-A828-3A80D256C53E}" destId="{DC70FEC1-AD0F-4F2D-B824-27B9CEC1D00D}" srcOrd="6" destOrd="0" presId="urn:microsoft.com/office/officeart/2005/8/layout/cycle1#2"/>
    <dgm:cxn modelId="{90CA5B60-9E91-4C6E-8D2B-1C9912247192}" type="presParOf" srcId="{BBA047C2-5ECC-4E7A-A828-3A80D256C53E}" destId="{7AE01CD9-3FD5-4DBB-A97C-5CA46680E0AA}" srcOrd="7" destOrd="0" presId="urn:microsoft.com/office/officeart/2005/8/layout/cycle1#2"/>
    <dgm:cxn modelId="{E174F0B5-6F43-4590-AA75-F08BA6B722AD}" type="presParOf" srcId="{BBA047C2-5ECC-4E7A-A828-3A80D256C53E}" destId="{6D49D591-DC08-4EA6-AC94-9338F950D329}" srcOrd="8" destOrd="0" presId="urn:microsoft.com/office/officeart/2005/8/layout/cycle1#2"/>
    <dgm:cxn modelId="{3D2B0493-663C-41E6-B011-FA41C00F8B1B}" type="presParOf" srcId="{BBA047C2-5ECC-4E7A-A828-3A80D256C53E}" destId="{EE9F74D0-E6B0-427C-81AE-D2BB6328552F}" srcOrd="9" destOrd="0" presId="urn:microsoft.com/office/officeart/2005/8/layout/cycle1#2"/>
    <dgm:cxn modelId="{43598FCE-B298-4267-9863-1CA549804E5A}" type="presParOf" srcId="{BBA047C2-5ECC-4E7A-A828-3A80D256C53E}" destId="{2A8659D3-02DC-4232-AB9B-8E89C2E9908D}" srcOrd="10" destOrd="0" presId="urn:microsoft.com/office/officeart/2005/8/layout/cycle1#2"/>
    <dgm:cxn modelId="{2C84E6CC-1612-4411-9D85-D6B51CEA342F}" type="presParOf" srcId="{BBA047C2-5ECC-4E7A-A828-3A80D256C53E}" destId="{2B12CB15-BCDC-4252-979C-4F6785E798AA}" srcOrd="11" destOrd="0" presId="urn:microsoft.com/office/officeart/2005/8/layout/cycle1#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CC705A-7857-4EFF-97D5-A5B1EA7FB79F}">
      <dsp:nvSpPr>
        <dsp:cNvPr id="0" name=""/>
        <dsp:cNvSpPr/>
      </dsp:nvSpPr>
      <dsp:spPr bwMode="white">
        <a:xfrm>
          <a:off x="3476406" y="79512"/>
          <a:ext cx="1273255" cy="12732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government</a:t>
          </a:r>
          <a:endParaRPr lang="en-US" sz="1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476406" y="79512"/>
        <a:ext cx="1273255" cy="1273255"/>
      </dsp:txXfrm>
    </dsp:sp>
    <dsp:sp modelId="{490BD92E-680F-41FF-9FBE-DBD4CC86838A}">
      <dsp:nvSpPr>
        <dsp:cNvPr id="0" name=""/>
        <dsp:cNvSpPr/>
      </dsp:nvSpPr>
      <dsp:spPr>
        <a:xfrm>
          <a:off x="1234512" y="-562"/>
          <a:ext cx="3595225" cy="3595225"/>
        </a:xfrm>
        <a:prstGeom prst="circularArrow">
          <a:avLst>
            <a:gd name="adj1" fmla="val 6906"/>
            <a:gd name="adj2" fmla="val 465662"/>
            <a:gd name="adj3" fmla="val 548112"/>
            <a:gd name="adj4" fmla="val 205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9D7C3D0-77B1-401D-B12E-9ACA13B638F6}">
      <dsp:nvSpPr>
        <dsp:cNvPr id="0" name=""/>
        <dsp:cNvSpPr/>
      </dsp:nvSpPr>
      <dsp:spPr bwMode="white">
        <a:xfrm>
          <a:off x="3476406" y="2241331"/>
          <a:ext cx="1273255" cy="12732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information</a:t>
          </a:r>
          <a:endParaRPr lang="en-US" sz="2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476406" y="2241331"/>
        <a:ext cx="1273255" cy="1273255"/>
      </dsp:txXfrm>
    </dsp:sp>
    <dsp:sp modelId="{B8201D5C-79CC-417A-823C-5285B9097DFE}">
      <dsp:nvSpPr>
        <dsp:cNvPr id="0" name=""/>
        <dsp:cNvSpPr/>
      </dsp:nvSpPr>
      <dsp:spPr>
        <a:xfrm>
          <a:off x="1234512" y="-562"/>
          <a:ext cx="3595225" cy="3595225"/>
        </a:xfrm>
        <a:prstGeom prst="circularArrow">
          <a:avLst>
            <a:gd name="adj1" fmla="val 6906"/>
            <a:gd name="adj2" fmla="val 465662"/>
            <a:gd name="adj3" fmla="val 5948112"/>
            <a:gd name="adj4" fmla="val 43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AE01CD9-3FD5-4DBB-A97C-5CA46680E0AA}">
      <dsp:nvSpPr>
        <dsp:cNvPr id="0" name=""/>
        <dsp:cNvSpPr/>
      </dsp:nvSpPr>
      <dsp:spPr bwMode="white">
        <a:xfrm>
          <a:off x="1314587" y="2241331"/>
          <a:ext cx="1273255" cy="12732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beneficiaries</a:t>
          </a:r>
          <a:endParaRPr lang="en-US" sz="1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14587" y="2241331"/>
        <a:ext cx="1273255" cy="1273255"/>
      </dsp:txXfrm>
    </dsp:sp>
    <dsp:sp modelId="{6D49D591-DC08-4EA6-AC94-9338F950D329}">
      <dsp:nvSpPr>
        <dsp:cNvPr id="0" name=""/>
        <dsp:cNvSpPr/>
      </dsp:nvSpPr>
      <dsp:spPr>
        <a:xfrm>
          <a:off x="1234512" y="-562"/>
          <a:ext cx="3595225" cy="3595225"/>
        </a:xfrm>
        <a:prstGeom prst="circularArrow">
          <a:avLst>
            <a:gd name="adj1" fmla="val 6906"/>
            <a:gd name="adj2" fmla="val 465662"/>
            <a:gd name="adj3" fmla="val 11348112"/>
            <a:gd name="adj4" fmla="val 97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A8659D3-02DC-4232-AB9B-8E89C2E9908D}">
      <dsp:nvSpPr>
        <dsp:cNvPr id="0" name=""/>
        <dsp:cNvSpPr/>
      </dsp:nvSpPr>
      <dsp:spPr bwMode="white">
        <a:xfrm>
          <a:off x="1314587" y="79512"/>
          <a:ext cx="1273255" cy="12732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feedback</a:t>
          </a:r>
          <a:endParaRPr lang="en-US" sz="1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14587" y="79512"/>
        <a:ext cx="1273255" cy="1273255"/>
      </dsp:txXfrm>
    </dsp:sp>
    <dsp:sp modelId="{2B12CB15-BCDC-4252-979C-4F6785E798AA}">
      <dsp:nvSpPr>
        <dsp:cNvPr id="0" name=""/>
        <dsp:cNvSpPr/>
      </dsp:nvSpPr>
      <dsp:spPr>
        <a:xfrm>
          <a:off x="1234512" y="-562"/>
          <a:ext cx="3595225" cy="3595225"/>
        </a:xfrm>
        <a:prstGeom prst="circularArrow">
          <a:avLst>
            <a:gd name="adj1" fmla="val 6906"/>
            <a:gd name="adj2" fmla="val 465662"/>
            <a:gd name="adj3" fmla="val 16748112"/>
            <a:gd name="adj4" fmla="val 15186226"/>
            <a:gd name="adj5" fmla="val 8057"/>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2">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83A330-B91B-4AA3-A8B5-D4CEAFE5A4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145</Pages>
  <Words>48487</Words>
  <Characters>276376</Characters>
  <Application>Microsoft Office Word</Application>
  <DocSecurity>0</DocSecurity>
  <Lines>2303</Lines>
  <Paragraphs>648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Kel Business Solutions Ent, Wa</cp:lastModifiedBy>
  <cp:revision>31</cp:revision>
  <cp:lastPrinted>2024-07-12T19:27:00Z</cp:lastPrinted>
  <dcterms:created xsi:type="dcterms:W3CDTF">2024-06-25T09:42:00Z</dcterms:created>
  <dcterms:modified xsi:type="dcterms:W3CDTF">2024-07-12T19:31:00Z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1033-5.4.4.8063</vt:lpwstr>
  </property>
</Properties>
</file>